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96CB9">
      <w:pPr>
        <w:spacing w:after="240" w:line="360" w:lineRule="auto"/>
        <w:jc w:val="both"/>
        <w:rPr>
          <w:rFonts w:ascii="宋体" w:hAnsi="宋体"/>
          <w:b/>
          <w:color w:val="auto"/>
          <w:sz w:val="36"/>
          <w:szCs w:val="36"/>
          <w:highlight w:val="none"/>
        </w:rPr>
      </w:pPr>
    </w:p>
    <w:p w14:paraId="4ABE3EAE">
      <w:pPr>
        <w:spacing w:after="240" w:line="360" w:lineRule="auto"/>
        <w:jc w:val="center"/>
        <w:rPr>
          <w:rFonts w:ascii="宋体" w:hAnsi="宋体"/>
          <w:b/>
          <w:color w:val="auto"/>
          <w:sz w:val="52"/>
          <w:szCs w:val="52"/>
          <w:highlight w:val="none"/>
        </w:rPr>
      </w:pPr>
      <w:r>
        <w:rPr>
          <w:rFonts w:hint="eastAsia" w:ascii="宋体" w:hAnsi="宋体" w:cs="宋体"/>
          <w:b/>
          <w:bCs/>
          <w:color w:val="auto"/>
          <w:sz w:val="52"/>
          <w:szCs w:val="52"/>
          <w:highlight w:val="none"/>
          <w:lang w:val="en-US" w:eastAsia="zh-CN"/>
        </w:rPr>
        <w:t>鹤洞小学建设工程</w:t>
      </w:r>
      <w:r>
        <w:rPr>
          <w:rFonts w:hint="eastAsia" w:ascii="宋体" w:hAnsi="宋体" w:eastAsia="宋体" w:cs="宋体"/>
          <w:b/>
          <w:color w:val="auto"/>
          <w:sz w:val="52"/>
          <w:szCs w:val="52"/>
          <w:highlight w:val="none"/>
          <w:lang w:eastAsia="zh-CN"/>
        </w:rPr>
        <w:t>施工</w:t>
      </w:r>
      <w:r>
        <w:rPr>
          <w:rFonts w:hint="eastAsia"/>
          <w:b/>
          <w:color w:val="auto"/>
          <w:sz w:val="52"/>
          <w:szCs w:val="52"/>
          <w:highlight w:val="none"/>
        </w:rPr>
        <w:t>监理</w:t>
      </w:r>
    </w:p>
    <w:p w14:paraId="4147B025">
      <w:pPr>
        <w:spacing w:after="240" w:line="360" w:lineRule="auto"/>
        <w:jc w:val="center"/>
        <w:rPr>
          <w:rFonts w:ascii="宋体" w:hAnsi="宋体"/>
          <w:b/>
          <w:color w:val="auto"/>
          <w:sz w:val="36"/>
          <w:szCs w:val="36"/>
          <w:highlight w:val="none"/>
        </w:rPr>
      </w:pPr>
    </w:p>
    <w:p w14:paraId="017468B3">
      <w:pPr>
        <w:spacing w:line="400" w:lineRule="exact"/>
        <w:jc w:val="both"/>
        <w:rPr>
          <w:rFonts w:ascii="宋体" w:hAnsi="宋体"/>
          <w:color w:val="auto"/>
          <w:highlight w:val="none"/>
        </w:rPr>
      </w:pPr>
    </w:p>
    <w:p w14:paraId="6A0B80AA">
      <w:pPr>
        <w:spacing w:line="400" w:lineRule="exact"/>
        <w:jc w:val="right"/>
        <w:rPr>
          <w:rFonts w:ascii="宋体" w:hAnsi="宋体"/>
          <w:color w:val="auto"/>
          <w:highlight w:val="none"/>
        </w:rPr>
      </w:pPr>
    </w:p>
    <w:p w14:paraId="1873219E">
      <w:pPr>
        <w:rPr>
          <w:rFonts w:ascii="宋体" w:hAnsi="宋体"/>
          <w:color w:val="auto"/>
          <w:sz w:val="28"/>
          <w:szCs w:val="28"/>
          <w:highlight w:val="none"/>
        </w:rPr>
      </w:pPr>
    </w:p>
    <w:p w14:paraId="60F44594">
      <w:pPr>
        <w:rPr>
          <w:rFonts w:ascii="宋体" w:hAnsi="宋体"/>
          <w:color w:val="auto"/>
          <w:sz w:val="28"/>
          <w:szCs w:val="28"/>
          <w:highlight w:val="none"/>
        </w:rPr>
      </w:pPr>
    </w:p>
    <w:p w14:paraId="521A29A1">
      <w:pPr>
        <w:jc w:val="center"/>
        <w:rPr>
          <w:rFonts w:ascii="宋体" w:hAnsi="宋体"/>
          <w:b/>
          <w:color w:val="auto"/>
          <w:sz w:val="72"/>
          <w:szCs w:val="52"/>
          <w:highlight w:val="none"/>
        </w:rPr>
      </w:pPr>
      <w:r>
        <w:rPr>
          <w:rFonts w:hint="eastAsia" w:ascii="宋体" w:hAnsi="宋体"/>
          <w:b/>
          <w:color w:val="auto"/>
          <w:sz w:val="72"/>
          <w:szCs w:val="52"/>
          <w:highlight w:val="none"/>
        </w:rPr>
        <w:t>招标文件</w:t>
      </w:r>
    </w:p>
    <w:p w14:paraId="22290E75">
      <w:pPr>
        <w:spacing w:line="400" w:lineRule="exact"/>
        <w:rPr>
          <w:rFonts w:ascii="宋体" w:hAnsi="宋体"/>
          <w:color w:val="auto"/>
          <w:highlight w:val="none"/>
        </w:rPr>
      </w:pPr>
    </w:p>
    <w:p w14:paraId="2E9F616C">
      <w:pPr>
        <w:spacing w:line="400" w:lineRule="exact"/>
        <w:rPr>
          <w:rFonts w:ascii="宋体" w:hAnsi="宋体"/>
          <w:color w:val="auto"/>
          <w:highlight w:val="none"/>
        </w:rPr>
      </w:pPr>
    </w:p>
    <w:p w14:paraId="2E972489">
      <w:pPr>
        <w:spacing w:line="400" w:lineRule="exact"/>
        <w:rPr>
          <w:rFonts w:ascii="宋体" w:hAnsi="宋体"/>
          <w:color w:val="auto"/>
          <w:highlight w:val="none"/>
        </w:rPr>
      </w:pPr>
    </w:p>
    <w:p w14:paraId="12F94048">
      <w:pPr>
        <w:spacing w:line="400" w:lineRule="exact"/>
        <w:rPr>
          <w:rFonts w:ascii="宋体" w:hAnsi="宋体"/>
          <w:color w:val="auto"/>
          <w:highlight w:val="none"/>
        </w:rPr>
      </w:pPr>
    </w:p>
    <w:p w14:paraId="6D2704B5">
      <w:pPr>
        <w:spacing w:line="400" w:lineRule="exact"/>
        <w:rPr>
          <w:rFonts w:ascii="宋体" w:hAnsi="宋体"/>
          <w:color w:val="auto"/>
          <w:highlight w:val="none"/>
        </w:rPr>
      </w:pPr>
    </w:p>
    <w:p w14:paraId="0D92A508">
      <w:pPr>
        <w:spacing w:line="400" w:lineRule="exact"/>
        <w:rPr>
          <w:rFonts w:ascii="宋体" w:hAnsi="宋体"/>
          <w:color w:val="auto"/>
          <w:highlight w:val="none"/>
        </w:rPr>
      </w:pPr>
    </w:p>
    <w:p w14:paraId="5D8F46EA">
      <w:pPr>
        <w:spacing w:line="400" w:lineRule="exact"/>
        <w:rPr>
          <w:rFonts w:ascii="宋体" w:hAnsi="宋体"/>
          <w:color w:val="auto"/>
          <w:highlight w:val="none"/>
        </w:rPr>
      </w:pPr>
    </w:p>
    <w:p w14:paraId="2F8E8B5D">
      <w:pPr>
        <w:spacing w:line="400" w:lineRule="exact"/>
        <w:rPr>
          <w:rFonts w:ascii="宋体" w:hAnsi="宋体"/>
          <w:color w:val="auto"/>
          <w:highlight w:val="none"/>
        </w:rPr>
      </w:pPr>
    </w:p>
    <w:p w14:paraId="35DB4303">
      <w:pPr>
        <w:spacing w:line="400" w:lineRule="exact"/>
        <w:rPr>
          <w:rFonts w:ascii="宋体" w:hAnsi="宋体"/>
          <w:color w:val="auto"/>
          <w:highlight w:val="none"/>
        </w:rPr>
      </w:pPr>
    </w:p>
    <w:p w14:paraId="773F7A4A">
      <w:pPr>
        <w:spacing w:line="400" w:lineRule="exact"/>
        <w:rPr>
          <w:rFonts w:ascii="宋体" w:hAnsi="宋体"/>
          <w:color w:val="auto"/>
          <w:highlight w:val="none"/>
        </w:rPr>
      </w:pPr>
    </w:p>
    <w:p w14:paraId="36847E71">
      <w:pPr>
        <w:jc w:val="center"/>
        <w:rPr>
          <w:rFonts w:hint="eastAsia" w:ascii="宋体" w:hAnsi="宋体"/>
          <w:b/>
          <w:color w:val="auto"/>
          <w:sz w:val="28"/>
          <w:szCs w:val="24"/>
          <w:highlight w:val="none"/>
          <w:u w:val="single"/>
          <w:lang w:eastAsia="zh-CN"/>
        </w:rPr>
      </w:pPr>
      <w:bookmarkStart w:id="0" w:name="_Toc152045511"/>
      <w:bookmarkStart w:id="1" w:name="_Toc144974479"/>
      <w:bookmarkStart w:id="2" w:name="_Toc152042287"/>
      <w:r>
        <w:rPr>
          <w:rFonts w:hint="eastAsia" w:ascii="宋体" w:hAnsi="宋体"/>
          <w:b/>
          <w:color w:val="auto"/>
          <w:sz w:val="28"/>
          <w:szCs w:val="24"/>
          <w:highlight w:val="none"/>
        </w:rPr>
        <w:t>招 标 单 位：</w:t>
      </w:r>
      <w:r>
        <w:rPr>
          <w:rFonts w:hint="eastAsia" w:ascii="宋体" w:hAnsi="宋体"/>
          <w:b/>
          <w:color w:val="auto"/>
          <w:sz w:val="28"/>
          <w:szCs w:val="24"/>
          <w:highlight w:val="none"/>
          <w:u w:val="single"/>
          <w:lang w:eastAsia="zh-CN"/>
        </w:rPr>
        <w:t>广州市荔湾区建设工程项目代建中心</w:t>
      </w:r>
    </w:p>
    <w:p w14:paraId="54770EE1">
      <w:pPr>
        <w:ind w:firstLine="1124" w:firstLineChars="400"/>
        <w:jc w:val="both"/>
        <w:rPr>
          <w:rFonts w:hint="eastAsia" w:ascii="宋体" w:hAnsi="宋体" w:eastAsia="宋体"/>
          <w:b/>
          <w:color w:val="auto"/>
          <w:sz w:val="28"/>
          <w:szCs w:val="24"/>
          <w:highlight w:val="none"/>
          <w:lang w:eastAsia="zh-CN"/>
        </w:rPr>
      </w:pPr>
      <w:r>
        <w:rPr>
          <w:rFonts w:hint="eastAsia" w:ascii="宋体" w:hAnsi="宋体"/>
          <w:b/>
          <w:color w:val="auto"/>
          <w:sz w:val="28"/>
          <w:szCs w:val="24"/>
          <w:highlight w:val="none"/>
        </w:rPr>
        <w:t>招标代理单位：</w:t>
      </w:r>
      <w:r>
        <w:rPr>
          <w:rFonts w:hint="eastAsia" w:ascii="宋体" w:hAnsi="宋体" w:eastAsia="宋体" w:cs="宋体"/>
          <w:b/>
          <w:bCs/>
          <w:i w:val="0"/>
          <w:iCs w:val="0"/>
          <w:caps w:val="0"/>
          <w:color w:val="auto"/>
          <w:spacing w:val="0"/>
          <w:kern w:val="2"/>
          <w:sz w:val="32"/>
          <w:szCs w:val="32"/>
          <w:highlight w:val="none"/>
          <w:u w:val="single"/>
          <w:shd w:val="clear" w:color="auto" w:fill="auto"/>
        </w:rPr>
        <w:t>广东工程建设监理有限公司</w:t>
      </w:r>
    </w:p>
    <w:p w14:paraId="045B5C47">
      <w:pPr>
        <w:ind w:firstLine="1124" w:firstLineChars="400"/>
        <w:rPr>
          <w:rFonts w:ascii="宋体" w:hAnsi="宋体"/>
          <w:b/>
          <w:color w:val="auto"/>
          <w:sz w:val="28"/>
          <w:szCs w:val="24"/>
          <w:highlight w:val="none"/>
        </w:rPr>
      </w:pPr>
      <w:r>
        <w:rPr>
          <w:rFonts w:hint="eastAsia" w:ascii="宋体" w:hAnsi="宋体"/>
          <w:b/>
          <w:color w:val="auto"/>
          <w:sz w:val="28"/>
          <w:szCs w:val="24"/>
          <w:highlight w:val="none"/>
        </w:rPr>
        <w:t>日        期：20</w:t>
      </w:r>
      <w:r>
        <w:rPr>
          <w:rFonts w:hint="eastAsia" w:ascii="宋体" w:hAnsi="宋体"/>
          <w:b/>
          <w:color w:val="auto"/>
          <w:sz w:val="28"/>
          <w:szCs w:val="24"/>
          <w:highlight w:val="none"/>
          <w:lang w:val="en-US" w:eastAsia="zh-CN"/>
        </w:rPr>
        <w:t>24</w:t>
      </w:r>
      <w:r>
        <w:rPr>
          <w:rFonts w:hint="eastAsia" w:ascii="宋体" w:hAnsi="宋体"/>
          <w:b/>
          <w:color w:val="auto"/>
          <w:sz w:val="28"/>
          <w:szCs w:val="24"/>
          <w:highlight w:val="none"/>
        </w:rPr>
        <w:t>年</w:t>
      </w:r>
      <w:r>
        <w:rPr>
          <w:rFonts w:hint="eastAsia" w:ascii="宋体" w:hAnsi="宋体"/>
          <w:b/>
          <w:color w:val="auto"/>
          <w:sz w:val="28"/>
          <w:szCs w:val="24"/>
          <w:highlight w:val="none"/>
          <w:lang w:val="en-US" w:eastAsia="zh-CN"/>
        </w:rPr>
        <w:t>7</w:t>
      </w:r>
      <w:r>
        <w:rPr>
          <w:rFonts w:hint="eastAsia" w:ascii="宋体" w:hAnsi="宋体"/>
          <w:b/>
          <w:color w:val="auto"/>
          <w:sz w:val="28"/>
          <w:szCs w:val="24"/>
          <w:highlight w:val="none"/>
        </w:rPr>
        <w:t>月</w:t>
      </w:r>
    </w:p>
    <w:p w14:paraId="4F3633CA">
      <w:pPr>
        <w:jc w:val="center"/>
        <w:rPr>
          <w:rFonts w:ascii="宋体" w:hAnsi="宋体"/>
          <w:b/>
          <w:color w:val="auto"/>
          <w:sz w:val="28"/>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rtlGutter w:val="1"/>
          <w:docGrid w:type="lines" w:linePitch="312" w:charSpace="0"/>
        </w:sectPr>
      </w:pPr>
    </w:p>
    <w:p w14:paraId="6593C772">
      <w:pPr>
        <w:pStyle w:val="78"/>
        <w:keepNext w:val="0"/>
        <w:keepLines w:val="0"/>
        <w:widowControl w:val="0"/>
        <w:jc w:val="center"/>
        <w:rPr>
          <w:rFonts w:ascii="宋体" w:hAnsi="宋体"/>
          <w:color w:val="auto"/>
          <w:highlight w:val="none"/>
          <w:lang w:val="zh-CN"/>
        </w:rPr>
      </w:pPr>
      <w:r>
        <w:rPr>
          <w:rFonts w:hint="eastAsia" w:ascii="宋体" w:hAnsi="宋体"/>
          <w:color w:val="auto"/>
          <w:highlight w:val="none"/>
          <w:lang w:val="zh-CN"/>
        </w:rPr>
        <w:t>目录</w:t>
      </w:r>
    </w:p>
    <w:p w14:paraId="1638E336">
      <w:pPr>
        <w:jc w:val="center"/>
        <w:rPr>
          <w:color w:val="auto"/>
          <w:highlight w:val="none"/>
          <w:lang w:val="zh-CN"/>
        </w:rPr>
      </w:pPr>
    </w:p>
    <w:p w14:paraId="0BF8097E">
      <w:pPr>
        <w:pStyle w:val="25"/>
        <w:tabs>
          <w:tab w:val="right" w:leader="dot" w:pos="8630"/>
        </w:tabs>
        <w:spacing w:line="480" w:lineRule="auto"/>
        <w:rPr>
          <w:rFonts w:ascii="宋体" w:hAnsi="宋体" w:cs="Times New Roman"/>
          <w:color w:val="auto"/>
          <w:sz w:val="24"/>
          <w:szCs w:val="24"/>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"_Toc63769812" </w:instrText>
      </w:r>
      <w:r>
        <w:rPr>
          <w:color w:val="auto"/>
          <w:highlight w:val="none"/>
        </w:rPr>
        <w:fldChar w:fldCharType="separate"/>
      </w:r>
      <w:r>
        <w:rPr>
          <w:rStyle w:val="42"/>
          <w:rFonts w:hint="eastAsia"/>
          <w:b/>
          <w:color w:val="auto"/>
          <w:szCs w:val="24"/>
          <w:highlight w:val="none"/>
        </w:rPr>
        <w:t>第一卷</w:t>
      </w:r>
      <w:r>
        <w:rPr>
          <w:rFonts w:ascii="宋体" w:hAnsi="宋体"/>
          <w:b/>
          <w:color w:val="auto"/>
          <w:sz w:val="24"/>
          <w:szCs w:val="24"/>
          <w:highlight w:val="none"/>
        </w:rPr>
        <w:tab/>
      </w: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PAGEREF _Toc63769812 \h </w:instrText>
      </w:r>
      <w:r>
        <w:rPr>
          <w:rFonts w:ascii="宋体" w:hAnsi="宋体"/>
          <w:b/>
          <w:color w:val="auto"/>
          <w:sz w:val="24"/>
          <w:szCs w:val="24"/>
          <w:highlight w:val="none"/>
        </w:rPr>
        <w:fldChar w:fldCharType="separate"/>
      </w:r>
      <w:r>
        <w:rPr>
          <w:rFonts w:ascii="宋体" w:hAnsi="宋体"/>
          <w:b/>
          <w:color w:val="auto"/>
          <w:sz w:val="24"/>
          <w:szCs w:val="24"/>
          <w:highlight w:val="none"/>
        </w:rPr>
        <w:t>2</w:t>
      </w:r>
      <w:r>
        <w:rPr>
          <w:rFonts w:ascii="宋体" w:hAnsi="宋体"/>
          <w:b/>
          <w:color w:val="auto"/>
          <w:sz w:val="24"/>
          <w:szCs w:val="24"/>
          <w:highlight w:val="none"/>
        </w:rPr>
        <w:fldChar w:fldCharType="end"/>
      </w:r>
      <w:r>
        <w:rPr>
          <w:rFonts w:ascii="宋体" w:hAnsi="宋体"/>
          <w:b/>
          <w:color w:val="auto"/>
          <w:sz w:val="24"/>
          <w:szCs w:val="24"/>
          <w:highlight w:val="none"/>
        </w:rPr>
        <w:fldChar w:fldCharType="end"/>
      </w:r>
    </w:p>
    <w:p w14:paraId="164881A6">
      <w:pPr>
        <w:pStyle w:val="25"/>
        <w:tabs>
          <w:tab w:val="right" w:leader="dot" w:pos="8630"/>
        </w:tabs>
        <w:spacing w:line="480" w:lineRule="auto"/>
        <w:rPr>
          <w:rFonts w:ascii="宋体" w:hAnsi="宋体" w:cs="Times New Roman"/>
          <w:color w:val="auto"/>
          <w:sz w:val="24"/>
          <w:szCs w:val="24"/>
          <w:highlight w:val="none"/>
        </w:rPr>
      </w:pPr>
      <w:r>
        <w:rPr>
          <w:color w:val="auto"/>
          <w:highlight w:val="none"/>
        </w:rPr>
        <w:fldChar w:fldCharType="begin"/>
      </w:r>
      <w:r>
        <w:rPr>
          <w:color w:val="auto"/>
          <w:highlight w:val="none"/>
        </w:rPr>
        <w:instrText xml:space="preserve"> HYPERLINK \l "_Toc63769813" </w:instrText>
      </w:r>
      <w:r>
        <w:rPr>
          <w:color w:val="auto"/>
          <w:highlight w:val="none"/>
        </w:rPr>
        <w:fldChar w:fldCharType="separate"/>
      </w:r>
      <w:r>
        <w:rPr>
          <w:rStyle w:val="42"/>
          <w:rFonts w:hint="eastAsia"/>
          <w:color w:val="auto"/>
          <w:szCs w:val="24"/>
          <w:highlight w:val="none"/>
        </w:rPr>
        <w:t>第一章招标公告</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_Toc63769813 \h </w:instrText>
      </w:r>
      <w:r>
        <w:rPr>
          <w:rFonts w:ascii="宋体" w:hAnsi="宋体"/>
          <w:color w:val="auto"/>
          <w:sz w:val="24"/>
          <w:szCs w:val="24"/>
          <w:highlight w:val="none"/>
        </w:rPr>
        <w:fldChar w:fldCharType="separate"/>
      </w:r>
      <w:r>
        <w:rPr>
          <w:rFonts w:ascii="宋体" w:hAnsi="宋体"/>
          <w:color w:val="auto"/>
          <w:sz w:val="24"/>
          <w:szCs w:val="24"/>
          <w:highlight w:val="none"/>
        </w:rPr>
        <w:t>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EEBF5D8">
      <w:pPr>
        <w:pStyle w:val="25"/>
        <w:tabs>
          <w:tab w:val="right" w:leader="dot" w:pos="8630"/>
        </w:tabs>
        <w:spacing w:line="480" w:lineRule="auto"/>
        <w:rPr>
          <w:rFonts w:ascii="宋体" w:hAnsi="宋体" w:cs="Times New Roman"/>
          <w:color w:val="auto"/>
          <w:sz w:val="24"/>
          <w:szCs w:val="24"/>
          <w:highlight w:val="none"/>
        </w:rPr>
      </w:pPr>
      <w:r>
        <w:rPr>
          <w:color w:val="auto"/>
          <w:highlight w:val="none"/>
        </w:rPr>
        <w:fldChar w:fldCharType="begin"/>
      </w:r>
      <w:r>
        <w:rPr>
          <w:color w:val="auto"/>
          <w:highlight w:val="none"/>
        </w:rPr>
        <w:instrText xml:space="preserve"> HYPERLINK \l "_Toc63769814" </w:instrText>
      </w:r>
      <w:r>
        <w:rPr>
          <w:color w:val="auto"/>
          <w:highlight w:val="none"/>
        </w:rPr>
        <w:fldChar w:fldCharType="separate"/>
      </w:r>
      <w:r>
        <w:rPr>
          <w:rStyle w:val="42"/>
          <w:rFonts w:hint="eastAsia"/>
          <w:color w:val="auto"/>
          <w:szCs w:val="24"/>
          <w:highlight w:val="none"/>
        </w:rPr>
        <w:t>第二章投标人须知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_Toc63769814 \h </w:instrText>
      </w:r>
      <w:r>
        <w:rPr>
          <w:rFonts w:ascii="宋体" w:hAnsi="宋体"/>
          <w:color w:val="auto"/>
          <w:sz w:val="24"/>
          <w:szCs w:val="24"/>
          <w:highlight w:val="none"/>
        </w:rPr>
        <w:fldChar w:fldCharType="separate"/>
      </w:r>
      <w:r>
        <w:rPr>
          <w:rFonts w:ascii="宋体" w:hAnsi="宋体"/>
          <w:color w:val="auto"/>
          <w:sz w:val="24"/>
          <w:szCs w:val="24"/>
          <w:highlight w:val="none"/>
        </w:rPr>
        <w:t>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1C326F3">
      <w:pPr>
        <w:pStyle w:val="25"/>
        <w:tabs>
          <w:tab w:val="right" w:leader="dot" w:pos="8630"/>
        </w:tabs>
        <w:spacing w:line="480" w:lineRule="auto"/>
        <w:rPr>
          <w:rFonts w:hint="eastAsia" w:ascii="宋体" w:hAnsi="宋体"/>
          <w:color w:val="auto"/>
          <w:sz w:val="24"/>
          <w:szCs w:val="24"/>
          <w:highlight w:val="none"/>
          <w:lang w:val="en-US" w:eastAsia="zh-CN"/>
        </w:rPr>
      </w:pPr>
      <w:r>
        <w:rPr>
          <w:color w:val="auto"/>
          <w:highlight w:val="none"/>
        </w:rPr>
        <w:fldChar w:fldCharType="begin"/>
      </w:r>
      <w:r>
        <w:rPr>
          <w:color w:val="auto"/>
          <w:highlight w:val="none"/>
        </w:rPr>
        <w:instrText xml:space="preserve"> HYPERLINK \l "_Toc63769815" </w:instrText>
      </w:r>
      <w:r>
        <w:rPr>
          <w:color w:val="auto"/>
          <w:highlight w:val="none"/>
        </w:rPr>
        <w:fldChar w:fldCharType="separate"/>
      </w:r>
      <w:r>
        <w:rPr>
          <w:rStyle w:val="42"/>
          <w:rFonts w:hint="eastAsia"/>
          <w:color w:val="auto"/>
          <w:szCs w:val="24"/>
          <w:highlight w:val="none"/>
        </w:rPr>
        <w:t>第三章评标办法（综合评估法）</w:t>
      </w:r>
      <w:r>
        <w:rPr>
          <w:rFonts w:ascii="宋体" w:hAnsi="宋体"/>
          <w:color w:val="auto"/>
          <w:sz w:val="24"/>
          <w:szCs w:val="24"/>
          <w:highlight w:val="none"/>
        </w:rPr>
        <w:tab/>
      </w:r>
      <w:r>
        <w:rPr>
          <w:rFonts w:ascii="宋体" w:hAnsi="宋体"/>
          <w:color w:val="auto"/>
          <w:sz w:val="24"/>
          <w:szCs w:val="24"/>
          <w:highlight w:val="none"/>
        </w:rPr>
        <w:fldChar w:fldCharType="end"/>
      </w:r>
      <w:r>
        <w:rPr>
          <w:rFonts w:hint="eastAsia" w:ascii="宋体" w:hAnsi="宋体"/>
          <w:color w:val="auto"/>
          <w:sz w:val="24"/>
          <w:szCs w:val="24"/>
          <w:highlight w:val="none"/>
          <w:lang w:val="en-US" w:eastAsia="zh-CN"/>
        </w:rPr>
        <w:t>26</w:t>
      </w:r>
    </w:p>
    <w:p w14:paraId="5C2441A8">
      <w:pPr>
        <w:pStyle w:val="25"/>
        <w:tabs>
          <w:tab w:val="right" w:leader="dot" w:pos="8630"/>
        </w:tabs>
        <w:spacing w:line="480" w:lineRule="auto"/>
        <w:rPr>
          <w:rFonts w:hint="default" w:ascii="宋体" w:hAnsi="宋体" w:eastAsia="宋体" w:cs="Times New Roman"/>
          <w:color w:val="auto"/>
          <w:sz w:val="24"/>
          <w:szCs w:val="24"/>
          <w:highlight w:val="none"/>
          <w:lang w:val="en-US" w:eastAsia="zh-CN"/>
        </w:rPr>
      </w:pPr>
      <w:r>
        <w:rPr>
          <w:color w:val="auto"/>
          <w:highlight w:val="none"/>
        </w:rPr>
        <w:fldChar w:fldCharType="begin"/>
      </w:r>
      <w:r>
        <w:rPr>
          <w:color w:val="auto"/>
          <w:highlight w:val="none"/>
        </w:rPr>
        <w:instrText xml:space="preserve"> HYPERLINK \l "_Toc63769816" </w:instrText>
      </w:r>
      <w:r>
        <w:rPr>
          <w:color w:val="auto"/>
          <w:highlight w:val="none"/>
        </w:rPr>
        <w:fldChar w:fldCharType="separate"/>
      </w:r>
      <w:r>
        <w:rPr>
          <w:rStyle w:val="42"/>
          <w:rFonts w:hint="eastAsia"/>
          <w:color w:val="auto"/>
          <w:szCs w:val="24"/>
          <w:highlight w:val="none"/>
        </w:rPr>
        <w:t>第四章合同条款及格式</w:t>
      </w:r>
      <w:r>
        <w:rPr>
          <w:rFonts w:ascii="宋体" w:hAnsi="宋体"/>
          <w:color w:val="auto"/>
          <w:sz w:val="24"/>
          <w:szCs w:val="24"/>
          <w:highlight w:val="none"/>
        </w:rPr>
        <w:tab/>
      </w:r>
      <w:r>
        <w:rPr>
          <w:rFonts w:ascii="宋体" w:hAnsi="宋体"/>
          <w:color w:val="auto"/>
          <w:sz w:val="24"/>
          <w:szCs w:val="24"/>
          <w:highlight w:val="none"/>
        </w:rPr>
        <w:fldChar w:fldCharType="end"/>
      </w:r>
      <w:r>
        <w:rPr>
          <w:rFonts w:hint="eastAsia" w:ascii="宋体" w:hAnsi="宋体"/>
          <w:color w:val="auto"/>
          <w:sz w:val="24"/>
          <w:szCs w:val="24"/>
          <w:highlight w:val="none"/>
          <w:lang w:val="en-US" w:eastAsia="zh-CN"/>
        </w:rPr>
        <w:t>33</w:t>
      </w:r>
    </w:p>
    <w:p w14:paraId="4D744E17">
      <w:pPr>
        <w:pStyle w:val="25"/>
        <w:tabs>
          <w:tab w:val="right" w:leader="dot" w:pos="8630"/>
        </w:tabs>
        <w:spacing w:line="480" w:lineRule="auto"/>
        <w:rPr>
          <w:rFonts w:hint="default" w:ascii="宋体" w:hAnsi="宋体" w:eastAsia="宋体" w:cs="Times New Roman"/>
          <w:color w:val="auto"/>
          <w:sz w:val="24"/>
          <w:szCs w:val="24"/>
          <w:highlight w:val="none"/>
          <w:lang w:val="en-US" w:eastAsia="zh-CN"/>
        </w:rPr>
      </w:pPr>
      <w:r>
        <w:rPr>
          <w:color w:val="auto"/>
          <w:highlight w:val="none"/>
        </w:rPr>
        <w:fldChar w:fldCharType="begin"/>
      </w:r>
      <w:r>
        <w:rPr>
          <w:color w:val="auto"/>
          <w:highlight w:val="none"/>
        </w:rPr>
        <w:instrText xml:space="preserve"> HYPERLINK \l "_Toc63769817" </w:instrText>
      </w:r>
      <w:r>
        <w:rPr>
          <w:color w:val="auto"/>
          <w:highlight w:val="none"/>
        </w:rPr>
        <w:fldChar w:fldCharType="separate"/>
      </w:r>
      <w:r>
        <w:rPr>
          <w:rStyle w:val="42"/>
          <w:rFonts w:hint="eastAsia"/>
          <w:b/>
          <w:color w:val="auto"/>
          <w:szCs w:val="24"/>
          <w:highlight w:val="none"/>
        </w:rPr>
        <w:t>第二卷</w:t>
      </w:r>
      <w:r>
        <w:rPr>
          <w:rFonts w:ascii="宋体" w:hAnsi="宋体"/>
          <w:b/>
          <w:color w:val="auto"/>
          <w:sz w:val="24"/>
          <w:szCs w:val="24"/>
          <w:highlight w:val="none"/>
        </w:rPr>
        <w:tab/>
      </w:r>
      <w:r>
        <w:rPr>
          <w:rFonts w:ascii="宋体" w:hAnsi="宋体"/>
          <w:b/>
          <w:color w:val="auto"/>
          <w:sz w:val="24"/>
          <w:szCs w:val="24"/>
          <w:highlight w:val="none"/>
        </w:rPr>
        <w:fldChar w:fldCharType="end"/>
      </w:r>
      <w:r>
        <w:rPr>
          <w:rFonts w:hint="eastAsia" w:ascii="宋体" w:hAnsi="宋体"/>
          <w:b/>
          <w:color w:val="auto"/>
          <w:sz w:val="24"/>
          <w:szCs w:val="24"/>
          <w:highlight w:val="none"/>
          <w:lang w:val="en-US" w:eastAsia="zh-CN"/>
        </w:rPr>
        <w:t>34</w:t>
      </w:r>
    </w:p>
    <w:p w14:paraId="3DA692BF">
      <w:pPr>
        <w:pStyle w:val="25"/>
        <w:tabs>
          <w:tab w:val="right" w:leader="dot" w:pos="8630"/>
        </w:tabs>
        <w:spacing w:line="480" w:lineRule="auto"/>
        <w:rPr>
          <w:rFonts w:hint="default" w:ascii="宋体" w:hAnsi="宋体" w:eastAsia="宋体" w:cs="Times New Roman"/>
          <w:color w:val="auto"/>
          <w:sz w:val="24"/>
          <w:szCs w:val="24"/>
          <w:highlight w:val="none"/>
          <w:lang w:val="en-US" w:eastAsia="zh-CN"/>
        </w:rPr>
      </w:pPr>
      <w:r>
        <w:rPr>
          <w:color w:val="auto"/>
          <w:highlight w:val="none"/>
        </w:rPr>
        <w:fldChar w:fldCharType="begin"/>
      </w:r>
      <w:r>
        <w:rPr>
          <w:color w:val="auto"/>
          <w:highlight w:val="none"/>
        </w:rPr>
        <w:instrText xml:space="preserve"> HYPERLINK \l "_Toc63769818" </w:instrText>
      </w:r>
      <w:r>
        <w:rPr>
          <w:color w:val="auto"/>
          <w:highlight w:val="none"/>
        </w:rPr>
        <w:fldChar w:fldCharType="separate"/>
      </w:r>
      <w:r>
        <w:rPr>
          <w:rStyle w:val="42"/>
          <w:rFonts w:hint="eastAsia"/>
          <w:color w:val="auto"/>
          <w:szCs w:val="24"/>
          <w:highlight w:val="none"/>
        </w:rPr>
        <w:t>第五章委托人要求</w:t>
      </w:r>
      <w:r>
        <w:rPr>
          <w:rFonts w:ascii="宋体" w:hAnsi="宋体"/>
          <w:color w:val="auto"/>
          <w:sz w:val="24"/>
          <w:szCs w:val="24"/>
          <w:highlight w:val="none"/>
        </w:rPr>
        <w:tab/>
      </w:r>
      <w:r>
        <w:rPr>
          <w:rFonts w:ascii="宋体" w:hAnsi="宋体"/>
          <w:color w:val="auto"/>
          <w:sz w:val="24"/>
          <w:szCs w:val="24"/>
          <w:highlight w:val="none"/>
        </w:rPr>
        <w:fldChar w:fldCharType="end"/>
      </w:r>
      <w:r>
        <w:rPr>
          <w:rFonts w:hint="eastAsia" w:ascii="宋体" w:hAnsi="宋体"/>
          <w:color w:val="auto"/>
          <w:sz w:val="24"/>
          <w:szCs w:val="24"/>
          <w:highlight w:val="none"/>
          <w:lang w:val="en-US" w:eastAsia="zh-CN"/>
        </w:rPr>
        <w:t>34</w:t>
      </w:r>
    </w:p>
    <w:p w14:paraId="07BE1EE4">
      <w:pPr>
        <w:pStyle w:val="25"/>
        <w:tabs>
          <w:tab w:val="right" w:leader="dot" w:pos="8630"/>
        </w:tabs>
        <w:spacing w:line="480" w:lineRule="auto"/>
        <w:rPr>
          <w:rFonts w:hint="default" w:ascii="宋体" w:hAnsi="宋体" w:eastAsia="宋体" w:cs="Times New Roman"/>
          <w:color w:val="auto"/>
          <w:sz w:val="24"/>
          <w:szCs w:val="24"/>
          <w:highlight w:val="none"/>
          <w:lang w:val="en-US" w:eastAsia="zh-CN"/>
        </w:rPr>
      </w:pPr>
      <w:r>
        <w:rPr>
          <w:color w:val="auto"/>
          <w:highlight w:val="none"/>
        </w:rPr>
        <w:fldChar w:fldCharType="begin"/>
      </w:r>
      <w:r>
        <w:rPr>
          <w:color w:val="auto"/>
          <w:highlight w:val="none"/>
        </w:rPr>
        <w:instrText xml:space="preserve"> HYPERLINK \l "_Toc63769819" </w:instrText>
      </w:r>
      <w:r>
        <w:rPr>
          <w:color w:val="auto"/>
          <w:highlight w:val="none"/>
        </w:rPr>
        <w:fldChar w:fldCharType="separate"/>
      </w:r>
      <w:r>
        <w:rPr>
          <w:rStyle w:val="42"/>
          <w:rFonts w:hint="eastAsia"/>
          <w:b/>
          <w:color w:val="auto"/>
          <w:szCs w:val="24"/>
          <w:highlight w:val="none"/>
        </w:rPr>
        <w:t>第三卷</w:t>
      </w:r>
      <w:r>
        <w:rPr>
          <w:rFonts w:ascii="宋体" w:hAnsi="宋体"/>
          <w:b/>
          <w:color w:val="auto"/>
          <w:sz w:val="24"/>
          <w:szCs w:val="24"/>
          <w:highlight w:val="none"/>
        </w:rPr>
        <w:tab/>
      </w:r>
      <w:r>
        <w:rPr>
          <w:rFonts w:ascii="宋体" w:hAnsi="宋体"/>
          <w:b/>
          <w:color w:val="auto"/>
          <w:sz w:val="24"/>
          <w:szCs w:val="24"/>
          <w:highlight w:val="none"/>
        </w:rPr>
        <w:fldChar w:fldCharType="end"/>
      </w:r>
      <w:r>
        <w:rPr>
          <w:rFonts w:hint="eastAsia" w:ascii="宋体" w:hAnsi="宋体"/>
          <w:b/>
          <w:color w:val="auto"/>
          <w:sz w:val="24"/>
          <w:szCs w:val="24"/>
          <w:highlight w:val="none"/>
          <w:lang w:val="en-US" w:eastAsia="zh-CN"/>
        </w:rPr>
        <w:t>40</w:t>
      </w:r>
    </w:p>
    <w:p w14:paraId="0DC763D5">
      <w:pPr>
        <w:pStyle w:val="25"/>
        <w:tabs>
          <w:tab w:val="right" w:leader="dot" w:pos="8630"/>
        </w:tabs>
        <w:spacing w:line="480" w:lineRule="auto"/>
        <w:rPr>
          <w:rFonts w:hint="default"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"_Toc63769820" </w:instrText>
      </w:r>
      <w:r>
        <w:rPr>
          <w:color w:val="auto"/>
          <w:highlight w:val="none"/>
        </w:rPr>
        <w:fldChar w:fldCharType="separate"/>
      </w:r>
      <w:r>
        <w:rPr>
          <w:rStyle w:val="42"/>
          <w:rFonts w:hint="eastAsia"/>
          <w:color w:val="auto"/>
          <w:szCs w:val="24"/>
          <w:highlight w:val="none"/>
        </w:rPr>
        <w:t>第六章投标文件格式</w:t>
      </w:r>
      <w:r>
        <w:rPr>
          <w:rFonts w:ascii="宋体" w:hAnsi="宋体"/>
          <w:color w:val="auto"/>
          <w:sz w:val="24"/>
          <w:szCs w:val="24"/>
          <w:highlight w:val="none"/>
        </w:rPr>
        <w:tab/>
      </w:r>
      <w:r>
        <w:rPr>
          <w:rFonts w:ascii="宋体" w:hAnsi="宋体"/>
          <w:color w:val="auto"/>
          <w:sz w:val="24"/>
          <w:szCs w:val="24"/>
          <w:highlight w:val="none"/>
        </w:rPr>
        <w:fldChar w:fldCharType="end"/>
      </w:r>
      <w:r>
        <w:rPr>
          <w:rFonts w:hint="eastAsia" w:ascii="宋体" w:hAnsi="宋体"/>
          <w:color w:val="auto"/>
          <w:sz w:val="24"/>
          <w:szCs w:val="24"/>
          <w:highlight w:val="none"/>
          <w:lang w:val="en-US" w:eastAsia="zh-CN"/>
        </w:rPr>
        <w:t>40</w:t>
      </w:r>
    </w:p>
    <w:p w14:paraId="7F466136">
      <w:pPr>
        <w:spacing w:line="480" w:lineRule="auto"/>
        <w:rPr>
          <w:rFonts w:ascii="宋体" w:hAnsi="宋体"/>
          <w:color w:val="auto"/>
          <w:highlight w:val="none"/>
        </w:rPr>
      </w:pPr>
      <w:r>
        <w:rPr>
          <w:color w:val="auto"/>
          <w:highlight w:val="none"/>
        </w:rPr>
        <w:fldChar w:fldCharType="end"/>
      </w:r>
    </w:p>
    <w:p w14:paraId="0C06253F">
      <w:pPr>
        <w:widowControl/>
        <w:spacing w:line="480" w:lineRule="auto"/>
        <w:jc w:val="left"/>
        <w:rPr>
          <w:rFonts w:ascii="宋体" w:hAnsi="宋体"/>
          <w:color w:val="auto"/>
          <w:highlight w:val="none"/>
        </w:rPr>
        <w:sectPr>
          <w:footerReference r:id="rId3" w:type="default"/>
          <w:pgSz w:w="12240" w:h="15840"/>
          <w:pgMar w:top="1440" w:right="1800" w:bottom="1440" w:left="1800" w:header="720" w:footer="720" w:gutter="0"/>
          <w:pgBorders>
            <w:top w:val="none" w:sz="0" w:space="0"/>
            <w:left w:val="none" w:sz="0" w:space="0"/>
            <w:bottom w:val="none" w:sz="0" w:space="0"/>
            <w:right w:val="none" w:sz="0" w:space="0"/>
          </w:pgBorders>
          <w:pgNumType w:start="1"/>
          <w:cols w:space="720" w:num="1"/>
          <w:rtlGutter w:val="1"/>
        </w:sectPr>
      </w:pPr>
      <w:bookmarkStart w:id="492" w:name="_GoBack"/>
      <w:bookmarkEnd w:id="492"/>
    </w:p>
    <w:bookmarkEnd w:id="0"/>
    <w:bookmarkEnd w:id="1"/>
    <w:bookmarkEnd w:id="2"/>
    <w:p w14:paraId="789ACA8E">
      <w:pPr>
        <w:rPr>
          <w:color w:val="auto"/>
          <w:highlight w:val="none"/>
        </w:rPr>
      </w:pPr>
      <w:bookmarkStart w:id="3" w:name="_Toc511557024"/>
    </w:p>
    <w:p w14:paraId="4E995DE1">
      <w:pPr>
        <w:jc w:val="center"/>
        <w:outlineLvl w:val="0"/>
        <w:rPr>
          <w:b/>
          <w:color w:val="auto"/>
          <w:sz w:val="44"/>
          <w:szCs w:val="44"/>
          <w:highlight w:val="none"/>
        </w:rPr>
      </w:pPr>
      <w:bookmarkStart w:id="4" w:name="_Toc63769812"/>
      <w:r>
        <w:rPr>
          <w:rFonts w:hint="eastAsia"/>
          <w:b/>
          <w:color w:val="auto"/>
          <w:sz w:val="44"/>
          <w:szCs w:val="44"/>
          <w:highlight w:val="none"/>
        </w:rPr>
        <w:t>第</w:t>
      </w:r>
      <w:bookmarkEnd w:id="3"/>
      <w:r>
        <w:rPr>
          <w:rFonts w:hint="eastAsia"/>
          <w:b/>
          <w:color w:val="auto"/>
          <w:sz w:val="44"/>
          <w:szCs w:val="44"/>
          <w:highlight w:val="none"/>
        </w:rPr>
        <w:t>一卷</w:t>
      </w:r>
      <w:bookmarkEnd w:id="4"/>
    </w:p>
    <w:p w14:paraId="010323B9">
      <w:pPr>
        <w:pStyle w:val="3"/>
        <w:keepNext w:val="0"/>
        <w:keepLines w:val="0"/>
        <w:spacing w:before="120" w:line="240" w:lineRule="auto"/>
        <w:jc w:val="center"/>
        <w:rPr>
          <w:rFonts w:ascii="宋体" w:hAnsi="宋体"/>
          <w:color w:val="auto"/>
          <w:highlight w:val="none"/>
        </w:rPr>
      </w:pPr>
      <w:bookmarkStart w:id="5" w:name="_Toc63769813"/>
      <w:r>
        <w:rPr>
          <w:rFonts w:hint="eastAsia" w:ascii="宋体" w:hAnsi="宋体"/>
          <w:color w:val="auto"/>
          <w:highlight w:val="none"/>
        </w:rPr>
        <w:t>第一章 招标公告</w:t>
      </w:r>
      <w:bookmarkEnd w:id="5"/>
    </w:p>
    <w:p w14:paraId="160194B1">
      <w:pPr>
        <w:jc w:val="center"/>
        <w:rPr>
          <w:rFonts w:ascii="宋体" w:hAnsi="宋体"/>
          <w:b/>
          <w:color w:val="auto"/>
          <w:sz w:val="32"/>
          <w:szCs w:val="32"/>
          <w:highlight w:val="none"/>
        </w:rPr>
      </w:pPr>
      <w:r>
        <w:rPr>
          <w:rFonts w:hint="eastAsia" w:ascii="宋体" w:hAnsi="宋体"/>
          <w:b/>
          <w:color w:val="auto"/>
          <w:sz w:val="32"/>
          <w:szCs w:val="32"/>
          <w:highlight w:val="none"/>
        </w:rPr>
        <w:t>(另册)</w:t>
      </w:r>
    </w:p>
    <w:p w14:paraId="1708BD8F">
      <w:pPr>
        <w:pStyle w:val="3"/>
        <w:keepNext w:val="0"/>
        <w:keepLines w:val="0"/>
        <w:spacing w:after="0" w:line="240" w:lineRule="auto"/>
        <w:jc w:val="center"/>
        <w:rPr>
          <w:rFonts w:ascii="宋体" w:hAnsi="宋体"/>
          <w:color w:val="auto"/>
          <w:highlight w:val="none"/>
        </w:rPr>
      </w:pPr>
      <w:r>
        <w:rPr>
          <w:rFonts w:hint="eastAsia" w:ascii="宋体" w:hAnsi="宋体"/>
          <w:b w:val="0"/>
          <w:color w:val="auto"/>
          <w:highlight w:val="none"/>
        </w:rPr>
        <w:br w:type="page"/>
      </w:r>
      <w:bookmarkStart w:id="6" w:name="_Toc63769814"/>
      <w:r>
        <w:rPr>
          <w:rFonts w:hint="eastAsia" w:ascii="宋体" w:hAnsi="宋体"/>
          <w:color w:val="auto"/>
          <w:highlight w:val="none"/>
        </w:rPr>
        <w:t>第二章 投标人须知</w:t>
      </w:r>
      <w:bookmarkEnd w:id="6"/>
    </w:p>
    <w:p w14:paraId="7C2246B2">
      <w:pPr>
        <w:pStyle w:val="4"/>
        <w:spacing w:before="240"/>
        <w:jc w:val="center"/>
        <w:rPr>
          <w:rFonts w:ascii="宋体" w:hAnsi="宋体" w:eastAsia="宋体"/>
          <w:color w:val="auto"/>
          <w:sz w:val="32"/>
          <w:highlight w:val="none"/>
        </w:rPr>
      </w:pPr>
      <w:bookmarkStart w:id="7" w:name="_Toc535938711"/>
      <w:bookmarkStart w:id="8" w:name="_Toc529196512"/>
      <w:bookmarkStart w:id="9" w:name="_Toc530470621"/>
      <w:r>
        <w:rPr>
          <w:rFonts w:hint="eastAsia" w:ascii="宋体" w:hAnsi="宋体" w:eastAsia="宋体"/>
          <w:color w:val="auto"/>
          <w:sz w:val="32"/>
          <w:highlight w:val="none"/>
        </w:rPr>
        <w:t>投标人须知前附表</w:t>
      </w:r>
    </w:p>
    <w:tbl>
      <w:tblPr>
        <w:tblStyle w:val="36"/>
        <w:tblW w:w="10065"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411"/>
        <w:gridCol w:w="6696"/>
      </w:tblGrid>
      <w:tr w14:paraId="6884FD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blHeader/>
        </w:trPr>
        <w:tc>
          <w:tcPr>
            <w:tcW w:w="958" w:type="dxa"/>
            <w:tcBorders>
              <w:top w:val="single" w:color="auto" w:sz="4" w:space="0"/>
              <w:left w:val="single" w:color="auto" w:sz="4" w:space="0"/>
              <w:bottom w:val="single" w:color="auto" w:sz="6" w:space="0"/>
              <w:right w:val="single" w:color="auto" w:sz="6" w:space="0"/>
            </w:tcBorders>
            <w:noWrap/>
            <w:vAlign w:val="center"/>
          </w:tcPr>
          <w:p w14:paraId="20E29C52">
            <w:pPr>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2411" w:type="dxa"/>
            <w:tcBorders>
              <w:top w:val="single" w:color="auto" w:sz="4" w:space="0"/>
              <w:left w:val="single" w:color="auto" w:sz="6" w:space="0"/>
              <w:bottom w:val="single" w:color="auto" w:sz="6" w:space="0"/>
              <w:right w:val="single" w:color="auto" w:sz="6" w:space="0"/>
            </w:tcBorders>
            <w:noWrap/>
            <w:vAlign w:val="center"/>
          </w:tcPr>
          <w:p w14:paraId="3F1A83D5">
            <w:pPr>
              <w:snapToGrid w:val="0"/>
              <w:jc w:val="center"/>
              <w:rPr>
                <w:rFonts w:ascii="宋体" w:hAnsi="宋体"/>
                <w:b/>
                <w:color w:val="auto"/>
                <w:szCs w:val="21"/>
                <w:highlight w:val="none"/>
              </w:rPr>
            </w:pPr>
            <w:r>
              <w:rPr>
                <w:rFonts w:hint="eastAsia" w:ascii="宋体" w:hAnsi="宋体"/>
                <w:b/>
                <w:color w:val="auto"/>
                <w:szCs w:val="21"/>
                <w:highlight w:val="none"/>
              </w:rPr>
              <w:t>条款名称</w:t>
            </w:r>
          </w:p>
        </w:tc>
        <w:tc>
          <w:tcPr>
            <w:tcW w:w="6696" w:type="dxa"/>
            <w:tcBorders>
              <w:top w:val="single" w:color="auto" w:sz="4" w:space="0"/>
              <w:left w:val="single" w:color="auto" w:sz="6" w:space="0"/>
              <w:bottom w:val="single" w:color="auto" w:sz="6" w:space="0"/>
              <w:right w:val="single" w:color="auto" w:sz="4" w:space="0"/>
            </w:tcBorders>
            <w:noWrap/>
            <w:vAlign w:val="center"/>
          </w:tcPr>
          <w:p w14:paraId="6F72ED5A">
            <w:pPr>
              <w:snapToGrid w:val="0"/>
              <w:jc w:val="center"/>
              <w:rPr>
                <w:rFonts w:ascii="宋体" w:hAnsi="宋体"/>
                <w:b/>
                <w:color w:val="auto"/>
                <w:szCs w:val="21"/>
                <w:highlight w:val="none"/>
              </w:rPr>
            </w:pPr>
            <w:r>
              <w:rPr>
                <w:rFonts w:hint="eastAsia" w:ascii="宋体" w:hAnsi="宋体"/>
                <w:b/>
                <w:color w:val="auto"/>
                <w:szCs w:val="21"/>
                <w:highlight w:val="none"/>
              </w:rPr>
              <w:t>编列内容</w:t>
            </w:r>
          </w:p>
        </w:tc>
      </w:tr>
      <w:tr w14:paraId="7F0D29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3EA703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1.1.2</w:t>
            </w:r>
          </w:p>
        </w:tc>
        <w:tc>
          <w:tcPr>
            <w:tcW w:w="2411" w:type="dxa"/>
            <w:tcBorders>
              <w:top w:val="single" w:color="auto" w:sz="6" w:space="0"/>
              <w:left w:val="single" w:color="auto" w:sz="6" w:space="0"/>
              <w:bottom w:val="single" w:color="auto" w:sz="6" w:space="0"/>
              <w:right w:val="single" w:color="auto" w:sz="6" w:space="0"/>
            </w:tcBorders>
            <w:noWrap/>
            <w:vAlign w:val="center"/>
          </w:tcPr>
          <w:p w14:paraId="783E9CC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招标人</w:t>
            </w:r>
          </w:p>
        </w:tc>
        <w:tc>
          <w:tcPr>
            <w:tcW w:w="6696" w:type="dxa"/>
            <w:tcBorders>
              <w:top w:val="single" w:color="auto" w:sz="6" w:space="0"/>
              <w:left w:val="single" w:color="auto" w:sz="6" w:space="0"/>
              <w:bottom w:val="single" w:color="auto" w:sz="6" w:space="0"/>
              <w:right w:val="single" w:color="auto" w:sz="4" w:space="0"/>
            </w:tcBorders>
            <w:noWrap/>
            <w:vAlign w:val="center"/>
          </w:tcPr>
          <w:p w14:paraId="6040761E">
            <w:pPr>
              <w:spacing w:line="400" w:lineRule="exact"/>
              <w:ind w:left="630" w:hanging="630" w:hangingChars="300"/>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u w:val="single"/>
                <w:lang w:eastAsia="zh-CN"/>
              </w:rPr>
              <w:t>广州市荔湾区建设工程项目代建中心</w:t>
            </w:r>
          </w:p>
          <w:p w14:paraId="0B0E851E">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u w:val="single"/>
                <w:lang w:eastAsia="zh-CN"/>
              </w:rPr>
              <w:t>广州市荔湾区信义路21号</w:t>
            </w:r>
          </w:p>
          <w:p w14:paraId="1B82D669">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u w:val="single"/>
                <w:lang w:eastAsia="zh-CN"/>
              </w:rPr>
              <w:t>张工</w:t>
            </w:r>
          </w:p>
          <w:p w14:paraId="5F4B1643">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电话：</w:t>
            </w:r>
            <w:r>
              <w:rPr>
                <w:rFonts w:hint="eastAsia" w:ascii="宋体" w:hAnsi="宋体"/>
                <w:color w:val="auto"/>
                <w:szCs w:val="21"/>
                <w:highlight w:val="none"/>
                <w:u w:val="single"/>
                <w:lang w:eastAsia="zh-CN"/>
              </w:rPr>
              <w:t>020-81805018</w:t>
            </w:r>
          </w:p>
        </w:tc>
      </w:tr>
      <w:tr w14:paraId="55BB4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51730E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1.1.3</w:t>
            </w:r>
          </w:p>
        </w:tc>
        <w:tc>
          <w:tcPr>
            <w:tcW w:w="2411" w:type="dxa"/>
            <w:tcBorders>
              <w:top w:val="single" w:color="auto" w:sz="6" w:space="0"/>
              <w:left w:val="single" w:color="auto" w:sz="6" w:space="0"/>
              <w:bottom w:val="single" w:color="auto" w:sz="6" w:space="0"/>
              <w:right w:val="single" w:color="auto" w:sz="6" w:space="0"/>
            </w:tcBorders>
            <w:noWrap/>
            <w:vAlign w:val="center"/>
          </w:tcPr>
          <w:p w14:paraId="25088CB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招标代理机构</w:t>
            </w:r>
          </w:p>
        </w:tc>
        <w:tc>
          <w:tcPr>
            <w:tcW w:w="6696" w:type="dxa"/>
            <w:tcBorders>
              <w:top w:val="single" w:color="auto" w:sz="6" w:space="0"/>
              <w:left w:val="single" w:color="auto" w:sz="6" w:space="0"/>
              <w:bottom w:val="single" w:color="auto" w:sz="6" w:space="0"/>
              <w:right w:val="single" w:color="auto" w:sz="4" w:space="0"/>
            </w:tcBorders>
            <w:noWrap/>
            <w:vAlign w:val="center"/>
          </w:tcPr>
          <w:p w14:paraId="0F9ED39F">
            <w:pPr>
              <w:spacing w:line="400" w:lineRule="exact"/>
              <w:rPr>
                <w:rFonts w:hint="default" w:ascii="宋体" w:hAnsi="宋体"/>
                <w:color w:val="auto"/>
                <w:szCs w:val="21"/>
                <w:highlight w:val="none"/>
                <w:u w:val="single"/>
              </w:rPr>
            </w:pPr>
            <w:r>
              <w:rPr>
                <w:rFonts w:hint="eastAsia" w:ascii="宋体" w:hAnsi="宋体"/>
                <w:color w:val="auto"/>
                <w:szCs w:val="21"/>
                <w:highlight w:val="none"/>
              </w:rPr>
              <w:t>名称：</w:t>
            </w:r>
            <w:r>
              <w:rPr>
                <w:rFonts w:hint="eastAsia" w:ascii="宋体" w:hAnsi="宋体" w:eastAsia="宋体" w:cs="宋体"/>
                <w:b w:val="0"/>
                <w:bCs/>
                <w:color w:val="auto"/>
                <w:kern w:val="2"/>
                <w:sz w:val="21"/>
                <w:szCs w:val="21"/>
                <w:highlight w:val="none"/>
                <w:u w:val="single"/>
                <w:lang w:val="en-US"/>
              </w:rPr>
              <w:t>广东工程建设监理有限公司</w:t>
            </w:r>
          </w:p>
          <w:p w14:paraId="21833350">
            <w:pPr>
              <w:adjustRightInd w:val="0"/>
              <w:snapToGrid w:val="0"/>
              <w:spacing w:afterLines="0" w:line="400" w:lineRule="exact"/>
              <w:ind w:left="42" w:leftChars="20" w:right="42" w:rightChars="2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bCs/>
                <w:color w:val="auto"/>
                <w:kern w:val="2"/>
                <w:sz w:val="21"/>
                <w:szCs w:val="21"/>
                <w:highlight w:val="none"/>
                <w:u w:val="single"/>
                <w:lang w:val="en-US"/>
              </w:rPr>
              <w:t>广州市越秀区白云路111-113号白云大厦16楼</w:t>
            </w:r>
            <w:r>
              <w:rPr>
                <w:rFonts w:hint="eastAsia" w:ascii="宋体" w:hAnsi="宋体"/>
                <w:color w:val="auto"/>
                <w:szCs w:val="21"/>
                <w:highlight w:val="none"/>
                <w:u w:val="single"/>
                <w:lang w:val="en-US" w:eastAsia="zh-CN"/>
              </w:rPr>
              <w:t xml:space="preserve"> </w:t>
            </w:r>
          </w:p>
          <w:p w14:paraId="5D391786">
            <w:pPr>
              <w:adjustRightInd w:val="0"/>
              <w:snapToGrid w:val="0"/>
              <w:spacing w:afterLines="0" w:line="400" w:lineRule="exact"/>
              <w:ind w:left="42" w:leftChars="20" w:right="42" w:rightChars="20"/>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联系人：</w:t>
            </w:r>
            <w:r>
              <w:rPr>
                <w:rFonts w:hint="eastAsia"/>
                <w:bCs/>
                <w:color w:val="auto"/>
                <w:kern w:val="2"/>
                <w:sz w:val="21"/>
                <w:szCs w:val="21"/>
                <w:highlight w:val="none"/>
                <w:u w:val="single"/>
                <w:lang w:val="en-US" w:eastAsia="zh-CN"/>
              </w:rPr>
              <w:t>方工</w:t>
            </w:r>
          </w:p>
          <w:p w14:paraId="653F537E">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电话：</w:t>
            </w:r>
            <w:r>
              <w:rPr>
                <w:rFonts w:hint="eastAsia" w:ascii="宋体" w:hAnsi="宋体"/>
                <w:bCs/>
                <w:color w:val="auto"/>
                <w:kern w:val="2"/>
                <w:sz w:val="21"/>
                <w:szCs w:val="21"/>
                <w:highlight w:val="none"/>
                <w:u w:val="single"/>
                <w:lang w:val="en-US"/>
              </w:rPr>
              <w:t xml:space="preserve">13719233735 </w:t>
            </w:r>
          </w:p>
        </w:tc>
      </w:tr>
      <w:tr w14:paraId="6AB6A9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34D7DD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1.1.4</w:t>
            </w:r>
          </w:p>
        </w:tc>
        <w:tc>
          <w:tcPr>
            <w:tcW w:w="2411" w:type="dxa"/>
            <w:tcBorders>
              <w:top w:val="single" w:color="auto" w:sz="6" w:space="0"/>
              <w:left w:val="single" w:color="auto" w:sz="6" w:space="0"/>
              <w:bottom w:val="single" w:color="auto" w:sz="6" w:space="0"/>
              <w:right w:val="single" w:color="auto" w:sz="6" w:space="0"/>
            </w:tcBorders>
            <w:noWrap/>
            <w:vAlign w:val="center"/>
          </w:tcPr>
          <w:p w14:paraId="2E96CBC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招标项目名称</w:t>
            </w:r>
          </w:p>
        </w:tc>
        <w:tc>
          <w:tcPr>
            <w:tcW w:w="6696" w:type="dxa"/>
            <w:tcBorders>
              <w:top w:val="single" w:color="auto" w:sz="6" w:space="0"/>
              <w:left w:val="single" w:color="auto" w:sz="6" w:space="0"/>
              <w:bottom w:val="single" w:color="auto" w:sz="6" w:space="0"/>
              <w:right w:val="single" w:color="auto" w:sz="4" w:space="0"/>
            </w:tcBorders>
            <w:noWrap/>
            <w:vAlign w:val="center"/>
          </w:tcPr>
          <w:p w14:paraId="3C9B8A60">
            <w:pPr>
              <w:tabs>
                <w:tab w:val="left" w:pos="7513"/>
              </w:tabs>
              <w:snapToGrid/>
              <w:spacing w:line="360" w:lineRule="auto"/>
              <w:ind w:firstLine="0" w:firstLineChars="0"/>
              <w:rPr>
                <w:rFonts w:ascii="宋体" w:hAnsi="宋体"/>
                <w:color w:val="auto"/>
                <w:szCs w:val="21"/>
                <w:highlight w:val="none"/>
                <w:u w:val="single"/>
              </w:rPr>
            </w:pPr>
            <w:r>
              <w:rPr>
                <w:rFonts w:hint="eastAsia" w:ascii="宋体" w:hAnsi="宋体" w:cs="Times New Roman"/>
                <w:color w:val="auto"/>
                <w:sz w:val="21"/>
                <w:szCs w:val="21"/>
                <w:highlight w:val="none"/>
                <w:u w:val="single"/>
                <w:shd w:val="clear" w:color="auto" w:fill="auto"/>
                <w:lang w:val="en-US" w:eastAsia="zh-CN"/>
              </w:rPr>
              <w:t>鹤洞小学</w:t>
            </w:r>
            <w:r>
              <w:rPr>
                <w:rFonts w:hint="eastAsia" w:ascii="宋体" w:hAnsi="宋体" w:cs="Times New Roman"/>
                <w:color w:val="auto"/>
                <w:sz w:val="21"/>
                <w:szCs w:val="21"/>
                <w:highlight w:val="none"/>
                <w:u w:val="single"/>
                <w:shd w:val="clear" w:color="auto" w:fill="auto"/>
                <w:lang w:eastAsia="zh-CN"/>
              </w:rPr>
              <w:t>建设工程</w:t>
            </w:r>
            <w:r>
              <w:rPr>
                <w:rFonts w:hint="eastAsia" w:ascii="宋体" w:hAnsi="宋体" w:cs="Times New Roman"/>
                <w:color w:val="auto"/>
                <w:sz w:val="21"/>
                <w:szCs w:val="21"/>
                <w:highlight w:val="none"/>
                <w:u w:val="single"/>
                <w:lang w:val="en-US" w:eastAsia="zh-CN"/>
              </w:rPr>
              <w:t>施工</w:t>
            </w:r>
            <w:r>
              <w:rPr>
                <w:rFonts w:hint="eastAsia" w:ascii="宋体" w:hAnsi="宋体" w:cs="Times New Roman"/>
                <w:color w:val="auto"/>
                <w:sz w:val="21"/>
                <w:szCs w:val="21"/>
                <w:highlight w:val="none"/>
                <w:u w:val="single"/>
              </w:rPr>
              <w:t>监理</w:t>
            </w:r>
          </w:p>
        </w:tc>
      </w:tr>
      <w:tr w14:paraId="18BA4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29F09E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1.1.5</w:t>
            </w:r>
          </w:p>
        </w:tc>
        <w:tc>
          <w:tcPr>
            <w:tcW w:w="2411" w:type="dxa"/>
            <w:tcBorders>
              <w:top w:val="single" w:color="auto" w:sz="6" w:space="0"/>
              <w:left w:val="single" w:color="auto" w:sz="6" w:space="0"/>
              <w:bottom w:val="single" w:color="auto" w:sz="6" w:space="0"/>
              <w:right w:val="single" w:color="auto" w:sz="6" w:space="0"/>
            </w:tcBorders>
            <w:noWrap/>
            <w:vAlign w:val="center"/>
          </w:tcPr>
          <w:p w14:paraId="63C0830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项目建设地点</w:t>
            </w:r>
          </w:p>
        </w:tc>
        <w:tc>
          <w:tcPr>
            <w:tcW w:w="6696" w:type="dxa"/>
            <w:tcBorders>
              <w:top w:val="single" w:color="auto" w:sz="6" w:space="0"/>
              <w:left w:val="single" w:color="auto" w:sz="6" w:space="0"/>
              <w:bottom w:val="single" w:color="auto" w:sz="6" w:space="0"/>
              <w:right w:val="single" w:color="auto" w:sz="4" w:space="0"/>
            </w:tcBorders>
            <w:noWrap/>
            <w:vAlign w:val="center"/>
          </w:tcPr>
          <w:p w14:paraId="75C99C38">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详见招标公告</w:t>
            </w:r>
          </w:p>
        </w:tc>
      </w:tr>
      <w:tr w14:paraId="7AD084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2A4BE5C">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1.1.6</w:t>
            </w:r>
          </w:p>
        </w:tc>
        <w:tc>
          <w:tcPr>
            <w:tcW w:w="2411" w:type="dxa"/>
            <w:tcBorders>
              <w:top w:val="single" w:color="auto" w:sz="6" w:space="0"/>
              <w:left w:val="single" w:color="auto" w:sz="6" w:space="0"/>
              <w:bottom w:val="single" w:color="auto" w:sz="6" w:space="0"/>
              <w:right w:val="single" w:color="auto" w:sz="6" w:space="0"/>
            </w:tcBorders>
            <w:noWrap/>
            <w:vAlign w:val="center"/>
          </w:tcPr>
          <w:p w14:paraId="59A7FA6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项目建设规模</w:t>
            </w:r>
          </w:p>
        </w:tc>
        <w:tc>
          <w:tcPr>
            <w:tcW w:w="6696" w:type="dxa"/>
            <w:tcBorders>
              <w:top w:val="single" w:color="auto" w:sz="6" w:space="0"/>
              <w:left w:val="single" w:color="auto" w:sz="6" w:space="0"/>
              <w:bottom w:val="single" w:color="auto" w:sz="6" w:space="0"/>
              <w:right w:val="single" w:color="auto" w:sz="4" w:space="0"/>
            </w:tcBorders>
            <w:noWrap/>
            <w:vAlign w:val="center"/>
          </w:tcPr>
          <w:p w14:paraId="4741D536">
            <w:pPr>
              <w:snapToGrid w:val="0"/>
              <w:spacing w:line="400" w:lineRule="exact"/>
              <w:ind w:right="106"/>
              <w:rPr>
                <w:rFonts w:ascii="宋体" w:hAnsi="宋体"/>
                <w:color w:val="auto"/>
                <w:szCs w:val="21"/>
                <w:highlight w:val="none"/>
                <w:u w:val="single"/>
              </w:rPr>
            </w:pPr>
            <w:r>
              <w:rPr>
                <w:rFonts w:hint="eastAsia" w:ascii="宋体" w:hAnsi="宋体"/>
                <w:color w:val="auto"/>
                <w:szCs w:val="21"/>
                <w:highlight w:val="none"/>
                <w:u w:val="single"/>
              </w:rPr>
              <w:t>详见招标公告</w:t>
            </w:r>
          </w:p>
        </w:tc>
      </w:tr>
      <w:tr w14:paraId="2255FF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0CF5B2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1.1.7</w:t>
            </w:r>
          </w:p>
        </w:tc>
        <w:tc>
          <w:tcPr>
            <w:tcW w:w="2411" w:type="dxa"/>
            <w:tcBorders>
              <w:top w:val="single" w:color="auto" w:sz="6" w:space="0"/>
              <w:left w:val="single" w:color="auto" w:sz="6" w:space="0"/>
              <w:bottom w:val="single" w:color="auto" w:sz="6" w:space="0"/>
              <w:right w:val="single" w:color="auto" w:sz="6" w:space="0"/>
            </w:tcBorders>
            <w:noWrap/>
            <w:vAlign w:val="bottom"/>
          </w:tcPr>
          <w:p w14:paraId="2472A78C">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工程项目施工预计开工日期和建设周期</w:t>
            </w:r>
          </w:p>
        </w:tc>
        <w:tc>
          <w:tcPr>
            <w:tcW w:w="6696" w:type="dxa"/>
            <w:tcBorders>
              <w:top w:val="single" w:color="auto" w:sz="6" w:space="0"/>
              <w:left w:val="single" w:color="auto" w:sz="6" w:space="0"/>
              <w:bottom w:val="single" w:color="auto" w:sz="6" w:space="0"/>
              <w:right w:val="single" w:color="auto" w:sz="4" w:space="0"/>
            </w:tcBorders>
            <w:noWrap/>
            <w:vAlign w:val="center"/>
          </w:tcPr>
          <w:p w14:paraId="2DDD0ADD">
            <w:pPr>
              <w:spacing w:line="400" w:lineRule="exact"/>
              <w:ind w:left="40" w:leftChars="19" w:right="107" w:rightChars="51"/>
              <w:rPr>
                <w:rFonts w:ascii="宋体" w:hAnsi="宋体"/>
                <w:color w:val="auto"/>
                <w:szCs w:val="21"/>
                <w:highlight w:val="none"/>
                <w:u w:val="single"/>
              </w:rPr>
            </w:pPr>
            <w:r>
              <w:rPr>
                <w:rFonts w:hint="eastAsia" w:ascii="宋体" w:hAnsi="宋体"/>
                <w:color w:val="auto"/>
                <w:szCs w:val="21"/>
                <w:highlight w:val="none"/>
                <w:u w:val="single"/>
              </w:rPr>
              <w:t>暂定总工期为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365日历天</w:t>
            </w:r>
            <w:r>
              <w:rPr>
                <w:rFonts w:hint="eastAsia" w:ascii="宋体" w:hAnsi="宋体"/>
                <w:color w:val="auto"/>
                <w:szCs w:val="21"/>
                <w:highlight w:val="none"/>
                <w:u w:val="single"/>
              </w:rPr>
              <w:t>。具体开工时间以总监理工程师签署的开工令为准。</w:t>
            </w:r>
          </w:p>
        </w:tc>
      </w:tr>
      <w:tr w14:paraId="4563E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3BEAE1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1.1.8</w:t>
            </w:r>
          </w:p>
        </w:tc>
        <w:tc>
          <w:tcPr>
            <w:tcW w:w="2411" w:type="dxa"/>
            <w:tcBorders>
              <w:top w:val="single" w:color="auto" w:sz="6" w:space="0"/>
              <w:left w:val="single" w:color="auto" w:sz="6" w:space="0"/>
              <w:bottom w:val="single" w:color="auto" w:sz="6" w:space="0"/>
              <w:right w:val="single" w:color="auto" w:sz="6" w:space="0"/>
            </w:tcBorders>
            <w:noWrap/>
            <w:vAlign w:val="center"/>
          </w:tcPr>
          <w:p w14:paraId="44286CD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建筑安装工程费/工程概算</w:t>
            </w:r>
          </w:p>
        </w:tc>
        <w:tc>
          <w:tcPr>
            <w:tcW w:w="6696" w:type="dxa"/>
            <w:tcBorders>
              <w:top w:val="single" w:color="auto" w:sz="6" w:space="0"/>
              <w:left w:val="single" w:color="auto" w:sz="6" w:space="0"/>
              <w:bottom w:val="single" w:color="auto" w:sz="6" w:space="0"/>
              <w:right w:val="single" w:color="auto" w:sz="4" w:space="0"/>
            </w:tcBorders>
            <w:noWrap/>
            <w:vAlign w:val="center"/>
          </w:tcPr>
          <w:p w14:paraId="283BE512">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single"/>
              </w:rPr>
              <w:t>详见招标公告</w:t>
            </w:r>
          </w:p>
        </w:tc>
      </w:tr>
      <w:tr w14:paraId="54B355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2FE0D2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1.2.1</w:t>
            </w:r>
          </w:p>
        </w:tc>
        <w:tc>
          <w:tcPr>
            <w:tcW w:w="2411" w:type="dxa"/>
            <w:tcBorders>
              <w:top w:val="single" w:color="auto" w:sz="6" w:space="0"/>
              <w:left w:val="single" w:color="auto" w:sz="6" w:space="0"/>
              <w:bottom w:val="single" w:color="auto" w:sz="6" w:space="0"/>
              <w:right w:val="single" w:color="auto" w:sz="6" w:space="0"/>
            </w:tcBorders>
            <w:noWrap/>
            <w:vAlign w:val="center"/>
          </w:tcPr>
          <w:p w14:paraId="4639781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资金来源及比例</w:t>
            </w:r>
          </w:p>
        </w:tc>
        <w:tc>
          <w:tcPr>
            <w:tcW w:w="6696" w:type="dxa"/>
            <w:tcBorders>
              <w:top w:val="single" w:color="auto" w:sz="6" w:space="0"/>
              <w:left w:val="single" w:color="auto" w:sz="6" w:space="0"/>
              <w:bottom w:val="single" w:color="auto" w:sz="6" w:space="0"/>
              <w:right w:val="single" w:color="auto" w:sz="4" w:space="0"/>
            </w:tcBorders>
            <w:noWrap/>
            <w:vAlign w:val="center"/>
          </w:tcPr>
          <w:p w14:paraId="20A5E84D">
            <w:pPr>
              <w:spacing w:line="400" w:lineRule="exact"/>
              <w:ind w:left="40" w:leftChars="19" w:right="107" w:rightChars="51"/>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区财政资金100%</w:t>
            </w:r>
          </w:p>
        </w:tc>
      </w:tr>
      <w:tr w14:paraId="43C10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E5B898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1.2.2</w:t>
            </w:r>
          </w:p>
        </w:tc>
        <w:tc>
          <w:tcPr>
            <w:tcW w:w="2411" w:type="dxa"/>
            <w:tcBorders>
              <w:top w:val="single" w:color="auto" w:sz="6" w:space="0"/>
              <w:left w:val="single" w:color="auto" w:sz="6" w:space="0"/>
              <w:bottom w:val="single" w:color="auto" w:sz="6" w:space="0"/>
              <w:right w:val="single" w:color="auto" w:sz="6" w:space="0"/>
            </w:tcBorders>
            <w:noWrap/>
            <w:vAlign w:val="center"/>
          </w:tcPr>
          <w:p w14:paraId="5DF5FAE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资金落实情况</w:t>
            </w:r>
          </w:p>
        </w:tc>
        <w:tc>
          <w:tcPr>
            <w:tcW w:w="6696" w:type="dxa"/>
            <w:tcBorders>
              <w:top w:val="single" w:color="auto" w:sz="6" w:space="0"/>
              <w:left w:val="single" w:color="auto" w:sz="6" w:space="0"/>
              <w:bottom w:val="single" w:color="auto" w:sz="6" w:space="0"/>
              <w:right w:val="single" w:color="auto" w:sz="4" w:space="0"/>
            </w:tcBorders>
            <w:noWrap/>
            <w:vAlign w:val="center"/>
          </w:tcPr>
          <w:p w14:paraId="3533B5E3">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single"/>
              </w:rPr>
              <w:t>已落实</w:t>
            </w:r>
          </w:p>
        </w:tc>
      </w:tr>
      <w:tr w14:paraId="34A860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BC1752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1.3.1</w:t>
            </w:r>
          </w:p>
        </w:tc>
        <w:tc>
          <w:tcPr>
            <w:tcW w:w="2411" w:type="dxa"/>
            <w:tcBorders>
              <w:top w:val="single" w:color="auto" w:sz="6" w:space="0"/>
              <w:left w:val="single" w:color="auto" w:sz="6" w:space="0"/>
              <w:bottom w:val="single" w:color="auto" w:sz="6" w:space="0"/>
              <w:right w:val="single" w:color="auto" w:sz="6" w:space="0"/>
            </w:tcBorders>
            <w:noWrap/>
            <w:vAlign w:val="center"/>
          </w:tcPr>
          <w:p w14:paraId="11A7A4F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招标范围</w:t>
            </w:r>
          </w:p>
        </w:tc>
        <w:tc>
          <w:tcPr>
            <w:tcW w:w="6696" w:type="dxa"/>
            <w:tcBorders>
              <w:top w:val="single" w:color="auto" w:sz="6" w:space="0"/>
              <w:left w:val="single" w:color="auto" w:sz="6" w:space="0"/>
              <w:bottom w:val="single" w:color="auto" w:sz="6" w:space="0"/>
              <w:right w:val="single" w:color="auto" w:sz="4" w:space="0"/>
            </w:tcBorders>
            <w:noWrap/>
            <w:vAlign w:val="center"/>
          </w:tcPr>
          <w:p w14:paraId="760172F7">
            <w:pPr>
              <w:snapToGrid w:val="0"/>
              <w:spacing w:line="400" w:lineRule="exact"/>
              <w:ind w:right="106"/>
              <w:rPr>
                <w:rFonts w:ascii="宋体" w:hAnsi="宋体"/>
                <w:color w:val="auto"/>
                <w:szCs w:val="21"/>
                <w:highlight w:val="none"/>
              </w:rPr>
            </w:pPr>
            <w:r>
              <w:rPr>
                <w:rFonts w:hint="eastAsia" w:ascii="宋体" w:hAnsi="宋体"/>
                <w:color w:val="auto"/>
                <w:szCs w:val="21"/>
                <w:highlight w:val="none"/>
                <w:u w:val="single"/>
              </w:rPr>
              <w:t>详见招标公告</w:t>
            </w:r>
          </w:p>
        </w:tc>
      </w:tr>
      <w:tr w14:paraId="617B27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8E5954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1.3.2</w:t>
            </w:r>
          </w:p>
        </w:tc>
        <w:tc>
          <w:tcPr>
            <w:tcW w:w="2411" w:type="dxa"/>
            <w:tcBorders>
              <w:top w:val="single" w:color="auto" w:sz="6" w:space="0"/>
              <w:left w:val="single" w:color="auto" w:sz="6" w:space="0"/>
              <w:bottom w:val="single" w:color="auto" w:sz="6" w:space="0"/>
              <w:right w:val="single" w:color="auto" w:sz="6" w:space="0"/>
            </w:tcBorders>
            <w:noWrap/>
            <w:vAlign w:val="center"/>
          </w:tcPr>
          <w:p w14:paraId="48D0DD7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监理服务期限</w:t>
            </w:r>
          </w:p>
        </w:tc>
        <w:tc>
          <w:tcPr>
            <w:tcW w:w="6696" w:type="dxa"/>
            <w:tcBorders>
              <w:top w:val="single" w:color="auto" w:sz="6" w:space="0"/>
              <w:left w:val="single" w:color="auto" w:sz="6" w:space="0"/>
              <w:bottom w:val="single" w:color="auto" w:sz="6" w:space="0"/>
              <w:right w:val="single" w:color="auto" w:sz="4" w:space="0"/>
            </w:tcBorders>
            <w:noWrap/>
            <w:vAlign w:val="center"/>
          </w:tcPr>
          <w:p w14:paraId="7DDC25E8">
            <w:pPr>
              <w:spacing w:line="400" w:lineRule="exact"/>
              <w:ind w:left="0" w:leftChars="0" w:right="107" w:rightChars="51"/>
              <w:rPr>
                <w:rFonts w:ascii="宋体" w:hAnsi="宋体"/>
                <w:color w:val="auto"/>
                <w:szCs w:val="21"/>
                <w:highlight w:val="none"/>
              </w:rPr>
            </w:pPr>
            <w:r>
              <w:rPr>
                <w:rFonts w:hint="eastAsia" w:ascii="宋体" w:hAnsi="宋体"/>
                <w:color w:val="auto"/>
                <w:szCs w:val="21"/>
                <w:highlight w:val="none"/>
                <w:u w:val="single"/>
              </w:rPr>
              <w:t>详见招标公告</w:t>
            </w:r>
          </w:p>
        </w:tc>
      </w:tr>
      <w:tr w14:paraId="799C05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783C11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1.3.3</w:t>
            </w:r>
          </w:p>
        </w:tc>
        <w:tc>
          <w:tcPr>
            <w:tcW w:w="2411" w:type="dxa"/>
            <w:tcBorders>
              <w:top w:val="single" w:color="auto" w:sz="6" w:space="0"/>
              <w:left w:val="single" w:color="auto" w:sz="6" w:space="0"/>
              <w:bottom w:val="single" w:color="auto" w:sz="6" w:space="0"/>
              <w:right w:val="single" w:color="auto" w:sz="6" w:space="0"/>
            </w:tcBorders>
            <w:noWrap/>
            <w:vAlign w:val="center"/>
          </w:tcPr>
          <w:p w14:paraId="419C7783">
            <w:pPr>
              <w:snapToGri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质量</w:t>
            </w:r>
            <w:r>
              <w:rPr>
                <w:rFonts w:hint="eastAsia" w:ascii="宋体" w:hAnsi="宋体"/>
                <w:color w:val="auto"/>
                <w:szCs w:val="21"/>
                <w:highlight w:val="none"/>
                <w:lang w:val="en-US" w:eastAsia="zh-CN"/>
              </w:rPr>
              <w:t>目标</w:t>
            </w:r>
          </w:p>
        </w:tc>
        <w:tc>
          <w:tcPr>
            <w:tcW w:w="6696" w:type="dxa"/>
            <w:tcBorders>
              <w:top w:val="single" w:color="auto" w:sz="6" w:space="0"/>
              <w:left w:val="single" w:color="auto" w:sz="6" w:space="0"/>
              <w:bottom w:val="single" w:color="auto" w:sz="6" w:space="0"/>
              <w:right w:val="single" w:color="auto" w:sz="4" w:space="0"/>
            </w:tcBorders>
            <w:noWrap/>
            <w:vAlign w:val="center"/>
          </w:tcPr>
          <w:p w14:paraId="5C21578B">
            <w:pPr>
              <w:spacing w:line="400" w:lineRule="exact"/>
              <w:rPr>
                <w:rFonts w:ascii="宋体" w:hAnsi="宋体"/>
                <w:color w:val="auto"/>
                <w:szCs w:val="21"/>
                <w:highlight w:val="none"/>
                <w:u w:val="single"/>
              </w:rPr>
            </w:pPr>
            <w:r>
              <w:rPr>
                <w:rFonts w:hint="eastAsia" w:ascii="宋体" w:hAnsi="宋体" w:cs="Times New Roman"/>
                <w:color w:val="auto"/>
                <w:spacing w:val="0"/>
                <w:kern w:val="2"/>
                <w:sz w:val="21"/>
                <w:szCs w:val="21"/>
                <w:highlight w:val="none"/>
                <w:u w:val="single"/>
                <w:lang w:val="en-US" w:eastAsia="zh-CN"/>
              </w:rPr>
              <w:t>合格</w:t>
            </w:r>
          </w:p>
        </w:tc>
      </w:tr>
      <w:tr w14:paraId="2FC1AF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F7395E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1.4.1</w:t>
            </w:r>
          </w:p>
        </w:tc>
        <w:tc>
          <w:tcPr>
            <w:tcW w:w="2411" w:type="dxa"/>
            <w:tcBorders>
              <w:top w:val="single" w:color="auto" w:sz="6" w:space="0"/>
              <w:left w:val="single" w:color="auto" w:sz="6" w:space="0"/>
              <w:bottom w:val="single" w:color="auto" w:sz="6" w:space="0"/>
              <w:right w:val="single" w:color="auto" w:sz="6" w:space="0"/>
            </w:tcBorders>
            <w:noWrap/>
            <w:vAlign w:val="center"/>
          </w:tcPr>
          <w:p w14:paraId="063C5CB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投标人资质条件、能力、信誉</w:t>
            </w:r>
          </w:p>
        </w:tc>
        <w:tc>
          <w:tcPr>
            <w:tcW w:w="6696" w:type="dxa"/>
            <w:tcBorders>
              <w:top w:val="single" w:color="auto" w:sz="6" w:space="0"/>
              <w:left w:val="single" w:color="auto" w:sz="6" w:space="0"/>
              <w:bottom w:val="single" w:color="auto" w:sz="6" w:space="0"/>
              <w:right w:val="single" w:color="auto" w:sz="4" w:space="0"/>
            </w:tcBorders>
            <w:noWrap/>
            <w:vAlign w:val="center"/>
          </w:tcPr>
          <w:p w14:paraId="2782F888">
            <w:pPr>
              <w:numPr>
                <w:ilvl w:val="-1"/>
                <w:numId w:val="0"/>
              </w:numPr>
              <w:snapToGrid w:val="0"/>
              <w:spacing w:line="400" w:lineRule="exact"/>
              <w:ind w:left="0" w:right="106" w:firstLine="0"/>
              <w:rPr>
                <w:rFonts w:ascii="宋体" w:hAnsi="宋体"/>
                <w:color w:val="auto"/>
                <w:szCs w:val="21"/>
                <w:highlight w:val="none"/>
              </w:rPr>
            </w:pPr>
            <w:r>
              <w:rPr>
                <w:rFonts w:hint="eastAsia" w:ascii="宋体" w:hAnsi="宋体"/>
                <w:color w:val="auto"/>
                <w:szCs w:val="21"/>
                <w:highlight w:val="none"/>
                <w:lang w:val="en-US" w:eastAsia="zh-CN"/>
              </w:rPr>
              <w:t>详见招标公告</w:t>
            </w:r>
          </w:p>
        </w:tc>
      </w:tr>
      <w:tr w14:paraId="06B7A0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2C276B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1.4.2</w:t>
            </w:r>
          </w:p>
        </w:tc>
        <w:tc>
          <w:tcPr>
            <w:tcW w:w="2411" w:type="dxa"/>
            <w:tcBorders>
              <w:top w:val="single" w:color="auto" w:sz="6" w:space="0"/>
              <w:left w:val="single" w:color="auto" w:sz="6" w:space="0"/>
              <w:bottom w:val="single" w:color="auto" w:sz="6" w:space="0"/>
              <w:right w:val="single" w:color="auto" w:sz="6" w:space="0"/>
            </w:tcBorders>
            <w:noWrap/>
            <w:vAlign w:val="center"/>
          </w:tcPr>
          <w:p w14:paraId="0CF77D9C">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6696" w:type="dxa"/>
            <w:tcBorders>
              <w:top w:val="single" w:color="auto" w:sz="6" w:space="0"/>
              <w:left w:val="single" w:color="auto" w:sz="6" w:space="0"/>
              <w:bottom w:val="single" w:color="auto" w:sz="6" w:space="0"/>
              <w:right w:val="single" w:color="auto" w:sz="4" w:space="0"/>
            </w:tcBorders>
            <w:noWrap/>
            <w:vAlign w:val="center"/>
          </w:tcPr>
          <w:p w14:paraId="3E3A3D40">
            <w:pPr>
              <w:snapToGrid w:val="0"/>
              <w:spacing w:line="400" w:lineRule="exact"/>
              <w:ind w:left="108" w:right="-238"/>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position w:val="3"/>
                <w:szCs w:val="21"/>
                <w:highlight w:val="none"/>
              </w:rPr>
              <w:t>不接受</w:t>
            </w:r>
          </w:p>
          <w:p w14:paraId="7445378C">
            <w:pPr>
              <w:snapToGrid w:val="0"/>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□接受，应满足下列要求：</w:t>
            </w:r>
            <w:r>
              <w:rPr>
                <w:rFonts w:hAnsi="宋体"/>
                <w:color w:val="auto"/>
                <w:szCs w:val="21"/>
                <w:highlight w:val="none"/>
                <w:u w:val="single"/>
              </w:rPr>
              <w:t>/</w:t>
            </w:r>
          </w:p>
        </w:tc>
      </w:tr>
      <w:tr w14:paraId="7571CD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CE8BDC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1.4.3</w:t>
            </w:r>
          </w:p>
        </w:tc>
        <w:tc>
          <w:tcPr>
            <w:tcW w:w="2411" w:type="dxa"/>
            <w:tcBorders>
              <w:top w:val="single" w:color="auto" w:sz="6" w:space="0"/>
              <w:left w:val="single" w:color="auto" w:sz="6" w:space="0"/>
              <w:bottom w:val="single" w:color="auto" w:sz="6" w:space="0"/>
              <w:right w:val="single" w:color="auto" w:sz="6" w:space="0"/>
            </w:tcBorders>
            <w:noWrap/>
            <w:vAlign w:val="center"/>
          </w:tcPr>
          <w:p w14:paraId="3CBD67E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投标人不得存在的其他情形</w:t>
            </w:r>
          </w:p>
        </w:tc>
        <w:tc>
          <w:tcPr>
            <w:tcW w:w="6696" w:type="dxa"/>
            <w:tcBorders>
              <w:top w:val="single" w:color="auto" w:sz="6" w:space="0"/>
              <w:left w:val="single" w:color="auto" w:sz="6" w:space="0"/>
              <w:bottom w:val="single" w:color="auto" w:sz="6" w:space="0"/>
              <w:right w:val="single" w:color="auto" w:sz="4" w:space="0"/>
            </w:tcBorders>
            <w:noWrap/>
            <w:vAlign w:val="center"/>
          </w:tcPr>
          <w:p w14:paraId="0C2264F4">
            <w:pPr>
              <w:topLinePunct/>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u w:val="single"/>
                <w:lang w:val="en-US" w:eastAsia="zh-CN"/>
              </w:rPr>
              <w:t>/</w:t>
            </w:r>
          </w:p>
        </w:tc>
      </w:tr>
      <w:tr w14:paraId="4B4423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2D05E9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1.9.1</w:t>
            </w:r>
          </w:p>
        </w:tc>
        <w:tc>
          <w:tcPr>
            <w:tcW w:w="2411" w:type="dxa"/>
            <w:tcBorders>
              <w:top w:val="single" w:color="auto" w:sz="6" w:space="0"/>
              <w:left w:val="single" w:color="auto" w:sz="6" w:space="0"/>
              <w:bottom w:val="single" w:color="auto" w:sz="6" w:space="0"/>
              <w:right w:val="single" w:color="auto" w:sz="6" w:space="0"/>
            </w:tcBorders>
            <w:noWrap/>
            <w:vAlign w:val="center"/>
          </w:tcPr>
          <w:p w14:paraId="020A526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踏勘现场</w:t>
            </w:r>
          </w:p>
        </w:tc>
        <w:tc>
          <w:tcPr>
            <w:tcW w:w="6696" w:type="dxa"/>
            <w:tcBorders>
              <w:top w:val="single" w:color="auto" w:sz="6" w:space="0"/>
              <w:left w:val="single" w:color="auto" w:sz="6" w:space="0"/>
              <w:bottom w:val="single" w:color="auto" w:sz="6" w:space="0"/>
              <w:right w:val="single" w:color="auto" w:sz="4" w:space="0"/>
            </w:tcBorders>
            <w:noWrap/>
            <w:vAlign w:val="center"/>
          </w:tcPr>
          <w:p w14:paraId="6CF605BF">
            <w:pPr>
              <w:pStyle w:val="14"/>
              <w:topLinePunct/>
              <w:snapToGrid w:val="0"/>
              <w:spacing w:line="400" w:lineRule="exact"/>
              <w:rPr>
                <w:rFonts w:hAnsi="宋体"/>
                <w:color w:val="auto"/>
                <w:kern w:val="2"/>
                <w:sz w:val="21"/>
                <w:szCs w:val="21"/>
                <w:highlight w:val="none"/>
              </w:rPr>
            </w:pPr>
            <w:r>
              <w:rPr>
                <w:rFonts w:hint="eastAsia" w:hAnsi="宋体"/>
                <w:color w:val="auto"/>
                <w:spacing w:val="-1"/>
                <w:kern w:val="2"/>
                <w:sz w:val="21"/>
                <w:szCs w:val="21"/>
                <w:highlight w:val="none"/>
              </w:rPr>
              <w:t>■</w:t>
            </w:r>
            <w:r>
              <w:rPr>
                <w:rFonts w:hint="eastAsia" w:hAnsi="宋体"/>
                <w:color w:val="auto"/>
                <w:kern w:val="2"/>
                <w:sz w:val="21"/>
                <w:szCs w:val="21"/>
                <w:highlight w:val="none"/>
              </w:rPr>
              <w:t>不组织。由投标人自行踏勘</w:t>
            </w:r>
          </w:p>
          <w:p w14:paraId="0F9F254A">
            <w:pPr>
              <w:pStyle w:val="14"/>
              <w:topLinePunct/>
              <w:snapToGrid w:val="0"/>
              <w:spacing w:line="400" w:lineRule="exact"/>
              <w:rPr>
                <w:rFonts w:hAnsi="宋体"/>
                <w:color w:val="auto"/>
                <w:kern w:val="2"/>
                <w:sz w:val="21"/>
                <w:szCs w:val="21"/>
                <w:highlight w:val="none"/>
              </w:rPr>
            </w:pPr>
            <w:r>
              <w:rPr>
                <w:rFonts w:hint="eastAsia" w:hAnsi="宋体"/>
                <w:color w:val="auto"/>
                <w:kern w:val="2"/>
                <w:sz w:val="21"/>
                <w:szCs w:val="21"/>
                <w:highlight w:val="none"/>
              </w:rPr>
              <w:t>□组织，踏勘时间：</w:t>
            </w:r>
            <w:r>
              <w:rPr>
                <w:rFonts w:hint="eastAsia" w:hAnsi="宋体"/>
                <w:color w:val="auto"/>
                <w:szCs w:val="21"/>
                <w:highlight w:val="none"/>
                <w:u w:val="single"/>
              </w:rPr>
              <w:t>/</w:t>
            </w:r>
          </w:p>
          <w:p w14:paraId="348EFC95">
            <w:pPr>
              <w:pStyle w:val="14"/>
              <w:topLinePunct/>
              <w:snapToGrid w:val="0"/>
              <w:spacing w:line="400" w:lineRule="exact"/>
              <w:ind w:firstLine="884" w:firstLineChars="421"/>
              <w:rPr>
                <w:rFonts w:hAnsi="宋体"/>
                <w:color w:val="auto"/>
                <w:kern w:val="2"/>
                <w:sz w:val="21"/>
                <w:szCs w:val="21"/>
                <w:highlight w:val="none"/>
              </w:rPr>
            </w:pPr>
            <w:r>
              <w:rPr>
                <w:rFonts w:hint="eastAsia" w:hAnsi="宋体"/>
                <w:color w:val="auto"/>
                <w:kern w:val="2"/>
                <w:sz w:val="21"/>
                <w:szCs w:val="21"/>
                <w:highlight w:val="none"/>
              </w:rPr>
              <w:t>踏勘集中地点：</w:t>
            </w:r>
            <w:r>
              <w:rPr>
                <w:rFonts w:hint="eastAsia" w:hAnsi="宋体"/>
                <w:color w:val="auto"/>
                <w:szCs w:val="21"/>
                <w:highlight w:val="none"/>
                <w:u w:val="single"/>
              </w:rPr>
              <w:t>/</w:t>
            </w:r>
          </w:p>
        </w:tc>
      </w:tr>
      <w:tr w14:paraId="0050F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0C9059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1.10.1</w:t>
            </w:r>
          </w:p>
        </w:tc>
        <w:tc>
          <w:tcPr>
            <w:tcW w:w="2411" w:type="dxa"/>
            <w:tcBorders>
              <w:top w:val="single" w:color="auto" w:sz="6" w:space="0"/>
              <w:left w:val="single" w:color="auto" w:sz="6" w:space="0"/>
              <w:bottom w:val="single" w:color="auto" w:sz="6" w:space="0"/>
              <w:right w:val="single" w:color="auto" w:sz="6" w:space="0"/>
            </w:tcBorders>
            <w:noWrap/>
            <w:vAlign w:val="center"/>
          </w:tcPr>
          <w:p w14:paraId="10C2B48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投标预备会</w:t>
            </w:r>
          </w:p>
        </w:tc>
        <w:tc>
          <w:tcPr>
            <w:tcW w:w="6696" w:type="dxa"/>
            <w:tcBorders>
              <w:top w:val="single" w:color="auto" w:sz="6" w:space="0"/>
              <w:left w:val="single" w:color="auto" w:sz="6" w:space="0"/>
              <w:bottom w:val="single" w:color="auto" w:sz="6" w:space="0"/>
              <w:right w:val="single" w:color="auto" w:sz="4" w:space="0"/>
            </w:tcBorders>
            <w:noWrap/>
            <w:vAlign w:val="center"/>
          </w:tcPr>
          <w:p w14:paraId="790F9B75">
            <w:pPr>
              <w:pStyle w:val="14"/>
              <w:topLinePunct/>
              <w:spacing w:line="400" w:lineRule="exact"/>
              <w:ind w:left="40" w:leftChars="19" w:right="107" w:rightChars="51"/>
              <w:rPr>
                <w:rFonts w:hAnsi="宋体"/>
                <w:color w:val="auto"/>
                <w:sz w:val="21"/>
                <w:szCs w:val="21"/>
                <w:highlight w:val="none"/>
              </w:rPr>
            </w:pPr>
            <w:r>
              <w:rPr>
                <w:rFonts w:hint="eastAsia" w:hAnsi="宋体"/>
                <w:color w:val="auto"/>
                <w:sz w:val="21"/>
                <w:szCs w:val="21"/>
                <w:highlight w:val="none"/>
              </w:rPr>
              <w:t>■不召开</w:t>
            </w:r>
          </w:p>
          <w:p w14:paraId="719B5FE7">
            <w:pPr>
              <w:spacing w:line="400" w:lineRule="exact"/>
              <w:ind w:left="40" w:leftChars="19" w:right="107" w:rightChars="51"/>
              <w:rPr>
                <w:rFonts w:ascii="宋体" w:hAnsi="宋体"/>
                <w:color w:val="auto"/>
                <w:szCs w:val="21"/>
                <w:highlight w:val="none"/>
              </w:rPr>
            </w:pPr>
            <w:r>
              <w:rPr>
                <w:rFonts w:hint="eastAsia" w:ascii="宋体" w:hAnsi="宋体"/>
                <w:color w:val="auto"/>
                <w:szCs w:val="21"/>
                <w:highlight w:val="none"/>
              </w:rPr>
              <w:t>□召开，召开时间：</w:t>
            </w:r>
            <w:r>
              <w:rPr>
                <w:rFonts w:hint="eastAsia" w:ascii="宋体" w:hAnsi="宋体"/>
                <w:color w:val="auto"/>
                <w:szCs w:val="21"/>
                <w:highlight w:val="none"/>
                <w:u w:val="single"/>
              </w:rPr>
              <w:t>/</w:t>
            </w:r>
          </w:p>
          <w:p w14:paraId="7D9E52B9">
            <w:pPr>
              <w:snapToGrid w:val="0"/>
              <w:spacing w:line="400" w:lineRule="exact"/>
              <w:ind w:firstLine="884" w:firstLineChars="421"/>
              <w:rPr>
                <w:rFonts w:ascii="宋体" w:hAnsi="宋体"/>
                <w:color w:val="auto"/>
                <w:szCs w:val="21"/>
                <w:highlight w:val="none"/>
              </w:rPr>
            </w:pPr>
            <w:r>
              <w:rPr>
                <w:rFonts w:hint="eastAsia" w:ascii="宋体" w:hAnsi="宋体"/>
                <w:color w:val="auto"/>
                <w:szCs w:val="21"/>
                <w:highlight w:val="none"/>
              </w:rPr>
              <w:t>召开地点：</w:t>
            </w:r>
            <w:r>
              <w:rPr>
                <w:rFonts w:hint="eastAsia" w:ascii="宋体" w:hAnsi="宋体"/>
                <w:color w:val="auto"/>
                <w:szCs w:val="21"/>
                <w:highlight w:val="none"/>
                <w:u w:val="single"/>
              </w:rPr>
              <w:t>/</w:t>
            </w:r>
          </w:p>
        </w:tc>
      </w:tr>
      <w:tr w14:paraId="7EFD36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345BE6CC">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1.10.2</w:t>
            </w:r>
          </w:p>
        </w:tc>
        <w:tc>
          <w:tcPr>
            <w:tcW w:w="2411" w:type="dxa"/>
            <w:vMerge w:val="restart"/>
            <w:tcBorders>
              <w:top w:val="single" w:color="auto" w:sz="6" w:space="0"/>
              <w:left w:val="single" w:color="auto" w:sz="6" w:space="0"/>
              <w:bottom w:val="single" w:color="auto" w:sz="6" w:space="0"/>
              <w:right w:val="single" w:color="auto" w:sz="6" w:space="0"/>
            </w:tcBorders>
            <w:noWrap/>
            <w:vAlign w:val="center"/>
          </w:tcPr>
          <w:p w14:paraId="05154F7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投标人在投标预备会前提出问题</w:t>
            </w:r>
          </w:p>
        </w:tc>
        <w:tc>
          <w:tcPr>
            <w:tcW w:w="6696" w:type="dxa"/>
            <w:tcBorders>
              <w:top w:val="single" w:color="auto" w:sz="6" w:space="0"/>
              <w:left w:val="single" w:color="auto" w:sz="6" w:space="0"/>
              <w:bottom w:val="single" w:color="auto" w:sz="6" w:space="0"/>
              <w:right w:val="single" w:color="auto" w:sz="4" w:space="0"/>
            </w:tcBorders>
            <w:noWrap/>
            <w:vAlign w:val="center"/>
          </w:tcPr>
          <w:p w14:paraId="2D35A54A">
            <w:pPr>
              <w:spacing w:line="400" w:lineRule="exact"/>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rPr>
              <w:t>/</w:t>
            </w:r>
          </w:p>
        </w:tc>
      </w:tr>
      <w:tr w14:paraId="702537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4888ED98">
            <w:pPr>
              <w:widowControl/>
              <w:spacing w:line="400" w:lineRule="exact"/>
              <w:jc w:val="left"/>
              <w:rPr>
                <w:rFonts w:ascii="宋体" w:hAnsi="宋体"/>
                <w:color w:val="auto"/>
                <w:szCs w:val="21"/>
                <w:highlight w:val="none"/>
              </w:rPr>
            </w:pPr>
          </w:p>
        </w:tc>
        <w:tc>
          <w:tcPr>
            <w:tcW w:w="2411" w:type="dxa"/>
            <w:vMerge w:val="continue"/>
            <w:tcBorders>
              <w:top w:val="single" w:color="auto" w:sz="6" w:space="0"/>
              <w:left w:val="single" w:color="auto" w:sz="6" w:space="0"/>
              <w:bottom w:val="single" w:color="auto" w:sz="6" w:space="0"/>
              <w:right w:val="single" w:color="auto" w:sz="6" w:space="0"/>
            </w:tcBorders>
            <w:noWrap/>
            <w:vAlign w:val="center"/>
          </w:tcPr>
          <w:p w14:paraId="23D8764D">
            <w:pPr>
              <w:widowControl/>
              <w:spacing w:line="400" w:lineRule="exact"/>
              <w:jc w:val="left"/>
              <w:rPr>
                <w:rFonts w:ascii="宋体" w:hAnsi="宋体"/>
                <w:color w:val="auto"/>
                <w:szCs w:val="21"/>
                <w:highlight w:val="none"/>
              </w:rPr>
            </w:pPr>
          </w:p>
        </w:tc>
        <w:tc>
          <w:tcPr>
            <w:tcW w:w="6696" w:type="dxa"/>
            <w:tcBorders>
              <w:top w:val="single" w:color="auto" w:sz="6" w:space="0"/>
              <w:left w:val="single" w:color="auto" w:sz="6" w:space="0"/>
              <w:bottom w:val="single" w:color="auto" w:sz="6" w:space="0"/>
              <w:right w:val="single" w:color="auto" w:sz="4" w:space="0"/>
            </w:tcBorders>
            <w:noWrap/>
            <w:vAlign w:val="center"/>
          </w:tcPr>
          <w:p w14:paraId="25EFE7DD">
            <w:pPr>
              <w:spacing w:line="400" w:lineRule="exact"/>
              <w:rPr>
                <w:rFonts w:ascii="宋体" w:hAnsi="宋体"/>
                <w:color w:val="auto"/>
                <w:szCs w:val="21"/>
                <w:highlight w:val="none"/>
              </w:rPr>
            </w:pPr>
            <w:r>
              <w:rPr>
                <w:rFonts w:hint="eastAsia" w:ascii="宋体" w:hAnsi="宋体"/>
                <w:color w:val="auto"/>
                <w:szCs w:val="21"/>
                <w:highlight w:val="none"/>
              </w:rPr>
              <w:t>形式：</w:t>
            </w:r>
            <w:r>
              <w:rPr>
                <w:rFonts w:hint="eastAsia" w:ascii="宋体" w:hAnsi="宋体"/>
                <w:color w:val="auto"/>
                <w:szCs w:val="21"/>
                <w:highlight w:val="none"/>
                <w:u w:val="single"/>
              </w:rPr>
              <w:t>/</w:t>
            </w:r>
          </w:p>
        </w:tc>
      </w:tr>
      <w:tr w14:paraId="07B204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0F2EFF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1.10.3</w:t>
            </w:r>
          </w:p>
        </w:tc>
        <w:tc>
          <w:tcPr>
            <w:tcW w:w="2411" w:type="dxa"/>
            <w:tcBorders>
              <w:top w:val="single" w:color="auto" w:sz="6" w:space="0"/>
              <w:left w:val="single" w:color="auto" w:sz="6" w:space="0"/>
              <w:bottom w:val="single" w:color="auto" w:sz="6" w:space="0"/>
              <w:right w:val="single" w:color="auto" w:sz="6" w:space="0"/>
            </w:tcBorders>
            <w:noWrap/>
            <w:vAlign w:val="center"/>
          </w:tcPr>
          <w:p w14:paraId="6CCE86C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6696" w:type="dxa"/>
            <w:tcBorders>
              <w:top w:val="single" w:color="auto" w:sz="6" w:space="0"/>
              <w:left w:val="single" w:color="auto" w:sz="6" w:space="0"/>
              <w:bottom w:val="single" w:color="auto" w:sz="6" w:space="0"/>
              <w:right w:val="single" w:color="auto" w:sz="4" w:space="0"/>
            </w:tcBorders>
            <w:noWrap/>
            <w:vAlign w:val="center"/>
          </w:tcPr>
          <w:p w14:paraId="20D14C55">
            <w:pPr>
              <w:snapToGrid w:val="0"/>
              <w:spacing w:line="400" w:lineRule="exact"/>
              <w:rPr>
                <w:rFonts w:ascii="宋体" w:hAnsi="宋体"/>
                <w:color w:val="auto"/>
                <w:szCs w:val="21"/>
                <w:highlight w:val="none"/>
              </w:rPr>
            </w:pPr>
            <w:r>
              <w:rPr>
                <w:rFonts w:hint="eastAsia" w:ascii="宋体" w:hAnsi="宋体"/>
                <w:color w:val="auto"/>
                <w:szCs w:val="21"/>
                <w:highlight w:val="none"/>
                <w:u w:val="none"/>
              </w:rPr>
              <w:t>/  （此为投标预备会的答疑澄清）</w:t>
            </w:r>
          </w:p>
        </w:tc>
      </w:tr>
      <w:tr w14:paraId="035571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1C7327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1.12.1</w:t>
            </w:r>
          </w:p>
        </w:tc>
        <w:tc>
          <w:tcPr>
            <w:tcW w:w="2411" w:type="dxa"/>
            <w:tcBorders>
              <w:top w:val="single" w:color="auto" w:sz="6" w:space="0"/>
              <w:left w:val="single" w:color="auto" w:sz="6" w:space="0"/>
              <w:bottom w:val="single" w:color="auto" w:sz="6" w:space="0"/>
              <w:right w:val="single" w:color="auto" w:sz="6" w:space="0"/>
            </w:tcBorders>
            <w:noWrap/>
            <w:vAlign w:val="center"/>
          </w:tcPr>
          <w:p w14:paraId="5B0DEBA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实质性要求和条件</w:t>
            </w:r>
          </w:p>
        </w:tc>
        <w:tc>
          <w:tcPr>
            <w:tcW w:w="6696" w:type="dxa"/>
            <w:tcBorders>
              <w:top w:val="single" w:color="auto" w:sz="6" w:space="0"/>
              <w:left w:val="single" w:color="auto" w:sz="6" w:space="0"/>
              <w:bottom w:val="single" w:color="auto" w:sz="6" w:space="0"/>
              <w:right w:val="single" w:color="auto" w:sz="4" w:space="0"/>
            </w:tcBorders>
            <w:noWrap/>
            <w:vAlign w:val="center"/>
          </w:tcPr>
          <w:p w14:paraId="685FB868">
            <w:pPr>
              <w:pStyle w:val="14"/>
              <w:topLinePunct/>
              <w:snapToGrid w:val="0"/>
              <w:spacing w:line="400" w:lineRule="exact"/>
              <w:rPr>
                <w:rFonts w:hAnsi="宋体"/>
                <w:color w:val="auto"/>
                <w:kern w:val="2"/>
                <w:sz w:val="21"/>
                <w:szCs w:val="21"/>
                <w:highlight w:val="none"/>
              </w:rPr>
            </w:pPr>
            <w:r>
              <w:rPr>
                <w:rFonts w:hint="eastAsia" w:hAnsi="宋体"/>
                <w:color w:val="auto"/>
                <w:szCs w:val="21"/>
                <w:highlight w:val="none"/>
                <w:u w:val="single"/>
              </w:rPr>
              <w:t>/</w:t>
            </w:r>
          </w:p>
        </w:tc>
      </w:tr>
      <w:tr w14:paraId="4757E8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6B71A4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1.12.3</w:t>
            </w:r>
          </w:p>
        </w:tc>
        <w:tc>
          <w:tcPr>
            <w:tcW w:w="2411" w:type="dxa"/>
            <w:tcBorders>
              <w:top w:val="single" w:color="auto" w:sz="6" w:space="0"/>
              <w:left w:val="single" w:color="auto" w:sz="6" w:space="0"/>
              <w:bottom w:val="single" w:color="auto" w:sz="6" w:space="0"/>
              <w:right w:val="single" w:color="auto" w:sz="6" w:space="0"/>
            </w:tcBorders>
            <w:noWrap/>
            <w:vAlign w:val="center"/>
          </w:tcPr>
          <w:p w14:paraId="6AD75B5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偏差</w:t>
            </w:r>
          </w:p>
        </w:tc>
        <w:tc>
          <w:tcPr>
            <w:tcW w:w="6696" w:type="dxa"/>
            <w:tcBorders>
              <w:top w:val="single" w:color="auto" w:sz="6" w:space="0"/>
              <w:left w:val="single" w:color="auto" w:sz="6" w:space="0"/>
              <w:bottom w:val="single" w:color="auto" w:sz="6" w:space="0"/>
              <w:right w:val="single" w:color="auto" w:sz="4" w:space="0"/>
            </w:tcBorders>
            <w:noWrap/>
          </w:tcPr>
          <w:p w14:paraId="6CD24473">
            <w:pPr>
              <w:spacing w:line="400" w:lineRule="exact"/>
              <w:ind w:left="40" w:leftChars="19" w:right="107" w:rightChars="51"/>
              <w:rPr>
                <w:rFonts w:ascii="宋体" w:hAnsi="宋体"/>
                <w:color w:val="auto"/>
                <w:szCs w:val="21"/>
                <w:highlight w:val="none"/>
              </w:rPr>
            </w:pPr>
            <w:r>
              <w:rPr>
                <w:rFonts w:hint="eastAsia" w:ascii="宋体" w:hAnsi="宋体"/>
                <w:color w:val="auto"/>
                <w:szCs w:val="21"/>
                <w:highlight w:val="none"/>
              </w:rPr>
              <w:t>■不允许</w:t>
            </w:r>
          </w:p>
          <w:p w14:paraId="3B206B49">
            <w:pPr>
              <w:pStyle w:val="14"/>
              <w:topLinePunct/>
              <w:spacing w:line="400" w:lineRule="exact"/>
              <w:ind w:left="40" w:leftChars="19" w:right="107" w:rightChars="51"/>
              <w:rPr>
                <w:rFonts w:hAnsi="宋体"/>
                <w:color w:val="auto"/>
                <w:sz w:val="21"/>
                <w:szCs w:val="21"/>
                <w:highlight w:val="none"/>
              </w:rPr>
            </w:pPr>
            <w:r>
              <w:rPr>
                <w:rFonts w:hint="eastAsia" w:hAnsi="宋体"/>
                <w:color w:val="auto"/>
                <w:sz w:val="21"/>
                <w:szCs w:val="21"/>
                <w:highlight w:val="none"/>
              </w:rPr>
              <w:t>□允许，偏差范围：</w:t>
            </w:r>
            <w:r>
              <w:rPr>
                <w:rFonts w:hint="eastAsia" w:hAnsi="宋体"/>
                <w:color w:val="auto"/>
                <w:szCs w:val="21"/>
                <w:highlight w:val="none"/>
                <w:u w:val="single"/>
              </w:rPr>
              <w:t>/</w:t>
            </w:r>
          </w:p>
          <w:p w14:paraId="6A8F266E">
            <w:pPr>
              <w:topLinePunct/>
              <w:snapToGrid w:val="0"/>
              <w:spacing w:line="400" w:lineRule="exact"/>
              <w:ind w:firstLine="884" w:firstLineChars="421"/>
              <w:jc w:val="left"/>
              <w:rPr>
                <w:rFonts w:hAnsi="宋体"/>
                <w:color w:val="auto"/>
                <w:szCs w:val="21"/>
                <w:highlight w:val="none"/>
              </w:rPr>
            </w:pPr>
            <w:r>
              <w:rPr>
                <w:rFonts w:hint="eastAsia" w:ascii="宋体" w:hAnsi="宋体"/>
                <w:color w:val="auto"/>
                <w:szCs w:val="21"/>
                <w:highlight w:val="none"/>
              </w:rPr>
              <w:t>偏差幅度：</w:t>
            </w:r>
            <w:r>
              <w:rPr>
                <w:rFonts w:hint="eastAsia" w:ascii="宋体" w:hAnsi="宋体"/>
                <w:color w:val="auto"/>
                <w:szCs w:val="21"/>
                <w:highlight w:val="none"/>
                <w:u w:val="single"/>
              </w:rPr>
              <w:t>/</w:t>
            </w:r>
          </w:p>
        </w:tc>
      </w:tr>
      <w:tr w14:paraId="4E9714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F0E6FB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2.1</w:t>
            </w:r>
          </w:p>
        </w:tc>
        <w:tc>
          <w:tcPr>
            <w:tcW w:w="2411" w:type="dxa"/>
            <w:tcBorders>
              <w:top w:val="single" w:color="auto" w:sz="6" w:space="0"/>
              <w:left w:val="single" w:color="auto" w:sz="6" w:space="0"/>
              <w:bottom w:val="single" w:color="auto" w:sz="6" w:space="0"/>
              <w:right w:val="single" w:color="auto" w:sz="6" w:space="0"/>
            </w:tcBorders>
            <w:noWrap/>
            <w:vAlign w:val="center"/>
          </w:tcPr>
          <w:p w14:paraId="68CBDBF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构成招标文件的其他资料</w:t>
            </w:r>
          </w:p>
        </w:tc>
        <w:tc>
          <w:tcPr>
            <w:tcW w:w="6696" w:type="dxa"/>
            <w:tcBorders>
              <w:top w:val="single" w:color="auto" w:sz="6" w:space="0"/>
              <w:left w:val="single" w:color="auto" w:sz="6" w:space="0"/>
              <w:bottom w:val="single" w:color="auto" w:sz="6" w:space="0"/>
              <w:right w:val="single" w:color="auto" w:sz="4" w:space="0"/>
            </w:tcBorders>
            <w:noWrap/>
            <w:vAlign w:val="center"/>
          </w:tcPr>
          <w:p w14:paraId="594D7B3C">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答疑纪要、澄清文件等（如有）。</w:t>
            </w:r>
          </w:p>
        </w:tc>
      </w:tr>
      <w:tr w14:paraId="1E338C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1C1EA35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2.2.1</w:t>
            </w:r>
          </w:p>
        </w:tc>
        <w:tc>
          <w:tcPr>
            <w:tcW w:w="2411" w:type="dxa"/>
            <w:vMerge w:val="restart"/>
            <w:tcBorders>
              <w:top w:val="single" w:color="auto" w:sz="6" w:space="0"/>
              <w:left w:val="single" w:color="auto" w:sz="6" w:space="0"/>
              <w:bottom w:val="single" w:color="auto" w:sz="6" w:space="0"/>
              <w:right w:val="single" w:color="auto" w:sz="6" w:space="0"/>
            </w:tcBorders>
            <w:noWrap/>
            <w:vAlign w:val="center"/>
          </w:tcPr>
          <w:p w14:paraId="3B3BEBA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投标人要求澄清招标文件</w:t>
            </w:r>
          </w:p>
        </w:tc>
        <w:tc>
          <w:tcPr>
            <w:tcW w:w="6696" w:type="dxa"/>
            <w:tcBorders>
              <w:top w:val="single" w:color="auto" w:sz="6" w:space="0"/>
              <w:left w:val="single" w:color="auto" w:sz="6" w:space="0"/>
              <w:bottom w:val="single" w:color="auto" w:sz="6" w:space="0"/>
              <w:right w:val="single" w:color="auto" w:sz="4" w:space="0"/>
            </w:tcBorders>
            <w:noWrap/>
            <w:vAlign w:val="center"/>
          </w:tcPr>
          <w:p w14:paraId="420384DA">
            <w:pPr>
              <w:snapToGrid w:val="0"/>
              <w:spacing w:line="400" w:lineRule="exact"/>
              <w:rPr>
                <w:rFonts w:ascii="宋体" w:hAnsi="宋体"/>
                <w:color w:val="auto"/>
                <w:szCs w:val="21"/>
                <w:highlight w:val="none"/>
              </w:rPr>
            </w:pPr>
            <w:r>
              <w:rPr>
                <w:rFonts w:hint="eastAsia" w:ascii="宋体" w:hAnsi="宋体"/>
                <w:color w:val="auto"/>
                <w:szCs w:val="21"/>
                <w:highlight w:val="none"/>
              </w:rPr>
              <w:t>疑问提交时间：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年   月   日   时前(</w:t>
            </w:r>
            <w:r>
              <w:rPr>
                <w:rFonts w:hint="eastAsia" w:ascii="宋体" w:hAnsi="宋体"/>
                <w:color w:val="auto"/>
                <w:szCs w:val="21"/>
                <w:highlight w:val="none"/>
                <w:u w:val="single"/>
                <w:lang w:eastAsia="zh-CN"/>
              </w:rPr>
              <w:t>具体详见广州公共资源交易中心招投标日程安排</w:t>
            </w:r>
            <w:r>
              <w:rPr>
                <w:rFonts w:hint="eastAsia" w:ascii="宋体" w:hAnsi="宋体"/>
                <w:color w:val="auto"/>
                <w:szCs w:val="21"/>
                <w:highlight w:val="none"/>
                <w:u w:val="single"/>
              </w:rPr>
              <w:t>)。</w:t>
            </w:r>
          </w:p>
        </w:tc>
      </w:tr>
      <w:tr w14:paraId="60C69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579E2676">
            <w:pPr>
              <w:widowControl/>
              <w:spacing w:line="400" w:lineRule="exact"/>
              <w:jc w:val="left"/>
              <w:rPr>
                <w:rFonts w:ascii="宋体" w:hAnsi="宋体"/>
                <w:color w:val="auto"/>
                <w:szCs w:val="21"/>
                <w:highlight w:val="none"/>
              </w:rPr>
            </w:pPr>
          </w:p>
        </w:tc>
        <w:tc>
          <w:tcPr>
            <w:tcW w:w="2411" w:type="dxa"/>
            <w:vMerge w:val="continue"/>
            <w:tcBorders>
              <w:top w:val="single" w:color="auto" w:sz="6" w:space="0"/>
              <w:left w:val="single" w:color="auto" w:sz="6" w:space="0"/>
              <w:bottom w:val="single" w:color="auto" w:sz="6" w:space="0"/>
              <w:right w:val="single" w:color="auto" w:sz="6" w:space="0"/>
            </w:tcBorders>
            <w:noWrap/>
            <w:vAlign w:val="center"/>
          </w:tcPr>
          <w:p w14:paraId="618EECEB">
            <w:pPr>
              <w:widowControl/>
              <w:spacing w:line="400" w:lineRule="exact"/>
              <w:jc w:val="left"/>
              <w:rPr>
                <w:rFonts w:ascii="宋体" w:hAnsi="宋体"/>
                <w:color w:val="auto"/>
                <w:szCs w:val="21"/>
                <w:highlight w:val="none"/>
              </w:rPr>
            </w:pPr>
          </w:p>
        </w:tc>
        <w:tc>
          <w:tcPr>
            <w:tcW w:w="6696" w:type="dxa"/>
            <w:tcBorders>
              <w:top w:val="single" w:color="auto" w:sz="6" w:space="0"/>
              <w:left w:val="single" w:color="auto" w:sz="6" w:space="0"/>
              <w:bottom w:val="single" w:color="auto" w:sz="6" w:space="0"/>
              <w:right w:val="single" w:color="auto" w:sz="4" w:space="0"/>
            </w:tcBorders>
            <w:noWrap/>
            <w:vAlign w:val="center"/>
          </w:tcPr>
          <w:p w14:paraId="1AB22B77">
            <w:pPr>
              <w:pStyle w:val="34"/>
              <w:snapToGrid w:val="0"/>
              <w:spacing w:after="0" w:line="400" w:lineRule="exact"/>
              <w:ind w:right="174" w:rightChars="83"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形式：1、投标人的疑问通过广州公共资源交易中心数字交易平台提交。</w:t>
            </w:r>
          </w:p>
          <w:p w14:paraId="0457BAF1">
            <w:pPr>
              <w:pStyle w:val="34"/>
              <w:snapToGrid w:val="0"/>
              <w:spacing w:after="0" w:line="400" w:lineRule="exact"/>
              <w:ind w:right="174" w:rightChars="83"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具体要求：操作详见广州公共资源交易中心网站发布的《建设工程全流程电子化项目操作指南（适用于投标人）》。提问一律不得署名。</w:t>
            </w:r>
          </w:p>
          <w:p w14:paraId="15506114">
            <w:pPr>
              <w:snapToGrid w:val="0"/>
              <w:spacing w:line="400" w:lineRule="exact"/>
              <w:rPr>
                <w:rFonts w:ascii="宋体" w:hAnsi="宋体"/>
                <w:color w:val="auto"/>
                <w:szCs w:val="21"/>
                <w:highlight w:val="none"/>
                <w:u w:val="single"/>
              </w:rPr>
            </w:pPr>
            <w:r>
              <w:rPr>
                <w:rFonts w:hint="eastAsia" w:ascii="宋体" w:hAnsi="宋体" w:cs="宋体"/>
                <w:color w:val="auto"/>
                <w:sz w:val="21"/>
                <w:szCs w:val="21"/>
                <w:highlight w:val="none"/>
              </w:rPr>
              <w:t>2、招标人应在投标截止时间15日前解答投标人对招标文件提出的疑问，形成答疑纪要，在广州公共资源交易中心网站项目答疑专区发布。</w:t>
            </w:r>
          </w:p>
        </w:tc>
      </w:tr>
      <w:tr w14:paraId="1E20AD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21BB60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2.2.2</w:t>
            </w:r>
          </w:p>
        </w:tc>
        <w:tc>
          <w:tcPr>
            <w:tcW w:w="2411" w:type="dxa"/>
            <w:tcBorders>
              <w:top w:val="single" w:color="auto" w:sz="6" w:space="0"/>
              <w:left w:val="single" w:color="auto" w:sz="6" w:space="0"/>
              <w:bottom w:val="single" w:color="auto" w:sz="6" w:space="0"/>
              <w:right w:val="single" w:color="auto" w:sz="6" w:space="0"/>
            </w:tcBorders>
            <w:noWrap/>
            <w:vAlign w:val="center"/>
          </w:tcPr>
          <w:p w14:paraId="0A811CEC">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6696" w:type="dxa"/>
            <w:tcBorders>
              <w:top w:val="single" w:color="auto" w:sz="6" w:space="0"/>
              <w:left w:val="single" w:color="auto" w:sz="6" w:space="0"/>
              <w:bottom w:val="single" w:color="auto" w:sz="6" w:space="0"/>
              <w:right w:val="single" w:color="auto" w:sz="4" w:space="0"/>
            </w:tcBorders>
            <w:noWrap/>
            <w:vAlign w:val="center"/>
          </w:tcPr>
          <w:p w14:paraId="77598690">
            <w:pPr>
              <w:snapToGrid w:val="0"/>
              <w:spacing w:line="400" w:lineRule="exact"/>
              <w:rPr>
                <w:rFonts w:ascii="宋体" w:hAnsi="宋体"/>
                <w:color w:val="auto"/>
                <w:szCs w:val="21"/>
                <w:highlight w:val="none"/>
                <w:u w:val="single"/>
              </w:rPr>
            </w:pPr>
            <w:r>
              <w:rPr>
                <w:rFonts w:hint="eastAsia"/>
                <w:color w:val="auto"/>
                <w:highlight w:val="none"/>
                <w:u w:val="single"/>
              </w:rPr>
              <w:t>在递交投标文件截止时间15天前；在广州公共资源交易中心网站通过项目答疑专区网上公开发布。</w:t>
            </w:r>
          </w:p>
        </w:tc>
      </w:tr>
      <w:tr w14:paraId="69909B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21284CA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2.2.3</w:t>
            </w:r>
          </w:p>
        </w:tc>
        <w:tc>
          <w:tcPr>
            <w:tcW w:w="2411" w:type="dxa"/>
            <w:vMerge w:val="restart"/>
            <w:tcBorders>
              <w:top w:val="single" w:color="auto" w:sz="6" w:space="0"/>
              <w:left w:val="single" w:color="auto" w:sz="6" w:space="0"/>
              <w:bottom w:val="single" w:color="auto" w:sz="6" w:space="0"/>
              <w:right w:val="single" w:color="auto" w:sz="6" w:space="0"/>
            </w:tcBorders>
            <w:noWrap/>
            <w:vAlign w:val="center"/>
          </w:tcPr>
          <w:p w14:paraId="5B2B1A3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投标人确认收到招标文件澄清</w:t>
            </w:r>
          </w:p>
        </w:tc>
        <w:tc>
          <w:tcPr>
            <w:tcW w:w="6696" w:type="dxa"/>
            <w:tcBorders>
              <w:top w:val="single" w:color="auto" w:sz="6" w:space="0"/>
              <w:left w:val="single" w:color="auto" w:sz="6" w:space="0"/>
              <w:bottom w:val="single" w:color="auto" w:sz="6" w:space="0"/>
              <w:right w:val="single" w:color="auto" w:sz="4" w:space="0"/>
            </w:tcBorders>
            <w:noWrap/>
            <w:vAlign w:val="center"/>
          </w:tcPr>
          <w:p w14:paraId="39975ABD">
            <w:pPr>
              <w:snapToGrid w:val="0"/>
              <w:spacing w:line="400" w:lineRule="exact"/>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w:t>
            </w:r>
            <w:r>
              <w:rPr>
                <w:rFonts w:hint="eastAsia" w:ascii="宋体" w:hAnsi="宋体" w:cs="宋体"/>
                <w:color w:val="auto"/>
                <w:szCs w:val="21"/>
                <w:highlight w:val="none"/>
                <w:u w:val="single"/>
                <w:lang w:val="en-US" w:eastAsia="zh-CN"/>
              </w:rPr>
              <w:t>到</w:t>
            </w:r>
            <w:r>
              <w:rPr>
                <w:rFonts w:hint="eastAsia" w:ascii="宋体" w:hAnsi="宋体" w:cs="宋体"/>
                <w:color w:val="auto"/>
                <w:szCs w:val="21"/>
                <w:highlight w:val="none"/>
                <w:u w:val="single"/>
              </w:rPr>
              <w:t>。</w:t>
            </w:r>
          </w:p>
        </w:tc>
      </w:tr>
      <w:tr w14:paraId="550FDD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043C4C6F">
            <w:pPr>
              <w:widowControl/>
              <w:spacing w:line="400" w:lineRule="exact"/>
              <w:jc w:val="left"/>
              <w:rPr>
                <w:rFonts w:ascii="宋体" w:hAnsi="宋体"/>
                <w:color w:val="auto"/>
                <w:szCs w:val="21"/>
                <w:highlight w:val="none"/>
              </w:rPr>
            </w:pPr>
          </w:p>
        </w:tc>
        <w:tc>
          <w:tcPr>
            <w:tcW w:w="2411" w:type="dxa"/>
            <w:vMerge w:val="continue"/>
            <w:tcBorders>
              <w:top w:val="single" w:color="auto" w:sz="6" w:space="0"/>
              <w:left w:val="single" w:color="auto" w:sz="6" w:space="0"/>
              <w:bottom w:val="single" w:color="auto" w:sz="6" w:space="0"/>
              <w:right w:val="single" w:color="auto" w:sz="6" w:space="0"/>
            </w:tcBorders>
            <w:noWrap/>
            <w:vAlign w:val="center"/>
          </w:tcPr>
          <w:p w14:paraId="1F340A10">
            <w:pPr>
              <w:widowControl/>
              <w:spacing w:line="400" w:lineRule="exact"/>
              <w:jc w:val="left"/>
              <w:rPr>
                <w:rFonts w:ascii="宋体" w:hAnsi="宋体"/>
                <w:color w:val="auto"/>
                <w:szCs w:val="21"/>
                <w:highlight w:val="none"/>
              </w:rPr>
            </w:pPr>
          </w:p>
        </w:tc>
        <w:tc>
          <w:tcPr>
            <w:tcW w:w="6696" w:type="dxa"/>
            <w:tcBorders>
              <w:top w:val="single" w:color="auto" w:sz="6" w:space="0"/>
              <w:left w:val="single" w:color="auto" w:sz="6" w:space="0"/>
              <w:bottom w:val="single" w:color="auto" w:sz="6" w:space="0"/>
              <w:right w:val="single" w:color="auto" w:sz="4" w:space="0"/>
            </w:tcBorders>
            <w:noWrap/>
            <w:vAlign w:val="center"/>
          </w:tcPr>
          <w:p w14:paraId="7F49E228">
            <w:pPr>
              <w:snapToGrid w:val="0"/>
              <w:spacing w:line="400" w:lineRule="exact"/>
              <w:rPr>
                <w:rFonts w:ascii="宋体" w:hAnsi="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招标文件澄清（招标答疑纪要）一经在广州公共资源交易中心网站发布，视作已发放给所有投标人，无需确认</w:t>
            </w:r>
          </w:p>
        </w:tc>
      </w:tr>
      <w:tr w14:paraId="2B51D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1120F2C">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2.3.1</w:t>
            </w:r>
          </w:p>
        </w:tc>
        <w:tc>
          <w:tcPr>
            <w:tcW w:w="2411" w:type="dxa"/>
            <w:tcBorders>
              <w:top w:val="single" w:color="auto" w:sz="6" w:space="0"/>
              <w:left w:val="single" w:color="auto" w:sz="6" w:space="0"/>
              <w:bottom w:val="single" w:color="auto" w:sz="6" w:space="0"/>
              <w:right w:val="single" w:color="auto" w:sz="6" w:space="0"/>
            </w:tcBorders>
            <w:noWrap/>
            <w:vAlign w:val="center"/>
          </w:tcPr>
          <w:p w14:paraId="58503B7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招标文件修改发出的形式</w:t>
            </w:r>
          </w:p>
        </w:tc>
        <w:tc>
          <w:tcPr>
            <w:tcW w:w="6696" w:type="dxa"/>
            <w:tcBorders>
              <w:top w:val="single" w:color="auto" w:sz="6" w:space="0"/>
              <w:left w:val="single" w:color="auto" w:sz="6" w:space="0"/>
              <w:bottom w:val="single" w:color="auto" w:sz="6" w:space="0"/>
              <w:right w:val="single" w:color="auto" w:sz="4" w:space="0"/>
            </w:tcBorders>
            <w:noWrap/>
            <w:vAlign w:val="center"/>
          </w:tcPr>
          <w:p w14:paraId="2460CC93">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以补充公告或项目答疑澄清的方式在广州公共资源交易中心网站发布。</w:t>
            </w:r>
          </w:p>
        </w:tc>
      </w:tr>
      <w:tr w14:paraId="28111E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66BAE7E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2.3.2</w:t>
            </w:r>
          </w:p>
        </w:tc>
        <w:tc>
          <w:tcPr>
            <w:tcW w:w="2411" w:type="dxa"/>
            <w:vMerge w:val="restart"/>
            <w:tcBorders>
              <w:top w:val="single" w:color="auto" w:sz="6" w:space="0"/>
              <w:left w:val="single" w:color="auto" w:sz="6" w:space="0"/>
              <w:bottom w:val="single" w:color="auto" w:sz="6" w:space="0"/>
              <w:right w:val="single" w:color="auto" w:sz="6" w:space="0"/>
            </w:tcBorders>
            <w:noWrap/>
            <w:vAlign w:val="center"/>
          </w:tcPr>
          <w:p w14:paraId="51CE3C4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投标人确认收到招标文件修改</w:t>
            </w:r>
          </w:p>
        </w:tc>
        <w:tc>
          <w:tcPr>
            <w:tcW w:w="6696" w:type="dxa"/>
            <w:tcBorders>
              <w:top w:val="single" w:color="auto" w:sz="6" w:space="0"/>
              <w:left w:val="single" w:color="auto" w:sz="6" w:space="0"/>
              <w:bottom w:val="single" w:color="auto" w:sz="6" w:space="0"/>
              <w:right w:val="single" w:color="auto" w:sz="4" w:space="0"/>
            </w:tcBorders>
            <w:noWrap/>
            <w:vAlign w:val="center"/>
          </w:tcPr>
          <w:p w14:paraId="56C9BCB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olor w:val="auto"/>
                <w:szCs w:val="21"/>
                <w:highlight w:val="none"/>
                <w:u w:val="single"/>
              </w:rPr>
              <w:t>发出即视作收到。</w:t>
            </w:r>
          </w:p>
        </w:tc>
      </w:tr>
      <w:tr w14:paraId="50577C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51B9DA9F">
            <w:pPr>
              <w:widowControl/>
              <w:spacing w:line="400" w:lineRule="exact"/>
              <w:jc w:val="left"/>
              <w:rPr>
                <w:rFonts w:ascii="宋体" w:hAnsi="宋体"/>
                <w:color w:val="auto"/>
                <w:szCs w:val="21"/>
                <w:highlight w:val="none"/>
              </w:rPr>
            </w:pPr>
          </w:p>
        </w:tc>
        <w:tc>
          <w:tcPr>
            <w:tcW w:w="2411" w:type="dxa"/>
            <w:vMerge w:val="continue"/>
            <w:tcBorders>
              <w:top w:val="single" w:color="auto" w:sz="6" w:space="0"/>
              <w:left w:val="single" w:color="auto" w:sz="6" w:space="0"/>
              <w:bottom w:val="single" w:color="auto" w:sz="6" w:space="0"/>
              <w:right w:val="single" w:color="auto" w:sz="6" w:space="0"/>
            </w:tcBorders>
            <w:noWrap/>
            <w:vAlign w:val="center"/>
          </w:tcPr>
          <w:p w14:paraId="57B08B92">
            <w:pPr>
              <w:widowControl/>
              <w:spacing w:line="400" w:lineRule="exact"/>
              <w:jc w:val="left"/>
              <w:rPr>
                <w:rFonts w:ascii="宋体" w:hAnsi="宋体"/>
                <w:color w:val="auto"/>
                <w:szCs w:val="21"/>
                <w:highlight w:val="none"/>
              </w:rPr>
            </w:pPr>
          </w:p>
        </w:tc>
        <w:tc>
          <w:tcPr>
            <w:tcW w:w="6696" w:type="dxa"/>
            <w:tcBorders>
              <w:top w:val="single" w:color="auto" w:sz="6" w:space="0"/>
              <w:left w:val="single" w:color="auto" w:sz="6" w:space="0"/>
              <w:bottom w:val="single" w:color="auto" w:sz="6" w:space="0"/>
              <w:right w:val="single" w:color="auto" w:sz="4" w:space="0"/>
            </w:tcBorders>
            <w:noWrap/>
            <w:vAlign w:val="center"/>
          </w:tcPr>
          <w:p w14:paraId="74009AFB">
            <w:pPr>
              <w:snapToGrid w:val="0"/>
              <w:spacing w:line="400" w:lineRule="exact"/>
              <w:rPr>
                <w:rFonts w:ascii="宋体" w:hAnsi="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招标文件修改一经在广州公共资源交易中心网站发布，视作已发放给所有投标人，无需确认。潜在投标人应自行关注招标公告公布的网站公告，投标人因自身贻误行为导致投标失败的，责任自负。</w:t>
            </w:r>
          </w:p>
        </w:tc>
      </w:tr>
      <w:tr w14:paraId="3E67B0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B31683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3.1.1</w:t>
            </w:r>
          </w:p>
        </w:tc>
        <w:tc>
          <w:tcPr>
            <w:tcW w:w="2411" w:type="dxa"/>
            <w:tcBorders>
              <w:top w:val="single" w:color="auto" w:sz="6" w:space="0"/>
              <w:left w:val="single" w:color="auto" w:sz="6" w:space="0"/>
              <w:bottom w:val="single" w:color="auto" w:sz="6" w:space="0"/>
              <w:right w:val="single" w:color="auto" w:sz="6" w:space="0"/>
            </w:tcBorders>
            <w:noWrap/>
            <w:vAlign w:val="center"/>
          </w:tcPr>
          <w:p w14:paraId="6BBDC92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构成投标文件的其他资料</w:t>
            </w:r>
          </w:p>
        </w:tc>
        <w:tc>
          <w:tcPr>
            <w:tcW w:w="6696" w:type="dxa"/>
            <w:tcBorders>
              <w:top w:val="single" w:color="auto" w:sz="6" w:space="0"/>
              <w:left w:val="single" w:color="auto" w:sz="6" w:space="0"/>
              <w:bottom w:val="single" w:color="auto" w:sz="6" w:space="0"/>
              <w:right w:val="single" w:color="auto" w:sz="4" w:space="0"/>
            </w:tcBorders>
            <w:noWrap/>
            <w:vAlign w:val="center"/>
          </w:tcPr>
          <w:p w14:paraId="0EB4A8D6">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w:t>
            </w:r>
          </w:p>
        </w:tc>
      </w:tr>
      <w:tr w14:paraId="23B23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EA4162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3.2.1</w:t>
            </w:r>
          </w:p>
        </w:tc>
        <w:tc>
          <w:tcPr>
            <w:tcW w:w="2411" w:type="dxa"/>
            <w:tcBorders>
              <w:top w:val="single" w:color="auto" w:sz="6" w:space="0"/>
              <w:left w:val="single" w:color="auto" w:sz="6" w:space="0"/>
              <w:bottom w:val="single" w:color="auto" w:sz="6" w:space="0"/>
              <w:right w:val="single" w:color="auto" w:sz="6" w:space="0"/>
            </w:tcBorders>
            <w:noWrap/>
            <w:vAlign w:val="center"/>
          </w:tcPr>
          <w:p w14:paraId="33AB370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增值税税金的计算方法</w:t>
            </w:r>
          </w:p>
        </w:tc>
        <w:tc>
          <w:tcPr>
            <w:tcW w:w="6696" w:type="dxa"/>
            <w:tcBorders>
              <w:top w:val="single" w:color="auto" w:sz="6" w:space="0"/>
              <w:left w:val="single" w:color="auto" w:sz="6" w:space="0"/>
              <w:bottom w:val="single" w:color="auto" w:sz="6" w:space="0"/>
              <w:right w:val="single" w:color="auto" w:sz="4" w:space="0"/>
            </w:tcBorders>
            <w:noWrap/>
            <w:vAlign w:val="center"/>
          </w:tcPr>
          <w:p w14:paraId="0D5D80D0">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按国家税务机关的规定执行。</w:t>
            </w:r>
          </w:p>
        </w:tc>
      </w:tr>
      <w:tr w14:paraId="5855EC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45249C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3.2.3</w:t>
            </w:r>
          </w:p>
        </w:tc>
        <w:tc>
          <w:tcPr>
            <w:tcW w:w="2411" w:type="dxa"/>
            <w:tcBorders>
              <w:top w:val="single" w:color="auto" w:sz="6" w:space="0"/>
              <w:left w:val="single" w:color="auto" w:sz="6" w:space="0"/>
              <w:bottom w:val="single" w:color="auto" w:sz="6" w:space="0"/>
              <w:right w:val="single" w:color="auto" w:sz="6" w:space="0"/>
            </w:tcBorders>
            <w:noWrap/>
            <w:vAlign w:val="center"/>
          </w:tcPr>
          <w:p w14:paraId="6A4FE36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报价方式</w:t>
            </w:r>
          </w:p>
        </w:tc>
        <w:tc>
          <w:tcPr>
            <w:tcW w:w="6696" w:type="dxa"/>
            <w:tcBorders>
              <w:top w:val="single" w:color="auto" w:sz="6" w:space="0"/>
              <w:left w:val="single" w:color="auto" w:sz="6" w:space="0"/>
              <w:bottom w:val="single" w:color="auto" w:sz="6" w:space="0"/>
              <w:right w:val="single" w:color="auto" w:sz="4" w:space="0"/>
            </w:tcBorders>
            <w:noWrap/>
            <w:vAlign w:val="center"/>
          </w:tcPr>
          <w:p w14:paraId="439A7E11">
            <w:pPr>
              <w:snapToGrid w:val="0"/>
              <w:spacing w:line="400" w:lineRule="exact"/>
              <w:rPr>
                <w:rFonts w:ascii="宋体" w:hAnsi="宋体"/>
                <w:color w:val="auto"/>
                <w:szCs w:val="21"/>
                <w:highlight w:val="none"/>
                <w:u w:val="single"/>
              </w:rPr>
            </w:pPr>
            <w:r>
              <w:rPr>
                <w:rFonts w:hint="eastAsia" w:ascii="宋体" w:hAnsi="宋体" w:cs="宋体"/>
                <w:color w:val="auto"/>
                <w:szCs w:val="21"/>
                <w:highlight w:val="none"/>
                <w:u w:val="single"/>
              </w:rPr>
              <w:t>采用</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下浮率(精确到小数点后2位）报价方式报价，并依据所报下浮率列明投标报价（以元为单位，精确到小数点后2位）。投标报价不得高于招标控制价，由投标人根据招标文件要求以及企业自身情况填写报价。结算方式：按合同约定执行。</w:t>
            </w:r>
          </w:p>
        </w:tc>
      </w:tr>
      <w:tr w14:paraId="239A0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4BEADD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3.2.4</w:t>
            </w:r>
          </w:p>
        </w:tc>
        <w:tc>
          <w:tcPr>
            <w:tcW w:w="2411" w:type="dxa"/>
            <w:tcBorders>
              <w:top w:val="single" w:color="auto" w:sz="6" w:space="0"/>
              <w:left w:val="single" w:color="auto" w:sz="6" w:space="0"/>
              <w:bottom w:val="single" w:color="auto" w:sz="6" w:space="0"/>
              <w:right w:val="single" w:color="auto" w:sz="6" w:space="0"/>
            </w:tcBorders>
            <w:noWrap/>
            <w:vAlign w:val="center"/>
          </w:tcPr>
          <w:p w14:paraId="63A4E94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最高投标限价</w:t>
            </w:r>
          </w:p>
        </w:tc>
        <w:tc>
          <w:tcPr>
            <w:tcW w:w="6696" w:type="dxa"/>
            <w:tcBorders>
              <w:top w:val="single" w:color="auto" w:sz="6" w:space="0"/>
              <w:left w:val="single" w:color="auto" w:sz="6" w:space="0"/>
              <w:bottom w:val="single" w:color="auto" w:sz="6" w:space="0"/>
              <w:right w:val="single" w:color="auto" w:sz="4" w:space="0"/>
            </w:tcBorders>
            <w:noWrap/>
            <w:vAlign w:val="center"/>
          </w:tcPr>
          <w:p w14:paraId="3A8F19BE">
            <w:pPr>
              <w:snapToGrid w:val="0"/>
              <w:spacing w:line="400" w:lineRule="exact"/>
              <w:rPr>
                <w:rFonts w:ascii="宋体" w:hAnsi="宋体"/>
                <w:color w:val="auto"/>
                <w:szCs w:val="21"/>
                <w:highlight w:val="none"/>
              </w:rPr>
            </w:pPr>
            <w:r>
              <w:rPr>
                <w:rFonts w:hint="eastAsia" w:ascii="宋体" w:hAnsi="宋体"/>
                <w:color w:val="auto"/>
                <w:szCs w:val="21"/>
                <w:highlight w:val="none"/>
              </w:rPr>
              <w:t>□无</w:t>
            </w:r>
          </w:p>
          <w:p w14:paraId="0E33B490">
            <w:pPr>
              <w:tabs>
                <w:tab w:val="left" w:pos="7513"/>
              </w:tabs>
              <w:adjustRightInd w:val="0"/>
              <w:snapToGrid w:val="0"/>
              <w:spacing w:line="400" w:lineRule="exact"/>
              <w:rPr>
                <w:rFonts w:ascii="宋体" w:hAnsi="宋体"/>
                <w:color w:val="auto"/>
                <w:sz w:val="15"/>
                <w:szCs w:val="15"/>
                <w:highlight w:val="none"/>
                <w:u w:val="single"/>
              </w:rPr>
            </w:pPr>
            <w:r>
              <w:rPr>
                <w:rFonts w:hint="eastAsia" w:ascii="宋体" w:hAnsi="宋体"/>
                <w:color w:val="auto"/>
                <w:spacing w:val="-1"/>
                <w:szCs w:val="21"/>
                <w:highlight w:val="none"/>
              </w:rPr>
              <w:t>■</w:t>
            </w:r>
            <w:r>
              <w:rPr>
                <w:rFonts w:hint="eastAsia" w:ascii="宋体" w:hAnsi="宋体"/>
                <w:color w:val="auto"/>
                <w:szCs w:val="21"/>
                <w:highlight w:val="none"/>
              </w:rPr>
              <w:t>有，监理费最高投标限价：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157.95</w:t>
            </w:r>
            <w:r>
              <w:rPr>
                <w:rFonts w:hint="eastAsia" w:ascii="宋体" w:hAnsi="宋体" w:cs="宋体"/>
                <w:color w:val="auto"/>
                <w:szCs w:val="21"/>
                <w:highlight w:val="none"/>
                <w:u w:val="single"/>
              </w:rPr>
              <w:t>万元</w:t>
            </w:r>
          </w:p>
          <w:p w14:paraId="7479FA5C">
            <w:pPr>
              <w:tabs>
                <w:tab w:val="left" w:pos="7513"/>
              </w:tabs>
              <w:adjustRightInd w:val="0"/>
              <w:snapToGrid w:val="0"/>
              <w:spacing w:line="400" w:lineRule="exact"/>
              <w:rPr>
                <w:rFonts w:ascii="宋体" w:hAnsi="宋体"/>
                <w:b/>
                <w:bCs/>
                <w:color w:val="auto"/>
                <w:sz w:val="18"/>
                <w:szCs w:val="18"/>
                <w:highlight w:val="none"/>
                <w:u w:val="single"/>
              </w:rPr>
            </w:pPr>
            <w:r>
              <w:rPr>
                <w:rFonts w:hint="eastAsia" w:ascii="宋体" w:hAnsi="宋体"/>
                <w:b/>
                <w:bCs/>
                <w:snapToGrid w:val="0"/>
                <w:color w:val="auto"/>
                <w:spacing w:val="4"/>
                <w:kern w:val="0"/>
                <w:sz w:val="20"/>
                <w:szCs w:val="18"/>
                <w:highlight w:val="none"/>
              </w:rPr>
              <w:t>注：投标报价不得超过项目的最高投标限价。</w:t>
            </w:r>
          </w:p>
        </w:tc>
      </w:tr>
      <w:tr w14:paraId="62E8B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64D630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3.2.5</w:t>
            </w:r>
          </w:p>
        </w:tc>
        <w:tc>
          <w:tcPr>
            <w:tcW w:w="2411" w:type="dxa"/>
            <w:tcBorders>
              <w:top w:val="single" w:color="auto" w:sz="6" w:space="0"/>
              <w:left w:val="single" w:color="auto" w:sz="6" w:space="0"/>
              <w:bottom w:val="single" w:color="auto" w:sz="6" w:space="0"/>
              <w:right w:val="single" w:color="auto" w:sz="6" w:space="0"/>
            </w:tcBorders>
            <w:noWrap/>
            <w:vAlign w:val="center"/>
          </w:tcPr>
          <w:p w14:paraId="5D5348C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投标报价的其他</w:t>
            </w:r>
          </w:p>
          <w:p w14:paraId="0A210CD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145C165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投标人必须详细审阅全部招标文件及招标图纸,充分考虑职责和义务,全面地理解招标文件对投标报价的要求,并按招标人提出的条件及内容进行报价。</w:t>
            </w:r>
          </w:p>
          <w:p w14:paraId="1D288E40">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）本项目最高</w:t>
            </w:r>
            <w:r>
              <w:rPr>
                <w:rFonts w:hint="eastAsia" w:ascii="宋体" w:hAnsi="宋体" w:eastAsia="宋体" w:cs="宋体"/>
                <w:color w:val="auto"/>
                <w:szCs w:val="21"/>
                <w:highlight w:val="none"/>
                <w:lang w:val="en-US" w:eastAsia="zh-CN"/>
              </w:rPr>
              <w:t>投标</w:t>
            </w:r>
            <w:r>
              <w:rPr>
                <w:rFonts w:hint="eastAsia" w:ascii="宋体" w:hAnsi="宋体" w:cs="宋体"/>
                <w:color w:val="auto"/>
                <w:szCs w:val="21"/>
                <w:highlight w:val="none"/>
              </w:rPr>
              <w:t>限价：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157.95</w:t>
            </w:r>
            <w:r>
              <w:rPr>
                <w:rFonts w:hint="eastAsia" w:ascii="宋体" w:hAnsi="宋体" w:cs="宋体"/>
                <w:color w:val="auto"/>
                <w:szCs w:val="21"/>
                <w:highlight w:val="none"/>
                <w:u w:val="single"/>
              </w:rPr>
              <w:t>万元</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各投标人根据本项目最高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限价自行报价。</w:t>
            </w:r>
          </w:p>
          <w:p w14:paraId="46B39312">
            <w:pPr>
              <w:keepNext w:val="0"/>
              <w:keepLines w:val="0"/>
              <w:pageBreakBefore w:val="0"/>
              <w:widowControl/>
              <w:suppressLineNumbers w:val="0"/>
              <w:kinsoku/>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rPr>
              <w:t>.监理服务收费计费额</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7725.97</w:t>
            </w:r>
            <w:r>
              <w:rPr>
                <w:rFonts w:hint="eastAsia" w:ascii="宋体" w:hAnsi="宋体" w:eastAsia="宋体" w:cs="宋体"/>
                <w:color w:val="auto"/>
                <w:kern w:val="0"/>
                <w:sz w:val="21"/>
                <w:szCs w:val="21"/>
                <w:highlight w:val="none"/>
                <w:u w:val="single"/>
                <w:lang w:val="en-US" w:eastAsia="zh-CN" w:bidi="ar"/>
              </w:rPr>
              <w:t>万元。</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sz w:val="21"/>
                <w:szCs w:val="21"/>
                <w:highlight w:val="none"/>
              </w:rPr>
              <w:t>（最终以相关部门审定的建安费结算价为准）;</w:t>
            </w:r>
          </w:p>
          <w:p w14:paraId="1B9417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b.调整系数：专业调整系数为 1.0；工程复杂程度调整系数为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；高程调整系数为1.0。</w:t>
            </w:r>
          </w:p>
          <w:p w14:paraId="78A8F2C0">
            <w:pPr>
              <w:pStyle w:val="19"/>
              <w:spacing w:line="360" w:lineRule="auto"/>
              <w:rPr>
                <w:color w:val="auto"/>
                <w:highlight w:val="none"/>
              </w:rPr>
            </w:pPr>
            <w:r>
              <w:rPr>
                <w:rFonts w:hint="eastAsia" w:hAnsi="宋体" w:cs="宋体"/>
                <w:color w:val="auto"/>
                <w:sz w:val="21"/>
                <w:highlight w:val="none"/>
              </w:rPr>
              <w:t>（</w:t>
            </w:r>
            <w:r>
              <w:rPr>
                <w:rFonts w:hint="eastAsia" w:hAnsi="宋体" w:cs="宋体"/>
                <w:color w:val="auto"/>
                <w:sz w:val="21"/>
                <w:highlight w:val="none"/>
                <w:lang w:val="en-US" w:eastAsia="zh-CN"/>
              </w:rPr>
              <w:t>3</w:t>
            </w:r>
            <w:r>
              <w:rPr>
                <w:rFonts w:hint="eastAsia" w:hAnsi="宋体" w:cs="宋体"/>
                <w:color w:val="auto"/>
                <w:sz w:val="21"/>
                <w:highlight w:val="none"/>
              </w:rPr>
              <w:t>）监理费结算按国家发改委、国家建设部文件（发改价格[2007]670号）执行</w:t>
            </w:r>
            <w:r>
              <w:rPr>
                <w:rFonts w:hint="eastAsia" w:hAnsi="宋体" w:cs="宋体"/>
                <w:color w:val="auto"/>
                <w:sz w:val="21"/>
                <w:highlight w:val="none"/>
                <w:lang w:val="en-US"/>
              </w:rPr>
              <w:t>后</w:t>
            </w:r>
            <w:r>
              <w:rPr>
                <w:rFonts w:hint="eastAsia" w:hAnsi="宋体" w:cs="宋体"/>
                <w:color w:val="auto"/>
                <w:sz w:val="21"/>
                <w:highlight w:val="none"/>
                <w:lang w:val="en-US" w:eastAsia="zh-CN"/>
              </w:rPr>
              <w:t>*</w:t>
            </w:r>
            <w:r>
              <w:rPr>
                <w:rFonts w:hint="eastAsia" w:hAnsi="宋体" w:cs="宋体"/>
                <w:color w:val="auto"/>
                <w:sz w:val="21"/>
                <w:highlight w:val="none"/>
                <w:lang w:val="en-US" w:eastAsia="zh-CN"/>
              </w:rPr>
              <w:t>0.9*</w:t>
            </w:r>
            <w:r>
              <w:rPr>
                <w:rFonts w:hint="eastAsia" w:hAnsi="宋体" w:cs="宋体"/>
                <w:color w:val="auto"/>
                <w:sz w:val="21"/>
                <w:highlight w:val="none"/>
                <w:lang w:val="en-US" w:eastAsia="zh-CN"/>
              </w:rPr>
              <w:t>（1-</w:t>
            </w:r>
            <w:r>
              <w:rPr>
                <w:rFonts w:hint="eastAsia" w:hAnsi="宋体" w:cs="宋体"/>
                <w:color w:val="auto"/>
                <w:sz w:val="21"/>
                <w:highlight w:val="none"/>
              </w:rPr>
              <w:t>监理费下浮率</w:t>
            </w:r>
            <w:r>
              <w:rPr>
                <w:rFonts w:hint="eastAsia" w:hAnsi="宋体" w:cs="宋体"/>
                <w:color w:val="auto"/>
                <w:sz w:val="21"/>
                <w:highlight w:val="none"/>
                <w:lang w:eastAsia="zh-CN"/>
              </w:rPr>
              <w:t>）</w:t>
            </w:r>
            <w:r>
              <w:rPr>
                <w:rFonts w:hint="eastAsia" w:hAnsi="宋体" w:cs="宋体"/>
                <w:color w:val="auto"/>
                <w:sz w:val="21"/>
                <w:highlight w:val="none"/>
              </w:rPr>
              <w:t>，最终以相关部门</w:t>
            </w:r>
            <w:r>
              <w:rPr>
                <w:rFonts w:hint="eastAsia" w:hAnsi="宋体" w:cs="宋体"/>
                <w:color w:val="auto"/>
                <w:sz w:val="21"/>
                <w:highlight w:val="none"/>
                <w:lang w:val="en-US"/>
              </w:rPr>
              <w:t>或委托人委托的第三方咨询机构</w:t>
            </w:r>
            <w:r>
              <w:rPr>
                <w:rFonts w:hint="eastAsia" w:hAnsi="宋体" w:cs="宋体"/>
                <w:color w:val="auto"/>
                <w:sz w:val="21"/>
                <w:highlight w:val="none"/>
              </w:rPr>
              <w:t>审定结算为准。</w:t>
            </w:r>
          </w:p>
        </w:tc>
      </w:tr>
      <w:tr w14:paraId="48BA1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071131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3.3.1</w:t>
            </w:r>
          </w:p>
        </w:tc>
        <w:tc>
          <w:tcPr>
            <w:tcW w:w="2411" w:type="dxa"/>
            <w:tcBorders>
              <w:top w:val="single" w:color="auto" w:sz="6" w:space="0"/>
              <w:left w:val="single" w:color="auto" w:sz="6" w:space="0"/>
              <w:bottom w:val="single" w:color="auto" w:sz="6" w:space="0"/>
              <w:right w:val="single" w:color="auto" w:sz="6" w:space="0"/>
            </w:tcBorders>
            <w:noWrap/>
            <w:vAlign w:val="center"/>
          </w:tcPr>
          <w:p w14:paraId="3E30A1A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6696" w:type="dxa"/>
            <w:tcBorders>
              <w:top w:val="single" w:color="auto" w:sz="6" w:space="0"/>
              <w:left w:val="single" w:color="auto" w:sz="6" w:space="0"/>
              <w:bottom w:val="single" w:color="auto" w:sz="6" w:space="0"/>
              <w:right w:val="single" w:color="auto" w:sz="4" w:space="0"/>
            </w:tcBorders>
            <w:noWrap/>
            <w:vAlign w:val="center"/>
          </w:tcPr>
          <w:p w14:paraId="3BA618F3">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lang w:val="en-US" w:eastAsia="zh-CN"/>
              </w:rPr>
              <w:t>120</w:t>
            </w:r>
            <w:r>
              <w:rPr>
                <w:rFonts w:hint="eastAsia" w:ascii="宋体" w:hAnsi="宋体"/>
                <w:color w:val="auto"/>
                <w:szCs w:val="21"/>
                <w:highlight w:val="none"/>
                <w:u w:val="single"/>
              </w:rPr>
              <w:t>日历天（从投标截止之日算起）。</w:t>
            </w:r>
          </w:p>
        </w:tc>
      </w:tr>
      <w:tr w14:paraId="3E13A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3D8E4F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3.4.1</w:t>
            </w:r>
          </w:p>
        </w:tc>
        <w:tc>
          <w:tcPr>
            <w:tcW w:w="2411" w:type="dxa"/>
            <w:tcBorders>
              <w:top w:val="single" w:color="auto" w:sz="6" w:space="0"/>
              <w:left w:val="single" w:color="auto" w:sz="6" w:space="0"/>
              <w:bottom w:val="single" w:color="auto" w:sz="6" w:space="0"/>
              <w:right w:val="single" w:color="auto" w:sz="6" w:space="0"/>
            </w:tcBorders>
            <w:noWrap/>
            <w:vAlign w:val="center"/>
          </w:tcPr>
          <w:p w14:paraId="10ADABB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投标保证金</w:t>
            </w:r>
          </w:p>
        </w:tc>
        <w:tc>
          <w:tcPr>
            <w:tcW w:w="6696" w:type="dxa"/>
            <w:tcBorders>
              <w:top w:val="single" w:color="auto" w:sz="6" w:space="0"/>
              <w:left w:val="single" w:color="auto" w:sz="6" w:space="0"/>
              <w:bottom w:val="single" w:color="auto" w:sz="6" w:space="0"/>
              <w:right w:val="single" w:color="auto" w:sz="4" w:space="0"/>
            </w:tcBorders>
            <w:noWrap/>
            <w:vAlign w:val="center"/>
          </w:tcPr>
          <w:p w14:paraId="0558872D">
            <w:pPr>
              <w:pStyle w:val="14"/>
              <w:topLinePunct/>
              <w:snapToGrid w:val="0"/>
              <w:spacing w:line="400" w:lineRule="exact"/>
              <w:rPr>
                <w:rFonts w:hAnsi="宋体"/>
                <w:color w:val="auto"/>
                <w:kern w:val="2"/>
                <w:sz w:val="21"/>
                <w:szCs w:val="21"/>
                <w:highlight w:val="none"/>
                <w:u w:val="single"/>
              </w:rPr>
            </w:pPr>
            <w:r>
              <w:rPr>
                <w:rFonts w:hint="eastAsia" w:hAnsi="宋体"/>
                <w:color w:val="auto"/>
                <w:kern w:val="2"/>
                <w:sz w:val="21"/>
                <w:szCs w:val="21"/>
                <w:highlight w:val="none"/>
                <w:u w:val="single"/>
              </w:rPr>
              <w:t>是否要求投标人递交投标保证金：</w:t>
            </w:r>
          </w:p>
          <w:p w14:paraId="750CEDD2">
            <w:pPr>
              <w:widowControl/>
              <w:topLinePunct/>
              <w:spacing w:line="280" w:lineRule="exact"/>
              <w:ind w:left="40" w:leftChars="19" w:right="107" w:rightChars="51"/>
              <w:jc w:val="left"/>
              <w:rPr>
                <w:rFonts w:hAnsi="宋体" w:cs="宋体"/>
                <w:b/>
                <w:color w:val="auto"/>
                <w:kern w:val="2"/>
                <w:sz w:val="21"/>
                <w:szCs w:val="21"/>
                <w:highlight w:val="none"/>
                <w:u w:val="single"/>
              </w:rPr>
            </w:pPr>
            <w:r>
              <w:rPr>
                <w:rFonts w:hint="eastAsia" w:ascii="宋体" w:hAnsi="宋体" w:cs="宋体"/>
                <w:color w:val="auto"/>
                <w:kern w:val="0"/>
                <w:sz w:val="24"/>
                <w:szCs w:val="24"/>
                <w:highlight w:val="none"/>
              </w:rPr>
              <w:t>□要求：</w:t>
            </w:r>
          </w:p>
          <w:p w14:paraId="7B3CF2C0">
            <w:pPr>
              <w:pStyle w:val="14"/>
              <w:topLinePunct/>
              <w:snapToGrid w:val="0"/>
              <w:spacing w:line="400" w:lineRule="exact"/>
              <w:rPr>
                <w:rFonts w:hAnsi="宋体"/>
                <w:color w:val="auto"/>
                <w:kern w:val="2"/>
                <w:sz w:val="21"/>
                <w:szCs w:val="21"/>
                <w:highlight w:val="none"/>
              </w:rPr>
            </w:pPr>
            <w:r>
              <w:rPr>
                <w:rFonts w:hint="eastAsia" w:ascii="MS Mincho" w:hAnsi="MS Mincho" w:eastAsia="MS Mincho" w:cs="MS Mincho"/>
                <w:color w:val="auto"/>
                <w:sz w:val="21"/>
                <w:szCs w:val="21"/>
                <w:highlight w:val="none"/>
              </w:rPr>
              <w:t>■</w:t>
            </w:r>
            <w:r>
              <w:rPr>
                <w:rFonts w:hint="eastAsia" w:hAnsi="宋体"/>
                <w:color w:val="auto"/>
                <w:kern w:val="2"/>
                <w:sz w:val="21"/>
                <w:szCs w:val="21"/>
                <w:highlight w:val="none"/>
              </w:rPr>
              <w:t>不要求</w:t>
            </w:r>
          </w:p>
        </w:tc>
      </w:tr>
      <w:tr w14:paraId="25404A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B3B3D9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3.4.4</w:t>
            </w:r>
          </w:p>
        </w:tc>
        <w:tc>
          <w:tcPr>
            <w:tcW w:w="2411" w:type="dxa"/>
            <w:tcBorders>
              <w:top w:val="single" w:color="auto" w:sz="6" w:space="0"/>
              <w:left w:val="single" w:color="auto" w:sz="6" w:space="0"/>
              <w:bottom w:val="single" w:color="auto" w:sz="6" w:space="0"/>
              <w:right w:val="single" w:color="auto" w:sz="6" w:space="0"/>
            </w:tcBorders>
            <w:noWrap/>
            <w:vAlign w:val="center"/>
          </w:tcPr>
          <w:p w14:paraId="4FF4946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其他可以不予退还投标保证金的情形</w:t>
            </w:r>
          </w:p>
        </w:tc>
        <w:tc>
          <w:tcPr>
            <w:tcW w:w="6696" w:type="dxa"/>
            <w:tcBorders>
              <w:top w:val="single" w:color="auto" w:sz="6" w:space="0"/>
              <w:left w:val="single" w:color="auto" w:sz="6" w:space="0"/>
              <w:bottom w:val="single" w:color="auto" w:sz="6" w:space="0"/>
              <w:right w:val="single" w:color="auto" w:sz="4" w:space="0"/>
            </w:tcBorders>
            <w:noWrap/>
            <w:vAlign w:val="center"/>
          </w:tcPr>
          <w:p w14:paraId="345A9747">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w:t>
            </w:r>
          </w:p>
        </w:tc>
      </w:tr>
      <w:tr w14:paraId="75FEE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710507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3.5</w:t>
            </w:r>
          </w:p>
        </w:tc>
        <w:tc>
          <w:tcPr>
            <w:tcW w:w="2411" w:type="dxa"/>
            <w:tcBorders>
              <w:top w:val="single" w:color="auto" w:sz="6" w:space="0"/>
              <w:left w:val="single" w:color="auto" w:sz="6" w:space="0"/>
              <w:bottom w:val="single" w:color="auto" w:sz="6" w:space="0"/>
              <w:right w:val="single" w:color="auto" w:sz="6" w:space="0"/>
            </w:tcBorders>
            <w:noWrap/>
            <w:vAlign w:val="center"/>
          </w:tcPr>
          <w:p w14:paraId="18C8479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资格审查资料的特殊要求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478F81C2">
            <w:pPr>
              <w:pStyle w:val="14"/>
              <w:topLinePunct/>
              <w:snapToGrid w:val="0"/>
              <w:spacing w:line="400" w:lineRule="exact"/>
              <w:ind w:right="174" w:rightChars="83"/>
              <w:rPr>
                <w:rFonts w:hAnsi="宋体" w:eastAsia="Times New Roman"/>
                <w:color w:val="auto"/>
                <w:sz w:val="21"/>
                <w:szCs w:val="21"/>
                <w:highlight w:val="none"/>
              </w:rPr>
            </w:pPr>
            <w:r>
              <w:rPr>
                <w:rFonts w:hint="eastAsia" w:ascii="MS Mincho" w:hAnsi="MS Mincho" w:eastAsia="MS Mincho" w:cs="MS Mincho"/>
                <w:color w:val="auto"/>
                <w:sz w:val="21"/>
                <w:szCs w:val="21"/>
                <w:highlight w:val="none"/>
              </w:rPr>
              <w:t>■</w:t>
            </w:r>
            <w:r>
              <w:rPr>
                <w:rFonts w:hint="eastAsia" w:hAnsi="宋体" w:cs="宋体"/>
                <w:color w:val="auto"/>
                <w:sz w:val="21"/>
                <w:szCs w:val="21"/>
                <w:highlight w:val="none"/>
              </w:rPr>
              <w:t>无</w:t>
            </w:r>
          </w:p>
          <w:p w14:paraId="1BF55B8C">
            <w:pPr>
              <w:pStyle w:val="14"/>
              <w:topLinePunct/>
              <w:snapToGrid w:val="0"/>
              <w:spacing w:line="400" w:lineRule="exact"/>
              <w:rPr>
                <w:rFonts w:hAnsi="宋体"/>
                <w:color w:val="auto"/>
                <w:kern w:val="2"/>
                <w:sz w:val="21"/>
                <w:szCs w:val="21"/>
                <w:highlight w:val="none"/>
              </w:rPr>
            </w:pPr>
            <w:r>
              <w:rPr>
                <w:rFonts w:hint="eastAsia" w:hAnsi="宋体" w:cs="宋体"/>
                <w:color w:val="auto"/>
                <w:sz w:val="21"/>
                <w:szCs w:val="21"/>
                <w:highlight w:val="none"/>
              </w:rPr>
              <w:t>□</w:t>
            </w:r>
            <w:r>
              <w:rPr>
                <w:rFonts w:hint="eastAsia"/>
                <w:color w:val="auto"/>
                <w:sz w:val="21"/>
                <w:szCs w:val="21"/>
                <w:highlight w:val="none"/>
              </w:rPr>
              <w:t>有</w:t>
            </w:r>
          </w:p>
        </w:tc>
      </w:tr>
      <w:tr w14:paraId="5B7A73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549668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3.5.2</w:t>
            </w:r>
          </w:p>
        </w:tc>
        <w:tc>
          <w:tcPr>
            <w:tcW w:w="2411" w:type="dxa"/>
            <w:tcBorders>
              <w:top w:val="single" w:color="auto" w:sz="6" w:space="0"/>
              <w:left w:val="single" w:color="auto" w:sz="6" w:space="0"/>
              <w:bottom w:val="single" w:color="auto" w:sz="6" w:space="0"/>
              <w:right w:val="single" w:color="auto" w:sz="6" w:space="0"/>
            </w:tcBorders>
            <w:noWrap/>
            <w:vAlign w:val="center"/>
          </w:tcPr>
          <w:p w14:paraId="4ACC87C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近年财务状况的年份要求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4F757798">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w:t>
            </w:r>
          </w:p>
        </w:tc>
      </w:tr>
      <w:tr w14:paraId="55555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B52AF6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3.5.3</w:t>
            </w:r>
          </w:p>
        </w:tc>
        <w:tc>
          <w:tcPr>
            <w:tcW w:w="2411" w:type="dxa"/>
            <w:tcBorders>
              <w:top w:val="single" w:color="auto" w:sz="6" w:space="0"/>
              <w:left w:val="single" w:color="auto" w:sz="6" w:space="0"/>
              <w:bottom w:val="single" w:color="auto" w:sz="6" w:space="0"/>
              <w:right w:val="single" w:color="auto" w:sz="6" w:space="0"/>
            </w:tcBorders>
            <w:noWrap/>
            <w:vAlign w:val="center"/>
          </w:tcPr>
          <w:p w14:paraId="0000710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近年完成的类似项目情况的时间要求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1892BF01">
            <w:pPr>
              <w:snapToGrid w:val="0"/>
              <w:spacing w:line="400" w:lineRule="exact"/>
              <w:rPr>
                <w:rFonts w:ascii="宋体" w:hAnsi="宋体"/>
                <w:color w:val="auto"/>
                <w:szCs w:val="21"/>
                <w:highlight w:val="none"/>
              </w:rPr>
            </w:pPr>
            <w:r>
              <w:rPr>
                <w:rFonts w:hint="eastAsia" w:ascii="宋体" w:hAnsi="宋体" w:cs="宋体"/>
                <w:color w:val="auto"/>
                <w:sz w:val="24"/>
                <w:szCs w:val="24"/>
                <w:highlight w:val="none"/>
              </w:rPr>
              <w:t>自20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年1月1日至今</w:t>
            </w:r>
          </w:p>
        </w:tc>
      </w:tr>
      <w:tr w14:paraId="023B6B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2E73A3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3.5.5</w:t>
            </w:r>
          </w:p>
        </w:tc>
        <w:tc>
          <w:tcPr>
            <w:tcW w:w="2411" w:type="dxa"/>
            <w:tcBorders>
              <w:top w:val="single" w:color="auto" w:sz="6" w:space="0"/>
              <w:left w:val="single" w:color="auto" w:sz="6" w:space="0"/>
              <w:bottom w:val="single" w:color="auto" w:sz="6" w:space="0"/>
              <w:right w:val="single" w:color="auto" w:sz="6" w:space="0"/>
            </w:tcBorders>
            <w:noWrap/>
            <w:vAlign w:val="center"/>
          </w:tcPr>
          <w:p w14:paraId="38F4C26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近年发生的诉讼</w:t>
            </w:r>
          </w:p>
          <w:p w14:paraId="0B6AE6B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及仲裁情况的时间要求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763132AA">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w:t>
            </w:r>
          </w:p>
        </w:tc>
      </w:tr>
      <w:tr w14:paraId="5C829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C50ECA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3.6.1</w:t>
            </w:r>
          </w:p>
        </w:tc>
        <w:tc>
          <w:tcPr>
            <w:tcW w:w="2411" w:type="dxa"/>
            <w:tcBorders>
              <w:top w:val="single" w:color="auto" w:sz="6" w:space="0"/>
              <w:left w:val="single" w:color="auto" w:sz="6" w:space="0"/>
              <w:bottom w:val="single" w:color="auto" w:sz="6" w:space="0"/>
              <w:right w:val="single" w:color="auto" w:sz="6" w:space="0"/>
            </w:tcBorders>
            <w:noWrap/>
            <w:vAlign w:val="center"/>
          </w:tcPr>
          <w:p w14:paraId="0D188A7C">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6696" w:type="dxa"/>
            <w:tcBorders>
              <w:top w:val="single" w:color="auto" w:sz="6" w:space="0"/>
              <w:left w:val="single" w:color="auto" w:sz="6" w:space="0"/>
              <w:bottom w:val="single" w:color="auto" w:sz="6" w:space="0"/>
              <w:right w:val="single" w:color="auto" w:sz="4" w:space="0"/>
            </w:tcBorders>
            <w:noWrap/>
            <w:vAlign w:val="center"/>
          </w:tcPr>
          <w:p w14:paraId="56A3F314">
            <w:pPr>
              <w:pStyle w:val="14"/>
              <w:topLinePunct/>
              <w:snapToGrid w:val="0"/>
              <w:spacing w:line="400" w:lineRule="exact"/>
              <w:rPr>
                <w:rFonts w:hAnsi="宋体"/>
                <w:color w:val="auto"/>
                <w:kern w:val="2"/>
                <w:sz w:val="21"/>
                <w:szCs w:val="21"/>
                <w:highlight w:val="none"/>
              </w:rPr>
            </w:pPr>
            <w:r>
              <w:rPr>
                <w:rFonts w:hint="eastAsia" w:hAnsi="宋体"/>
                <w:color w:val="auto"/>
                <w:spacing w:val="-1"/>
                <w:kern w:val="2"/>
                <w:sz w:val="21"/>
                <w:szCs w:val="21"/>
                <w:highlight w:val="none"/>
              </w:rPr>
              <w:t>■</w:t>
            </w:r>
            <w:r>
              <w:rPr>
                <w:rFonts w:hint="eastAsia" w:hAnsi="宋体"/>
                <w:color w:val="auto"/>
                <w:kern w:val="2"/>
                <w:sz w:val="21"/>
                <w:szCs w:val="21"/>
                <w:highlight w:val="none"/>
              </w:rPr>
              <w:t>不允许</w:t>
            </w:r>
          </w:p>
          <w:p w14:paraId="66C727C2">
            <w:pPr>
              <w:snapToGrid w:val="0"/>
              <w:spacing w:line="400" w:lineRule="exact"/>
              <w:rPr>
                <w:rFonts w:ascii="宋体" w:hAnsi="宋体"/>
                <w:color w:val="auto"/>
                <w:szCs w:val="21"/>
                <w:highlight w:val="none"/>
              </w:rPr>
            </w:pPr>
            <w:r>
              <w:rPr>
                <w:rFonts w:hint="eastAsia" w:ascii="宋体" w:hAnsi="宋体"/>
                <w:color w:val="auto"/>
                <w:szCs w:val="21"/>
                <w:highlight w:val="none"/>
              </w:rPr>
              <w:t>□允许</w:t>
            </w:r>
          </w:p>
        </w:tc>
      </w:tr>
      <w:tr w14:paraId="19505B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CE1CE4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3.7.3（B）</w:t>
            </w:r>
          </w:p>
        </w:tc>
        <w:tc>
          <w:tcPr>
            <w:tcW w:w="2411" w:type="dxa"/>
            <w:tcBorders>
              <w:top w:val="single" w:color="auto" w:sz="6" w:space="0"/>
              <w:left w:val="single" w:color="auto" w:sz="6" w:space="0"/>
              <w:bottom w:val="single" w:color="auto" w:sz="6" w:space="0"/>
              <w:right w:val="single" w:color="auto" w:sz="6" w:space="0"/>
            </w:tcBorders>
            <w:noWrap/>
            <w:vAlign w:val="center"/>
          </w:tcPr>
          <w:p w14:paraId="6CD09F3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投标文件所附证书证件要求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2907B793">
            <w:pPr>
              <w:pStyle w:val="14"/>
              <w:topLinePunct/>
              <w:snapToGrid w:val="0"/>
              <w:spacing w:line="400" w:lineRule="exact"/>
              <w:rPr>
                <w:rFonts w:hAnsi="宋体"/>
                <w:color w:val="auto"/>
                <w:kern w:val="2"/>
                <w:sz w:val="21"/>
                <w:szCs w:val="21"/>
                <w:highlight w:val="none"/>
                <w:u w:val="single"/>
              </w:rPr>
            </w:pPr>
            <w:r>
              <w:rPr>
                <w:rFonts w:hint="eastAsia" w:hAnsi="宋体"/>
                <w:color w:val="auto"/>
                <w:kern w:val="2"/>
                <w:sz w:val="21"/>
                <w:szCs w:val="21"/>
                <w:highlight w:val="none"/>
                <w:u w:val="single"/>
              </w:rPr>
              <w:t>证书证件需为原件清晰扫描件，并采用单位数字证书，按照招标文件要求在相应位置加盖电子印章。</w:t>
            </w:r>
          </w:p>
        </w:tc>
      </w:tr>
      <w:tr w14:paraId="3D1886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12F871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3.7.3（B）</w:t>
            </w:r>
          </w:p>
        </w:tc>
        <w:tc>
          <w:tcPr>
            <w:tcW w:w="2411" w:type="dxa"/>
            <w:tcBorders>
              <w:top w:val="single" w:color="auto" w:sz="6" w:space="0"/>
              <w:left w:val="single" w:color="auto" w:sz="6" w:space="0"/>
              <w:bottom w:val="single" w:color="auto" w:sz="6" w:space="0"/>
              <w:right w:val="single" w:color="auto" w:sz="6" w:space="0"/>
            </w:tcBorders>
            <w:noWrap/>
            <w:vAlign w:val="center"/>
          </w:tcPr>
          <w:p w14:paraId="2DFA9AE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投标文件签字或盖章要求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5C970EE9">
            <w:pPr>
              <w:pStyle w:val="14"/>
              <w:topLinePunct/>
              <w:adjustRightInd w:val="0"/>
              <w:snapToGrid w:val="0"/>
              <w:spacing w:line="400" w:lineRule="exact"/>
              <w:textAlignment w:val="baseline"/>
              <w:outlineLvl w:val="1"/>
              <w:rPr>
                <w:rFonts w:hAnsi="宋体"/>
                <w:color w:val="auto"/>
                <w:kern w:val="2"/>
                <w:sz w:val="21"/>
                <w:szCs w:val="21"/>
                <w:highlight w:val="none"/>
                <w:u w:val="single"/>
              </w:rPr>
            </w:pPr>
            <w:r>
              <w:rPr>
                <w:rFonts w:hint="eastAsia" w:hAnsi="宋体"/>
                <w:color w:val="auto"/>
                <w:kern w:val="2"/>
                <w:sz w:val="21"/>
                <w:szCs w:val="21"/>
                <w:highlight w:val="none"/>
                <w:u w:val="single"/>
              </w:rPr>
              <w:t>投标文件全部采用电子文档，投标文件所附证书证件均为原件扫描件，并采用单位数字证书，按招标文件要求在相应位置加盖电子印章。投标文件中需个人签字或盖章的，应手签后扫描上传。具体操作详见广州公共资源交易中心网站发布的《建设工程全流程电子化项目操作指南（适用于投标人）》。</w:t>
            </w:r>
          </w:p>
        </w:tc>
      </w:tr>
      <w:tr w14:paraId="60D348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DBBECC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4.1.1（B）</w:t>
            </w:r>
          </w:p>
        </w:tc>
        <w:tc>
          <w:tcPr>
            <w:tcW w:w="2411" w:type="dxa"/>
            <w:tcBorders>
              <w:top w:val="single" w:color="auto" w:sz="6" w:space="0"/>
              <w:left w:val="single" w:color="auto" w:sz="6" w:space="0"/>
              <w:bottom w:val="single" w:color="auto" w:sz="6" w:space="0"/>
              <w:right w:val="single" w:color="auto" w:sz="6" w:space="0"/>
            </w:tcBorders>
            <w:noWrap/>
            <w:vAlign w:val="center"/>
          </w:tcPr>
          <w:p w14:paraId="637DCD2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投标文件加密要求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5C73A72C">
            <w:pPr>
              <w:pStyle w:val="14"/>
              <w:topLinePunct/>
              <w:adjustRightInd w:val="0"/>
              <w:snapToGrid w:val="0"/>
              <w:spacing w:line="400" w:lineRule="exact"/>
              <w:textAlignment w:val="baseline"/>
              <w:outlineLvl w:val="1"/>
              <w:rPr>
                <w:rFonts w:hAnsi="宋体"/>
                <w:color w:val="auto"/>
                <w:kern w:val="2"/>
                <w:sz w:val="21"/>
                <w:szCs w:val="21"/>
                <w:highlight w:val="none"/>
                <w:u w:val="single"/>
              </w:rPr>
            </w:pPr>
            <w:r>
              <w:rPr>
                <w:rFonts w:hint="eastAsia" w:hAnsi="宋体"/>
                <w:color w:val="auto"/>
                <w:kern w:val="2"/>
                <w:sz w:val="21"/>
                <w:szCs w:val="21"/>
                <w:highlight w:val="none"/>
                <w:u w:val="single"/>
              </w:rPr>
              <w:t>网上递交的电子投标文件须进行加密。具体操作详见广州公共资源交易中心网站发布的《建设工程全流程电子化项目操作指南（适用于投标人）》。</w:t>
            </w:r>
          </w:p>
        </w:tc>
      </w:tr>
      <w:tr w14:paraId="7F13DD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856F43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4.1.2</w:t>
            </w:r>
          </w:p>
        </w:tc>
        <w:tc>
          <w:tcPr>
            <w:tcW w:w="2411" w:type="dxa"/>
            <w:tcBorders>
              <w:top w:val="single" w:color="auto" w:sz="6" w:space="0"/>
              <w:left w:val="single" w:color="auto" w:sz="6" w:space="0"/>
              <w:bottom w:val="single" w:color="auto" w:sz="6" w:space="0"/>
              <w:right w:val="single" w:color="auto" w:sz="6" w:space="0"/>
            </w:tcBorders>
            <w:noWrap/>
            <w:vAlign w:val="center"/>
          </w:tcPr>
          <w:p w14:paraId="6C5A923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封套上应载明</w:t>
            </w:r>
          </w:p>
          <w:p w14:paraId="0C84962F">
            <w:pPr>
              <w:snapToGrid w:val="0"/>
              <w:spacing w:line="400" w:lineRule="exact"/>
              <w:jc w:val="center"/>
              <w:rPr>
                <w:rFonts w:ascii="宋体" w:hAnsi="宋体"/>
                <w:color w:val="auto"/>
                <w:szCs w:val="21"/>
                <w:highlight w:val="none"/>
                <w:shd w:val="clear" w:color="auto" w:fill="D9D9D9"/>
              </w:rPr>
            </w:pPr>
            <w:r>
              <w:rPr>
                <w:rFonts w:hint="eastAsia" w:ascii="宋体" w:hAnsi="宋体"/>
                <w:color w:val="auto"/>
                <w:szCs w:val="21"/>
                <w:highlight w:val="none"/>
              </w:rPr>
              <w:t>的信息</w:t>
            </w:r>
          </w:p>
        </w:tc>
        <w:tc>
          <w:tcPr>
            <w:tcW w:w="6696" w:type="dxa"/>
            <w:tcBorders>
              <w:top w:val="single" w:color="auto" w:sz="6" w:space="0"/>
              <w:left w:val="single" w:color="auto" w:sz="6" w:space="0"/>
              <w:bottom w:val="single" w:color="auto" w:sz="6" w:space="0"/>
              <w:right w:val="single" w:color="auto" w:sz="4" w:space="0"/>
            </w:tcBorders>
            <w:noWrap/>
            <w:vAlign w:val="center"/>
          </w:tcPr>
          <w:p w14:paraId="092CC9CC">
            <w:pPr>
              <w:pStyle w:val="14"/>
              <w:topLinePunct/>
              <w:snapToGrid w:val="0"/>
              <w:spacing w:line="400" w:lineRule="exact"/>
              <w:ind w:right="174" w:rightChars="83"/>
              <w:rPr>
                <w:rFonts w:hint="eastAsia" w:hAnsi="宋体"/>
                <w:color w:val="auto"/>
                <w:sz w:val="21"/>
                <w:szCs w:val="21"/>
                <w:highlight w:val="none"/>
              </w:rPr>
            </w:pPr>
            <w:r>
              <w:rPr>
                <w:rFonts w:hint="eastAsia" w:hAnsi="宋体"/>
                <w:color w:val="auto"/>
                <w:sz w:val="21"/>
                <w:szCs w:val="21"/>
                <w:highlight w:val="none"/>
              </w:rPr>
              <w:t>对递交的备用投标文件电子光盘要求封装。</w:t>
            </w:r>
          </w:p>
          <w:p w14:paraId="76FBA341">
            <w:pPr>
              <w:pStyle w:val="14"/>
              <w:topLinePunct/>
              <w:snapToGrid w:val="0"/>
              <w:spacing w:line="400" w:lineRule="exact"/>
              <w:ind w:right="174" w:rightChars="83"/>
              <w:rPr>
                <w:rFonts w:hint="eastAsia" w:hAnsi="宋体" w:eastAsia="宋体"/>
                <w:color w:val="auto"/>
                <w:sz w:val="21"/>
                <w:szCs w:val="21"/>
                <w:highlight w:val="none"/>
                <w:u w:val="single"/>
                <w:lang w:eastAsia="zh-CN"/>
              </w:rPr>
            </w:pPr>
            <w:r>
              <w:rPr>
                <w:rFonts w:hint="eastAsia" w:hAnsi="宋体"/>
                <w:color w:val="auto"/>
                <w:sz w:val="21"/>
                <w:szCs w:val="21"/>
                <w:highlight w:val="none"/>
              </w:rPr>
              <w:t>招标人名称：</w:t>
            </w:r>
            <w:r>
              <w:rPr>
                <w:rFonts w:hint="eastAsia" w:hAnsi="宋体"/>
                <w:color w:val="auto"/>
                <w:sz w:val="21"/>
                <w:szCs w:val="21"/>
                <w:highlight w:val="none"/>
                <w:u w:val="single"/>
                <w:lang w:eastAsia="zh-CN"/>
              </w:rPr>
              <w:t>广州市荔湾区建设工程项目代建中心</w:t>
            </w:r>
          </w:p>
          <w:p w14:paraId="02AC470E">
            <w:pPr>
              <w:snapToGrid w:val="0"/>
              <w:spacing w:line="400" w:lineRule="exact"/>
              <w:ind w:right="174" w:rightChars="83"/>
              <w:rPr>
                <w:rFonts w:hint="eastAsia" w:ascii="宋体" w:hAnsi="宋体" w:eastAsia="宋体"/>
                <w:color w:val="auto"/>
                <w:szCs w:val="21"/>
                <w:highlight w:val="none"/>
                <w:u w:val="single"/>
                <w:lang w:eastAsia="zh-CN"/>
              </w:rPr>
            </w:pPr>
            <w:r>
              <w:rPr>
                <w:rFonts w:hint="eastAsia" w:ascii="宋体" w:hAnsi="宋体"/>
                <w:color w:val="auto"/>
                <w:szCs w:val="21"/>
                <w:highlight w:val="none"/>
              </w:rPr>
              <w:t>招标人地址：</w:t>
            </w:r>
            <w:r>
              <w:rPr>
                <w:rFonts w:hint="eastAsia" w:ascii="宋体" w:hAnsi="宋体"/>
                <w:color w:val="auto"/>
                <w:szCs w:val="21"/>
                <w:highlight w:val="none"/>
                <w:u w:val="single"/>
                <w:lang w:eastAsia="zh-CN"/>
              </w:rPr>
              <w:t>广州市荔湾区信义路21号</w:t>
            </w:r>
          </w:p>
          <w:p w14:paraId="393AD4EE">
            <w:pPr>
              <w:pStyle w:val="14"/>
              <w:topLinePunct/>
              <w:snapToGrid w:val="0"/>
              <w:spacing w:line="400" w:lineRule="exact"/>
              <w:ind w:right="174" w:rightChars="83"/>
              <w:rPr>
                <w:rFonts w:hAnsi="宋体"/>
                <w:color w:val="auto"/>
                <w:sz w:val="21"/>
                <w:szCs w:val="21"/>
                <w:highlight w:val="none"/>
              </w:rPr>
            </w:pPr>
            <w:r>
              <w:rPr>
                <w:rFonts w:hint="eastAsia" w:ascii="宋体" w:hAnsi="宋体" w:eastAsia="宋体" w:cs="Times New Roman"/>
                <w:color w:val="auto"/>
                <w:sz w:val="21"/>
                <w:szCs w:val="21"/>
                <w:highlight w:val="none"/>
                <w:u w:val="single"/>
                <w:shd w:val="clear"/>
                <w:lang w:val="en-US" w:eastAsia="zh-CN"/>
              </w:rPr>
              <w:t>鹤洞小学</w:t>
            </w:r>
            <w:r>
              <w:rPr>
                <w:rFonts w:hint="eastAsia" w:ascii="宋体" w:hAnsi="宋体" w:eastAsia="宋体" w:cs="Times New Roman"/>
                <w:color w:val="auto"/>
                <w:sz w:val="21"/>
                <w:szCs w:val="21"/>
                <w:highlight w:val="none"/>
                <w:u w:val="single"/>
                <w:shd w:val="clear"/>
                <w:lang w:eastAsia="zh-CN"/>
              </w:rPr>
              <w:t>建设工程</w:t>
            </w:r>
            <w:r>
              <w:rPr>
                <w:rFonts w:hint="eastAsia" w:ascii="宋体" w:hAnsi="宋体" w:eastAsia="宋体" w:cs="Times New Roman"/>
                <w:color w:val="auto"/>
                <w:sz w:val="21"/>
                <w:szCs w:val="21"/>
                <w:highlight w:val="none"/>
                <w:u w:val="single"/>
                <w:lang w:val="en-US" w:eastAsia="zh-CN"/>
              </w:rPr>
              <w:t>施工</w:t>
            </w:r>
            <w:r>
              <w:rPr>
                <w:rFonts w:hint="eastAsia" w:ascii="宋体" w:hAnsi="宋体" w:eastAsia="宋体" w:cs="Times New Roman"/>
                <w:color w:val="auto"/>
                <w:sz w:val="21"/>
                <w:szCs w:val="21"/>
                <w:highlight w:val="none"/>
                <w:u w:val="single"/>
              </w:rPr>
              <w:t>监理</w:t>
            </w:r>
            <w:r>
              <w:rPr>
                <w:rFonts w:hint="eastAsia" w:hAnsi="宋体"/>
                <w:color w:val="auto"/>
                <w:sz w:val="21"/>
                <w:szCs w:val="21"/>
                <w:highlight w:val="none"/>
              </w:rPr>
              <w:t>投标文件</w:t>
            </w:r>
          </w:p>
          <w:p w14:paraId="73ED3F79">
            <w:pPr>
              <w:pStyle w:val="14"/>
              <w:topLinePunct/>
              <w:snapToGrid w:val="0"/>
              <w:spacing w:line="400" w:lineRule="exact"/>
              <w:ind w:right="174" w:rightChars="83"/>
              <w:rPr>
                <w:rFonts w:hAnsi="宋体"/>
                <w:color w:val="auto"/>
                <w:sz w:val="21"/>
                <w:szCs w:val="21"/>
                <w:highlight w:val="none"/>
                <w:u w:val="single"/>
              </w:rPr>
            </w:pPr>
            <w:r>
              <w:rPr>
                <w:rFonts w:hint="eastAsia" w:hAnsi="宋体"/>
                <w:color w:val="auto"/>
                <w:sz w:val="21"/>
                <w:szCs w:val="21"/>
                <w:highlight w:val="none"/>
              </w:rPr>
              <w:t>招标项目编号：</w:t>
            </w:r>
          </w:p>
          <w:p w14:paraId="3CB2F8E0">
            <w:pPr>
              <w:pStyle w:val="14"/>
              <w:topLinePunct/>
              <w:snapToGrid w:val="0"/>
              <w:spacing w:line="400" w:lineRule="exact"/>
              <w:rPr>
                <w:rFonts w:hAnsi="宋体"/>
                <w:color w:val="auto"/>
                <w:kern w:val="2"/>
                <w:sz w:val="21"/>
                <w:szCs w:val="21"/>
                <w:highlight w:val="none"/>
              </w:rPr>
            </w:pPr>
            <w:r>
              <w:rPr>
                <w:rFonts w:hint="eastAsia" w:hAnsi="宋体"/>
                <w:color w:val="auto"/>
                <w:sz w:val="21"/>
                <w:szCs w:val="21"/>
                <w:highlight w:val="none"/>
                <w:u w:val="single"/>
              </w:rPr>
              <w:t>在   年   月   日时</w:t>
            </w:r>
            <w:r>
              <w:rPr>
                <w:rFonts w:hint="eastAsia" w:hAnsi="宋体"/>
                <w:color w:val="auto"/>
                <w:sz w:val="21"/>
                <w:szCs w:val="21"/>
                <w:highlight w:val="none"/>
              </w:rPr>
              <w:t>前不得开启</w:t>
            </w:r>
          </w:p>
        </w:tc>
      </w:tr>
      <w:tr w14:paraId="5247C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60A65F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4.2.1</w:t>
            </w:r>
          </w:p>
        </w:tc>
        <w:tc>
          <w:tcPr>
            <w:tcW w:w="2411" w:type="dxa"/>
            <w:tcBorders>
              <w:top w:val="single" w:color="auto" w:sz="6" w:space="0"/>
              <w:left w:val="single" w:color="auto" w:sz="6" w:space="0"/>
              <w:bottom w:val="single" w:color="auto" w:sz="6" w:space="0"/>
              <w:right w:val="single" w:color="auto" w:sz="6" w:space="0"/>
            </w:tcBorders>
            <w:noWrap/>
            <w:vAlign w:val="center"/>
          </w:tcPr>
          <w:p w14:paraId="63290FC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投标截止时间</w:t>
            </w:r>
          </w:p>
        </w:tc>
        <w:tc>
          <w:tcPr>
            <w:tcW w:w="6696" w:type="dxa"/>
            <w:tcBorders>
              <w:top w:val="single" w:color="auto" w:sz="6" w:space="0"/>
              <w:left w:val="single" w:color="auto" w:sz="6" w:space="0"/>
              <w:bottom w:val="single" w:color="auto" w:sz="6" w:space="0"/>
              <w:right w:val="single" w:color="auto" w:sz="4" w:space="0"/>
            </w:tcBorders>
            <w:noWrap/>
            <w:vAlign w:val="center"/>
          </w:tcPr>
          <w:p w14:paraId="6DFFEDA6">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 xml:space="preserve"> 20</w:t>
            </w:r>
            <w:r>
              <w:rPr>
                <w:rFonts w:hint="eastAsia" w:ascii="宋体" w:hAnsi="宋体"/>
                <w:color w:val="auto"/>
                <w:szCs w:val="21"/>
                <w:highlight w:val="none"/>
                <w:u w:val="single"/>
                <w:lang w:val="en-US" w:eastAsia="zh-CN"/>
              </w:rPr>
              <w:t>24</w:t>
            </w:r>
            <w:r>
              <w:rPr>
                <w:rFonts w:hint="eastAsia" w:ascii="宋体" w:hAnsi="宋体"/>
                <w:color w:val="auto"/>
                <w:szCs w:val="21"/>
                <w:highlight w:val="none"/>
              </w:rPr>
              <w:t>年  月  日时分</w:t>
            </w:r>
            <w:r>
              <w:rPr>
                <w:rFonts w:hint="eastAsia" w:ascii="宋体" w:hAnsi="宋体" w:cs="宋体"/>
                <w:color w:val="auto"/>
                <w:szCs w:val="21"/>
                <w:highlight w:val="none"/>
              </w:rPr>
              <w:t>（北京时间）</w:t>
            </w:r>
          </w:p>
        </w:tc>
      </w:tr>
      <w:tr w14:paraId="7323CA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7967B9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4.2.3</w:t>
            </w:r>
          </w:p>
        </w:tc>
        <w:tc>
          <w:tcPr>
            <w:tcW w:w="2411" w:type="dxa"/>
            <w:tcBorders>
              <w:top w:val="single" w:color="auto" w:sz="6" w:space="0"/>
              <w:left w:val="single" w:color="auto" w:sz="6" w:space="0"/>
              <w:bottom w:val="single" w:color="auto" w:sz="6" w:space="0"/>
              <w:right w:val="single" w:color="auto" w:sz="6" w:space="0"/>
            </w:tcBorders>
            <w:noWrap/>
            <w:vAlign w:val="center"/>
          </w:tcPr>
          <w:p w14:paraId="57077CB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投标文件是否退还</w:t>
            </w:r>
          </w:p>
        </w:tc>
        <w:tc>
          <w:tcPr>
            <w:tcW w:w="6696" w:type="dxa"/>
            <w:tcBorders>
              <w:top w:val="single" w:color="auto" w:sz="6" w:space="0"/>
              <w:left w:val="single" w:color="auto" w:sz="6" w:space="0"/>
              <w:bottom w:val="single" w:color="auto" w:sz="6" w:space="0"/>
              <w:right w:val="single" w:color="auto" w:sz="4" w:space="0"/>
            </w:tcBorders>
            <w:noWrap/>
            <w:vAlign w:val="center"/>
          </w:tcPr>
          <w:p w14:paraId="34728B2B">
            <w:pPr>
              <w:pStyle w:val="14"/>
              <w:topLinePunct/>
              <w:snapToGrid w:val="0"/>
              <w:spacing w:line="400" w:lineRule="exact"/>
              <w:rPr>
                <w:rFonts w:hAnsi="宋体"/>
                <w:color w:val="auto"/>
                <w:kern w:val="2"/>
                <w:sz w:val="21"/>
                <w:szCs w:val="21"/>
                <w:highlight w:val="none"/>
              </w:rPr>
            </w:pPr>
            <w:r>
              <w:rPr>
                <w:rFonts w:hint="eastAsia" w:hAnsi="宋体"/>
                <w:color w:val="auto"/>
                <w:spacing w:val="-1"/>
                <w:kern w:val="2"/>
                <w:sz w:val="21"/>
                <w:szCs w:val="21"/>
                <w:highlight w:val="none"/>
              </w:rPr>
              <w:t>■</w:t>
            </w:r>
            <w:r>
              <w:rPr>
                <w:rFonts w:hint="eastAsia" w:hAnsi="宋体"/>
                <w:color w:val="auto"/>
                <w:kern w:val="2"/>
                <w:sz w:val="21"/>
                <w:szCs w:val="21"/>
                <w:highlight w:val="none"/>
              </w:rPr>
              <w:t>否</w:t>
            </w:r>
          </w:p>
          <w:p w14:paraId="0CAB9F05">
            <w:pPr>
              <w:pStyle w:val="14"/>
              <w:topLinePunct/>
              <w:snapToGrid w:val="0"/>
              <w:spacing w:line="400" w:lineRule="exact"/>
              <w:rPr>
                <w:rFonts w:hAnsi="宋体"/>
                <w:color w:val="auto"/>
                <w:kern w:val="2"/>
                <w:sz w:val="21"/>
                <w:szCs w:val="21"/>
                <w:highlight w:val="none"/>
              </w:rPr>
            </w:pPr>
            <w:r>
              <w:rPr>
                <w:rFonts w:hint="eastAsia" w:hAnsi="宋体"/>
                <w:color w:val="auto"/>
                <w:kern w:val="2"/>
                <w:sz w:val="21"/>
                <w:szCs w:val="21"/>
                <w:highlight w:val="none"/>
              </w:rPr>
              <w:t>□是，退还时间：</w:t>
            </w:r>
          </w:p>
        </w:tc>
      </w:tr>
      <w:tr w14:paraId="708758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6645C7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5.1（B）</w:t>
            </w:r>
          </w:p>
        </w:tc>
        <w:tc>
          <w:tcPr>
            <w:tcW w:w="2411" w:type="dxa"/>
            <w:tcBorders>
              <w:top w:val="single" w:color="auto" w:sz="6" w:space="0"/>
              <w:left w:val="single" w:color="auto" w:sz="6" w:space="0"/>
              <w:bottom w:val="single" w:color="auto" w:sz="6" w:space="0"/>
              <w:right w:val="single" w:color="auto" w:sz="6" w:space="0"/>
            </w:tcBorders>
            <w:noWrap/>
            <w:vAlign w:val="center"/>
          </w:tcPr>
          <w:p w14:paraId="00F9565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开标时间和地点</w:t>
            </w:r>
          </w:p>
        </w:tc>
        <w:tc>
          <w:tcPr>
            <w:tcW w:w="6696" w:type="dxa"/>
            <w:tcBorders>
              <w:top w:val="single" w:color="auto" w:sz="6" w:space="0"/>
              <w:left w:val="single" w:color="auto" w:sz="6" w:space="0"/>
              <w:bottom w:val="single" w:color="auto" w:sz="6" w:space="0"/>
              <w:right w:val="single" w:color="auto" w:sz="4" w:space="0"/>
            </w:tcBorders>
            <w:noWrap/>
            <w:vAlign w:val="center"/>
          </w:tcPr>
          <w:p w14:paraId="5F4DB95D">
            <w:pPr>
              <w:spacing w:line="400" w:lineRule="exact"/>
              <w:rPr>
                <w:color w:val="auto"/>
                <w:szCs w:val="21"/>
                <w:highlight w:val="none"/>
              </w:rPr>
            </w:pPr>
            <w:r>
              <w:rPr>
                <w:rFonts w:hint="eastAsia"/>
                <w:color w:val="auto"/>
                <w:szCs w:val="21"/>
                <w:highlight w:val="none"/>
              </w:rPr>
              <w:t>开标时间：同投标截止时间</w:t>
            </w:r>
          </w:p>
          <w:p w14:paraId="1B0CED29">
            <w:pPr>
              <w:spacing w:line="400" w:lineRule="exact"/>
              <w:rPr>
                <w:color w:val="auto"/>
                <w:szCs w:val="21"/>
                <w:highlight w:val="none"/>
              </w:rPr>
            </w:pPr>
            <w:r>
              <w:rPr>
                <w:rFonts w:hint="eastAsia"/>
                <w:color w:val="auto"/>
                <w:szCs w:val="21"/>
                <w:highlight w:val="none"/>
              </w:rPr>
              <w:t>开标地点：</w:t>
            </w:r>
            <w:r>
              <w:rPr>
                <w:rFonts w:hint="eastAsia"/>
                <w:color w:val="auto"/>
                <w:szCs w:val="21"/>
                <w:highlight w:val="none"/>
                <w:u w:val="single"/>
              </w:rPr>
              <w:t>广州公共资源交易中心（广州市天河区天润</w:t>
            </w:r>
            <w:r>
              <w:rPr>
                <w:rFonts w:hint="eastAsia" w:ascii="宋体" w:hAnsi="宋体"/>
                <w:color w:val="auto"/>
                <w:szCs w:val="21"/>
                <w:highlight w:val="none"/>
                <w:u w:val="single"/>
              </w:rPr>
              <w:t>路333</w:t>
            </w:r>
            <w:r>
              <w:rPr>
                <w:rFonts w:hint="eastAsia"/>
                <w:color w:val="auto"/>
                <w:szCs w:val="21"/>
                <w:highlight w:val="none"/>
                <w:u w:val="single"/>
              </w:rPr>
              <w:t>号）</w:t>
            </w:r>
          </w:p>
          <w:p w14:paraId="2C6BDE34">
            <w:pPr>
              <w:snapToGrid w:val="0"/>
              <w:spacing w:line="400" w:lineRule="exact"/>
              <w:rPr>
                <w:rFonts w:ascii="宋体" w:hAnsi="宋体"/>
                <w:color w:val="auto"/>
                <w:szCs w:val="21"/>
                <w:highlight w:val="none"/>
              </w:rPr>
            </w:pPr>
            <w:r>
              <w:rPr>
                <w:rFonts w:hint="eastAsia"/>
                <w:color w:val="auto"/>
                <w:szCs w:val="21"/>
                <w:highlight w:val="none"/>
                <w:u w:val="single"/>
              </w:rPr>
              <w:t>详见广州公共资源交易中心网站信息</w:t>
            </w:r>
            <w:r>
              <w:rPr>
                <w:rFonts w:hint="eastAsia"/>
                <w:color w:val="auto"/>
                <w:szCs w:val="21"/>
                <w:highlight w:val="none"/>
              </w:rPr>
              <w:t>，</w:t>
            </w:r>
            <w:r>
              <w:rPr>
                <w:rFonts w:hint="eastAsia" w:ascii="宋体" w:hAnsi="宋体"/>
                <w:color w:val="auto"/>
                <w:szCs w:val="21"/>
                <w:highlight w:val="none"/>
              </w:rPr>
              <w:t>并邀请所有投标人的法定代表人（单位负责人）或其委托代理人准时参加。开标时，投标人代表有权出席开标会，也可以自主决定不参加开标会，若投标人代表对开标过程提出异议，该投标人代表须同时出示本人身份证原件。</w:t>
            </w:r>
          </w:p>
        </w:tc>
      </w:tr>
      <w:tr w14:paraId="09F0E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3"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40DC2B4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5.2（B）</w:t>
            </w:r>
          </w:p>
          <w:p w14:paraId="2B4D741C">
            <w:pPr>
              <w:snapToGrid w:val="0"/>
              <w:spacing w:line="400" w:lineRule="exact"/>
              <w:jc w:val="center"/>
              <w:rPr>
                <w:rFonts w:ascii="宋体" w:hAnsi="宋体"/>
                <w:color w:val="auto"/>
                <w:szCs w:val="21"/>
                <w:highlight w:val="none"/>
              </w:rPr>
            </w:pPr>
          </w:p>
        </w:tc>
        <w:tc>
          <w:tcPr>
            <w:tcW w:w="2411" w:type="dxa"/>
            <w:vMerge w:val="restart"/>
            <w:tcBorders>
              <w:top w:val="single" w:color="auto" w:sz="6" w:space="0"/>
              <w:left w:val="single" w:color="auto" w:sz="6" w:space="0"/>
              <w:bottom w:val="single" w:color="auto" w:sz="6" w:space="0"/>
              <w:right w:val="single" w:color="auto" w:sz="6" w:space="0"/>
            </w:tcBorders>
            <w:noWrap/>
            <w:vAlign w:val="center"/>
          </w:tcPr>
          <w:p w14:paraId="0BD8182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696" w:type="dxa"/>
            <w:tcBorders>
              <w:top w:val="single" w:color="auto" w:sz="6" w:space="0"/>
              <w:left w:val="single" w:color="auto" w:sz="6" w:space="0"/>
              <w:bottom w:val="single" w:color="auto" w:sz="6" w:space="0"/>
              <w:right w:val="single" w:color="auto" w:sz="4" w:space="0"/>
            </w:tcBorders>
            <w:noWrap/>
            <w:vAlign w:val="center"/>
          </w:tcPr>
          <w:p w14:paraId="6912BDEF">
            <w:pPr>
              <w:snapToGrid w:val="0"/>
              <w:spacing w:line="400" w:lineRule="exact"/>
              <w:rPr>
                <w:rFonts w:ascii="宋体" w:hAnsi="宋体"/>
                <w:color w:val="auto"/>
                <w:szCs w:val="21"/>
                <w:highlight w:val="none"/>
              </w:rPr>
            </w:pPr>
            <w:r>
              <w:rPr>
                <w:rFonts w:hint="eastAsia" w:ascii="宋体" w:hAnsi="宋体"/>
                <w:color w:val="auto"/>
                <w:szCs w:val="21"/>
                <w:highlight w:val="none"/>
              </w:rPr>
              <w:t>电子招投标项目开标按下列程序进行：</w:t>
            </w:r>
          </w:p>
          <w:p w14:paraId="55886D08">
            <w:pPr>
              <w:snapToGrid w:val="0"/>
              <w:spacing w:line="400" w:lineRule="exact"/>
              <w:rPr>
                <w:rFonts w:ascii="宋体" w:hAnsi="宋体"/>
                <w:color w:val="auto"/>
                <w:szCs w:val="21"/>
                <w:highlight w:val="none"/>
              </w:rPr>
            </w:pPr>
            <w:r>
              <w:rPr>
                <w:rFonts w:hint="eastAsia" w:ascii="宋体" w:hAnsi="宋体"/>
                <w:color w:val="auto"/>
                <w:szCs w:val="21"/>
                <w:highlight w:val="none"/>
              </w:rPr>
              <w:t>5.2.1主持人按下列程序进行开标：</w:t>
            </w:r>
          </w:p>
          <w:p w14:paraId="74DFD590">
            <w:pPr>
              <w:snapToGrid w:val="0"/>
              <w:spacing w:line="400" w:lineRule="exact"/>
              <w:rPr>
                <w:rFonts w:ascii="宋体" w:hAnsi="宋体"/>
                <w:color w:val="auto"/>
                <w:szCs w:val="21"/>
                <w:highlight w:val="none"/>
              </w:rPr>
            </w:pPr>
            <w:r>
              <w:rPr>
                <w:rFonts w:hint="eastAsia" w:ascii="宋体" w:hAnsi="宋体"/>
                <w:color w:val="auto"/>
                <w:szCs w:val="21"/>
                <w:highlight w:val="none"/>
              </w:rPr>
              <w:t>（1）宣布开标纪律；</w:t>
            </w:r>
          </w:p>
          <w:p w14:paraId="7F935EAB">
            <w:pPr>
              <w:snapToGrid w:val="0"/>
              <w:spacing w:line="400" w:lineRule="exact"/>
              <w:rPr>
                <w:rFonts w:ascii="宋体" w:hAnsi="宋体"/>
                <w:color w:val="auto"/>
                <w:szCs w:val="21"/>
                <w:highlight w:val="none"/>
              </w:rPr>
            </w:pPr>
            <w:r>
              <w:rPr>
                <w:rFonts w:hint="eastAsia" w:ascii="宋体" w:hAnsi="宋体"/>
                <w:color w:val="auto"/>
                <w:szCs w:val="21"/>
                <w:highlight w:val="none"/>
              </w:rPr>
              <w:t>（2）公布在投标截止时间前递交投标文件的投标人名称；</w:t>
            </w:r>
          </w:p>
          <w:p w14:paraId="610121CE">
            <w:pPr>
              <w:snapToGrid w:val="0"/>
              <w:spacing w:line="400" w:lineRule="exact"/>
              <w:rPr>
                <w:rFonts w:ascii="宋体" w:hAnsi="宋体"/>
                <w:color w:val="auto"/>
                <w:szCs w:val="21"/>
                <w:highlight w:val="none"/>
              </w:rPr>
            </w:pPr>
            <w:r>
              <w:rPr>
                <w:rFonts w:hint="eastAsia" w:ascii="宋体" w:hAnsi="宋体"/>
                <w:color w:val="auto"/>
                <w:szCs w:val="21"/>
                <w:highlight w:val="none"/>
              </w:rPr>
              <w:t>（3）宣布开标人、唱标人、记录人、监标人等有关人员姓名；</w:t>
            </w:r>
          </w:p>
          <w:p w14:paraId="7087AFA0">
            <w:pPr>
              <w:snapToGrid w:val="0"/>
              <w:spacing w:line="400" w:lineRule="exact"/>
              <w:rPr>
                <w:rFonts w:ascii="宋体" w:hAnsi="宋体"/>
                <w:color w:val="auto"/>
                <w:szCs w:val="21"/>
                <w:highlight w:val="none"/>
              </w:rPr>
            </w:pPr>
            <w:r>
              <w:rPr>
                <w:rFonts w:hint="eastAsia" w:ascii="宋体" w:hAnsi="宋体"/>
                <w:color w:val="auto"/>
                <w:szCs w:val="21"/>
                <w:highlight w:val="none"/>
              </w:rPr>
              <w:t>（4）（B）投标人通过电子招标投标交易平台对已递交的电子投标文件进行解密，公布招标项目名称、投标人名称、投标保证金的递交情况、</w:t>
            </w:r>
            <w:r>
              <w:rPr>
                <w:rFonts w:hint="eastAsia" w:ascii="宋体" w:hAnsi="宋体" w:cs="楷体"/>
                <w:color w:val="auto"/>
                <w:kern w:val="0"/>
                <w:szCs w:val="21"/>
                <w:highlight w:val="none"/>
              </w:rPr>
              <w:t>投标报价</w:t>
            </w:r>
            <w:r>
              <w:rPr>
                <w:rFonts w:hint="eastAsia" w:ascii="宋体" w:hAnsi="宋体"/>
                <w:color w:val="auto"/>
                <w:szCs w:val="21"/>
                <w:highlight w:val="none"/>
              </w:rPr>
              <w:t>、监理服务期限及其他内容，并记录在案；</w:t>
            </w:r>
          </w:p>
          <w:p w14:paraId="31C6B781">
            <w:pPr>
              <w:snapToGrid w:val="0"/>
              <w:spacing w:line="400" w:lineRule="exact"/>
              <w:rPr>
                <w:rFonts w:ascii="宋体" w:hAnsi="宋体"/>
                <w:color w:val="auto"/>
                <w:szCs w:val="21"/>
                <w:highlight w:val="none"/>
              </w:rPr>
            </w:pPr>
            <w:r>
              <w:rPr>
                <w:rFonts w:hint="eastAsia" w:ascii="宋体" w:hAnsi="宋体"/>
                <w:color w:val="auto"/>
                <w:szCs w:val="21"/>
                <w:highlight w:val="none"/>
              </w:rPr>
              <w:t>（5）（B）投标人代表、招标人代表、监标人、记录人等有关人员在开标记录上签字确认；若有关人员不签字的，不影响开标程序；</w:t>
            </w:r>
          </w:p>
          <w:p w14:paraId="0ABFEA09">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（6）开标结束。</w:t>
            </w:r>
          </w:p>
        </w:tc>
      </w:tr>
      <w:tr w14:paraId="4BE44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6582826D">
            <w:pPr>
              <w:widowControl/>
              <w:spacing w:line="400" w:lineRule="exact"/>
              <w:jc w:val="left"/>
              <w:rPr>
                <w:rFonts w:ascii="宋体" w:hAnsi="宋体"/>
                <w:color w:val="auto"/>
                <w:szCs w:val="21"/>
                <w:highlight w:val="none"/>
              </w:rPr>
            </w:pPr>
          </w:p>
        </w:tc>
        <w:tc>
          <w:tcPr>
            <w:tcW w:w="2411" w:type="dxa"/>
            <w:vMerge w:val="continue"/>
            <w:tcBorders>
              <w:top w:val="single" w:color="auto" w:sz="6" w:space="0"/>
              <w:left w:val="single" w:color="auto" w:sz="6" w:space="0"/>
              <w:bottom w:val="single" w:color="auto" w:sz="6" w:space="0"/>
              <w:right w:val="single" w:color="auto" w:sz="6" w:space="0"/>
            </w:tcBorders>
            <w:noWrap/>
            <w:vAlign w:val="center"/>
          </w:tcPr>
          <w:p w14:paraId="4226B01F">
            <w:pPr>
              <w:widowControl/>
              <w:spacing w:line="400" w:lineRule="exact"/>
              <w:jc w:val="left"/>
              <w:rPr>
                <w:rFonts w:ascii="宋体" w:hAnsi="宋体"/>
                <w:color w:val="auto"/>
                <w:szCs w:val="21"/>
                <w:highlight w:val="none"/>
              </w:rPr>
            </w:pPr>
          </w:p>
        </w:tc>
        <w:tc>
          <w:tcPr>
            <w:tcW w:w="6696" w:type="dxa"/>
            <w:tcBorders>
              <w:top w:val="single" w:color="auto" w:sz="6" w:space="0"/>
              <w:left w:val="single" w:color="auto" w:sz="6" w:space="0"/>
              <w:bottom w:val="single" w:color="auto" w:sz="6" w:space="0"/>
              <w:right w:val="single" w:color="auto" w:sz="4" w:space="0"/>
            </w:tcBorders>
            <w:noWrap/>
            <w:vAlign w:val="center"/>
          </w:tcPr>
          <w:p w14:paraId="1ECB27D5">
            <w:pPr>
              <w:snapToGrid w:val="0"/>
              <w:spacing w:line="400" w:lineRule="exact"/>
              <w:rPr>
                <w:rFonts w:ascii="宋体" w:hAnsi="宋体"/>
                <w:color w:val="auto"/>
                <w:szCs w:val="21"/>
                <w:highlight w:val="none"/>
              </w:rPr>
            </w:pPr>
            <w:r>
              <w:rPr>
                <w:rFonts w:hint="eastAsia" w:ascii="宋体" w:hAnsi="宋体"/>
                <w:color w:val="auto"/>
                <w:szCs w:val="21"/>
                <w:highlight w:val="none"/>
              </w:rPr>
              <w:t>5.2.2投标截止时间前未完成投标文件传输的，或因投标人之外的原因造成投标文件未解密的，视为投标人撤回其投标文件。因投标人原因造成投标文件未解密的或未在投标截止时间后</w:t>
            </w:r>
            <w:r>
              <w:rPr>
                <w:rFonts w:hint="eastAsia" w:ascii="宋体" w:hAnsi="宋体"/>
                <w:color w:val="auto"/>
                <w:szCs w:val="21"/>
                <w:highlight w:val="none"/>
                <w:u w:val="single"/>
              </w:rPr>
              <w:t>半小时内</w:t>
            </w:r>
            <w:r>
              <w:rPr>
                <w:rFonts w:hint="eastAsia" w:ascii="宋体" w:hAnsi="宋体"/>
                <w:color w:val="auto"/>
                <w:szCs w:val="21"/>
                <w:highlight w:val="none"/>
              </w:rPr>
              <w:t>解密的，视为撤销其投标文件。</w:t>
            </w:r>
          </w:p>
        </w:tc>
      </w:tr>
      <w:tr w14:paraId="78D8C8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63EFBB33">
            <w:pPr>
              <w:widowControl/>
              <w:spacing w:line="400" w:lineRule="exact"/>
              <w:jc w:val="left"/>
              <w:rPr>
                <w:rFonts w:ascii="宋体" w:hAnsi="宋体"/>
                <w:color w:val="auto"/>
                <w:szCs w:val="21"/>
                <w:highlight w:val="none"/>
              </w:rPr>
            </w:pPr>
          </w:p>
        </w:tc>
        <w:tc>
          <w:tcPr>
            <w:tcW w:w="2411" w:type="dxa"/>
            <w:vMerge w:val="continue"/>
            <w:tcBorders>
              <w:top w:val="single" w:color="auto" w:sz="6" w:space="0"/>
              <w:left w:val="single" w:color="auto" w:sz="6" w:space="0"/>
              <w:bottom w:val="single" w:color="auto" w:sz="6" w:space="0"/>
              <w:right w:val="single" w:color="auto" w:sz="6" w:space="0"/>
            </w:tcBorders>
            <w:noWrap/>
            <w:vAlign w:val="center"/>
          </w:tcPr>
          <w:p w14:paraId="318EAF2C">
            <w:pPr>
              <w:widowControl/>
              <w:spacing w:line="400" w:lineRule="exact"/>
              <w:jc w:val="left"/>
              <w:rPr>
                <w:rFonts w:ascii="宋体" w:hAnsi="宋体"/>
                <w:color w:val="auto"/>
                <w:szCs w:val="21"/>
                <w:highlight w:val="none"/>
              </w:rPr>
            </w:pPr>
          </w:p>
        </w:tc>
        <w:tc>
          <w:tcPr>
            <w:tcW w:w="6696" w:type="dxa"/>
            <w:tcBorders>
              <w:top w:val="single" w:color="auto" w:sz="6" w:space="0"/>
              <w:left w:val="single" w:color="auto" w:sz="6" w:space="0"/>
              <w:bottom w:val="single" w:color="auto" w:sz="6" w:space="0"/>
              <w:right w:val="single" w:color="auto" w:sz="4" w:space="0"/>
            </w:tcBorders>
            <w:noWrap/>
            <w:vAlign w:val="center"/>
          </w:tcPr>
          <w:p w14:paraId="7D28BADC">
            <w:pPr>
              <w:snapToGrid w:val="0"/>
              <w:spacing w:line="400" w:lineRule="exact"/>
              <w:rPr>
                <w:rFonts w:ascii="宋体" w:hAnsi="宋体"/>
                <w:color w:val="auto"/>
                <w:szCs w:val="21"/>
                <w:highlight w:val="none"/>
              </w:rPr>
            </w:pPr>
            <w:r>
              <w:rPr>
                <w:rFonts w:hint="eastAsia" w:ascii="宋体" w:hAnsi="宋体"/>
                <w:color w:val="auto"/>
                <w:szCs w:val="21"/>
                <w:highlight w:val="none"/>
              </w:rPr>
              <w:t>5.2.3开标时，两个（含两个）以上的投标人加密打包投标文件电脑机器特征码一致的，不参与下一程序，并由评标委员会否决其投标。</w:t>
            </w:r>
          </w:p>
        </w:tc>
      </w:tr>
      <w:tr w14:paraId="7983F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951735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6.1.1</w:t>
            </w:r>
          </w:p>
        </w:tc>
        <w:tc>
          <w:tcPr>
            <w:tcW w:w="2411" w:type="dxa"/>
            <w:tcBorders>
              <w:top w:val="single" w:color="auto" w:sz="6" w:space="0"/>
              <w:left w:val="single" w:color="auto" w:sz="6" w:space="0"/>
              <w:bottom w:val="single" w:color="auto" w:sz="6" w:space="0"/>
              <w:right w:val="single" w:color="auto" w:sz="6" w:space="0"/>
            </w:tcBorders>
            <w:noWrap/>
            <w:vAlign w:val="center"/>
          </w:tcPr>
          <w:p w14:paraId="41E1BD3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6696" w:type="dxa"/>
            <w:tcBorders>
              <w:top w:val="single" w:color="auto" w:sz="6" w:space="0"/>
              <w:left w:val="single" w:color="auto" w:sz="6" w:space="0"/>
              <w:bottom w:val="single" w:color="auto" w:sz="6" w:space="0"/>
              <w:right w:val="single" w:color="auto" w:sz="4" w:space="0"/>
            </w:tcBorders>
            <w:noWrap/>
            <w:vAlign w:val="center"/>
          </w:tcPr>
          <w:p w14:paraId="609D7E21">
            <w:pPr>
              <w:snapToGrid w:val="0"/>
              <w:spacing w:line="400" w:lineRule="exact"/>
              <w:rPr>
                <w:rFonts w:ascii="宋体" w:hAnsi="宋体"/>
                <w:color w:val="auto"/>
                <w:szCs w:val="21"/>
                <w:highlight w:val="none"/>
              </w:rPr>
            </w:pPr>
            <w:r>
              <w:rPr>
                <w:rFonts w:hint="eastAsia" w:ascii="宋体" w:hAnsi="宋体" w:cs="宋体"/>
                <w:color w:val="auto"/>
                <w:szCs w:val="21"/>
                <w:highlight w:val="none"/>
                <w:u w:val="single"/>
              </w:rPr>
              <w:t>由招标人依法组建。</w:t>
            </w:r>
          </w:p>
        </w:tc>
      </w:tr>
      <w:tr w14:paraId="7DC95F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B80882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6.3.2</w:t>
            </w:r>
          </w:p>
        </w:tc>
        <w:tc>
          <w:tcPr>
            <w:tcW w:w="2411" w:type="dxa"/>
            <w:tcBorders>
              <w:top w:val="single" w:color="auto" w:sz="6" w:space="0"/>
              <w:left w:val="single" w:color="auto" w:sz="6" w:space="0"/>
              <w:bottom w:val="single" w:color="auto" w:sz="6" w:space="0"/>
              <w:right w:val="single" w:color="auto" w:sz="6" w:space="0"/>
            </w:tcBorders>
            <w:noWrap/>
            <w:vAlign w:val="center"/>
          </w:tcPr>
          <w:p w14:paraId="3482B90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评标委员会推荐中标候选人的人数</w:t>
            </w:r>
          </w:p>
        </w:tc>
        <w:tc>
          <w:tcPr>
            <w:tcW w:w="6696" w:type="dxa"/>
            <w:tcBorders>
              <w:top w:val="single" w:color="auto" w:sz="6" w:space="0"/>
              <w:left w:val="single" w:color="auto" w:sz="6" w:space="0"/>
              <w:bottom w:val="single" w:color="auto" w:sz="6" w:space="0"/>
              <w:right w:val="single" w:color="auto" w:sz="4" w:space="0"/>
            </w:tcBorders>
            <w:noWrap/>
            <w:vAlign w:val="center"/>
          </w:tcPr>
          <w:p w14:paraId="4A3C057C">
            <w:pPr>
              <w:snapToGrid w:val="0"/>
              <w:spacing w:line="400" w:lineRule="exact"/>
              <w:rPr>
                <w:rFonts w:ascii="宋体" w:hAnsi="宋体"/>
                <w:color w:val="auto"/>
                <w:szCs w:val="21"/>
                <w:highlight w:val="none"/>
                <w:u w:val="single"/>
              </w:rPr>
            </w:pPr>
            <w:r>
              <w:rPr>
                <w:rFonts w:hint="eastAsia"/>
                <w:color w:val="auto"/>
                <w:szCs w:val="21"/>
                <w:highlight w:val="none"/>
              </w:rPr>
              <w:t>推荐中标候选人：</w:t>
            </w:r>
            <w:r>
              <w:rPr>
                <w:rFonts w:hint="eastAsia" w:ascii="宋体" w:hAnsi="宋体"/>
                <w:color w:val="auto"/>
                <w:szCs w:val="21"/>
                <w:highlight w:val="none"/>
                <w:u w:val="single"/>
              </w:rPr>
              <w:t>3</w:t>
            </w:r>
            <w:r>
              <w:rPr>
                <w:rFonts w:hint="eastAsia"/>
                <w:color w:val="auto"/>
                <w:szCs w:val="21"/>
                <w:highlight w:val="none"/>
                <w:u w:val="single"/>
              </w:rPr>
              <w:t>名</w:t>
            </w:r>
          </w:p>
        </w:tc>
      </w:tr>
      <w:tr w14:paraId="6F3F43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CD3931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7.1</w:t>
            </w:r>
          </w:p>
        </w:tc>
        <w:tc>
          <w:tcPr>
            <w:tcW w:w="2411" w:type="dxa"/>
            <w:tcBorders>
              <w:top w:val="single" w:color="auto" w:sz="6" w:space="0"/>
              <w:left w:val="single" w:color="auto" w:sz="6" w:space="0"/>
              <w:bottom w:val="single" w:color="auto" w:sz="6" w:space="0"/>
              <w:right w:val="single" w:color="auto" w:sz="6" w:space="0"/>
            </w:tcBorders>
            <w:noWrap/>
            <w:vAlign w:val="center"/>
          </w:tcPr>
          <w:p w14:paraId="342B8B4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中标候选人公示媒介及期限</w:t>
            </w:r>
          </w:p>
        </w:tc>
        <w:tc>
          <w:tcPr>
            <w:tcW w:w="6696" w:type="dxa"/>
            <w:tcBorders>
              <w:top w:val="single" w:color="auto" w:sz="6" w:space="0"/>
              <w:left w:val="single" w:color="auto" w:sz="6" w:space="0"/>
              <w:bottom w:val="single" w:color="auto" w:sz="6" w:space="0"/>
              <w:right w:val="single" w:color="auto" w:sz="4" w:space="0"/>
            </w:tcBorders>
            <w:noWrap/>
            <w:vAlign w:val="center"/>
          </w:tcPr>
          <w:p w14:paraId="12F802A3">
            <w:pPr>
              <w:snapToGrid w:val="0"/>
              <w:spacing w:line="400" w:lineRule="exact"/>
              <w:ind w:left="34" w:right="108"/>
              <w:rPr>
                <w:rFonts w:ascii="宋体" w:hAnsi="宋体"/>
                <w:color w:val="auto"/>
                <w:szCs w:val="21"/>
                <w:highlight w:val="none"/>
                <w:u w:val="single"/>
              </w:rPr>
            </w:pPr>
            <w:r>
              <w:rPr>
                <w:rFonts w:hint="eastAsia" w:ascii="宋体" w:hAnsi="宋体"/>
                <w:color w:val="auto"/>
                <w:szCs w:val="21"/>
                <w:highlight w:val="none"/>
              </w:rPr>
              <w:t>公示媒介：</w:t>
            </w:r>
            <w:r>
              <w:rPr>
                <w:rFonts w:hint="eastAsia" w:ascii="宋体" w:hAnsi="宋体"/>
                <w:bCs/>
                <w:color w:val="auto"/>
                <w:szCs w:val="21"/>
                <w:highlight w:val="none"/>
                <w:u w:val="single"/>
              </w:rPr>
              <w:t>中国招标投标公共服务平台、广东省招标投标监管网、广州公共资源交易中心网</w:t>
            </w:r>
          </w:p>
          <w:p w14:paraId="3770E36B">
            <w:pPr>
              <w:snapToGrid w:val="0"/>
              <w:spacing w:line="400" w:lineRule="exact"/>
              <w:ind w:left="34" w:right="106"/>
              <w:rPr>
                <w:rFonts w:ascii="宋体" w:hAnsi="宋体"/>
                <w:color w:val="auto"/>
                <w:szCs w:val="21"/>
                <w:highlight w:val="none"/>
              </w:rPr>
            </w:pPr>
            <w:r>
              <w:rPr>
                <w:rFonts w:hint="eastAsia" w:ascii="宋体" w:hAnsi="宋体"/>
                <w:color w:val="auto"/>
                <w:szCs w:val="21"/>
                <w:highlight w:val="none"/>
              </w:rPr>
              <w:t>公示期限：</w:t>
            </w:r>
            <w:r>
              <w:rPr>
                <w:rFonts w:hint="eastAsia" w:ascii="宋体" w:hAnsi="宋体"/>
                <w:color w:val="auto"/>
                <w:szCs w:val="21"/>
                <w:highlight w:val="none"/>
                <w:u w:val="single"/>
              </w:rPr>
              <w:t>3</w:t>
            </w:r>
            <w:r>
              <w:rPr>
                <w:rFonts w:hint="eastAsia" w:ascii="宋体" w:hAnsi="宋体"/>
                <w:color w:val="auto"/>
                <w:szCs w:val="21"/>
                <w:highlight w:val="none"/>
              </w:rPr>
              <w:t>日</w:t>
            </w:r>
          </w:p>
        </w:tc>
      </w:tr>
      <w:tr w14:paraId="705E8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4EF049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7.4</w:t>
            </w:r>
          </w:p>
        </w:tc>
        <w:tc>
          <w:tcPr>
            <w:tcW w:w="2411" w:type="dxa"/>
            <w:tcBorders>
              <w:top w:val="single" w:color="auto" w:sz="6" w:space="0"/>
              <w:left w:val="single" w:color="auto" w:sz="6" w:space="0"/>
              <w:bottom w:val="single" w:color="auto" w:sz="6" w:space="0"/>
              <w:right w:val="single" w:color="auto" w:sz="6" w:space="0"/>
            </w:tcBorders>
            <w:noWrap/>
            <w:vAlign w:val="center"/>
          </w:tcPr>
          <w:p w14:paraId="4758EC2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6696" w:type="dxa"/>
            <w:tcBorders>
              <w:top w:val="single" w:color="auto" w:sz="6" w:space="0"/>
              <w:left w:val="single" w:color="auto" w:sz="6" w:space="0"/>
              <w:bottom w:val="single" w:color="auto" w:sz="6" w:space="0"/>
              <w:right w:val="single" w:color="auto" w:sz="4" w:space="0"/>
            </w:tcBorders>
            <w:noWrap/>
            <w:vAlign w:val="center"/>
          </w:tcPr>
          <w:p w14:paraId="05B8E11D">
            <w:pPr>
              <w:snapToGrid w:val="0"/>
              <w:spacing w:line="400" w:lineRule="exact"/>
              <w:rPr>
                <w:rFonts w:ascii="宋体" w:hAnsi="宋体"/>
                <w:color w:val="auto"/>
                <w:szCs w:val="21"/>
                <w:highlight w:val="none"/>
              </w:rPr>
            </w:pPr>
            <w:r>
              <w:rPr>
                <w:rFonts w:hint="eastAsia" w:ascii="宋体" w:hAnsi="宋体"/>
                <w:color w:val="auto"/>
                <w:szCs w:val="21"/>
                <w:highlight w:val="none"/>
              </w:rPr>
              <w:t>□是</w:t>
            </w:r>
          </w:p>
          <w:p w14:paraId="4597F27D">
            <w:pPr>
              <w:snapToGrid w:val="0"/>
              <w:spacing w:line="400" w:lineRule="exact"/>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否</w:t>
            </w:r>
          </w:p>
        </w:tc>
      </w:tr>
      <w:tr w14:paraId="751689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796220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7.6.1</w:t>
            </w:r>
          </w:p>
        </w:tc>
        <w:tc>
          <w:tcPr>
            <w:tcW w:w="2411" w:type="dxa"/>
            <w:tcBorders>
              <w:top w:val="single" w:color="auto" w:sz="6" w:space="0"/>
              <w:left w:val="single" w:color="auto" w:sz="6" w:space="0"/>
              <w:bottom w:val="single" w:color="auto" w:sz="6" w:space="0"/>
              <w:right w:val="single" w:color="auto" w:sz="6" w:space="0"/>
            </w:tcBorders>
            <w:noWrap/>
            <w:vAlign w:val="center"/>
          </w:tcPr>
          <w:p w14:paraId="634CF42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696" w:type="dxa"/>
            <w:tcBorders>
              <w:top w:val="single" w:color="auto" w:sz="6" w:space="0"/>
              <w:left w:val="single" w:color="auto" w:sz="6" w:space="0"/>
              <w:bottom w:val="single" w:color="auto" w:sz="6" w:space="0"/>
              <w:right w:val="single" w:color="auto" w:sz="4" w:space="0"/>
            </w:tcBorders>
            <w:noWrap/>
            <w:vAlign w:val="center"/>
          </w:tcPr>
          <w:p w14:paraId="225B2A75">
            <w:pPr>
              <w:pStyle w:val="14"/>
              <w:topLinePunct/>
              <w:snapToGrid w:val="0"/>
              <w:spacing w:line="400" w:lineRule="exact"/>
              <w:rPr>
                <w:rFonts w:hAnsi="宋体"/>
                <w:color w:val="auto"/>
                <w:kern w:val="2"/>
                <w:sz w:val="21"/>
                <w:szCs w:val="21"/>
                <w:highlight w:val="none"/>
              </w:rPr>
            </w:pPr>
            <w:r>
              <w:rPr>
                <w:rFonts w:hint="eastAsia" w:hAnsi="宋体"/>
                <w:color w:val="auto"/>
                <w:kern w:val="2"/>
                <w:sz w:val="21"/>
                <w:szCs w:val="21"/>
                <w:highlight w:val="none"/>
              </w:rPr>
              <w:t>是否要求中标人提交履约保证金：</w:t>
            </w:r>
          </w:p>
          <w:p w14:paraId="1A289C3A">
            <w:pPr>
              <w:pStyle w:val="14"/>
              <w:topLinePunct/>
              <w:spacing w:line="400" w:lineRule="exact"/>
              <w:ind w:left="40" w:leftChars="19" w:right="107" w:rightChars="51"/>
              <w:rPr>
                <w:rFonts w:hAnsi="宋体"/>
                <w:color w:val="auto"/>
                <w:kern w:val="2"/>
                <w:sz w:val="21"/>
                <w:szCs w:val="21"/>
                <w:highlight w:val="none"/>
              </w:rPr>
            </w:pPr>
            <w:r>
              <w:rPr>
                <w:rFonts w:hint="eastAsia" w:hAnsi="宋体"/>
                <w:color w:val="auto"/>
                <w:spacing w:val="-1"/>
                <w:kern w:val="2"/>
                <w:sz w:val="21"/>
                <w:szCs w:val="21"/>
                <w:highlight w:val="none"/>
              </w:rPr>
              <w:t>■</w:t>
            </w:r>
            <w:r>
              <w:rPr>
                <w:rFonts w:hint="eastAsia" w:hAnsi="宋体"/>
                <w:color w:val="auto"/>
                <w:kern w:val="2"/>
                <w:sz w:val="21"/>
                <w:szCs w:val="21"/>
                <w:highlight w:val="none"/>
              </w:rPr>
              <w:t>要求，履约保证金的形式：</w:t>
            </w:r>
            <w:r>
              <w:rPr>
                <w:rFonts w:hint="eastAsia" w:hAnsi="宋体"/>
                <w:color w:val="auto"/>
                <w:kern w:val="2"/>
                <w:sz w:val="21"/>
                <w:szCs w:val="21"/>
                <w:highlight w:val="none"/>
                <w:u w:val="single"/>
              </w:rPr>
              <w:t>银行保函</w:t>
            </w:r>
          </w:p>
          <w:p w14:paraId="1B97FEC5">
            <w:pPr>
              <w:spacing w:line="400" w:lineRule="exact"/>
              <w:ind w:left="40" w:leftChars="19" w:right="107" w:rightChars="51" w:firstLine="840" w:firstLineChars="400"/>
              <w:rPr>
                <w:rFonts w:ascii="宋体" w:hAnsi="宋体"/>
                <w:color w:val="auto"/>
                <w:szCs w:val="21"/>
                <w:highlight w:val="none"/>
              </w:rPr>
            </w:pPr>
            <w:r>
              <w:rPr>
                <w:rFonts w:hint="eastAsia" w:ascii="宋体" w:hAnsi="宋体"/>
                <w:color w:val="auto"/>
                <w:szCs w:val="21"/>
                <w:highlight w:val="none"/>
              </w:rPr>
              <w:t>履约保证金的金额：</w:t>
            </w:r>
            <w:r>
              <w:rPr>
                <w:rFonts w:hint="eastAsia" w:ascii="宋体" w:hAnsi="宋体"/>
                <w:color w:val="auto"/>
                <w:szCs w:val="21"/>
                <w:highlight w:val="none"/>
                <w:u w:val="single"/>
              </w:rPr>
              <w:t>中标价款的10%，须在中国境内银行开具的无条件、不可撤销、见索即付的保函。</w:t>
            </w:r>
          </w:p>
          <w:p w14:paraId="02B951A6">
            <w:pPr>
              <w:pStyle w:val="14"/>
              <w:topLinePunct/>
              <w:snapToGrid w:val="0"/>
              <w:spacing w:line="400" w:lineRule="exact"/>
              <w:rPr>
                <w:rFonts w:hAnsi="宋体"/>
                <w:color w:val="auto"/>
                <w:kern w:val="2"/>
                <w:sz w:val="21"/>
                <w:szCs w:val="21"/>
                <w:highlight w:val="none"/>
              </w:rPr>
            </w:pPr>
            <w:r>
              <w:rPr>
                <w:rFonts w:hint="eastAsia" w:hAnsi="宋体"/>
                <w:color w:val="auto"/>
                <w:kern w:val="2"/>
                <w:sz w:val="21"/>
                <w:szCs w:val="21"/>
                <w:highlight w:val="none"/>
              </w:rPr>
              <w:t>□不要求</w:t>
            </w:r>
          </w:p>
        </w:tc>
      </w:tr>
      <w:tr w14:paraId="52AA72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764708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2411" w:type="dxa"/>
            <w:tcBorders>
              <w:top w:val="single" w:color="auto" w:sz="6" w:space="0"/>
              <w:left w:val="single" w:color="auto" w:sz="6" w:space="0"/>
              <w:bottom w:val="single" w:color="auto" w:sz="6" w:space="0"/>
              <w:right w:val="single" w:color="auto" w:sz="6" w:space="0"/>
            </w:tcBorders>
            <w:noWrap/>
            <w:vAlign w:val="center"/>
          </w:tcPr>
          <w:p w14:paraId="2089D3A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是否采用电子招标投标</w:t>
            </w:r>
          </w:p>
        </w:tc>
        <w:tc>
          <w:tcPr>
            <w:tcW w:w="6696" w:type="dxa"/>
            <w:tcBorders>
              <w:top w:val="single" w:color="auto" w:sz="6" w:space="0"/>
              <w:left w:val="single" w:color="auto" w:sz="6" w:space="0"/>
              <w:bottom w:val="single" w:color="auto" w:sz="6" w:space="0"/>
              <w:right w:val="single" w:color="auto" w:sz="4" w:space="0"/>
            </w:tcBorders>
            <w:noWrap/>
            <w:vAlign w:val="center"/>
          </w:tcPr>
          <w:p w14:paraId="3D493DBB">
            <w:pPr>
              <w:spacing w:line="400" w:lineRule="exact"/>
              <w:rPr>
                <w:rFonts w:ascii="宋体" w:hAnsi="宋体"/>
                <w:color w:val="auto"/>
                <w:szCs w:val="21"/>
                <w:highlight w:val="none"/>
              </w:rPr>
            </w:pPr>
            <w:r>
              <w:rPr>
                <w:rFonts w:hint="eastAsia" w:ascii="宋体" w:hAnsi="宋体"/>
                <w:color w:val="auto"/>
                <w:szCs w:val="21"/>
                <w:highlight w:val="none"/>
              </w:rPr>
              <w:t>□否</w:t>
            </w:r>
          </w:p>
          <w:p w14:paraId="6BDF332E">
            <w:pPr>
              <w:spacing w:line="400" w:lineRule="exact"/>
              <w:rPr>
                <w:rFonts w:ascii="宋体" w:hAnsi="宋体"/>
                <w:color w:val="auto"/>
                <w:szCs w:val="21"/>
                <w:highlight w:val="none"/>
              </w:rPr>
            </w:pPr>
            <w:r>
              <w:rPr>
                <w:rFonts w:hint="eastAsia" w:ascii="宋体" w:hAnsi="宋体"/>
                <w:color w:val="auto"/>
                <w:szCs w:val="21"/>
                <w:highlight w:val="none"/>
              </w:rPr>
              <w:t>■是，具体要求：</w:t>
            </w:r>
          </w:p>
          <w:p w14:paraId="53510C21">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1、具体操作详见广州公共资源交易中心网站发布的《建设工程全流程电子化项目操作指南（适用于投标人）》。</w:t>
            </w:r>
          </w:p>
          <w:p w14:paraId="009164E3">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2、现场提交投标文件光盘备用</w:t>
            </w:r>
          </w:p>
          <w:p w14:paraId="5E1BD0CC">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投标人将按</w:t>
            </w:r>
            <w:r>
              <w:rPr>
                <w:rFonts w:hint="eastAsia" w:ascii="宋体" w:hAnsi="宋体"/>
                <w:color w:val="auto"/>
                <w:szCs w:val="21"/>
                <w:highlight w:val="none"/>
                <w:u w:val="single"/>
              </w:rPr>
              <w:t>《建设工程全流程电子化项目操作指南（适用于投标人）》</w:t>
            </w:r>
            <w:r>
              <w:rPr>
                <w:rFonts w:hint="eastAsia" w:ascii="宋体" w:hAnsi="宋体"/>
                <w:color w:val="auto"/>
                <w:szCs w:val="21"/>
                <w:highlight w:val="none"/>
              </w:rPr>
              <w:t>的操作方法制作的非加密的电子投标文件刻入光盘（1份），在</w:t>
            </w:r>
            <w:r>
              <w:rPr>
                <w:rFonts w:hint="eastAsia" w:ascii="宋体" w:hAnsi="宋体"/>
                <w:b/>
                <w:color w:val="auto"/>
                <w:szCs w:val="21"/>
                <w:highlight w:val="none"/>
              </w:rPr>
              <w:t>开标现场</w:t>
            </w:r>
            <w:r>
              <w:rPr>
                <w:rFonts w:hint="eastAsia" w:ascii="宋体" w:hAnsi="宋体"/>
                <w:color w:val="auto"/>
                <w:szCs w:val="21"/>
                <w:highlight w:val="none"/>
              </w:rPr>
              <w:t>（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36300A11">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3、补救方案</w:t>
            </w:r>
          </w:p>
          <w:p w14:paraId="4EC3AFB2">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（1）投标文件解密失败的补救方案：</w:t>
            </w:r>
          </w:p>
          <w:p w14:paraId="543F5D55">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在规定时间内，因投标人之外原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7DA937FC">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（2）评标时突发情况的补救方案</w:t>
            </w:r>
          </w:p>
          <w:p w14:paraId="5BA62DB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若遇不可抗力发生（如：网络瘫痪、服务器损坏、交易系统故障短期无法恢复等因素），由评标委员会开启现场递交的全部投标文件光盘，并按光盘内容进行评审。</w:t>
            </w:r>
          </w:p>
          <w:p w14:paraId="354C20CF">
            <w:pPr>
              <w:spacing w:line="400" w:lineRule="exact"/>
              <w:rPr>
                <w:rFonts w:ascii="宋体" w:hAnsi="宋体"/>
                <w:color w:val="auto"/>
                <w:szCs w:val="21"/>
                <w:highlight w:val="none"/>
              </w:rPr>
            </w:pPr>
            <w:r>
              <w:rPr>
                <w:rFonts w:hint="eastAsia" w:ascii="宋体" w:hAnsi="宋体"/>
                <w:color w:val="auto"/>
                <w:szCs w:val="21"/>
                <w:highlight w:val="none"/>
              </w:rPr>
              <w:t>（3）除发生上述情况外，开标评标均以投标人通过交易平台网上递交的电子投标文件为准。</w:t>
            </w:r>
          </w:p>
        </w:tc>
      </w:tr>
      <w:tr w14:paraId="5881FC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11CEDD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14:paraId="151AA7B8">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需要补充的其他内容</w:t>
            </w:r>
          </w:p>
        </w:tc>
      </w:tr>
      <w:tr w14:paraId="583C1B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8BD1D5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10.1</w:t>
            </w:r>
          </w:p>
        </w:tc>
        <w:tc>
          <w:tcPr>
            <w:tcW w:w="2411" w:type="dxa"/>
            <w:tcBorders>
              <w:top w:val="single" w:color="auto" w:sz="6" w:space="0"/>
              <w:left w:val="single" w:color="auto" w:sz="6" w:space="0"/>
              <w:bottom w:val="single" w:color="auto" w:sz="6" w:space="0"/>
              <w:right w:val="single" w:color="auto" w:sz="6" w:space="0"/>
            </w:tcBorders>
            <w:noWrap/>
            <w:vAlign w:val="center"/>
          </w:tcPr>
          <w:p w14:paraId="7D27DE8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特别提醒</w:t>
            </w:r>
          </w:p>
        </w:tc>
        <w:tc>
          <w:tcPr>
            <w:tcW w:w="6696" w:type="dxa"/>
            <w:tcBorders>
              <w:top w:val="single" w:color="auto" w:sz="6" w:space="0"/>
              <w:left w:val="single" w:color="auto" w:sz="6" w:space="0"/>
              <w:bottom w:val="single" w:color="auto" w:sz="6" w:space="0"/>
              <w:right w:val="single" w:color="auto" w:sz="4" w:space="0"/>
            </w:tcBorders>
            <w:noWrap/>
            <w:vAlign w:val="center"/>
          </w:tcPr>
          <w:p w14:paraId="5D92DFE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605A52F1">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14:paraId="6CDFD046">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62439D58">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（3）存在围标或串标情形的；</w:t>
            </w:r>
          </w:p>
          <w:p w14:paraId="6683CDD5">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（4）存在弄虚作假骗取中标情形的； </w:t>
            </w:r>
          </w:p>
          <w:p w14:paraId="30B19796">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（5）为招标人提供监理服务过程中存在因过错行为被生效法律文书认定承担违约或侵权责任的；</w:t>
            </w:r>
          </w:p>
          <w:p w14:paraId="2F6667E9">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（6）违反监理合同约定自行调换或未按照招标人要求及时更换项目总监的；</w:t>
            </w:r>
          </w:p>
          <w:p w14:paraId="74E5E5C1">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（7）委派的项目总监已在其他在建项目中任职且任职数量不符合相关规定并拒绝按照任职承诺书的规定更换的。</w:t>
            </w:r>
          </w:p>
        </w:tc>
      </w:tr>
      <w:tr w14:paraId="055582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E572C8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10.2</w:t>
            </w:r>
          </w:p>
        </w:tc>
        <w:tc>
          <w:tcPr>
            <w:tcW w:w="2411" w:type="dxa"/>
            <w:tcBorders>
              <w:top w:val="single" w:color="auto" w:sz="6" w:space="0"/>
              <w:left w:val="single" w:color="auto" w:sz="6" w:space="0"/>
              <w:bottom w:val="single" w:color="auto" w:sz="6" w:space="0"/>
              <w:right w:val="single" w:color="auto" w:sz="6" w:space="0"/>
            </w:tcBorders>
            <w:noWrap/>
            <w:vAlign w:val="center"/>
          </w:tcPr>
          <w:p w14:paraId="50CBE8DF">
            <w:pPr>
              <w:spacing w:line="400" w:lineRule="exact"/>
              <w:jc w:val="center"/>
              <w:rPr>
                <w:rFonts w:ascii="宋体" w:hAnsi="宋体"/>
                <w:color w:val="auto"/>
                <w:szCs w:val="21"/>
                <w:highlight w:val="none"/>
              </w:rPr>
            </w:pPr>
            <w:r>
              <w:rPr>
                <w:rFonts w:hint="eastAsia" w:ascii="宋体" w:hAnsi="宋体"/>
                <w:color w:val="auto"/>
                <w:szCs w:val="21"/>
                <w:highlight w:val="none"/>
              </w:rPr>
              <w:t>送达</w:t>
            </w:r>
          </w:p>
        </w:tc>
        <w:tc>
          <w:tcPr>
            <w:tcW w:w="6696" w:type="dxa"/>
            <w:tcBorders>
              <w:top w:val="single" w:color="auto" w:sz="6" w:space="0"/>
              <w:left w:val="single" w:color="auto" w:sz="6" w:space="0"/>
              <w:bottom w:val="single" w:color="auto" w:sz="6" w:space="0"/>
              <w:right w:val="single" w:color="auto" w:sz="4" w:space="0"/>
            </w:tcBorders>
            <w:noWrap/>
            <w:vAlign w:val="center"/>
          </w:tcPr>
          <w:p w14:paraId="394853B8">
            <w:pPr>
              <w:spacing w:line="400" w:lineRule="exact"/>
              <w:ind w:right="174" w:rightChars="83"/>
              <w:rPr>
                <w:rFonts w:ascii="宋体" w:hAnsi="宋体"/>
                <w:color w:val="auto"/>
                <w:szCs w:val="21"/>
                <w:highlight w:val="none"/>
              </w:rPr>
            </w:pPr>
            <w:r>
              <w:rPr>
                <w:rFonts w:hint="eastAsia" w:ascii="宋体" w:hAnsi="宋体"/>
                <w:color w:val="auto"/>
                <w:szCs w:val="21"/>
                <w:highlight w:val="none"/>
              </w:rPr>
              <w:t>《投诉处理决定书》和《行政处理决定书》在广州市住房和城乡建设局网站上公布的，视为送达其他与决定书有关的当事人。</w:t>
            </w:r>
          </w:p>
        </w:tc>
      </w:tr>
      <w:tr w14:paraId="1338C9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A5DC51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10.3</w:t>
            </w:r>
          </w:p>
        </w:tc>
        <w:tc>
          <w:tcPr>
            <w:tcW w:w="2411" w:type="dxa"/>
            <w:tcBorders>
              <w:top w:val="single" w:color="auto" w:sz="6" w:space="0"/>
              <w:left w:val="single" w:color="auto" w:sz="6" w:space="0"/>
              <w:bottom w:val="single" w:color="auto" w:sz="6" w:space="0"/>
              <w:right w:val="single" w:color="auto" w:sz="6" w:space="0"/>
            </w:tcBorders>
            <w:noWrap/>
            <w:vAlign w:val="center"/>
          </w:tcPr>
          <w:p w14:paraId="3EB7DB36">
            <w:pPr>
              <w:spacing w:line="400" w:lineRule="exact"/>
              <w:jc w:val="center"/>
              <w:rPr>
                <w:rFonts w:ascii="宋体" w:hAnsi="宋体"/>
                <w:color w:val="auto"/>
                <w:szCs w:val="21"/>
                <w:highlight w:val="none"/>
              </w:rPr>
            </w:pPr>
            <w:r>
              <w:rPr>
                <w:rFonts w:hint="eastAsia" w:ascii="宋体" w:hAnsi="宋体"/>
                <w:color w:val="auto"/>
                <w:szCs w:val="21"/>
                <w:highlight w:val="none"/>
              </w:rPr>
              <w:t>招标失败的情形</w:t>
            </w:r>
          </w:p>
        </w:tc>
        <w:tc>
          <w:tcPr>
            <w:tcW w:w="6696" w:type="dxa"/>
            <w:tcBorders>
              <w:top w:val="single" w:color="auto" w:sz="6" w:space="0"/>
              <w:left w:val="single" w:color="auto" w:sz="6" w:space="0"/>
              <w:bottom w:val="single" w:color="auto" w:sz="6" w:space="0"/>
              <w:right w:val="single" w:color="auto" w:sz="4" w:space="0"/>
            </w:tcBorders>
            <w:noWrap/>
            <w:vAlign w:val="center"/>
          </w:tcPr>
          <w:p w14:paraId="371DAD5F">
            <w:pPr>
              <w:spacing w:line="400" w:lineRule="exact"/>
              <w:rPr>
                <w:rFonts w:ascii="宋体" w:hAnsi="宋体"/>
                <w:color w:val="auto"/>
                <w:kern w:val="0"/>
                <w:szCs w:val="21"/>
                <w:highlight w:val="none"/>
              </w:rPr>
            </w:pPr>
            <w:r>
              <w:rPr>
                <w:rFonts w:hint="eastAsia" w:ascii="宋体" w:hAnsi="宋体"/>
                <w:color w:val="auto"/>
                <w:szCs w:val="21"/>
                <w:highlight w:val="none"/>
              </w:rPr>
              <w:t>本项目采用资格后审方式，资格审查与评标同时进行，通过形式评审、资格审查、响应性评审的投标申请人不足</w:t>
            </w:r>
            <w:r>
              <w:rPr>
                <w:rFonts w:hint="eastAsia" w:ascii="宋体" w:hAnsi="宋体"/>
                <w:b/>
                <w:color w:val="auto"/>
                <w:szCs w:val="21"/>
                <w:highlight w:val="none"/>
              </w:rPr>
              <w:t>3名</w:t>
            </w:r>
            <w:r>
              <w:rPr>
                <w:rFonts w:hint="eastAsia" w:ascii="宋体" w:hAnsi="宋体"/>
                <w:color w:val="auto"/>
                <w:szCs w:val="21"/>
                <w:highlight w:val="none"/>
              </w:rPr>
              <w:t>时为招标失败。招标人分析招标失败原因，修正招标方案，报有关管理部门核准后，重新组织招标。</w:t>
            </w:r>
          </w:p>
        </w:tc>
      </w:tr>
      <w:tr w14:paraId="03EDBC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8175CF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10.4</w:t>
            </w:r>
          </w:p>
        </w:tc>
        <w:tc>
          <w:tcPr>
            <w:tcW w:w="2411" w:type="dxa"/>
            <w:tcBorders>
              <w:top w:val="single" w:color="auto" w:sz="6" w:space="0"/>
              <w:left w:val="single" w:color="auto" w:sz="6" w:space="0"/>
              <w:bottom w:val="single" w:color="auto" w:sz="6" w:space="0"/>
              <w:right w:val="single" w:color="auto" w:sz="6" w:space="0"/>
            </w:tcBorders>
            <w:noWrap/>
            <w:vAlign w:val="center"/>
          </w:tcPr>
          <w:p w14:paraId="797E273D">
            <w:pPr>
              <w:spacing w:line="400" w:lineRule="exact"/>
              <w:jc w:val="center"/>
              <w:rPr>
                <w:rFonts w:ascii="宋体" w:hAnsi="宋体"/>
                <w:color w:val="auto"/>
                <w:szCs w:val="21"/>
                <w:highlight w:val="none"/>
              </w:rPr>
            </w:pPr>
            <w:r>
              <w:rPr>
                <w:rFonts w:hint="eastAsia" w:ascii="宋体" w:hAnsi="宋体"/>
                <w:color w:val="auto"/>
                <w:szCs w:val="21"/>
                <w:highlight w:val="none"/>
              </w:rPr>
              <w:t>第一中标候选人放弃中标资格情形</w:t>
            </w:r>
          </w:p>
        </w:tc>
        <w:tc>
          <w:tcPr>
            <w:tcW w:w="6696" w:type="dxa"/>
            <w:tcBorders>
              <w:top w:val="single" w:color="auto" w:sz="6" w:space="0"/>
              <w:left w:val="single" w:color="auto" w:sz="6" w:space="0"/>
              <w:bottom w:val="single" w:color="auto" w:sz="6" w:space="0"/>
              <w:right w:val="single" w:color="auto" w:sz="4" w:space="0"/>
            </w:tcBorders>
            <w:noWrap/>
            <w:vAlign w:val="center"/>
          </w:tcPr>
          <w:p w14:paraId="0FDF8038">
            <w:pPr>
              <w:widowControl/>
              <w:shd w:val="clear" w:color="auto" w:fill="FFFFFF"/>
              <w:spacing w:line="400" w:lineRule="exact"/>
              <w:rPr>
                <w:rFonts w:ascii="宋体" w:hAnsi="宋体"/>
                <w:color w:val="auto"/>
                <w:kern w:val="0"/>
                <w:szCs w:val="21"/>
                <w:highlight w:val="none"/>
              </w:rPr>
            </w:pPr>
            <w:r>
              <w:rPr>
                <w:rFonts w:hint="eastAsia" w:ascii="宋体" w:hAnsi="宋体"/>
                <w:color w:val="auto"/>
                <w:szCs w:val="21"/>
                <w:highlight w:val="none"/>
                <w:u w:val="single"/>
              </w:rPr>
              <w:t>排名第一的中标候选人放弃中标、因不可抗力不能履行合同、不按照招标文件要求提交履约保证金，或者被查实存在影响中标结果的违法行为等情形，不符合中标条件的，招标人可以按照招标文件第三章第3.4.1款确定的推荐中标候选人原则依次确定其他中标候选人为中标人，也可以重新招标。</w:t>
            </w:r>
          </w:p>
        </w:tc>
      </w:tr>
      <w:tr w14:paraId="274DC0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03BE8C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10.5</w:t>
            </w:r>
          </w:p>
        </w:tc>
        <w:tc>
          <w:tcPr>
            <w:tcW w:w="2411" w:type="dxa"/>
            <w:tcBorders>
              <w:top w:val="single" w:color="auto" w:sz="6" w:space="0"/>
              <w:left w:val="single" w:color="auto" w:sz="6" w:space="0"/>
              <w:bottom w:val="single" w:color="auto" w:sz="6" w:space="0"/>
              <w:right w:val="single" w:color="auto" w:sz="6" w:space="0"/>
            </w:tcBorders>
            <w:noWrap/>
            <w:vAlign w:val="center"/>
          </w:tcPr>
          <w:p w14:paraId="2172100B">
            <w:pPr>
              <w:spacing w:line="400" w:lineRule="exact"/>
              <w:ind w:right="174" w:rightChars="83"/>
              <w:jc w:val="center"/>
              <w:rPr>
                <w:rFonts w:ascii="宋体" w:hAnsi="宋体"/>
                <w:color w:val="auto"/>
                <w:szCs w:val="21"/>
                <w:highlight w:val="none"/>
              </w:rPr>
            </w:pPr>
            <w:r>
              <w:rPr>
                <w:rFonts w:hint="eastAsia" w:ascii="宋体" w:hAnsi="宋体"/>
                <w:color w:val="auto"/>
                <w:szCs w:val="21"/>
                <w:highlight w:val="none"/>
              </w:rPr>
              <w:t>中标候选人公示要求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11B24C7F">
            <w:pPr>
              <w:spacing w:line="400" w:lineRule="exact"/>
              <w:ind w:right="174" w:rightChars="83"/>
              <w:rPr>
                <w:rFonts w:ascii="宋体" w:hAnsi="宋体"/>
                <w:color w:val="auto"/>
                <w:szCs w:val="21"/>
                <w:highlight w:val="none"/>
              </w:rPr>
            </w:pPr>
            <w:r>
              <w:rPr>
                <w:rFonts w:hint="eastAsia" w:ascii="宋体" w:hAnsi="宋体"/>
                <w:color w:val="auto"/>
                <w:szCs w:val="21"/>
                <w:highlight w:val="none"/>
                <w:u w:val="single"/>
              </w:rPr>
              <w:t>在产生中标候选人后，招标人将中标候选人的投标文件商务部分的电子版（报价清单、方案等涉及商业秘密的内容除外）在广州公共资源交易中心网站公开。</w:t>
            </w:r>
          </w:p>
        </w:tc>
      </w:tr>
      <w:tr w14:paraId="26DD27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2113562">
            <w:pPr>
              <w:spacing w:line="400" w:lineRule="exact"/>
              <w:jc w:val="center"/>
              <w:rPr>
                <w:rFonts w:ascii="宋体" w:hAnsi="宋体"/>
                <w:color w:val="auto"/>
                <w:szCs w:val="21"/>
                <w:highlight w:val="none"/>
              </w:rPr>
            </w:pPr>
            <w:r>
              <w:rPr>
                <w:rFonts w:hint="eastAsia" w:ascii="宋体" w:hAnsi="宋体"/>
                <w:color w:val="auto"/>
                <w:szCs w:val="21"/>
                <w:highlight w:val="none"/>
              </w:rPr>
              <w:t>10.6</w:t>
            </w:r>
          </w:p>
        </w:tc>
        <w:tc>
          <w:tcPr>
            <w:tcW w:w="2411" w:type="dxa"/>
            <w:tcBorders>
              <w:top w:val="single" w:color="auto" w:sz="6" w:space="0"/>
              <w:left w:val="single" w:color="auto" w:sz="6" w:space="0"/>
              <w:bottom w:val="single" w:color="auto" w:sz="6" w:space="0"/>
              <w:right w:val="single" w:color="auto" w:sz="6" w:space="0"/>
            </w:tcBorders>
            <w:noWrap/>
            <w:vAlign w:val="center"/>
          </w:tcPr>
          <w:p w14:paraId="4336CA57">
            <w:pPr>
              <w:spacing w:line="400" w:lineRule="exact"/>
              <w:ind w:right="174" w:rightChars="83"/>
              <w:jc w:val="center"/>
              <w:rPr>
                <w:rFonts w:ascii="宋体" w:hAnsi="宋体"/>
                <w:color w:val="auto"/>
                <w:szCs w:val="21"/>
                <w:highlight w:val="none"/>
              </w:rPr>
            </w:pPr>
            <w:r>
              <w:rPr>
                <w:rFonts w:hint="eastAsia" w:ascii="宋体" w:hAnsi="宋体"/>
                <w:color w:val="auto"/>
                <w:szCs w:val="21"/>
                <w:highlight w:val="none"/>
              </w:rPr>
              <w:t>监理人员管理特别要求</w:t>
            </w:r>
          </w:p>
        </w:tc>
        <w:tc>
          <w:tcPr>
            <w:tcW w:w="6696" w:type="dxa"/>
            <w:tcBorders>
              <w:top w:val="single" w:color="auto" w:sz="6" w:space="0"/>
              <w:left w:val="single" w:color="auto" w:sz="6" w:space="0"/>
              <w:bottom w:val="single" w:color="auto" w:sz="6" w:space="0"/>
              <w:right w:val="single" w:color="auto" w:sz="4" w:space="0"/>
            </w:tcBorders>
            <w:noWrap/>
            <w:vAlign w:val="center"/>
          </w:tcPr>
          <w:p w14:paraId="30CBBDEA">
            <w:pPr>
              <w:spacing w:line="400" w:lineRule="exact"/>
              <w:rPr>
                <w:rFonts w:ascii="宋体" w:hAnsi="宋体"/>
                <w:color w:val="auto"/>
                <w:szCs w:val="21"/>
                <w:highlight w:val="none"/>
                <w:u w:val="single"/>
              </w:rPr>
            </w:pPr>
            <w:r>
              <w:rPr>
                <w:rFonts w:hint="eastAsia" w:ascii="宋体" w:hAnsi="宋体"/>
                <w:color w:val="auto"/>
                <w:szCs w:val="21"/>
                <w:highlight w:val="none"/>
                <w:u w:val="single"/>
              </w:rPr>
              <w:t>关于中标后监理人员管理的特别提醒：</w:t>
            </w:r>
          </w:p>
          <w:p w14:paraId="2BDDE12A">
            <w:pPr>
              <w:spacing w:line="400" w:lineRule="exact"/>
              <w:rPr>
                <w:rFonts w:ascii="宋体" w:hAnsi="宋体"/>
                <w:color w:val="auto"/>
                <w:szCs w:val="21"/>
                <w:highlight w:val="none"/>
                <w:u w:val="single"/>
              </w:rPr>
            </w:pPr>
            <w:r>
              <w:rPr>
                <w:rFonts w:hint="eastAsia" w:ascii="宋体" w:hAnsi="宋体"/>
                <w:color w:val="auto"/>
                <w:szCs w:val="21"/>
                <w:highlight w:val="none"/>
                <w:u w:val="single"/>
              </w:rPr>
              <w:t>1）监理人不得更换投标时承诺投入的项目总监、总监代表，监理人有合法的理由提出申请（如伤亡、被吊销监理工程师执业资格等不能再从事监理工作）并经招标人批准更换相关人员的，监理人可不承担违约责任；</w:t>
            </w:r>
            <w:r>
              <w:rPr>
                <w:rFonts w:hint="eastAsia" w:ascii="宋体" w:hAnsi="宋体" w:cs="宋体"/>
                <w:color w:val="auto"/>
                <w:szCs w:val="21"/>
                <w:highlight w:val="none"/>
                <w:u w:val="single"/>
              </w:rPr>
              <w:t>否则招标人将按</w:t>
            </w:r>
            <w:r>
              <w:rPr>
                <w:rFonts w:hint="eastAsia" w:ascii="宋体" w:hAnsi="宋体"/>
                <w:color w:val="auto"/>
                <w:szCs w:val="21"/>
                <w:highlight w:val="none"/>
                <w:u w:val="single"/>
              </w:rPr>
              <w:t>监理</w:t>
            </w:r>
            <w:r>
              <w:rPr>
                <w:rFonts w:hint="eastAsia" w:ascii="宋体" w:hAnsi="宋体" w:cs="宋体"/>
                <w:color w:val="auto"/>
                <w:szCs w:val="21"/>
                <w:highlight w:val="none"/>
                <w:u w:val="single"/>
              </w:rPr>
              <w:t>合同约定追究监理人违约责任，并将监理人该不诚信行为上报广州市建设行政主管部门，并纳入监理单位诚信考核。</w:t>
            </w:r>
          </w:p>
          <w:p w14:paraId="710EA439">
            <w:pPr>
              <w:spacing w:line="400" w:lineRule="exact"/>
              <w:rPr>
                <w:rFonts w:ascii="宋体" w:hAnsi="宋体"/>
                <w:color w:val="auto"/>
                <w:szCs w:val="21"/>
                <w:highlight w:val="none"/>
                <w:u w:val="single"/>
              </w:rPr>
            </w:pPr>
            <w:r>
              <w:rPr>
                <w:rFonts w:hint="eastAsia" w:ascii="宋体" w:hAnsi="宋体"/>
                <w:color w:val="auto"/>
                <w:szCs w:val="21"/>
                <w:highlight w:val="none"/>
                <w:u w:val="single"/>
              </w:rPr>
              <w:t>2）经委托人同意监理人调换项目总监的，被调换的项目总监半年内不得再作为监理人参加委托人后续招标项目时拟委派监理机构的项目总监。</w:t>
            </w:r>
          </w:p>
          <w:p w14:paraId="6BECABBB">
            <w:pPr>
              <w:spacing w:line="400" w:lineRule="exact"/>
              <w:rPr>
                <w:rFonts w:ascii="宋体" w:hAnsi="宋体"/>
                <w:color w:val="auto"/>
                <w:szCs w:val="21"/>
                <w:highlight w:val="none"/>
                <w:u w:val="single"/>
              </w:rPr>
            </w:pPr>
            <w:r>
              <w:rPr>
                <w:rFonts w:hint="eastAsia" w:ascii="宋体" w:hAnsi="宋体"/>
                <w:color w:val="auto"/>
                <w:szCs w:val="21"/>
                <w:highlight w:val="none"/>
                <w:u w:val="single"/>
              </w:rPr>
              <w:t>3）除项目总监和总监代表外，其余监理人员应与投标文件保持一致，招标人不要求更换时不得更换。因特殊情况需要更换的，投标人应以书面形式向招标人提出意向（附前任和后任人员的详细履历资料），经招标人同意后方可更换。即使是招标人要求或同意更换的监理人员，其替代人员的资质及能力仍应得到招标人的认可。</w:t>
            </w:r>
          </w:p>
          <w:p w14:paraId="234A35A9">
            <w:pPr>
              <w:spacing w:line="400" w:lineRule="exact"/>
              <w:rPr>
                <w:rFonts w:ascii="宋体" w:hAnsi="宋体"/>
                <w:color w:val="auto"/>
                <w:szCs w:val="21"/>
                <w:highlight w:val="none"/>
                <w:u w:val="single"/>
              </w:rPr>
            </w:pPr>
            <w:r>
              <w:rPr>
                <w:rFonts w:hint="eastAsia" w:ascii="宋体" w:hAnsi="宋体"/>
                <w:color w:val="auto"/>
                <w:szCs w:val="21"/>
                <w:highlight w:val="none"/>
                <w:u w:val="single"/>
              </w:rPr>
              <w:t>4）如招标人认为监理人员的数量、监理人员的业务水平、监理人员的专业配置不能满足监理工作所需时，招标人有权另行聘请符合工作需要的监理人员；所聘请监理人员的工资按照不低于《建设工程监理与相关服务收费管理规定》（发改价格[2007]670号）中附表四“建设工程监理与相关服务人员人工日费用标准”相应人员职级对应的工日费用标准上限的2.5倍支付，该费用已包括在本合同监理酬金内，由监理人向所聘监理人员支付。必要时招标人有权从本合同监理酬金中直接支付。</w:t>
            </w:r>
          </w:p>
          <w:p w14:paraId="317D3A76">
            <w:pPr>
              <w:spacing w:line="400" w:lineRule="exact"/>
              <w:rPr>
                <w:rFonts w:ascii="宋体" w:hAnsi="宋体"/>
                <w:color w:val="auto"/>
                <w:szCs w:val="21"/>
                <w:highlight w:val="none"/>
                <w:u w:val="single"/>
              </w:rPr>
            </w:pPr>
            <w:r>
              <w:rPr>
                <w:rFonts w:hint="eastAsia" w:ascii="宋体" w:hAnsi="宋体"/>
                <w:color w:val="auto"/>
                <w:szCs w:val="21"/>
                <w:highlight w:val="none"/>
                <w:u w:val="single"/>
              </w:rPr>
              <w:t>（发生上述情形，招标人将书面报告建设主管部门、招标监督机构）</w:t>
            </w:r>
          </w:p>
          <w:p w14:paraId="793E6098">
            <w:pPr>
              <w:spacing w:line="400" w:lineRule="exact"/>
              <w:rPr>
                <w:rFonts w:ascii="宋体" w:hAnsi="宋体"/>
                <w:color w:val="auto"/>
                <w:szCs w:val="21"/>
                <w:highlight w:val="none"/>
              </w:rPr>
            </w:pPr>
            <w:r>
              <w:rPr>
                <w:rFonts w:hint="eastAsia" w:ascii="宋体" w:hAnsi="宋体"/>
                <w:color w:val="auto"/>
                <w:szCs w:val="21"/>
                <w:highlight w:val="none"/>
                <w:u w:val="single"/>
              </w:rPr>
              <w:t>5）其他人员管理要求详见合同专用条件约定。</w:t>
            </w:r>
          </w:p>
        </w:tc>
      </w:tr>
      <w:tr w14:paraId="1D92C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4" w:space="0"/>
              <w:right w:val="single" w:color="auto" w:sz="6" w:space="0"/>
            </w:tcBorders>
            <w:noWrap/>
            <w:vAlign w:val="center"/>
          </w:tcPr>
          <w:p w14:paraId="4C806451">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10.</w:t>
            </w:r>
            <w:r>
              <w:rPr>
                <w:rFonts w:hint="eastAsia" w:ascii="宋体" w:hAnsi="宋体"/>
                <w:color w:val="auto"/>
                <w:szCs w:val="21"/>
                <w:highlight w:val="none"/>
                <w:lang w:val="en-US" w:eastAsia="zh-CN"/>
              </w:rPr>
              <w:t>7</w:t>
            </w:r>
          </w:p>
        </w:tc>
        <w:tc>
          <w:tcPr>
            <w:tcW w:w="2411" w:type="dxa"/>
            <w:tcBorders>
              <w:top w:val="single" w:color="auto" w:sz="6" w:space="0"/>
              <w:left w:val="single" w:color="auto" w:sz="6" w:space="0"/>
              <w:bottom w:val="single" w:color="auto" w:sz="4" w:space="0"/>
              <w:right w:val="single" w:color="auto" w:sz="6" w:space="0"/>
            </w:tcBorders>
            <w:noWrap/>
            <w:vAlign w:val="center"/>
          </w:tcPr>
          <w:p w14:paraId="225841C5">
            <w:pPr>
              <w:spacing w:line="400" w:lineRule="exact"/>
              <w:ind w:right="174" w:rightChars="83"/>
              <w:jc w:val="center"/>
              <w:rPr>
                <w:rFonts w:ascii="宋体" w:hAnsi="宋体"/>
                <w:color w:val="auto"/>
                <w:szCs w:val="21"/>
                <w:highlight w:val="none"/>
              </w:rPr>
            </w:pPr>
            <w:r>
              <w:rPr>
                <w:rFonts w:hint="eastAsia" w:ascii="宋体" w:hAnsi="宋体"/>
                <w:color w:val="auto"/>
                <w:szCs w:val="21"/>
                <w:highlight w:val="none"/>
              </w:rPr>
              <w:t>其他</w:t>
            </w:r>
          </w:p>
        </w:tc>
        <w:tc>
          <w:tcPr>
            <w:tcW w:w="6696" w:type="dxa"/>
            <w:tcBorders>
              <w:top w:val="single" w:color="auto" w:sz="6" w:space="0"/>
              <w:left w:val="single" w:color="auto" w:sz="6" w:space="0"/>
              <w:bottom w:val="single" w:color="auto" w:sz="4" w:space="0"/>
              <w:right w:val="single" w:color="auto" w:sz="4" w:space="0"/>
            </w:tcBorders>
            <w:noWrap/>
            <w:vAlign w:val="center"/>
          </w:tcPr>
          <w:p w14:paraId="3A6D0ADD">
            <w:pPr>
              <w:spacing w:line="400" w:lineRule="exact"/>
              <w:rPr>
                <w:rFonts w:ascii="宋体" w:hAnsi="宋体"/>
                <w:b/>
                <w:color w:val="auto"/>
                <w:highlight w:val="none"/>
                <w:u w:val="single"/>
              </w:rPr>
            </w:pPr>
            <w:r>
              <w:rPr>
                <w:rFonts w:hint="eastAsia" w:ascii="宋体" w:hAnsi="宋体"/>
                <w:color w:val="auto"/>
                <w:highlight w:val="none"/>
                <w:u w:val="single"/>
              </w:rPr>
              <w:t>中标后，中标单位须提交与网上上传电子投标文件完全一致的纸质投标文件（1正4副，需加盖企业公章及法人章）给招标单位。</w:t>
            </w:r>
          </w:p>
        </w:tc>
      </w:tr>
    </w:tbl>
    <w:p w14:paraId="697FE7B3">
      <w:pPr>
        <w:spacing w:before="240" w:beforeLines="100" w:line="360" w:lineRule="auto"/>
        <w:jc w:val="left"/>
        <w:outlineLvl w:val="1"/>
        <w:rPr>
          <w:rFonts w:ascii="宋体" w:hAnsi="宋体"/>
          <w:b/>
          <w:bCs/>
          <w:color w:val="auto"/>
          <w:sz w:val="32"/>
          <w:szCs w:val="32"/>
          <w:highlight w:val="none"/>
        </w:rPr>
      </w:pPr>
      <w:r>
        <w:rPr>
          <w:rFonts w:hint="eastAsia" w:ascii="宋体" w:hAnsi="宋体"/>
          <w:color w:val="auto"/>
          <w:highlight w:val="none"/>
        </w:rPr>
        <w:br w:type="page"/>
      </w:r>
      <w:bookmarkEnd w:id="7"/>
      <w:bookmarkEnd w:id="8"/>
      <w:bookmarkEnd w:id="9"/>
    </w:p>
    <w:p w14:paraId="5B03D8AA">
      <w:pPr>
        <w:spacing w:before="260"/>
        <w:outlineLvl w:val="2"/>
        <w:rPr>
          <w:rFonts w:ascii="宋体" w:hAnsi="宋体"/>
          <w:b/>
          <w:color w:val="auto"/>
          <w:sz w:val="32"/>
          <w:szCs w:val="32"/>
          <w:highlight w:val="none"/>
        </w:rPr>
      </w:pPr>
      <w:bookmarkStart w:id="10" w:name="_Toc515205193"/>
      <w:bookmarkStart w:id="11" w:name="_Toc529196520"/>
      <w:r>
        <w:rPr>
          <w:rFonts w:hint="eastAsia" w:ascii="宋体" w:hAnsi="宋体"/>
          <w:b/>
          <w:color w:val="auto"/>
          <w:sz w:val="32"/>
          <w:szCs w:val="32"/>
          <w:highlight w:val="none"/>
        </w:rPr>
        <w:t>1. 总则</w:t>
      </w:r>
      <w:bookmarkEnd w:id="10"/>
      <w:bookmarkEnd w:id="11"/>
    </w:p>
    <w:p w14:paraId="1AF0902C">
      <w:pPr>
        <w:spacing w:before="240" w:beforeLines="100" w:after="240" w:afterLines="100"/>
        <w:rPr>
          <w:rFonts w:ascii="宋体" w:hAnsi="宋体"/>
          <w:b/>
          <w:color w:val="auto"/>
          <w:sz w:val="28"/>
          <w:szCs w:val="28"/>
          <w:highlight w:val="none"/>
        </w:rPr>
      </w:pPr>
      <w:bookmarkStart w:id="12" w:name="_Toc529196521"/>
      <w:bookmarkStart w:id="13" w:name="_Toc515205194"/>
      <w:r>
        <w:rPr>
          <w:rFonts w:hint="eastAsia" w:ascii="宋体" w:hAnsi="宋体"/>
          <w:b/>
          <w:color w:val="auto"/>
          <w:sz w:val="28"/>
          <w:szCs w:val="28"/>
          <w:highlight w:val="none"/>
        </w:rPr>
        <w:t>1.1 招标项目概况</w:t>
      </w:r>
      <w:bookmarkEnd w:id="12"/>
      <w:bookmarkEnd w:id="13"/>
    </w:p>
    <w:p w14:paraId="61ABF1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1.1.1根据《中华人民共和国招标投标法》、《中华人民共和国招标投标法实施条例》等有关法律、法规和规章的规定，本招标项目已具备招标条件，现对监理进行招标。</w:t>
      </w:r>
    </w:p>
    <w:p w14:paraId="15DBEE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招标人：见投标人须知前附表。</w:t>
      </w:r>
    </w:p>
    <w:p w14:paraId="01D203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招标代理机构：见投标人须知前附表。</w:t>
      </w:r>
    </w:p>
    <w:p w14:paraId="516CB0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招标项目名称：见投标人须知前附表。</w:t>
      </w:r>
    </w:p>
    <w:p w14:paraId="006BB8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 项目建设地点：见投标人须知前附表。</w:t>
      </w:r>
    </w:p>
    <w:p w14:paraId="627740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 项目建设规模：见投标人须知前附表。</w:t>
      </w:r>
    </w:p>
    <w:p w14:paraId="7023B5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1.1.7 工程项目施工预计开工日期和建设周期：见投标人须知前附表。</w:t>
      </w:r>
    </w:p>
    <w:p w14:paraId="2CF5D7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1.1.8 建筑安装工程费/工程概算：见投标人须知前附表。</w:t>
      </w:r>
    </w:p>
    <w:p w14:paraId="52A67407">
      <w:pPr>
        <w:spacing w:before="240" w:beforeLines="100" w:after="240" w:afterLines="100"/>
        <w:rPr>
          <w:rFonts w:ascii="宋体" w:hAnsi="宋体"/>
          <w:b/>
          <w:color w:val="auto"/>
          <w:sz w:val="28"/>
          <w:szCs w:val="28"/>
          <w:highlight w:val="none"/>
        </w:rPr>
      </w:pPr>
      <w:bookmarkStart w:id="14" w:name="_Toc515205195"/>
      <w:bookmarkStart w:id="15" w:name="_Toc529196522"/>
      <w:r>
        <w:rPr>
          <w:rFonts w:hint="eastAsia" w:ascii="宋体" w:hAnsi="宋体"/>
          <w:b/>
          <w:color w:val="auto"/>
          <w:sz w:val="28"/>
          <w:szCs w:val="28"/>
          <w:highlight w:val="none"/>
        </w:rPr>
        <w:t>1.2 招标项目的资金来源和落实情况</w:t>
      </w:r>
      <w:bookmarkEnd w:id="14"/>
      <w:bookmarkEnd w:id="15"/>
    </w:p>
    <w:p w14:paraId="4C847F36">
      <w:pPr>
        <w:spacing w:line="360" w:lineRule="auto"/>
        <w:ind w:firstLine="420" w:firstLineChars="200"/>
        <w:rPr>
          <w:rFonts w:ascii="宋体" w:hAnsi="宋体"/>
          <w:color w:val="auto"/>
          <w:highlight w:val="none"/>
        </w:rPr>
      </w:pPr>
      <w:r>
        <w:rPr>
          <w:rFonts w:hint="eastAsia" w:ascii="宋体" w:hAnsi="宋体"/>
          <w:color w:val="auto"/>
          <w:highlight w:val="none"/>
        </w:rPr>
        <w:t>1.2.1 资金来源及比例：见投标人须知前附表。</w:t>
      </w:r>
    </w:p>
    <w:p w14:paraId="0B23393C">
      <w:pPr>
        <w:spacing w:line="360" w:lineRule="auto"/>
        <w:ind w:firstLine="420" w:firstLineChars="200"/>
        <w:rPr>
          <w:rFonts w:ascii="宋体" w:hAnsi="宋体"/>
          <w:color w:val="auto"/>
          <w:highlight w:val="none"/>
        </w:rPr>
      </w:pPr>
      <w:r>
        <w:rPr>
          <w:rFonts w:hint="eastAsia" w:ascii="宋体" w:hAnsi="宋体"/>
          <w:color w:val="auto"/>
          <w:highlight w:val="none"/>
        </w:rPr>
        <w:t>1.2.2 资金落实情况：见投标人须知前附表。</w:t>
      </w:r>
    </w:p>
    <w:p w14:paraId="15B7E847">
      <w:pPr>
        <w:spacing w:before="240" w:beforeLines="100" w:after="240" w:afterLines="100"/>
        <w:rPr>
          <w:rFonts w:ascii="宋体" w:hAnsi="宋体"/>
          <w:b/>
          <w:color w:val="auto"/>
          <w:sz w:val="28"/>
          <w:szCs w:val="28"/>
          <w:highlight w:val="none"/>
        </w:rPr>
      </w:pPr>
      <w:bookmarkStart w:id="16" w:name="_Toc529196523"/>
      <w:bookmarkStart w:id="17" w:name="_Toc515205196"/>
      <w:r>
        <w:rPr>
          <w:rFonts w:hint="eastAsia" w:ascii="宋体" w:hAnsi="宋体"/>
          <w:b/>
          <w:color w:val="auto"/>
          <w:sz w:val="28"/>
          <w:szCs w:val="28"/>
          <w:highlight w:val="none"/>
        </w:rPr>
        <w:t>1.3招标范围、监理服务期限和质量标准</w:t>
      </w:r>
      <w:bookmarkEnd w:id="16"/>
      <w:bookmarkEnd w:id="17"/>
    </w:p>
    <w:p w14:paraId="54AF31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招标范围：见投标人须知前附表。</w:t>
      </w:r>
    </w:p>
    <w:p w14:paraId="3F342B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监理服务期限：见投标人须知前附表。</w:t>
      </w:r>
    </w:p>
    <w:p w14:paraId="5B965F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质量标准：见投标人须知前附表。</w:t>
      </w:r>
    </w:p>
    <w:p w14:paraId="2AB305AE">
      <w:pPr>
        <w:spacing w:before="240" w:beforeLines="100" w:after="240" w:afterLines="100"/>
        <w:rPr>
          <w:rFonts w:ascii="宋体" w:hAnsi="宋体"/>
          <w:b/>
          <w:color w:val="auto"/>
          <w:sz w:val="28"/>
          <w:szCs w:val="28"/>
          <w:highlight w:val="none"/>
        </w:rPr>
      </w:pPr>
      <w:bookmarkStart w:id="18" w:name="_Toc529196524"/>
      <w:bookmarkStart w:id="19" w:name="_Toc515205197"/>
      <w:r>
        <w:rPr>
          <w:rFonts w:hint="eastAsia" w:ascii="宋体" w:hAnsi="宋体"/>
          <w:b/>
          <w:color w:val="auto"/>
          <w:sz w:val="28"/>
          <w:szCs w:val="28"/>
          <w:highlight w:val="none"/>
        </w:rPr>
        <w:t>1.4投标人资格要求</w:t>
      </w:r>
      <w:bookmarkEnd w:id="18"/>
      <w:bookmarkEnd w:id="19"/>
    </w:p>
    <w:p w14:paraId="5BD5A8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投标人应具备承担本招标项目资质条件、能力和信誉：</w:t>
      </w:r>
    </w:p>
    <w:p w14:paraId="48079D5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（1）资质要求：见投标人须知前附表；</w:t>
      </w:r>
    </w:p>
    <w:p w14:paraId="7B97C8DF">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（2）财务要求：见投标人须知前附表；</w:t>
      </w:r>
    </w:p>
    <w:p w14:paraId="01ECF0DE">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（3）业绩要求：见投标人须知前附表；</w:t>
      </w:r>
    </w:p>
    <w:p w14:paraId="38001EA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（4）信誉要求：见投标人须知前附表；</w:t>
      </w:r>
    </w:p>
    <w:p w14:paraId="54E10FD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（5）总监理工程师的资格要求：应当具备工程注册监理工程师执业资格（如有），具体要求见投标人须知前附表；</w:t>
      </w:r>
    </w:p>
    <w:p w14:paraId="3214C12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（6）其他主要人员要求：见投标人须知前附表。</w:t>
      </w:r>
    </w:p>
    <w:p w14:paraId="3597A54F">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（7）试验检测仪器设备要求：见投标人须知前附表。</w:t>
      </w:r>
    </w:p>
    <w:p w14:paraId="4CAAED1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（8）其他要求：见投标人须知前附表。</w:t>
      </w:r>
    </w:p>
    <w:p w14:paraId="07066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需要提交的相关证明材料见本章第3.5款的规定。</w:t>
      </w:r>
    </w:p>
    <w:p w14:paraId="11C18B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1.4.2投标人须知前附表规定接受联合体投标的，联合体除应符合本章第1.4.1项和投标人须知前附表的要求外，还应遵守以下规定：</w:t>
      </w:r>
    </w:p>
    <w:p w14:paraId="3463DEB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（1）联合体各方应按招标文件提供的格式签订联合体协议书，明确联合体牵头人和各方权利义务，并承诺就中标项目向招标人承担连带责任；</w:t>
      </w:r>
    </w:p>
    <w:p w14:paraId="07E53C3F">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14:paraId="3CCBEFC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（3）联合体各方不得再以自己名义单独或参加其他联合体在本招标项目中投标，否则各相关投标均无效。</w:t>
      </w:r>
    </w:p>
    <w:p w14:paraId="2B185F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 投标人不得存在下列情形之一：</w:t>
      </w:r>
    </w:p>
    <w:p w14:paraId="147938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（1）为招标人不具有独立法人资格的附属机构（单位）；</w:t>
      </w:r>
    </w:p>
    <w:p w14:paraId="00DBEA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（2）与招标人存在利害关系且可能影响招标公正性；</w:t>
      </w:r>
    </w:p>
    <w:p w14:paraId="1228E2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（3）与本招标项目的其他投标人为同一个单位负责人；</w:t>
      </w:r>
    </w:p>
    <w:p w14:paraId="7D6E77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（4）与本招标项目的其他投标人存在控股、管理关系；</w:t>
      </w:r>
    </w:p>
    <w:p w14:paraId="59BC09B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（5）为本招标项目的代建人；</w:t>
      </w:r>
    </w:p>
    <w:p w14:paraId="36C08C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（6）为本招标项目的招标代理机构；</w:t>
      </w:r>
    </w:p>
    <w:p w14:paraId="768E38E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（7）与本招标项目的代建人或招标代理机构同为一个法定代表人；</w:t>
      </w:r>
    </w:p>
    <w:p w14:paraId="2F5B68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（8）与本招标项目的代建人或招标代理机构存在控股或参股关系；</w:t>
      </w:r>
    </w:p>
    <w:p w14:paraId="08A1DB8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（9）与本招标项目的施工承包人以及建筑材料、建筑构配件和设备供应商有隶属关系或者其他利害关系；</w:t>
      </w:r>
    </w:p>
    <w:p w14:paraId="57EECA8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（10）被依法暂停或者取消投标资格；</w:t>
      </w:r>
    </w:p>
    <w:p w14:paraId="5DB76D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（11）被责令停产停业、暂扣或者吊销许可证、暂扣或者吊销执照；</w:t>
      </w:r>
    </w:p>
    <w:p w14:paraId="14692E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（12）进入清算程序，或被宣告破产，或其他丧失履约能力的情形；</w:t>
      </w:r>
    </w:p>
    <w:p w14:paraId="42C8D5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在最近三年内发生重大监理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5C6451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（14）法律法规或投标人须知前附表规定的其他情形。</w:t>
      </w:r>
    </w:p>
    <w:p w14:paraId="3CF6D1CE">
      <w:pPr>
        <w:spacing w:before="240" w:beforeLines="100" w:after="240" w:afterLines="100"/>
        <w:rPr>
          <w:rFonts w:ascii="宋体" w:hAnsi="宋体"/>
          <w:b/>
          <w:color w:val="auto"/>
          <w:sz w:val="28"/>
          <w:szCs w:val="28"/>
          <w:highlight w:val="none"/>
        </w:rPr>
      </w:pPr>
      <w:bookmarkStart w:id="20" w:name="_Toc515205198"/>
      <w:bookmarkStart w:id="21" w:name="_Toc529196525"/>
      <w:r>
        <w:rPr>
          <w:rFonts w:hint="eastAsia" w:ascii="宋体" w:hAnsi="宋体"/>
          <w:b/>
          <w:color w:val="auto"/>
          <w:sz w:val="28"/>
          <w:szCs w:val="28"/>
          <w:highlight w:val="none"/>
        </w:rPr>
        <w:t>1.5 费用承担</w:t>
      </w:r>
      <w:bookmarkEnd w:id="20"/>
      <w:bookmarkEnd w:id="21"/>
    </w:p>
    <w:p w14:paraId="26EFEB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投标人准备和参加投标活动发生的费用自理。</w:t>
      </w:r>
    </w:p>
    <w:p w14:paraId="17FF69F9">
      <w:pPr>
        <w:spacing w:before="240" w:beforeLines="100" w:after="240" w:afterLines="100"/>
        <w:rPr>
          <w:rFonts w:ascii="宋体" w:hAnsi="宋体"/>
          <w:b/>
          <w:color w:val="auto"/>
          <w:sz w:val="28"/>
          <w:szCs w:val="28"/>
          <w:highlight w:val="none"/>
        </w:rPr>
      </w:pPr>
      <w:bookmarkStart w:id="22" w:name="_Toc515205199"/>
      <w:bookmarkStart w:id="23" w:name="_Toc529196526"/>
      <w:r>
        <w:rPr>
          <w:rFonts w:hint="eastAsia" w:ascii="宋体" w:hAnsi="宋体"/>
          <w:b/>
          <w:color w:val="auto"/>
          <w:sz w:val="28"/>
          <w:szCs w:val="28"/>
          <w:highlight w:val="none"/>
        </w:rPr>
        <w:t>1.6保密</w:t>
      </w:r>
      <w:bookmarkEnd w:id="22"/>
      <w:bookmarkEnd w:id="23"/>
    </w:p>
    <w:p w14:paraId="576C8DCC">
      <w:pPr>
        <w:spacing w:line="360" w:lineRule="auto"/>
        <w:ind w:firstLine="420" w:firstLineChars="200"/>
        <w:rPr>
          <w:rFonts w:ascii="宋体" w:hAnsi="宋体"/>
          <w:color w:val="auto"/>
          <w:highlight w:val="none"/>
        </w:rPr>
      </w:pPr>
      <w:r>
        <w:rPr>
          <w:rFonts w:hint="eastAsia" w:ascii="宋体" w:hAnsi="宋体"/>
          <w:color w:val="auto"/>
          <w:highlight w:val="none"/>
        </w:rPr>
        <w:t>参与招标投标活动的各方应对招标文件和投标文件中</w:t>
      </w:r>
      <w:bookmarkStart w:id="24" w:name="_Toc361508589"/>
      <w:bookmarkStart w:id="25" w:name="_Toc352691477"/>
      <w:bookmarkStart w:id="26" w:name="_Toc5326"/>
      <w:bookmarkStart w:id="27" w:name="_Toc384308214"/>
      <w:bookmarkStart w:id="28" w:name="_Toc369531519"/>
      <w:r>
        <w:rPr>
          <w:rFonts w:hint="eastAsia" w:ascii="宋体" w:hAnsi="宋体"/>
          <w:color w:val="auto"/>
          <w:highlight w:val="none"/>
        </w:rPr>
        <w:t>的商业和技术等秘密保密</w:t>
      </w:r>
      <w:bookmarkEnd w:id="24"/>
      <w:bookmarkEnd w:id="25"/>
      <w:bookmarkEnd w:id="26"/>
      <w:bookmarkEnd w:id="27"/>
      <w:bookmarkEnd w:id="28"/>
      <w:r>
        <w:rPr>
          <w:rFonts w:hint="eastAsia" w:ascii="宋体" w:hAnsi="宋体"/>
          <w:color w:val="auto"/>
          <w:highlight w:val="none"/>
        </w:rPr>
        <w:t>，否则应承担相应的法律责任。</w:t>
      </w:r>
    </w:p>
    <w:p w14:paraId="42C3AB09">
      <w:pPr>
        <w:spacing w:before="240" w:beforeLines="100" w:after="240" w:afterLines="100"/>
        <w:rPr>
          <w:rFonts w:ascii="宋体" w:hAnsi="宋体"/>
          <w:b/>
          <w:color w:val="auto"/>
          <w:sz w:val="28"/>
          <w:szCs w:val="28"/>
          <w:highlight w:val="none"/>
        </w:rPr>
      </w:pPr>
      <w:bookmarkStart w:id="29" w:name="_Toc515205200"/>
      <w:bookmarkStart w:id="30" w:name="_Toc529196527"/>
      <w:r>
        <w:rPr>
          <w:rFonts w:hint="eastAsia" w:ascii="宋体" w:hAnsi="宋体"/>
          <w:b/>
          <w:color w:val="auto"/>
          <w:sz w:val="28"/>
          <w:szCs w:val="28"/>
          <w:highlight w:val="none"/>
        </w:rPr>
        <w:t>1.7 语言文字</w:t>
      </w:r>
      <w:bookmarkEnd w:id="29"/>
      <w:bookmarkEnd w:id="30"/>
    </w:p>
    <w:p w14:paraId="2AD4166E">
      <w:pPr>
        <w:spacing w:line="360" w:lineRule="auto"/>
        <w:ind w:firstLine="420" w:firstLineChars="200"/>
        <w:rPr>
          <w:rFonts w:ascii="宋体" w:hAnsi="宋体"/>
          <w:color w:val="auto"/>
          <w:highlight w:val="none"/>
        </w:rPr>
      </w:pPr>
      <w:r>
        <w:rPr>
          <w:rFonts w:hint="eastAsia" w:ascii="宋体" w:hAnsi="宋体"/>
          <w:color w:val="auto"/>
          <w:highlight w:val="none"/>
        </w:rPr>
        <w:t>招标投标文件使用的语言文字为中文。专用术语使用外文的，应附有中文注释。</w:t>
      </w:r>
    </w:p>
    <w:p w14:paraId="3A47F64B">
      <w:pPr>
        <w:spacing w:before="240" w:beforeLines="100" w:after="240" w:afterLines="100"/>
        <w:rPr>
          <w:rFonts w:ascii="宋体" w:hAnsi="宋体"/>
          <w:b/>
          <w:color w:val="auto"/>
          <w:sz w:val="28"/>
          <w:szCs w:val="28"/>
          <w:highlight w:val="none"/>
        </w:rPr>
      </w:pPr>
      <w:bookmarkStart w:id="31" w:name="_Toc515205201"/>
      <w:bookmarkStart w:id="32" w:name="_Toc529196528"/>
      <w:r>
        <w:rPr>
          <w:rFonts w:hint="eastAsia" w:ascii="宋体" w:hAnsi="宋体"/>
          <w:b/>
          <w:color w:val="auto"/>
          <w:sz w:val="28"/>
          <w:szCs w:val="28"/>
          <w:highlight w:val="none"/>
        </w:rPr>
        <w:t>1.8计量单位</w:t>
      </w:r>
      <w:bookmarkEnd w:id="31"/>
      <w:bookmarkEnd w:id="32"/>
    </w:p>
    <w:p w14:paraId="1A60614B">
      <w:pPr>
        <w:spacing w:line="360" w:lineRule="auto"/>
        <w:ind w:firstLine="420" w:firstLineChars="200"/>
        <w:rPr>
          <w:rFonts w:ascii="宋体" w:hAnsi="宋体"/>
          <w:color w:val="auto"/>
          <w:highlight w:val="none"/>
        </w:rPr>
      </w:pPr>
      <w:r>
        <w:rPr>
          <w:rFonts w:hint="eastAsia" w:ascii="宋体" w:hAnsi="宋体"/>
          <w:color w:val="auto"/>
          <w:highlight w:val="none"/>
        </w:rPr>
        <w:t>所有计量均采用中华人民共和国法定计量单位。</w:t>
      </w:r>
    </w:p>
    <w:p w14:paraId="350CF29F">
      <w:pPr>
        <w:spacing w:before="240" w:beforeLines="100" w:after="240" w:afterLines="100"/>
        <w:rPr>
          <w:rFonts w:ascii="宋体" w:hAnsi="宋体"/>
          <w:b/>
          <w:color w:val="auto"/>
          <w:sz w:val="28"/>
          <w:szCs w:val="28"/>
          <w:highlight w:val="none"/>
        </w:rPr>
      </w:pPr>
      <w:bookmarkStart w:id="33" w:name="_Toc515205202"/>
      <w:bookmarkStart w:id="34" w:name="_Toc247527563"/>
      <w:bookmarkStart w:id="35" w:name="_Toc370676289"/>
      <w:bookmarkStart w:id="36" w:name="_Toc144974507"/>
      <w:bookmarkStart w:id="37" w:name="_Toc152045539"/>
      <w:bookmarkStart w:id="38" w:name="_Toc384308219"/>
      <w:bookmarkStart w:id="39" w:name="_Toc152042315"/>
      <w:bookmarkStart w:id="40" w:name="_Toc247513962"/>
      <w:bookmarkStart w:id="41" w:name="_Toc482188480"/>
      <w:bookmarkStart w:id="42" w:name="_Toc300834959"/>
      <w:bookmarkStart w:id="43" w:name="_Toc529196529"/>
      <w:bookmarkStart w:id="44" w:name="_Toc391393967"/>
      <w:bookmarkStart w:id="45" w:name="_Toc361508594"/>
      <w:r>
        <w:rPr>
          <w:rFonts w:hint="eastAsia" w:ascii="宋体" w:hAnsi="宋体"/>
          <w:b/>
          <w:color w:val="auto"/>
          <w:sz w:val="28"/>
          <w:szCs w:val="28"/>
          <w:highlight w:val="none"/>
        </w:rPr>
        <w:t>1.9 踏勘现场</w:t>
      </w:r>
      <w:bookmarkEnd w:id="33"/>
      <w:bookmarkEnd w:id="34"/>
      <w:bookmarkEnd w:id="35"/>
      <w:bookmarkEnd w:id="36"/>
      <w:bookmarkEnd w:id="37"/>
      <w:bookmarkEnd w:id="38"/>
      <w:bookmarkEnd w:id="39"/>
      <w:bookmarkEnd w:id="40"/>
      <w:bookmarkEnd w:id="41"/>
      <w:bookmarkEnd w:id="42"/>
      <w:bookmarkEnd w:id="43"/>
      <w:bookmarkEnd w:id="44"/>
      <w:bookmarkEnd w:id="45"/>
    </w:p>
    <w:p w14:paraId="60E9383A">
      <w:pPr>
        <w:spacing w:line="360" w:lineRule="auto"/>
        <w:ind w:firstLine="420" w:firstLineChars="200"/>
        <w:rPr>
          <w:rFonts w:ascii="宋体" w:hAnsi="宋体"/>
          <w:color w:val="auto"/>
          <w:highlight w:val="none"/>
        </w:rPr>
      </w:pPr>
      <w:r>
        <w:rPr>
          <w:rFonts w:hint="eastAsia" w:ascii="宋体" w:hAnsi="宋体"/>
          <w:color w:val="auto"/>
          <w:highlight w:val="none"/>
        </w:rPr>
        <w:t>1.9.1 投标人须知前附表规定组织踏勘现场的，招标人按投标人须知前附表规定的时间、地点组织投标人踏勘项目现场。部分投标人未按时参加踏勘现场的，不影响踏勘现场的正常进行。</w:t>
      </w:r>
    </w:p>
    <w:p w14:paraId="728C4AB0">
      <w:pPr>
        <w:spacing w:line="360" w:lineRule="auto"/>
        <w:ind w:firstLine="420" w:firstLineChars="200"/>
        <w:rPr>
          <w:rFonts w:ascii="宋体" w:hAnsi="宋体"/>
          <w:color w:val="auto"/>
          <w:highlight w:val="none"/>
        </w:rPr>
      </w:pPr>
      <w:r>
        <w:rPr>
          <w:rFonts w:hint="eastAsia" w:ascii="宋体" w:hAnsi="宋体"/>
          <w:color w:val="auto"/>
          <w:highlight w:val="none"/>
        </w:rPr>
        <w:t>1.9.2 投标人踏勘现场发生的费用自理。</w:t>
      </w:r>
    </w:p>
    <w:p w14:paraId="52E477D1">
      <w:pPr>
        <w:spacing w:line="360" w:lineRule="auto"/>
        <w:ind w:firstLine="420" w:firstLineChars="200"/>
        <w:rPr>
          <w:rFonts w:ascii="宋体" w:hAnsi="宋体"/>
          <w:color w:val="auto"/>
          <w:highlight w:val="none"/>
        </w:rPr>
      </w:pPr>
      <w:r>
        <w:rPr>
          <w:rFonts w:hint="eastAsia" w:ascii="宋体" w:hAnsi="宋体"/>
          <w:color w:val="auto"/>
          <w:highlight w:val="none"/>
        </w:rPr>
        <w:t>1.9.3 除招标人的原因外，投标人自行负责在踏勘现场中所发生的人员伤亡和财产损失。</w:t>
      </w:r>
    </w:p>
    <w:p w14:paraId="51D59F23">
      <w:pPr>
        <w:spacing w:line="360" w:lineRule="auto"/>
        <w:ind w:firstLine="420" w:firstLineChars="200"/>
        <w:rPr>
          <w:rFonts w:ascii="宋体" w:hAnsi="宋体"/>
          <w:color w:val="auto"/>
          <w:highlight w:val="none"/>
        </w:rPr>
      </w:pPr>
      <w:r>
        <w:rPr>
          <w:rFonts w:hint="eastAsia" w:ascii="宋体" w:hAnsi="宋体"/>
          <w:color w:val="auto"/>
          <w:highlight w:val="none"/>
        </w:rPr>
        <w:t>1.9.4 招标人在踏勘现场中介绍的工程场地和相关的周边环境情况，供投标人在编制投标文件时参考，招标人不对投标人据此作出的判断和决策负责。</w:t>
      </w:r>
    </w:p>
    <w:p w14:paraId="12020914">
      <w:pPr>
        <w:spacing w:before="240" w:beforeLines="100" w:after="240" w:afterLines="100"/>
        <w:rPr>
          <w:rFonts w:ascii="宋体" w:hAnsi="宋体"/>
          <w:b/>
          <w:color w:val="auto"/>
          <w:sz w:val="28"/>
          <w:szCs w:val="28"/>
          <w:highlight w:val="none"/>
        </w:rPr>
      </w:pPr>
      <w:bookmarkStart w:id="46" w:name="_Toc515205203"/>
      <w:bookmarkStart w:id="47" w:name="_Toc529196530"/>
      <w:r>
        <w:rPr>
          <w:rFonts w:hint="eastAsia" w:ascii="宋体" w:hAnsi="宋体"/>
          <w:b/>
          <w:color w:val="auto"/>
          <w:sz w:val="28"/>
          <w:szCs w:val="28"/>
          <w:highlight w:val="none"/>
        </w:rPr>
        <w:t>1.10投标预备会</w:t>
      </w:r>
      <w:bookmarkEnd w:id="46"/>
      <w:bookmarkEnd w:id="47"/>
    </w:p>
    <w:p w14:paraId="3D224245">
      <w:pPr>
        <w:spacing w:line="360" w:lineRule="auto"/>
        <w:ind w:firstLine="420" w:firstLineChars="200"/>
        <w:rPr>
          <w:rFonts w:ascii="宋体" w:hAnsi="宋体"/>
          <w:color w:val="auto"/>
          <w:highlight w:val="none"/>
        </w:rPr>
      </w:pPr>
      <w:r>
        <w:rPr>
          <w:rFonts w:hint="eastAsia" w:ascii="宋体" w:hAnsi="宋体"/>
          <w:color w:val="auto"/>
          <w:highlight w:val="none"/>
        </w:rPr>
        <w:t>1.10.1 投标人须知前附表规定召开投标预备会的，招标人按投标人须知前附表规定的时间和地点召开投标预备会，澄清投标人提出的问题。</w:t>
      </w:r>
    </w:p>
    <w:p w14:paraId="3BF00243">
      <w:pPr>
        <w:spacing w:line="360" w:lineRule="auto"/>
        <w:ind w:firstLine="420" w:firstLineChars="200"/>
        <w:rPr>
          <w:rFonts w:ascii="宋体" w:hAnsi="宋体"/>
          <w:color w:val="auto"/>
          <w:highlight w:val="none"/>
        </w:rPr>
      </w:pPr>
      <w:r>
        <w:rPr>
          <w:rFonts w:hint="eastAsia" w:ascii="宋体" w:hAnsi="宋体"/>
          <w:color w:val="auto"/>
          <w:highlight w:val="none"/>
        </w:rPr>
        <w:t>1.10.2 投标人应按投标人须知前附表规定的时间和形式将提出的问题送达招标人，以便招标人在会议期间澄清。</w:t>
      </w:r>
    </w:p>
    <w:p w14:paraId="08B931E5">
      <w:pPr>
        <w:spacing w:line="360" w:lineRule="auto"/>
        <w:ind w:firstLine="420" w:firstLineChars="200"/>
        <w:rPr>
          <w:rFonts w:ascii="宋体" w:hAnsi="宋体"/>
          <w:color w:val="auto"/>
          <w:highlight w:val="none"/>
        </w:rPr>
      </w:pPr>
      <w:r>
        <w:rPr>
          <w:rFonts w:hint="eastAsia" w:ascii="宋体" w:hAnsi="宋体"/>
          <w:color w:val="auto"/>
          <w:highlight w:val="none"/>
        </w:rPr>
        <w:t>1.10.3 投标预备会后，招标人将对投标人所提问题的澄清，以投标人须知前附表规定的形式通知所有购买招标文件的投标人。该澄清内容为招标文件的组成部分。</w:t>
      </w:r>
    </w:p>
    <w:p w14:paraId="07D2536A">
      <w:pPr>
        <w:spacing w:before="240" w:beforeLines="100" w:after="240" w:afterLines="100"/>
        <w:rPr>
          <w:rFonts w:ascii="宋体" w:hAnsi="宋体"/>
          <w:b/>
          <w:color w:val="auto"/>
          <w:sz w:val="28"/>
          <w:szCs w:val="28"/>
          <w:highlight w:val="none"/>
        </w:rPr>
      </w:pPr>
      <w:bookmarkStart w:id="48" w:name="_Toc529196531"/>
      <w:bookmarkStart w:id="49" w:name="_Toc515205204"/>
      <w:r>
        <w:rPr>
          <w:rFonts w:hint="eastAsia" w:ascii="宋体" w:hAnsi="宋体"/>
          <w:b/>
          <w:color w:val="auto"/>
          <w:sz w:val="28"/>
          <w:szCs w:val="28"/>
          <w:highlight w:val="none"/>
        </w:rPr>
        <w:t>1.11 分包</w:t>
      </w:r>
      <w:bookmarkEnd w:id="48"/>
      <w:bookmarkEnd w:id="49"/>
    </w:p>
    <w:p w14:paraId="71336072">
      <w:pPr>
        <w:spacing w:line="360" w:lineRule="auto"/>
        <w:ind w:firstLine="420" w:firstLineChars="200"/>
        <w:rPr>
          <w:rFonts w:ascii="宋体" w:hAnsi="宋体"/>
          <w:color w:val="auto"/>
          <w:highlight w:val="none"/>
        </w:rPr>
      </w:pPr>
      <w:r>
        <w:rPr>
          <w:rFonts w:hint="eastAsia" w:ascii="宋体" w:hAnsi="宋体"/>
          <w:color w:val="auto"/>
          <w:highlight w:val="none"/>
        </w:rPr>
        <w:t>本项目严禁分包。</w:t>
      </w:r>
    </w:p>
    <w:p w14:paraId="30BE450A">
      <w:pPr>
        <w:spacing w:before="240" w:beforeLines="100" w:after="240" w:afterLines="100"/>
        <w:rPr>
          <w:rFonts w:ascii="宋体" w:hAnsi="宋体"/>
          <w:b/>
          <w:color w:val="auto"/>
          <w:sz w:val="28"/>
          <w:szCs w:val="28"/>
          <w:highlight w:val="none"/>
        </w:rPr>
      </w:pPr>
      <w:bookmarkStart w:id="50" w:name="_Toc529196532"/>
      <w:bookmarkStart w:id="51" w:name="_Toc515205205"/>
      <w:r>
        <w:rPr>
          <w:rFonts w:hint="eastAsia" w:ascii="宋体" w:hAnsi="宋体"/>
          <w:b/>
          <w:color w:val="auto"/>
          <w:sz w:val="28"/>
          <w:szCs w:val="28"/>
          <w:highlight w:val="none"/>
        </w:rPr>
        <w:t>1.12响应和偏差</w:t>
      </w:r>
      <w:bookmarkEnd w:id="50"/>
      <w:bookmarkEnd w:id="51"/>
    </w:p>
    <w:p w14:paraId="25BDE4DD">
      <w:pPr>
        <w:spacing w:line="360" w:lineRule="auto"/>
        <w:ind w:firstLine="420" w:firstLineChars="200"/>
        <w:rPr>
          <w:rFonts w:ascii="宋体" w:hAnsi="宋体"/>
          <w:color w:val="auto"/>
          <w:highlight w:val="none"/>
        </w:rPr>
      </w:pPr>
      <w:r>
        <w:rPr>
          <w:rFonts w:hint="eastAsia" w:ascii="宋体" w:hAnsi="宋体"/>
          <w:color w:val="auto"/>
          <w:highlight w:val="none"/>
        </w:rPr>
        <w:t>1.12.1投标文件应当对招标文件的实质性要求和条件作出满足性或更有利于招标人的响应，否则，投标人的投标将被否决。实质性要求和条件见投标人须知前附表。</w:t>
      </w:r>
    </w:p>
    <w:p w14:paraId="2A69543E">
      <w:pPr>
        <w:spacing w:line="360" w:lineRule="auto"/>
        <w:ind w:firstLine="420" w:firstLineChars="200"/>
        <w:rPr>
          <w:rFonts w:ascii="宋体" w:hAnsi="宋体"/>
          <w:color w:val="auto"/>
          <w:highlight w:val="none"/>
        </w:rPr>
      </w:pPr>
      <w:r>
        <w:rPr>
          <w:rFonts w:hint="eastAsia" w:ascii="宋体" w:hAnsi="宋体"/>
          <w:color w:val="auto"/>
          <w:highlight w:val="none"/>
        </w:rPr>
        <w:t>1.12.2 投标人应根据招标文件的要求提供投标监理大纲等内容以对招标文件作出响应。</w:t>
      </w:r>
    </w:p>
    <w:p w14:paraId="7B908FEE">
      <w:pPr>
        <w:spacing w:line="360" w:lineRule="auto"/>
        <w:ind w:firstLine="420" w:firstLineChars="200"/>
        <w:rPr>
          <w:rFonts w:ascii="宋体" w:hAnsi="宋体"/>
          <w:color w:val="auto"/>
          <w:highlight w:val="none"/>
        </w:rPr>
      </w:pPr>
      <w:r>
        <w:rPr>
          <w:rFonts w:hint="eastAsia" w:ascii="宋体" w:hAnsi="宋体"/>
          <w:color w:val="auto"/>
          <w:highlight w:val="none"/>
        </w:rPr>
        <w:t>1.12.3投标人须知前附表允许投标文件偏离招标文件某些要求的，偏差应当符合招标文件规定的偏差范围和幅度。</w:t>
      </w:r>
    </w:p>
    <w:p w14:paraId="5C0247A5">
      <w:pPr>
        <w:spacing w:before="260"/>
        <w:outlineLvl w:val="2"/>
        <w:rPr>
          <w:rFonts w:ascii="宋体" w:hAnsi="宋体"/>
          <w:b/>
          <w:color w:val="auto"/>
          <w:sz w:val="32"/>
          <w:szCs w:val="32"/>
          <w:highlight w:val="none"/>
        </w:rPr>
      </w:pPr>
      <w:bookmarkStart w:id="52" w:name="_Toc529196533"/>
      <w:bookmarkStart w:id="53" w:name="_Toc515205206"/>
      <w:r>
        <w:rPr>
          <w:rFonts w:hint="eastAsia" w:ascii="宋体" w:hAnsi="宋体"/>
          <w:b/>
          <w:color w:val="auto"/>
          <w:sz w:val="32"/>
          <w:szCs w:val="32"/>
          <w:highlight w:val="none"/>
        </w:rPr>
        <w:t>2. 招标文件</w:t>
      </w:r>
      <w:bookmarkEnd w:id="52"/>
      <w:bookmarkEnd w:id="53"/>
    </w:p>
    <w:p w14:paraId="17706D3D">
      <w:pPr>
        <w:spacing w:before="240" w:beforeLines="100" w:after="240" w:afterLines="100"/>
        <w:rPr>
          <w:rFonts w:ascii="宋体" w:hAnsi="宋体"/>
          <w:b/>
          <w:color w:val="auto"/>
          <w:sz w:val="28"/>
          <w:szCs w:val="28"/>
          <w:highlight w:val="none"/>
        </w:rPr>
      </w:pPr>
      <w:bookmarkStart w:id="54" w:name="_Toc515205207"/>
      <w:bookmarkStart w:id="55" w:name="_Toc529196534"/>
      <w:r>
        <w:rPr>
          <w:rFonts w:hint="eastAsia" w:ascii="宋体" w:hAnsi="宋体"/>
          <w:b/>
          <w:color w:val="auto"/>
          <w:sz w:val="28"/>
          <w:szCs w:val="28"/>
          <w:highlight w:val="none"/>
        </w:rPr>
        <w:t>2.1 招标文件的组成</w:t>
      </w:r>
      <w:bookmarkEnd w:id="54"/>
      <w:bookmarkEnd w:id="55"/>
    </w:p>
    <w:p w14:paraId="5C051B2D">
      <w:pPr>
        <w:spacing w:line="360" w:lineRule="auto"/>
        <w:ind w:firstLine="359" w:firstLineChars="171"/>
        <w:rPr>
          <w:rFonts w:ascii="宋体" w:hAnsi="宋体"/>
          <w:color w:val="auto"/>
          <w:highlight w:val="none"/>
        </w:rPr>
      </w:pPr>
      <w:r>
        <w:rPr>
          <w:rFonts w:hint="eastAsia" w:ascii="宋体" w:hAnsi="宋体"/>
          <w:color w:val="auto"/>
          <w:highlight w:val="none"/>
        </w:rPr>
        <w:t>本招标文件包括：</w:t>
      </w:r>
    </w:p>
    <w:p w14:paraId="43327C29">
      <w:pPr>
        <w:spacing w:line="360" w:lineRule="auto"/>
        <w:ind w:firstLine="359" w:firstLineChars="171"/>
        <w:rPr>
          <w:rFonts w:ascii="宋体" w:hAnsi="宋体"/>
          <w:color w:val="auto"/>
          <w:highlight w:val="none"/>
        </w:rPr>
      </w:pPr>
      <w:r>
        <w:rPr>
          <w:rFonts w:hint="eastAsia" w:ascii="宋体" w:hAnsi="宋体"/>
          <w:color w:val="auto"/>
          <w:highlight w:val="none"/>
        </w:rPr>
        <w:t>（1）招标公告（或投标邀请书）；</w:t>
      </w:r>
    </w:p>
    <w:p w14:paraId="6F346394">
      <w:pPr>
        <w:spacing w:line="360" w:lineRule="auto"/>
        <w:ind w:firstLine="359" w:firstLineChars="171"/>
        <w:rPr>
          <w:rFonts w:ascii="宋体" w:hAnsi="宋体"/>
          <w:color w:val="auto"/>
          <w:highlight w:val="none"/>
        </w:rPr>
      </w:pPr>
      <w:r>
        <w:rPr>
          <w:rFonts w:hint="eastAsia" w:ascii="宋体" w:hAnsi="宋体"/>
          <w:color w:val="auto"/>
          <w:highlight w:val="none"/>
        </w:rPr>
        <w:t>（2）投标人须知；</w:t>
      </w:r>
    </w:p>
    <w:p w14:paraId="0CBD1E48">
      <w:pPr>
        <w:spacing w:line="360" w:lineRule="auto"/>
        <w:ind w:firstLine="359" w:firstLineChars="171"/>
        <w:rPr>
          <w:rFonts w:ascii="宋体" w:hAnsi="宋体"/>
          <w:color w:val="auto"/>
          <w:highlight w:val="none"/>
        </w:rPr>
      </w:pPr>
      <w:r>
        <w:rPr>
          <w:rFonts w:hint="eastAsia" w:ascii="宋体" w:hAnsi="宋体"/>
          <w:color w:val="auto"/>
          <w:highlight w:val="none"/>
        </w:rPr>
        <w:t>（3）评标办法；</w:t>
      </w:r>
    </w:p>
    <w:p w14:paraId="1E0B0A81">
      <w:pPr>
        <w:spacing w:line="360" w:lineRule="auto"/>
        <w:ind w:firstLine="359" w:firstLineChars="171"/>
        <w:rPr>
          <w:rFonts w:ascii="宋体" w:hAnsi="宋体"/>
          <w:color w:val="auto"/>
          <w:highlight w:val="none"/>
        </w:rPr>
      </w:pPr>
      <w:r>
        <w:rPr>
          <w:rFonts w:hint="eastAsia" w:ascii="宋体" w:hAnsi="宋体"/>
          <w:color w:val="auto"/>
          <w:highlight w:val="none"/>
        </w:rPr>
        <w:t>（4）合同条款及格式；</w:t>
      </w:r>
    </w:p>
    <w:p w14:paraId="32D50280">
      <w:pPr>
        <w:spacing w:line="360" w:lineRule="auto"/>
        <w:ind w:firstLine="359" w:firstLineChars="171"/>
        <w:rPr>
          <w:rFonts w:ascii="宋体" w:hAnsi="宋体"/>
          <w:color w:val="auto"/>
          <w:highlight w:val="none"/>
        </w:rPr>
      </w:pPr>
      <w:r>
        <w:rPr>
          <w:rFonts w:hint="eastAsia" w:ascii="宋体" w:hAnsi="宋体"/>
          <w:color w:val="auto"/>
          <w:highlight w:val="none"/>
        </w:rPr>
        <w:t>（5）委托人要求；</w:t>
      </w:r>
    </w:p>
    <w:p w14:paraId="5CD528B5">
      <w:pPr>
        <w:spacing w:line="360" w:lineRule="auto"/>
        <w:ind w:firstLine="359" w:firstLineChars="171"/>
        <w:rPr>
          <w:rFonts w:ascii="宋体" w:hAnsi="宋体"/>
          <w:color w:val="auto"/>
          <w:highlight w:val="none"/>
        </w:rPr>
      </w:pPr>
      <w:r>
        <w:rPr>
          <w:rFonts w:hint="eastAsia" w:ascii="宋体" w:hAnsi="宋体"/>
          <w:color w:val="auto"/>
          <w:highlight w:val="none"/>
        </w:rPr>
        <w:t>（6）投标文件格式；</w:t>
      </w:r>
    </w:p>
    <w:p w14:paraId="38508197">
      <w:pPr>
        <w:spacing w:line="360" w:lineRule="auto"/>
        <w:ind w:firstLine="359" w:firstLineChars="171"/>
        <w:rPr>
          <w:rFonts w:ascii="宋体" w:hAnsi="宋体"/>
          <w:color w:val="auto"/>
          <w:highlight w:val="none"/>
        </w:rPr>
      </w:pPr>
      <w:r>
        <w:rPr>
          <w:rFonts w:hint="eastAsia" w:ascii="宋体" w:hAnsi="宋体"/>
          <w:color w:val="auto"/>
          <w:highlight w:val="none"/>
        </w:rPr>
        <w:t>（7）投标人须知前附表规定的其他资料。</w:t>
      </w:r>
    </w:p>
    <w:p w14:paraId="70E9D13D">
      <w:pPr>
        <w:spacing w:line="360" w:lineRule="auto"/>
        <w:ind w:firstLine="420" w:firstLineChars="200"/>
        <w:rPr>
          <w:rFonts w:ascii="宋体" w:hAnsi="宋体"/>
          <w:color w:val="auto"/>
          <w:highlight w:val="none"/>
        </w:rPr>
      </w:pPr>
      <w:r>
        <w:rPr>
          <w:rFonts w:hint="eastAsia" w:ascii="宋体" w:hAnsi="宋体"/>
          <w:color w:val="auto"/>
          <w:highlight w:val="none"/>
        </w:rPr>
        <w:t>根据本章第1.10款、第2.2款和第2.3款对招标文件所作的澄清、修改，构成招标文件的组成部分。</w:t>
      </w:r>
    </w:p>
    <w:p w14:paraId="7CD4A9FE">
      <w:pPr>
        <w:spacing w:before="240" w:beforeLines="100" w:after="240" w:afterLines="100"/>
        <w:rPr>
          <w:rFonts w:ascii="宋体" w:hAnsi="宋体"/>
          <w:b/>
          <w:color w:val="auto"/>
          <w:sz w:val="28"/>
          <w:szCs w:val="28"/>
          <w:highlight w:val="none"/>
        </w:rPr>
      </w:pPr>
      <w:bookmarkStart w:id="56" w:name="_Toc515205208"/>
      <w:bookmarkStart w:id="57" w:name="_Toc529196535"/>
      <w:r>
        <w:rPr>
          <w:rFonts w:hint="eastAsia" w:ascii="宋体" w:hAnsi="宋体"/>
          <w:b/>
          <w:color w:val="auto"/>
          <w:sz w:val="28"/>
          <w:szCs w:val="28"/>
          <w:highlight w:val="none"/>
        </w:rPr>
        <w:t>2.2 招标文件的澄清</w:t>
      </w:r>
      <w:bookmarkEnd w:id="56"/>
      <w:bookmarkEnd w:id="57"/>
    </w:p>
    <w:p w14:paraId="0DEFF436">
      <w:pPr>
        <w:spacing w:line="360" w:lineRule="auto"/>
        <w:ind w:firstLine="359" w:firstLineChars="171"/>
        <w:rPr>
          <w:rFonts w:ascii="宋体" w:hAnsi="宋体"/>
          <w:color w:val="auto"/>
          <w:highlight w:val="none"/>
        </w:rPr>
      </w:pPr>
      <w:r>
        <w:rPr>
          <w:rFonts w:hint="eastAsia" w:ascii="宋体" w:hAnsi="宋体"/>
          <w:color w:val="auto"/>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C89E74E">
      <w:pPr>
        <w:spacing w:line="360" w:lineRule="auto"/>
        <w:ind w:firstLine="359" w:firstLineChars="171"/>
        <w:rPr>
          <w:rFonts w:ascii="宋体" w:hAnsi="宋体"/>
          <w:color w:val="auto"/>
          <w:highlight w:val="none"/>
        </w:rPr>
      </w:pPr>
      <w:r>
        <w:rPr>
          <w:rFonts w:hint="eastAsia" w:ascii="宋体" w:hAnsi="宋体"/>
          <w:color w:val="auto"/>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44B2DCD2">
      <w:pPr>
        <w:spacing w:line="360" w:lineRule="auto"/>
        <w:ind w:firstLine="359" w:firstLineChars="171"/>
        <w:rPr>
          <w:rFonts w:ascii="宋体" w:hAnsi="宋体"/>
          <w:color w:val="auto"/>
          <w:highlight w:val="none"/>
        </w:rPr>
      </w:pPr>
      <w:r>
        <w:rPr>
          <w:rFonts w:hint="eastAsia" w:ascii="宋体" w:hAnsi="宋体"/>
          <w:color w:val="auto"/>
          <w:highlight w:val="none"/>
        </w:rPr>
        <w:t>2.2.3 投标人在收到澄清后，应按投标人须知前附表规定的时间和形式通知招标人，确认已收到该澄清。</w:t>
      </w:r>
    </w:p>
    <w:p w14:paraId="64B3A306">
      <w:pPr>
        <w:spacing w:line="360" w:lineRule="auto"/>
        <w:ind w:firstLine="359" w:firstLineChars="171"/>
        <w:rPr>
          <w:rFonts w:ascii="宋体" w:hAnsi="宋体"/>
          <w:color w:val="auto"/>
          <w:highlight w:val="none"/>
        </w:rPr>
      </w:pPr>
      <w:r>
        <w:rPr>
          <w:rFonts w:hint="eastAsia" w:ascii="宋体" w:hAnsi="宋体"/>
          <w:color w:val="auto"/>
          <w:highlight w:val="none"/>
        </w:rPr>
        <w:t>2.2.4 除非招标人认为确有必要答复，否则，招标人有权拒绝回复投标人在本章第2.2.1项规定的时间后的任何澄清要求。</w:t>
      </w:r>
    </w:p>
    <w:p w14:paraId="34C0B3BB">
      <w:pPr>
        <w:spacing w:before="240" w:beforeLines="100" w:after="240" w:afterLines="100"/>
        <w:rPr>
          <w:rFonts w:ascii="宋体" w:hAnsi="宋体"/>
          <w:b/>
          <w:color w:val="auto"/>
          <w:sz w:val="28"/>
          <w:szCs w:val="28"/>
          <w:highlight w:val="none"/>
        </w:rPr>
      </w:pPr>
      <w:bookmarkStart w:id="58" w:name="_Toc515205209"/>
      <w:bookmarkStart w:id="59" w:name="_Toc529196536"/>
      <w:bookmarkStart w:id="60" w:name="_Toc352691479"/>
      <w:r>
        <w:rPr>
          <w:rFonts w:hint="eastAsia" w:ascii="宋体" w:hAnsi="宋体"/>
          <w:b/>
          <w:color w:val="auto"/>
          <w:sz w:val="28"/>
          <w:szCs w:val="28"/>
          <w:highlight w:val="none"/>
        </w:rPr>
        <w:t>2.3 招标文件的修</w:t>
      </w:r>
      <w:bookmarkStart w:id="61" w:name="_Toc369531521"/>
      <w:bookmarkStart w:id="62" w:name="_Toc16514"/>
      <w:r>
        <w:rPr>
          <w:rFonts w:hint="eastAsia" w:ascii="宋体" w:hAnsi="宋体"/>
          <w:b/>
          <w:color w:val="auto"/>
          <w:sz w:val="28"/>
          <w:szCs w:val="28"/>
          <w:highlight w:val="none"/>
        </w:rPr>
        <w:t>改</w:t>
      </w:r>
      <w:bookmarkEnd w:id="58"/>
      <w:bookmarkEnd w:id="59"/>
    </w:p>
    <w:p w14:paraId="69DD4F1C">
      <w:pPr>
        <w:spacing w:line="360" w:lineRule="auto"/>
        <w:ind w:firstLine="359" w:firstLineChars="171"/>
        <w:rPr>
          <w:rFonts w:ascii="宋体" w:hAnsi="宋体"/>
          <w:color w:val="auto"/>
          <w:highlight w:val="none"/>
        </w:rPr>
      </w:pPr>
      <w:r>
        <w:rPr>
          <w:rFonts w:hint="eastAsia" w:ascii="宋体" w:hAnsi="宋体"/>
          <w:color w:val="auto"/>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0"/>
    <w:bookmarkEnd w:id="61"/>
    <w:bookmarkEnd w:id="62"/>
    <w:p w14:paraId="52532273">
      <w:pPr>
        <w:spacing w:line="360" w:lineRule="auto"/>
        <w:ind w:firstLine="359" w:firstLineChars="171"/>
        <w:rPr>
          <w:rFonts w:ascii="宋体" w:hAnsi="宋体"/>
          <w:color w:val="auto"/>
          <w:highlight w:val="none"/>
        </w:rPr>
      </w:pPr>
      <w:r>
        <w:rPr>
          <w:rFonts w:hint="eastAsia" w:ascii="宋体" w:hAnsi="宋体"/>
          <w:color w:val="auto"/>
          <w:highlight w:val="none"/>
        </w:rPr>
        <w:t>2.3.2 投标人收到修改内容</w:t>
      </w:r>
      <w:bookmarkStart w:id="63" w:name="_Toc24632"/>
      <w:bookmarkStart w:id="64" w:name="_Toc369531524"/>
      <w:bookmarkStart w:id="65" w:name="_Toc384308218"/>
      <w:bookmarkStart w:id="66" w:name="_Toc144974506"/>
      <w:bookmarkStart w:id="67" w:name="_Toc361508593"/>
      <w:bookmarkStart w:id="68" w:name="_Toc152045538"/>
      <w:bookmarkStart w:id="69" w:name="_Toc247513961"/>
      <w:bookmarkStart w:id="70" w:name="_Toc352691482"/>
      <w:bookmarkStart w:id="71" w:name="_Toc152042314"/>
      <w:bookmarkStart w:id="72" w:name="_Toc300834958"/>
      <w:bookmarkStart w:id="73" w:name="_Toc247527562"/>
      <w:r>
        <w:rPr>
          <w:rFonts w:hint="eastAsia" w:ascii="宋体" w:hAnsi="宋体"/>
          <w:color w:val="auto"/>
          <w:highlight w:val="none"/>
        </w:rPr>
        <w:t>后，</w:t>
      </w:r>
      <w:bookmarkEnd w:id="63"/>
      <w:bookmarkEnd w:id="64"/>
      <w:bookmarkEnd w:id="65"/>
      <w:bookmarkEnd w:id="66"/>
      <w:bookmarkEnd w:id="67"/>
      <w:bookmarkEnd w:id="68"/>
      <w:bookmarkEnd w:id="69"/>
      <w:bookmarkEnd w:id="70"/>
      <w:bookmarkEnd w:id="71"/>
      <w:bookmarkEnd w:id="72"/>
      <w:bookmarkEnd w:id="73"/>
      <w:bookmarkStart w:id="74" w:name="_Toc152045540"/>
      <w:bookmarkStart w:id="75" w:name="_Toc247527564"/>
      <w:bookmarkStart w:id="76" w:name="_Toc16623"/>
      <w:bookmarkStart w:id="77" w:name="_Toc247513963"/>
      <w:bookmarkStart w:id="78" w:name="_Toc369531526"/>
      <w:bookmarkStart w:id="79" w:name="_Toc144974508"/>
      <w:bookmarkStart w:id="80" w:name="_Toc300834960"/>
      <w:bookmarkStart w:id="81" w:name="_Toc384308220"/>
      <w:bookmarkStart w:id="82" w:name="_Toc152042316"/>
      <w:bookmarkStart w:id="83" w:name="_Toc352691484"/>
      <w:bookmarkStart w:id="84" w:name="_Toc361508595"/>
      <w:r>
        <w:rPr>
          <w:rFonts w:hint="eastAsia" w:ascii="宋体" w:hAnsi="宋体"/>
          <w:color w:val="auto"/>
          <w:highlight w:val="none"/>
        </w:rPr>
        <w:t>应按投标人须知前附表规定的时间和形式通知招标人，确认已收到该修改。</w:t>
      </w:r>
    </w:p>
    <w:p w14:paraId="07572E32">
      <w:pPr>
        <w:spacing w:before="240" w:beforeLines="100" w:after="240" w:afterLines="100"/>
        <w:rPr>
          <w:rFonts w:ascii="宋体" w:hAnsi="宋体"/>
          <w:b/>
          <w:color w:val="auto"/>
          <w:sz w:val="28"/>
          <w:szCs w:val="28"/>
          <w:highlight w:val="none"/>
        </w:rPr>
      </w:pPr>
      <w:bookmarkStart w:id="85" w:name="_Toc515205210"/>
      <w:bookmarkStart w:id="86" w:name="_Toc529196537"/>
      <w:r>
        <w:rPr>
          <w:rFonts w:hint="eastAsia" w:ascii="宋体" w:hAnsi="宋体"/>
          <w:b/>
          <w:color w:val="auto"/>
          <w:sz w:val="28"/>
          <w:szCs w:val="28"/>
          <w:highlight w:val="none"/>
        </w:rPr>
        <w:t>2.</w:t>
      </w:r>
      <w:bookmarkEnd w:id="74"/>
      <w:bookmarkEnd w:id="75"/>
      <w:bookmarkEnd w:id="76"/>
      <w:bookmarkEnd w:id="77"/>
      <w:bookmarkEnd w:id="78"/>
      <w:bookmarkEnd w:id="79"/>
      <w:bookmarkEnd w:id="80"/>
      <w:bookmarkEnd w:id="81"/>
      <w:bookmarkEnd w:id="82"/>
      <w:bookmarkEnd w:id="83"/>
      <w:bookmarkEnd w:id="84"/>
      <w:r>
        <w:rPr>
          <w:rFonts w:hint="eastAsia" w:ascii="宋体" w:hAnsi="宋体"/>
          <w:b/>
          <w:color w:val="auto"/>
          <w:sz w:val="28"/>
          <w:szCs w:val="28"/>
          <w:highlight w:val="none"/>
        </w:rPr>
        <w:t>4 招标文件的异议</w:t>
      </w:r>
      <w:bookmarkEnd w:id="85"/>
      <w:bookmarkEnd w:id="86"/>
    </w:p>
    <w:p w14:paraId="341065FD">
      <w:pPr>
        <w:spacing w:line="360" w:lineRule="auto"/>
        <w:ind w:firstLine="359" w:firstLineChars="171"/>
        <w:rPr>
          <w:rFonts w:hint="eastAsia" w:ascii="宋体" w:hAnsi="宋体" w:eastAsia="宋体" w:cs="Times New Roman"/>
          <w:color w:val="auto"/>
          <w:highlight w:val="none"/>
        </w:rPr>
      </w:pPr>
      <w:r>
        <w:rPr>
          <w:rFonts w:hint="eastAsia" w:ascii="宋体" w:hAnsi="宋体"/>
          <w:color w:val="auto"/>
          <w:highlight w:val="none"/>
        </w:rPr>
        <w:t>投标人或者其他利害关系人对招标文件有异议的，应当在投标截止时间10日前以书面形式提出。</w:t>
      </w:r>
      <w:r>
        <w:rPr>
          <w:rFonts w:hint="eastAsia" w:ascii="宋体" w:hAnsi="宋体"/>
          <w:color w:val="auto"/>
          <w:highlight w:val="none"/>
          <w:u w:val="none"/>
        </w:rPr>
        <w:t>招标人将在收到异议之日起3日内作出答复；作出答复前，将暂停招标投标活动。</w:t>
      </w:r>
    </w:p>
    <w:p w14:paraId="749FE5EC">
      <w:pPr>
        <w:spacing w:before="260"/>
        <w:outlineLvl w:val="2"/>
        <w:rPr>
          <w:rFonts w:ascii="宋体" w:hAnsi="宋体"/>
          <w:b/>
          <w:color w:val="auto"/>
          <w:sz w:val="32"/>
          <w:szCs w:val="32"/>
          <w:highlight w:val="none"/>
        </w:rPr>
      </w:pPr>
      <w:bookmarkStart w:id="87" w:name="_Toc515205211"/>
      <w:bookmarkStart w:id="88" w:name="_Toc529196538"/>
      <w:r>
        <w:rPr>
          <w:rFonts w:hint="eastAsia" w:ascii="宋体" w:hAnsi="宋体"/>
          <w:b/>
          <w:color w:val="auto"/>
          <w:sz w:val="32"/>
          <w:szCs w:val="32"/>
          <w:highlight w:val="none"/>
        </w:rPr>
        <w:t>3. 投标文件</w:t>
      </w:r>
      <w:bookmarkEnd w:id="87"/>
      <w:bookmarkEnd w:id="88"/>
    </w:p>
    <w:p w14:paraId="77556CD3">
      <w:pPr>
        <w:spacing w:before="240" w:beforeLines="100" w:after="240" w:afterLines="100"/>
        <w:rPr>
          <w:rFonts w:ascii="宋体" w:hAnsi="宋体"/>
          <w:b/>
          <w:color w:val="auto"/>
          <w:sz w:val="28"/>
          <w:szCs w:val="28"/>
          <w:highlight w:val="none"/>
        </w:rPr>
      </w:pPr>
      <w:bookmarkStart w:id="89" w:name="_Toc529196539"/>
      <w:bookmarkStart w:id="90" w:name="_Toc515205212"/>
      <w:r>
        <w:rPr>
          <w:rFonts w:hint="eastAsia" w:ascii="宋体" w:hAnsi="宋体"/>
          <w:b/>
          <w:color w:val="auto"/>
          <w:sz w:val="28"/>
          <w:szCs w:val="28"/>
          <w:highlight w:val="none"/>
        </w:rPr>
        <w:t>3.1 投标文件的组成</w:t>
      </w:r>
      <w:bookmarkEnd w:id="89"/>
      <w:bookmarkEnd w:id="90"/>
    </w:p>
    <w:p w14:paraId="7B7596BC">
      <w:pPr>
        <w:spacing w:line="360" w:lineRule="auto"/>
        <w:rPr>
          <w:rFonts w:ascii="宋体" w:hAnsi="宋体"/>
          <w:color w:val="auto"/>
          <w:highlight w:val="none"/>
        </w:rPr>
      </w:pPr>
      <w:r>
        <w:rPr>
          <w:rFonts w:hint="eastAsia" w:ascii="宋体" w:hAnsi="宋体"/>
          <w:color w:val="auto"/>
          <w:sz w:val="24"/>
          <w:highlight w:val="none"/>
        </w:rPr>
        <w:t>　</w:t>
      </w:r>
      <w:r>
        <w:rPr>
          <w:rFonts w:hint="eastAsia" w:ascii="宋体" w:hAnsi="宋体"/>
          <w:color w:val="auto"/>
          <w:highlight w:val="none"/>
        </w:rPr>
        <w:t>　3.1.1 投标文件应包括下列内容：</w:t>
      </w:r>
    </w:p>
    <w:p w14:paraId="5FD7F94A">
      <w:pPr>
        <w:pStyle w:val="79"/>
        <w:ind w:firstLine="420"/>
        <w:rPr>
          <w:rFonts w:ascii="宋体" w:hAnsi="宋体"/>
          <w:color w:val="auto"/>
          <w:spacing w:val="0"/>
          <w:sz w:val="21"/>
          <w:highlight w:val="none"/>
        </w:rPr>
      </w:pPr>
      <w:r>
        <w:rPr>
          <w:rFonts w:hint="eastAsia" w:ascii="宋体" w:hAnsi="宋体"/>
          <w:color w:val="auto"/>
          <w:spacing w:val="0"/>
          <w:sz w:val="21"/>
          <w:highlight w:val="none"/>
        </w:rPr>
        <w:t>（1）投标函及投标函附录；</w:t>
      </w:r>
    </w:p>
    <w:p w14:paraId="082FA830">
      <w:pPr>
        <w:pStyle w:val="79"/>
        <w:ind w:firstLine="420"/>
        <w:rPr>
          <w:rFonts w:ascii="宋体" w:hAnsi="宋体"/>
          <w:color w:val="auto"/>
          <w:spacing w:val="0"/>
          <w:sz w:val="21"/>
          <w:highlight w:val="none"/>
        </w:rPr>
      </w:pPr>
      <w:r>
        <w:rPr>
          <w:rFonts w:hint="eastAsia" w:ascii="宋体" w:hAnsi="宋体"/>
          <w:color w:val="auto"/>
          <w:spacing w:val="0"/>
          <w:sz w:val="21"/>
          <w:highlight w:val="none"/>
        </w:rPr>
        <w:t>（2）法定代表人身份证明或授权委托书；</w:t>
      </w:r>
    </w:p>
    <w:p w14:paraId="675E4DA2">
      <w:pPr>
        <w:pStyle w:val="79"/>
        <w:ind w:firstLine="420"/>
        <w:rPr>
          <w:rFonts w:hint="eastAsia" w:ascii="宋体" w:hAnsi="宋体" w:eastAsia="宋体"/>
          <w:strike w:val="0"/>
          <w:color w:val="auto"/>
          <w:spacing w:val="0"/>
          <w:sz w:val="21"/>
          <w:highlight w:val="none"/>
          <w:lang w:eastAsia="zh-CN"/>
        </w:rPr>
      </w:pPr>
      <w:r>
        <w:rPr>
          <w:rFonts w:hint="eastAsia" w:ascii="宋体" w:hAnsi="宋体"/>
          <w:strike w:val="0"/>
          <w:color w:val="auto"/>
          <w:spacing w:val="0"/>
          <w:sz w:val="21"/>
          <w:highlight w:val="none"/>
        </w:rPr>
        <w:t>（</w:t>
      </w:r>
      <w:r>
        <w:rPr>
          <w:rFonts w:hint="eastAsia" w:ascii="宋体" w:hAnsi="宋体"/>
          <w:strike w:val="0"/>
          <w:color w:val="auto"/>
          <w:spacing w:val="0"/>
          <w:sz w:val="21"/>
          <w:highlight w:val="none"/>
          <w:lang w:val="en-US" w:eastAsia="zh-CN"/>
        </w:rPr>
        <w:t>3</w:t>
      </w:r>
      <w:r>
        <w:rPr>
          <w:rFonts w:hint="eastAsia" w:ascii="宋体" w:hAnsi="宋体"/>
          <w:strike w:val="0"/>
          <w:color w:val="auto"/>
          <w:spacing w:val="0"/>
          <w:sz w:val="21"/>
          <w:highlight w:val="none"/>
        </w:rPr>
        <w:t>）投标保证金</w:t>
      </w:r>
      <w:r>
        <w:rPr>
          <w:rFonts w:hint="eastAsia" w:ascii="宋体" w:hAnsi="宋体"/>
          <w:strike w:val="0"/>
          <w:color w:val="auto"/>
          <w:spacing w:val="0"/>
          <w:sz w:val="21"/>
          <w:highlight w:val="none"/>
          <w:lang w:eastAsia="zh-CN"/>
        </w:rPr>
        <w:t>；</w:t>
      </w:r>
    </w:p>
    <w:p w14:paraId="79D17F6A">
      <w:pPr>
        <w:pStyle w:val="79"/>
        <w:ind w:firstLine="420"/>
        <w:rPr>
          <w:rFonts w:hint="eastAsia" w:ascii="宋体" w:hAnsi="宋体" w:eastAsia="宋体"/>
          <w:color w:val="auto"/>
          <w:spacing w:val="0"/>
          <w:sz w:val="21"/>
          <w:highlight w:val="none"/>
          <w:lang w:eastAsia="zh-CN"/>
        </w:rPr>
      </w:pPr>
      <w:r>
        <w:rPr>
          <w:rFonts w:hint="eastAsia" w:ascii="宋体" w:hAnsi="宋体"/>
          <w:color w:val="auto"/>
          <w:spacing w:val="0"/>
          <w:sz w:val="21"/>
          <w:highlight w:val="none"/>
        </w:rPr>
        <w:t>（</w:t>
      </w:r>
      <w:r>
        <w:rPr>
          <w:rFonts w:hint="eastAsia" w:ascii="宋体" w:hAnsi="宋体"/>
          <w:color w:val="auto"/>
          <w:spacing w:val="0"/>
          <w:sz w:val="21"/>
          <w:highlight w:val="none"/>
          <w:lang w:val="en-US" w:eastAsia="zh-CN"/>
        </w:rPr>
        <w:t>4</w:t>
      </w:r>
      <w:r>
        <w:rPr>
          <w:rFonts w:hint="eastAsia" w:ascii="宋体" w:hAnsi="宋体"/>
          <w:color w:val="auto"/>
          <w:spacing w:val="0"/>
          <w:sz w:val="21"/>
          <w:highlight w:val="none"/>
        </w:rPr>
        <w:t>）监理报酬清单</w:t>
      </w:r>
      <w:r>
        <w:rPr>
          <w:rFonts w:hint="eastAsia" w:ascii="宋体" w:hAnsi="宋体"/>
          <w:color w:val="auto"/>
          <w:spacing w:val="0"/>
          <w:sz w:val="21"/>
          <w:highlight w:val="none"/>
          <w:lang w:eastAsia="zh-CN"/>
        </w:rPr>
        <w:t>；</w:t>
      </w:r>
    </w:p>
    <w:p w14:paraId="2A1106D5">
      <w:pPr>
        <w:pStyle w:val="79"/>
        <w:ind w:firstLine="420"/>
        <w:rPr>
          <w:rFonts w:hint="eastAsia" w:ascii="宋体" w:hAnsi="宋体" w:eastAsia="宋体"/>
          <w:color w:val="auto"/>
          <w:spacing w:val="0"/>
          <w:sz w:val="21"/>
          <w:highlight w:val="none"/>
          <w:lang w:eastAsia="zh-CN"/>
        </w:rPr>
      </w:pPr>
      <w:r>
        <w:rPr>
          <w:rFonts w:hint="eastAsia" w:ascii="宋体" w:hAnsi="宋体"/>
          <w:color w:val="auto"/>
          <w:spacing w:val="0"/>
          <w:sz w:val="21"/>
          <w:highlight w:val="none"/>
        </w:rPr>
        <w:t>（</w:t>
      </w:r>
      <w:r>
        <w:rPr>
          <w:rFonts w:hint="eastAsia" w:ascii="宋体" w:hAnsi="宋体"/>
          <w:color w:val="auto"/>
          <w:spacing w:val="0"/>
          <w:sz w:val="21"/>
          <w:highlight w:val="none"/>
          <w:lang w:val="en-US" w:eastAsia="zh-CN"/>
        </w:rPr>
        <w:t>5</w:t>
      </w:r>
      <w:r>
        <w:rPr>
          <w:rFonts w:hint="eastAsia" w:ascii="宋体" w:hAnsi="宋体"/>
          <w:color w:val="auto"/>
          <w:spacing w:val="0"/>
          <w:sz w:val="21"/>
          <w:highlight w:val="none"/>
        </w:rPr>
        <w:t>）资格审查资料</w:t>
      </w:r>
      <w:r>
        <w:rPr>
          <w:rFonts w:hint="eastAsia" w:ascii="宋体" w:hAnsi="宋体"/>
          <w:color w:val="auto"/>
          <w:spacing w:val="0"/>
          <w:sz w:val="21"/>
          <w:highlight w:val="none"/>
          <w:lang w:eastAsia="zh-CN"/>
        </w:rPr>
        <w:t>；</w:t>
      </w:r>
    </w:p>
    <w:p w14:paraId="7900BE6B">
      <w:pPr>
        <w:pStyle w:val="79"/>
        <w:ind w:firstLine="420"/>
        <w:rPr>
          <w:rFonts w:hint="default" w:ascii="宋体" w:hAnsi="宋体" w:eastAsia="宋体"/>
          <w:color w:val="auto"/>
          <w:spacing w:val="0"/>
          <w:sz w:val="21"/>
          <w:highlight w:val="none"/>
          <w:lang w:val="en-US" w:eastAsia="zh-CN"/>
        </w:rPr>
      </w:pPr>
      <w:r>
        <w:rPr>
          <w:rFonts w:hint="eastAsia" w:ascii="宋体" w:hAnsi="宋体"/>
          <w:color w:val="auto"/>
          <w:spacing w:val="0"/>
          <w:sz w:val="21"/>
          <w:highlight w:val="none"/>
          <w:lang w:eastAsia="zh-CN"/>
        </w:rPr>
        <w:t>（</w:t>
      </w:r>
      <w:r>
        <w:rPr>
          <w:rFonts w:hint="eastAsia" w:ascii="宋体" w:hAnsi="宋体"/>
          <w:color w:val="auto"/>
          <w:spacing w:val="0"/>
          <w:sz w:val="21"/>
          <w:highlight w:val="none"/>
          <w:lang w:val="en-US" w:eastAsia="zh-CN"/>
        </w:rPr>
        <w:t>6</w:t>
      </w:r>
      <w:r>
        <w:rPr>
          <w:rFonts w:hint="eastAsia" w:ascii="宋体" w:hAnsi="宋体"/>
          <w:color w:val="auto"/>
          <w:spacing w:val="0"/>
          <w:sz w:val="21"/>
          <w:highlight w:val="none"/>
          <w:lang w:eastAsia="zh-CN"/>
        </w:rPr>
        <w:t>）</w:t>
      </w:r>
      <w:r>
        <w:rPr>
          <w:rFonts w:hint="eastAsia" w:ascii="宋体" w:hAnsi="宋体"/>
          <w:color w:val="auto"/>
          <w:spacing w:val="0"/>
          <w:sz w:val="21"/>
          <w:highlight w:val="none"/>
          <w:lang w:val="en-US" w:eastAsia="zh-CN"/>
        </w:rPr>
        <w:t>资信业绩评审资料；</w:t>
      </w:r>
    </w:p>
    <w:p w14:paraId="12663D97">
      <w:pPr>
        <w:pStyle w:val="79"/>
        <w:ind w:firstLine="420"/>
        <w:rPr>
          <w:rFonts w:hint="eastAsia" w:ascii="宋体" w:hAnsi="宋体"/>
          <w:color w:val="auto"/>
          <w:spacing w:val="0"/>
          <w:sz w:val="21"/>
          <w:highlight w:val="none"/>
        </w:rPr>
      </w:pPr>
      <w:r>
        <w:rPr>
          <w:rFonts w:hint="eastAsia" w:ascii="宋体" w:hAnsi="宋体"/>
          <w:color w:val="auto"/>
          <w:spacing w:val="0"/>
          <w:sz w:val="21"/>
          <w:highlight w:val="none"/>
        </w:rPr>
        <w:t>（</w:t>
      </w:r>
      <w:r>
        <w:rPr>
          <w:rFonts w:hint="eastAsia" w:ascii="宋体" w:hAnsi="宋体"/>
          <w:color w:val="auto"/>
          <w:spacing w:val="0"/>
          <w:sz w:val="21"/>
          <w:highlight w:val="none"/>
          <w:lang w:val="en-US" w:eastAsia="zh-CN"/>
        </w:rPr>
        <w:t>7</w:t>
      </w:r>
      <w:r>
        <w:rPr>
          <w:rFonts w:hint="eastAsia" w:ascii="宋体" w:hAnsi="宋体"/>
          <w:color w:val="auto"/>
          <w:spacing w:val="0"/>
          <w:sz w:val="21"/>
          <w:highlight w:val="none"/>
        </w:rPr>
        <w:t>）监理大纲；</w:t>
      </w:r>
    </w:p>
    <w:p w14:paraId="0CD0C041">
      <w:pPr>
        <w:pStyle w:val="79"/>
        <w:ind w:firstLine="420"/>
        <w:rPr>
          <w:rFonts w:hint="default" w:ascii="宋体" w:hAnsi="宋体" w:eastAsia="宋体"/>
          <w:color w:val="auto"/>
          <w:spacing w:val="0"/>
          <w:sz w:val="21"/>
          <w:highlight w:val="none"/>
          <w:lang w:val="en-US" w:eastAsia="zh-CN"/>
        </w:rPr>
      </w:pPr>
      <w:r>
        <w:rPr>
          <w:rFonts w:hint="eastAsia" w:ascii="宋体" w:hAnsi="宋体"/>
          <w:color w:val="auto"/>
          <w:spacing w:val="0"/>
          <w:sz w:val="21"/>
          <w:highlight w:val="none"/>
          <w:lang w:eastAsia="zh-CN"/>
        </w:rPr>
        <w:t>（</w:t>
      </w:r>
      <w:r>
        <w:rPr>
          <w:rFonts w:hint="eastAsia" w:ascii="宋体" w:hAnsi="宋体"/>
          <w:color w:val="auto"/>
          <w:spacing w:val="0"/>
          <w:sz w:val="21"/>
          <w:highlight w:val="none"/>
          <w:lang w:val="en-US" w:eastAsia="zh-CN"/>
        </w:rPr>
        <w:t>8</w:t>
      </w:r>
      <w:r>
        <w:rPr>
          <w:rFonts w:hint="eastAsia" w:ascii="宋体" w:hAnsi="宋体"/>
          <w:color w:val="auto"/>
          <w:spacing w:val="0"/>
          <w:sz w:val="21"/>
          <w:highlight w:val="none"/>
          <w:lang w:eastAsia="zh-CN"/>
        </w:rPr>
        <w:t>）</w:t>
      </w:r>
      <w:r>
        <w:rPr>
          <w:rFonts w:hint="eastAsia" w:ascii="宋体" w:hAnsi="宋体"/>
          <w:color w:val="auto"/>
          <w:spacing w:val="0"/>
          <w:sz w:val="21"/>
          <w:highlight w:val="none"/>
          <w:lang w:val="en-US" w:eastAsia="zh-CN"/>
        </w:rPr>
        <w:t>投标人认为有必要提供的其他资料；</w:t>
      </w:r>
    </w:p>
    <w:p w14:paraId="4DF09D11">
      <w:pPr>
        <w:pStyle w:val="79"/>
        <w:ind w:firstLine="420"/>
        <w:rPr>
          <w:rFonts w:ascii="宋体" w:hAnsi="宋体"/>
          <w:color w:val="auto"/>
          <w:spacing w:val="0"/>
          <w:sz w:val="21"/>
          <w:highlight w:val="none"/>
        </w:rPr>
      </w:pPr>
      <w:r>
        <w:rPr>
          <w:rFonts w:hint="eastAsia" w:ascii="宋体" w:hAnsi="宋体"/>
          <w:color w:val="auto"/>
          <w:spacing w:val="0"/>
          <w:sz w:val="21"/>
          <w:highlight w:val="none"/>
        </w:rPr>
        <w:t>（</w:t>
      </w:r>
      <w:r>
        <w:rPr>
          <w:rFonts w:hint="eastAsia" w:ascii="宋体" w:hAnsi="宋体"/>
          <w:color w:val="auto"/>
          <w:spacing w:val="0"/>
          <w:sz w:val="21"/>
          <w:highlight w:val="none"/>
          <w:lang w:val="en-US" w:eastAsia="zh-CN"/>
        </w:rPr>
        <w:t>9</w:t>
      </w:r>
      <w:r>
        <w:rPr>
          <w:rFonts w:hint="eastAsia" w:ascii="宋体" w:hAnsi="宋体"/>
          <w:color w:val="auto"/>
          <w:spacing w:val="0"/>
          <w:sz w:val="21"/>
          <w:highlight w:val="none"/>
        </w:rPr>
        <w:t>）投标人须知前附表规定的其他资料；</w:t>
      </w:r>
    </w:p>
    <w:p w14:paraId="00BC25AC">
      <w:pPr>
        <w:spacing w:line="360" w:lineRule="auto"/>
        <w:ind w:firstLine="420" w:firstLineChars="200"/>
        <w:rPr>
          <w:rFonts w:ascii="宋体" w:hAnsi="宋体"/>
          <w:color w:val="auto"/>
          <w:highlight w:val="none"/>
        </w:rPr>
      </w:pPr>
      <w:r>
        <w:rPr>
          <w:rFonts w:hint="eastAsia" w:ascii="宋体" w:hAnsi="宋体"/>
          <w:color w:val="auto"/>
          <w:highlight w:val="none"/>
        </w:rPr>
        <w:t>投标人在评标过程中作出的符合法律法规和招标文件规定的澄清确认，构成投标文件的组成部分。</w:t>
      </w:r>
    </w:p>
    <w:p w14:paraId="40FF4ACB">
      <w:pPr>
        <w:spacing w:line="360" w:lineRule="auto"/>
        <w:ind w:firstLine="359" w:firstLineChars="171"/>
        <w:rPr>
          <w:rFonts w:ascii="宋体" w:hAnsi="宋体"/>
          <w:color w:val="auto"/>
          <w:highlight w:val="none"/>
        </w:rPr>
      </w:pPr>
      <w:r>
        <w:rPr>
          <w:rFonts w:hint="eastAsia" w:ascii="宋体" w:hAnsi="宋体"/>
          <w:color w:val="auto"/>
          <w:highlight w:val="none"/>
        </w:rPr>
        <w:t>3.1.2 投标人须知前附表规定不接受联合体投标的，或投标人没有组成联合体的，投标文件不包括本章第3.1.1（3）目所指的联合体协议书。</w:t>
      </w:r>
    </w:p>
    <w:p w14:paraId="367234B5">
      <w:pPr>
        <w:spacing w:line="360" w:lineRule="auto"/>
        <w:ind w:firstLine="359" w:firstLineChars="171"/>
        <w:rPr>
          <w:rFonts w:ascii="宋体" w:hAnsi="宋体"/>
          <w:color w:val="auto"/>
          <w:highlight w:val="none"/>
        </w:rPr>
      </w:pPr>
      <w:r>
        <w:rPr>
          <w:rFonts w:hint="eastAsia" w:ascii="宋体" w:hAnsi="宋体"/>
          <w:color w:val="auto"/>
          <w:highlight w:val="none"/>
        </w:rPr>
        <w:t>3.1.3 投标人须知前附表未要求提交投标保证金的，投标文件不包括本章第3.1.1（4）目所指的投标保证金。</w:t>
      </w:r>
    </w:p>
    <w:p w14:paraId="1398D7FF">
      <w:pPr>
        <w:spacing w:before="240" w:beforeLines="100" w:after="240" w:afterLines="100"/>
        <w:rPr>
          <w:rFonts w:ascii="宋体" w:hAnsi="宋体"/>
          <w:b/>
          <w:color w:val="auto"/>
          <w:sz w:val="28"/>
          <w:szCs w:val="28"/>
          <w:highlight w:val="none"/>
        </w:rPr>
      </w:pPr>
      <w:bookmarkStart w:id="91" w:name="_Toc529196540"/>
      <w:bookmarkStart w:id="92" w:name="_Toc514876754"/>
      <w:bookmarkStart w:id="93" w:name="_Toc515205213"/>
      <w:r>
        <w:rPr>
          <w:rFonts w:hint="eastAsia" w:ascii="宋体" w:hAnsi="宋体"/>
          <w:b/>
          <w:color w:val="auto"/>
          <w:sz w:val="28"/>
          <w:szCs w:val="28"/>
          <w:highlight w:val="none"/>
        </w:rPr>
        <w:t>3.2 投标报价</w:t>
      </w:r>
      <w:bookmarkEnd w:id="91"/>
      <w:bookmarkEnd w:id="92"/>
      <w:bookmarkEnd w:id="93"/>
    </w:p>
    <w:p w14:paraId="368E70FF">
      <w:pPr>
        <w:pStyle w:val="79"/>
        <w:ind w:firstLine="420"/>
        <w:rPr>
          <w:rFonts w:ascii="宋体" w:hAnsi="宋体"/>
          <w:color w:val="auto"/>
          <w:spacing w:val="0"/>
          <w:sz w:val="21"/>
          <w:highlight w:val="none"/>
        </w:rPr>
      </w:pPr>
      <w:r>
        <w:rPr>
          <w:rFonts w:hint="eastAsia" w:ascii="宋体" w:hAnsi="宋体"/>
          <w:color w:val="auto"/>
          <w:spacing w:val="0"/>
          <w:sz w:val="21"/>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6B9354A4">
      <w:pPr>
        <w:pStyle w:val="79"/>
        <w:ind w:firstLine="420"/>
        <w:rPr>
          <w:rFonts w:ascii="宋体" w:hAnsi="宋体"/>
          <w:color w:val="auto"/>
          <w:spacing w:val="0"/>
          <w:sz w:val="21"/>
          <w:highlight w:val="none"/>
        </w:rPr>
      </w:pPr>
      <w:r>
        <w:rPr>
          <w:rFonts w:hint="eastAsia" w:ascii="宋体" w:hAnsi="宋体"/>
          <w:color w:val="auto"/>
          <w:spacing w:val="0"/>
          <w:sz w:val="21"/>
          <w:highlight w:val="none"/>
        </w:rPr>
        <w:t>3.2.2 投标人应充分了解该项目的总体情况以及影响投标报价的其他要素。</w:t>
      </w:r>
    </w:p>
    <w:p w14:paraId="35F21E8C">
      <w:pPr>
        <w:pStyle w:val="79"/>
        <w:ind w:firstLine="420"/>
        <w:rPr>
          <w:rFonts w:ascii="宋体" w:hAnsi="宋体"/>
          <w:color w:val="auto"/>
          <w:spacing w:val="0"/>
          <w:sz w:val="21"/>
          <w:highlight w:val="none"/>
        </w:rPr>
      </w:pPr>
      <w:r>
        <w:rPr>
          <w:rFonts w:hint="eastAsia" w:ascii="宋体" w:hAnsi="宋体"/>
          <w:color w:val="auto"/>
          <w:spacing w:val="0"/>
          <w:sz w:val="21"/>
          <w:highlight w:val="none"/>
        </w:rPr>
        <w:t>3.2.3本项目的报价方式见投标人须知前附表。投标人在投标截止时间前修改投标函中的投标报价总额，应同时修改投标文件“监理报酬清单”中的相应报价。此修改须符合本章第 4.3 款的有关要求。</w:t>
      </w:r>
    </w:p>
    <w:p w14:paraId="57AC9119">
      <w:pPr>
        <w:spacing w:line="360" w:lineRule="auto"/>
        <w:ind w:firstLine="420" w:firstLineChars="200"/>
        <w:rPr>
          <w:rFonts w:ascii="宋体" w:hAnsi="宋体"/>
          <w:color w:val="auto"/>
          <w:highlight w:val="none"/>
        </w:rPr>
      </w:pPr>
      <w:r>
        <w:rPr>
          <w:rFonts w:hint="eastAsia" w:ascii="宋体" w:hAnsi="宋体"/>
          <w:color w:val="auto"/>
          <w:highlight w:val="none"/>
        </w:rPr>
        <w:t>3.2.4．招标人设有最高投标限价的，投标人的投标报价不得超过最高投标限价，最高投标限价在投标人须知前附表中载明。</w:t>
      </w:r>
    </w:p>
    <w:p w14:paraId="5AE1113E">
      <w:pPr>
        <w:spacing w:line="360" w:lineRule="auto"/>
        <w:ind w:firstLine="420" w:firstLineChars="200"/>
        <w:rPr>
          <w:rFonts w:ascii="宋体" w:hAnsi="宋体"/>
          <w:color w:val="auto"/>
          <w:highlight w:val="none"/>
        </w:rPr>
      </w:pPr>
      <w:r>
        <w:rPr>
          <w:rFonts w:hint="eastAsia" w:ascii="宋体" w:hAnsi="宋体"/>
          <w:color w:val="auto"/>
          <w:highlight w:val="none"/>
        </w:rPr>
        <w:t>3.2.5 投标报价的其他要求见投标人须知前附表3.2.5。</w:t>
      </w:r>
    </w:p>
    <w:p w14:paraId="0787E72C">
      <w:pPr>
        <w:spacing w:before="240" w:beforeLines="100" w:after="240" w:afterLines="100"/>
        <w:rPr>
          <w:rFonts w:ascii="宋体" w:hAnsi="宋体"/>
          <w:b/>
          <w:color w:val="auto"/>
          <w:sz w:val="28"/>
          <w:szCs w:val="28"/>
          <w:highlight w:val="none"/>
        </w:rPr>
      </w:pPr>
      <w:bookmarkStart w:id="94" w:name="_Toc529196541"/>
      <w:bookmarkStart w:id="95" w:name="_Toc515205214"/>
      <w:r>
        <w:rPr>
          <w:rFonts w:hint="eastAsia" w:ascii="宋体" w:hAnsi="宋体"/>
          <w:b/>
          <w:color w:val="auto"/>
          <w:sz w:val="28"/>
          <w:szCs w:val="28"/>
          <w:highlight w:val="none"/>
        </w:rPr>
        <w:t>3.3 投标有效期</w:t>
      </w:r>
      <w:bookmarkEnd w:id="94"/>
      <w:bookmarkEnd w:id="95"/>
    </w:p>
    <w:p w14:paraId="7489605A">
      <w:pPr>
        <w:spacing w:line="360" w:lineRule="auto"/>
        <w:ind w:firstLine="420" w:firstLineChars="200"/>
        <w:rPr>
          <w:rFonts w:ascii="宋体" w:hAnsi="宋体"/>
          <w:color w:val="auto"/>
          <w:highlight w:val="none"/>
        </w:rPr>
      </w:pPr>
      <w:r>
        <w:rPr>
          <w:rFonts w:hint="eastAsia" w:ascii="宋体" w:hAnsi="宋体"/>
          <w:color w:val="auto"/>
          <w:highlight w:val="none"/>
        </w:rPr>
        <w:t>3.3.1 除投标人须知前附表另有规定外，投标有效期为90天。</w:t>
      </w:r>
    </w:p>
    <w:p w14:paraId="74E040B3">
      <w:pPr>
        <w:spacing w:line="360" w:lineRule="auto"/>
        <w:ind w:firstLine="420" w:firstLineChars="200"/>
        <w:rPr>
          <w:rFonts w:ascii="宋体" w:hAnsi="宋体"/>
          <w:color w:val="auto"/>
          <w:highlight w:val="none"/>
        </w:rPr>
      </w:pPr>
      <w:r>
        <w:rPr>
          <w:rFonts w:hint="eastAsia" w:ascii="宋体" w:hAnsi="宋体"/>
          <w:color w:val="auto"/>
          <w:highlight w:val="none"/>
        </w:rPr>
        <w:t>3.3.2 在投标有效期内，投标人撤销投标文件的，应承担招标文件和法律规定的责任。</w:t>
      </w:r>
    </w:p>
    <w:p w14:paraId="0F1C7BC7">
      <w:pPr>
        <w:spacing w:line="360" w:lineRule="auto"/>
        <w:ind w:firstLine="420" w:firstLineChars="200"/>
        <w:rPr>
          <w:rFonts w:ascii="宋体" w:hAnsi="宋体"/>
          <w:color w:val="auto"/>
          <w:highlight w:val="none"/>
        </w:rPr>
      </w:pPr>
      <w:r>
        <w:rPr>
          <w:rFonts w:hint="eastAsia" w:ascii="宋体" w:hAnsi="宋体"/>
          <w:color w:val="auto"/>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65CD3A1">
      <w:pPr>
        <w:spacing w:before="240" w:beforeLines="100" w:after="240" w:afterLines="100"/>
        <w:rPr>
          <w:rFonts w:ascii="宋体" w:hAnsi="宋体"/>
          <w:b/>
          <w:color w:val="auto"/>
          <w:sz w:val="28"/>
          <w:szCs w:val="28"/>
          <w:highlight w:val="none"/>
        </w:rPr>
      </w:pPr>
      <w:bookmarkStart w:id="96" w:name="_Toc529196542"/>
      <w:bookmarkStart w:id="97" w:name="_Toc515205215"/>
      <w:r>
        <w:rPr>
          <w:rFonts w:hint="eastAsia" w:ascii="宋体" w:hAnsi="宋体"/>
          <w:b/>
          <w:color w:val="auto"/>
          <w:sz w:val="28"/>
          <w:szCs w:val="28"/>
          <w:highlight w:val="none"/>
        </w:rPr>
        <w:t>3.4 投标保证金</w:t>
      </w:r>
      <w:bookmarkEnd w:id="96"/>
      <w:bookmarkEnd w:id="97"/>
    </w:p>
    <w:p w14:paraId="134AC43D">
      <w:pPr>
        <w:spacing w:line="360" w:lineRule="auto"/>
        <w:ind w:firstLine="420" w:firstLineChars="200"/>
        <w:rPr>
          <w:rFonts w:ascii="宋体" w:hAnsi="宋体"/>
          <w:color w:val="auto"/>
          <w:highlight w:val="none"/>
        </w:rPr>
      </w:pPr>
      <w:r>
        <w:rPr>
          <w:rFonts w:hint="eastAsia" w:ascii="宋体" w:hAnsi="宋体"/>
          <w:color w:val="auto"/>
          <w:highlight w:val="none"/>
        </w:rPr>
        <w:t>3.4.1 投标人在递交投标文件的同时，应按投标人须知前附表规定的金额</w:t>
      </w:r>
      <w:bookmarkStart w:id="98" w:name="_Toc152045545"/>
      <w:bookmarkStart w:id="99" w:name="_Toc4592"/>
      <w:bookmarkStart w:id="100" w:name="_Toc352691489"/>
      <w:bookmarkStart w:id="101" w:name="_Toc144974513"/>
      <w:bookmarkStart w:id="102" w:name="_Toc369531532"/>
      <w:bookmarkStart w:id="103" w:name="_Toc300834966"/>
      <w:bookmarkStart w:id="104" w:name="_Toc247527570"/>
      <w:bookmarkStart w:id="105" w:name="_Toc247513969"/>
      <w:bookmarkStart w:id="106" w:name="_Toc152042321"/>
      <w:bookmarkStart w:id="107" w:name="_Toc384308226"/>
      <w:bookmarkStart w:id="108" w:name="_Toc361508601"/>
      <w:r>
        <w:rPr>
          <w:rFonts w:hint="eastAsia" w:ascii="宋体" w:hAnsi="宋体"/>
          <w:color w:val="auto"/>
          <w:highlight w:val="none"/>
        </w:rPr>
        <w:t>、形式和第六章“投标文</w:t>
      </w:r>
      <w:bookmarkEnd w:id="98"/>
      <w:bookmarkEnd w:id="99"/>
      <w:bookmarkEnd w:id="100"/>
      <w:bookmarkEnd w:id="101"/>
      <w:bookmarkEnd w:id="102"/>
      <w:bookmarkEnd w:id="103"/>
      <w:bookmarkEnd w:id="104"/>
      <w:bookmarkEnd w:id="105"/>
      <w:bookmarkEnd w:id="106"/>
      <w:bookmarkEnd w:id="107"/>
      <w:bookmarkEnd w:id="108"/>
      <w:r>
        <w:rPr>
          <w:rFonts w:hint="eastAsia" w:ascii="宋体" w:hAnsi="宋体"/>
          <w:color w:val="auto"/>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9BEA6B8">
      <w:pPr>
        <w:spacing w:line="360" w:lineRule="auto"/>
        <w:ind w:firstLine="420" w:firstLineChars="200"/>
        <w:jc w:val="left"/>
        <w:rPr>
          <w:rFonts w:ascii="宋体" w:hAnsi="宋体"/>
          <w:color w:val="auto"/>
          <w:highlight w:val="none"/>
        </w:rPr>
      </w:pPr>
      <w:r>
        <w:rPr>
          <w:rFonts w:hint="eastAsia" w:ascii="宋体" w:hAnsi="宋体"/>
          <w:color w:val="auto"/>
          <w:highlight w:val="none"/>
        </w:rPr>
        <w:t>3.4.2 投标人不按本章第3.4.1项</w:t>
      </w:r>
      <w:bookmarkStart w:id="109" w:name="_Toc384308227"/>
      <w:bookmarkStart w:id="110" w:name="_Toc369531533"/>
      <w:bookmarkStart w:id="111" w:name="_Toc29025"/>
      <w:bookmarkStart w:id="112" w:name="_Toc361508602"/>
      <w:bookmarkStart w:id="113" w:name="_Toc352691490"/>
      <w:r>
        <w:rPr>
          <w:rFonts w:hint="eastAsia" w:ascii="宋体" w:hAnsi="宋体"/>
          <w:color w:val="auto"/>
          <w:highlight w:val="none"/>
        </w:rPr>
        <w:t>要求提交投标保证金的，</w:t>
      </w:r>
      <w:bookmarkEnd w:id="109"/>
      <w:bookmarkEnd w:id="110"/>
      <w:bookmarkEnd w:id="111"/>
      <w:bookmarkEnd w:id="112"/>
      <w:bookmarkEnd w:id="113"/>
      <w:r>
        <w:rPr>
          <w:rFonts w:hint="eastAsia" w:ascii="宋体" w:hAnsi="宋体"/>
          <w:color w:val="auto"/>
          <w:highlight w:val="none"/>
        </w:rPr>
        <w:t>评标委员会将否决其投标。</w:t>
      </w:r>
    </w:p>
    <w:p w14:paraId="2A3913DC">
      <w:pPr>
        <w:spacing w:line="360" w:lineRule="auto"/>
        <w:ind w:firstLine="420" w:firstLineChars="200"/>
        <w:rPr>
          <w:rFonts w:ascii="宋体" w:hAnsi="宋体"/>
          <w:color w:val="auto"/>
          <w:highlight w:val="none"/>
        </w:rPr>
      </w:pPr>
      <w:r>
        <w:rPr>
          <w:rFonts w:hint="eastAsia" w:ascii="宋体" w:hAnsi="宋体"/>
          <w:color w:val="auto"/>
          <w:highlight w:val="none"/>
        </w:rPr>
        <w:t>3.4.3 招标人最迟将在与中标人</w:t>
      </w:r>
      <w:bookmarkStart w:id="114" w:name="_Toc14751"/>
      <w:bookmarkStart w:id="115" w:name="_Toc152045546"/>
      <w:bookmarkStart w:id="116" w:name="_Toc361508603"/>
      <w:bookmarkStart w:id="117" w:name="_Toc384308228"/>
      <w:bookmarkStart w:id="118" w:name="_Toc352691491"/>
      <w:bookmarkStart w:id="119" w:name="_Toc247527571"/>
      <w:bookmarkStart w:id="120" w:name="_Toc247513970"/>
      <w:bookmarkStart w:id="121" w:name="_Toc369531534"/>
      <w:bookmarkStart w:id="122" w:name="_Toc144974514"/>
      <w:bookmarkStart w:id="123" w:name="_Toc300834967"/>
      <w:bookmarkStart w:id="124" w:name="_Toc152042322"/>
      <w:r>
        <w:rPr>
          <w:rFonts w:hint="eastAsia" w:ascii="宋体" w:hAnsi="宋体"/>
          <w:color w:val="auto"/>
          <w:highlight w:val="none"/>
        </w:rPr>
        <w:t>签订合同后5日</w:t>
      </w:r>
      <w:bookmarkEnd w:id="114"/>
      <w:bookmarkEnd w:id="115"/>
      <w:bookmarkEnd w:id="116"/>
      <w:bookmarkEnd w:id="117"/>
      <w:bookmarkEnd w:id="118"/>
      <w:bookmarkEnd w:id="119"/>
      <w:bookmarkEnd w:id="120"/>
      <w:bookmarkEnd w:id="121"/>
      <w:bookmarkEnd w:id="122"/>
      <w:bookmarkEnd w:id="123"/>
      <w:bookmarkEnd w:id="124"/>
      <w:r>
        <w:rPr>
          <w:rFonts w:hint="eastAsia" w:ascii="宋体" w:hAnsi="宋体"/>
          <w:color w:val="auto"/>
          <w:highlight w:val="none"/>
        </w:rPr>
        <w:t>内</w:t>
      </w:r>
      <w:bookmarkStart w:id="125" w:name="_Toc152045547"/>
      <w:bookmarkStart w:id="126" w:name="_Toc352691492"/>
      <w:bookmarkStart w:id="127" w:name="_Toc361508604"/>
      <w:bookmarkStart w:id="128" w:name="_Toc144974515"/>
      <w:bookmarkStart w:id="129" w:name="_Toc152042323"/>
      <w:bookmarkStart w:id="130" w:name="_Toc300834968"/>
      <w:bookmarkStart w:id="131" w:name="_Toc247513971"/>
      <w:bookmarkStart w:id="132" w:name="_Toc17952"/>
      <w:bookmarkStart w:id="133" w:name="_Toc369531535"/>
      <w:bookmarkStart w:id="134" w:name="_Toc247527572"/>
      <w:bookmarkStart w:id="135" w:name="_Toc384308229"/>
      <w:r>
        <w:rPr>
          <w:rFonts w:hint="eastAsia" w:ascii="宋体" w:hAnsi="宋体"/>
          <w:color w:val="auto"/>
          <w:highlight w:val="none"/>
        </w:rPr>
        <w:t>，向未中标的投标人和中</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color w:val="auto"/>
          <w:highlight w:val="none"/>
        </w:rPr>
        <w:t>标人退还投标保证金。投标保证金以现金或者支票形式递交的，还应退还银行同期存款利息。</w:t>
      </w:r>
    </w:p>
    <w:p w14:paraId="2B3B4680">
      <w:pPr>
        <w:spacing w:line="360" w:lineRule="auto"/>
        <w:ind w:firstLine="420" w:firstLineChars="200"/>
        <w:rPr>
          <w:rFonts w:ascii="宋体" w:hAnsi="宋体"/>
          <w:color w:val="auto"/>
          <w:highlight w:val="none"/>
        </w:rPr>
      </w:pPr>
      <w:r>
        <w:rPr>
          <w:rFonts w:hint="eastAsia" w:ascii="宋体" w:hAnsi="宋体"/>
          <w:color w:val="auto"/>
          <w:highlight w:val="none"/>
        </w:rPr>
        <w:t>3.4.4 有下列情形之一的，投标保证金将不予退还：</w:t>
      </w:r>
    </w:p>
    <w:p w14:paraId="2EF47CD5">
      <w:pPr>
        <w:spacing w:line="360" w:lineRule="auto"/>
        <w:ind w:firstLine="315" w:firstLineChars="150"/>
        <w:rPr>
          <w:rFonts w:ascii="宋体" w:hAnsi="宋体"/>
          <w:color w:val="auto"/>
          <w:highlight w:val="none"/>
        </w:rPr>
      </w:pPr>
      <w:r>
        <w:rPr>
          <w:rFonts w:hint="eastAsia" w:ascii="宋体" w:hAnsi="宋体"/>
          <w:color w:val="auto"/>
          <w:highlight w:val="none"/>
        </w:rPr>
        <w:t>（1）投标人在投标有效期内撤销投标文件；</w:t>
      </w:r>
    </w:p>
    <w:p w14:paraId="272B781F">
      <w:pPr>
        <w:spacing w:line="360" w:lineRule="auto"/>
        <w:ind w:firstLine="315" w:firstLineChars="150"/>
        <w:rPr>
          <w:rFonts w:ascii="宋体" w:hAnsi="宋体"/>
          <w:color w:val="auto"/>
          <w:highlight w:val="none"/>
        </w:rPr>
      </w:pPr>
      <w:r>
        <w:rPr>
          <w:rFonts w:hint="eastAsia" w:ascii="宋体" w:hAnsi="宋体"/>
          <w:color w:val="auto"/>
          <w:highlight w:val="none"/>
        </w:rPr>
        <w:t>（2）中标人在收到中标通知书后，无正当理由不与招标人订立合同，在签订合同时向招标人提出附加条件，或者不按照招标文件要求提交履约保证金；</w:t>
      </w:r>
    </w:p>
    <w:p w14:paraId="517FD718">
      <w:pPr>
        <w:spacing w:line="360" w:lineRule="auto"/>
        <w:ind w:firstLine="315" w:firstLineChars="150"/>
        <w:rPr>
          <w:rFonts w:ascii="宋体" w:hAnsi="宋体"/>
          <w:color w:val="auto"/>
          <w:highlight w:val="none"/>
        </w:rPr>
      </w:pPr>
      <w:r>
        <w:rPr>
          <w:rFonts w:hint="eastAsia" w:ascii="宋体" w:hAnsi="宋体"/>
          <w:color w:val="auto"/>
          <w:highlight w:val="none"/>
        </w:rPr>
        <w:t>（3）发生投标人须知前附表规定的其他可以不予退还投标保证金的情形。</w:t>
      </w:r>
    </w:p>
    <w:p w14:paraId="2114E563">
      <w:pPr>
        <w:spacing w:before="240" w:beforeLines="100" w:after="240" w:afterLines="100"/>
        <w:rPr>
          <w:rFonts w:ascii="宋体" w:hAnsi="宋体"/>
          <w:b/>
          <w:strike w:val="0"/>
          <w:color w:val="auto"/>
          <w:sz w:val="28"/>
          <w:szCs w:val="28"/>
          <w:highlight w:val="none"/>
        </w:rPr>
      </w:pPr>
      <w:bookmarkStart w:id="136" w:name="_Toc515205217"/>
      <w:bookmarkStart w:id="137" w:name="_Toc529196544"/>
      <w:r>
        <w:rPr>
          <w:rFonts w:hint="eastAsia" w:ascii="宋体" w:hAnsi="宋体"/>
          <w:b/>
          <w:strike w:val="0"/>
          <w:color w:val="auto"/>
          <w:sz w:val="28"/>
          <w:szCs w:val="28"/>
          <w:highlight w:val="none"/>
        </w:rPr>
        <w:t>3.5 资格审查资料（适用于未进行资格预审的）</w:t>
      </w:r>
      <w:bookmarkEnd w:id="136"/>
      <w:bookmarkEnd w:id="137"/>
    </w:p>
    <w:p w14:paraId="7386760E">
      <w:pPr>
        <w:spacing w:line="360" w:lineRule="auto"/>
        <w:ind w:firstLine="420" w:firstLineChars="200"/>
        <w:rPr>
          <w:rFonts w:ascii="宋体" w:hAnsi="宋体"/>
          <w:strike w:val="0"/>
          <w:color w:val="auto"/>
          <w:highlight w:val="none"/>
        </w:rPr>
      </w:pPr>
      <w:r>
        <w:rPr>
          <w:rFonts w:hint="eastAsia" w:ascii="宋体" w:hAnsi="宋体"/>
          <w:strike w:val="0"/>
          <w:color w:val="auto"/>
          <w:highlight w:val="none"/>
        </w:rPr>
        <w:t>除投标人须知前附表另有规定外，投标人应按下列规定提供资格审查资料，以证明其满足本章第 1.4 款规定的资质、财务、业绩、信誉等要求。</w:t>
      </w:r>
    </w:p>
    <w:p w14:paraId="4A14381C">
      <w:pPr>
        <w:spacing w:line="360" w:lineRule="auto"/>
        <w:ind w:firstLine="420" w:firstLineChars="200"/>
        <w:rPr>
          <w:rFonts w:ascii="宋体" w:hAnsi="宋体"/>
          <w:strike w:val="0"/>
          <w:color w:val="auto"/>
          <w:highlight w:val="none"/>
        </w:rPr>
      </w:pPr>
      <w:r>
        <w:rPr>
          <w:rFonts w:hint="eastAsia" w:ascii="宋体" w:hAnsi="宋体"/>
          <w:strike w:val="0"/>
          <w:color w:val="auto"/>
          <w:highlight w:val="none"/>
          <w:lang w:val="en-US" w:eastAsia="zh-CN"/>
        </w:rPr>
        <w:t>按招标公告第3条要求提供相关证明材料</w:t>
      </w:r>
      <w:r>
        <w:rPr>
          <w:rFonts w:hint="eastAsia" w:ascii="宋体" w:hAnsi="宋体"/>
          <w:strike w:val="0"/>
          <w:color w:val="auto"/>
          <w:highlight w:val="none"/>
        </w:rPr>
        <w:t>。</w:t>
      </w:r>
    </w:p>
    <w:p w14:paraId="498F41C6">
      <w:pPr>
        <w:spacing w:before="240" w:beforeLines="100" w:after="240" w:afterLines="100"/>
        <w:rPr>
          <w:rFonts w:ascii="宋体" w:hAnsi="宋体"/>
          <w:b/>
          <w:color w:val="auto"/>
          <w:sz w:val="28"/>
          <w:szCs w:val="28"/>
          <w:highlight w:val="none"/>
        </w:rPr>
      </w:pPr>
      <w:bookmarkStart w:id="138" w:name="_Toc529196545"/>
      <w:bookmarkStart w:id="139" w:name="_Toc515205218"/>
      <w:r>
        <w:rPr>
          <w:rFonts w:hint="eastAsia" w:ascii="宋体" w:hAnsi="宋体"/>
          <w:b/>
          <w:color w:val="auto"/>
          <w:sz w:val="28"/>
          <w:szCs w:val="28"/>
          <w:highlight w:val="none"/>
        </w:rPr>
        <w:t>3.6 备选投标方案</w:t>
      </w:r>
      <w:bookmarkEnd w:id="138"/>
      <w:bookmarkEnd w:id="139"/>
    </w:p>
    <w:p w14:paraId="28FB0730">
      <w:pPr>
        <w:spacing w:line="360" w:lineRule="auto"/>
        <w:ind w:firstLine="420" w:firstLineChars="200"/>
        <w:rPr>
          <w:rFonts w:ascii="宋体" w:hAnsi="宋体"/>
          <w:color w:val="auto"/>
          <w:highlight w:val="none"/>
        </w:rPr>
      </w:pPr>
      <w:r>
        <w:rPr>
          <w:rFonts w:hint="eastAsia" w:ascii="宋体" w:hAnsi="宋体"/>
          <w:color w:val="auto"/>
          <w:highlight w:val="none"/>
        </w:rPr>
        <w:t>3.6.1 除投标人须知前附表规定允许外，投标人不得递交备选投标方案，否则其投标将被否决。</w:t>
      </w:r>
    </w:p>
    <w:p w14:paraId="179013BC">
      <w:pPr>
        <w:spacing w:line="360" w:lineRule="auto"/>
        <w:ind w:firstLine="420" w:firstLineChars="200"/>
        <w:rPr>
          <w:rFonts w:ascii="宋体" w:hAnsi="宋体"/>
          <w:color w:val="auto"/>
          <w:highlight w:val="none"/>
        </w:rPr>
      </w:pPr>
      <w:r>
        <w:rPr>
          <w:rFonts w:hint="eastAsia" w:ascii="宋体" w:hAnsi="宋体"/>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D66676B">
      <w:pPr>
        <w:spacing w:line="360" w:lineRule="auto"/>
        <w:ind w:firstLine="420" w:firstLineChars="200"/>
        <w:rPr>
          <w:rFonts w:ascii="宋体" w:hAnsi="宋体"/>
          <w:color w:val="auto"/>
          <w:highlight w:val="none"/>
        </w:rPr>
      </w:pPr>
      <w:r>
        <w:rPr>
          <w:rFonts w:hint="eastAsia" w:ascii="宋体" w:hAnsi="宋体"/>
          <w:color w:val="auto"/>
          <w:highlight w:val="none"/>
        </w:rPr>
        <w:t>3.6.3 投标人提供两个或两个以上投标报价，或者在投标文件中提供一个报价，但同时提供两个或两个以上</w:t>
      </w:r>
      <w:bookmarkStart w:id="140" w:name="_Toc384308232"/>
      <w:bookmarkStart w:id="141" w:name="_Toc361508607"/>
      <w:bookmarkStart w:id="142" w:name="_Toc152045550"/>
      <w:bookmarkStart w:id="143" w:name="_Toc300834971"/>
      <w:bookmarkStart w:id="144" w:name="_Toc247513974"/>
      <w:bookmarkStart w:id="145" w:name="_Toc369531538"/>
      <w:bookmarkStart w:id="146" w:name="_Toc352691495"/>
      <w:bookmarkStart w:id="147" w:name="_Toc152042326"/>
      <w:bookmarkStart w:id="148" w:name="_Toc29902"/>
      <w:bookmarkStart w:id="149" w:name="_Toc144974518"/>
      <w:bookmarkStart w:id="150" w:name="_Toc247527575"/>
      <w:r>
        <w:rPr>
          <w:rFonts w:hint="eastAsia" w:ascii="宋体" w:hAnsi="宋体"/>
          <w:color w:val="auto"/>
          <w:highlight w:val="none"/>
        </w:rPr>
        <w:t>监理方案的</w:t>
      </w:r>
      <w:bookmarkEnd w:id="140"/>
      <w:bookmarkEnd w:id="141"/>
      <w:bookmarkEnd w:id="142"/>
      <w:bookmarkEnd w:id="143"/>
      <w:bookmarkEnd w:id="144"/>
      <w:bookmarkEnd w:id="145"/>
      <w:bookmarkEnd w:id="146"/>
      <w:bookmarkEnd w:id="147"/>
      <w:bookmarkEnd w:id="148"/>
      <w:bookmarkEnd w:id="149"/>
      <w:bookmarkEnd w:id="150"/>
      <w:r>
        <w:rPr>
          <w:rFonts w:hint="eastAsia" w:ascii="宋体" w:hAnsi="宋体"/>
          <w:color w:val="auto"/>
          <w:highlight w:val="none"/>
        </w:rPr>
        <w:t>，视为提供备选方案。</w:t>
      </w:r>
    </w:p>
    <w:p w14:paraId="2BD80F0C">
      <w:pPr>
        <w:spacing w:before="240" w:beforeLines="100" w:after="240" w:afterLines="100"/>
        <w:rPr>
          <w:rFonts w:ascii="宋体" w:hAnsi="宋体"/>
          <w:b/>
          <w:color w:val="auto"/>
          <w:sz w:val="28"/>
          <w:szCs w:val="28"/>
          <w:highlight w:val="none"/>
        </w:rPr>
      </w:pPr>
      <w:bookmarkStart w:id="151" w:name="_Toc529196546"/>
      <w:bookmarkStart w:id="152" w:name="_Toc515205219"/>
      <w:r>
        <w:rPr>
          <w:rFonts w:hint="eastAsia" w:ascii="宋体" w:hAnsi="宋体"/>
          <w:b/>
          <w:color w:val="auto"/>
          <w:sz w:val="28"/>
          <w:szCs w:val="28"/>
          <w:highlight w:val="none"/>
        </w:rPr>
        <w:t>3.7 投标文件的编制</w:t>
      </w:r>
      <w:bookmarkEnd w:id="151"/>
      <w:bookmarkEnd w:id="152"/>
    </w:p>
    <w:p w14:paraId="5E3F7053">
      <w:pPr>
        <w:spacing w:line="360" w:lineRule="auto"/>
        <w:ind w:firstLine="420" w:firstLineChars="200"/>
        <w:rPr>
          <w:rFonts w:ascii="宋体" w:hAnsi="宋体"/>
          <w:color w:val="auto"/>
          <w:highlight w:val="none"/>
        </w:rPr>
      </w:pPr>
      <w:r>
        <w:rPr>
          <w:rFonts w:hint="eastAsia" w:ascii="宋体" w:hAnsi="宋体"/>
          <w:color w:val="auto"/>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16CBAB6">
      <w:pPr>
        <w:spacing w:line="360" w:lineRule="auto"/>
        <w:ind w:firstLine="420" w:firstLineChars="200"/>
        <w:rPr>
          <w:rFonts w:ascii="宋体" w:hAnsi="宋体"/>
          <w:color w:val="auto"/>
          <w:highlight w:val="none"/>
        </w:rPr>
      </w:pPr>
      <w:r>
        <w:rPr>
          <w:rFonts w:hint="eastAsia" w:ascii="宋体" w:hAnsi="宋体"/>
          <w:color w:val="auto"/>
          <w:highlight w:val="none"/>
        </w:rPr>
        <w:t>3.7.2 投标文件应当对招标文件有关监理服务期限、投标有效期、委托人要求、招标范围等实质性内容作出响应。</w:t>
      </w:r>
    </w:p>
    <w:p w14:paraId="5DC697E3">
      <w:pPr>
        <w:spacing w:line="360" w:lineRule="auto"/>
        <w:ind w:firstLine="420" w:firstLineChars="200"/>
        <w:rPr>
          <w:rFonts w:ascii="宋体" w:hAnsi="宋体"/>
          <w:strike/>
          <w:color w:val="auto"/>
          <w:highlight w:val="none"/>
        </w:rPr>
      </w:pPr>
      <w:r>
        <w:rPr>
          <w:rFonts w:hint="eastAsia" w:ascii="宋体" w:hAnsi="宋体"/>
          <w:strike/>
          <w:color w:val="auto"/>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3E047059">
      <w:pPr>
        <w:spacing w:line="360" w:lineRule="auto"/>
        <w:ind w:firstLine="420" w:firstLineChars="200"/>
        <w:rPr>
          <w:rFonts w:ascii="宋体" w:hAnsi="宋体"/>
          <w:strike/>
          <w:color w:val="auto"/>
          <w:highlight w:val="none"/>
        </w:rPr>
      </w:pPr>
      <w:r>
        <w:rPr>
          <w:rFonts w:hint="eastAsia" w:ascii="宋体" w:hAnsi="宋体"/>
          <w:strike/>
          <w:color w:val="auto"/>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6EC7EAA0">
      <w:pPr>
        <w:spacing w:line="360" w:lineRule="auto"/>
        <w:ind w:firstLine="420" w:firstLineChars="200"/>
        <w:rPr>
          <w:rFonts w:ascii="宋体" w:hAnsi="宋体"/>
          <w:strike/>
          <w:color w:val="auto"/>
          <w:highlight w:val="none"/>
        </w:rPr>
      </w:pPr>
      <w:r>
        <w:rPr>
          <w:rFonts w:hint="eastAsia" w:ascii="宋体" w:hAnsi="宋体"/>
          <w:strike/>
          <w:color w:val="auto"/>
          <w:highlight w:val="none"/>
        </w:rPr>
        <w:t>（3）投标文件的正本与副本应分别装订，并编制目录，投标文件需分册装订的，具体分册装订要求见投标人须知前附表规定。</w:t>
      </w:r>
    </w:p>
    <w:p w14:paraId="7C10CB57">
      <w:pPr>
        <w:spacing w:line="360" w:lineRule="auto"/>
        <w:ind w:firstLine="420" w:firstLineChars="200"/>
        <w:rPr>
          <w:rFonts w:ascii="宋体" w:hAnsi="宋体"/>
          <w:color w:val="auto"/>
          <w:highlight w:val="none"/>
        </w:rPr>
      </w:pPr>
      <w:bookmarkStart w:id="153" w:name="_Toc514946914"/>
      <w:r>
        <w:rPr>
          <w:rFonts w:hint="eastAsia" w:ascii="宋体" w:hAnsi="宋体"/>
          <w:color w:val="auto"/>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53"/>
    </w:p>
    <w:p w14:paraId="74799FE9">
      <w:pPr>
        <w:spacing w:before="260"/>
        <w:outlineLvl w:val="2"/>
        <w:rPr>
          <w:rFonts w:ascii="宋体" w:hAnsi="宋体"/>
          <w:b/>
          <w:color w:val="auto"/>
          <w:sz w:val="32"/>
          <w:szCs w:val="32"/>
          <w:highlight w:val="none"/>
        </w:rPr>
      </w:pPr>
      <w:bookmarkStart w:id="154" w:name="_Toc515205220"/>
      <w:bookmarkStart w:id="155" w:name="_Toc529196547"/>
      <w:r>
        <w:rPr>
          <w:rFonts w:hint="eastAsia" w:ascii="宋体" w:hAnsi="宋体"/>
          <w:b/>
          <w:color w:val="auto"/>
          <w:sz w:val="32"/>
          <w:szCs w:val="32"/>
          <w:highlight w:val="none"/>
        </w:rPr>
        <w:t>4. 投标</w:t>
      </w:r>
      <w:bookmarkEnd w:id="154"/>
      <w:bookmarkEnd w:id="155"/>
    </w:p>
    <w:p w14:paraId="383ABA6D">
      <w:pPr>
        <w:spacing w:before="240" w:beforeLines="100" w:after="240" w:afterLines="100"/>
        <w:rPr>
          <w:rFonts w:ascii="宋体" w:hAnsi="宋体"/>
          <w:b/>
          <w:color w:val="auto"/>
          <w:sz w:val="28"/>
          <w:szCs w:val="28"/>
          <w:highlight w:val="none"/>
        </w:rPr>
      </w:pPr>
      <w:bookmarkStart w:id="156" w:name="_Toc529196548"/>
      <w:bookmarkStart w:id="157" w:name="_Toc515205221"/>
      <w:r>
        <w:rPr>
          <w:rFonts w:hint="eastAsia" w:ascii="宋体" w:hAnsi="宋体"/>
          <w:b/>
          <w:color w:val="auto"/>
          <w:sz w:val="28"/>
          <w:szCs w:val="28"/>
          <w:highlight w:val="none"/>
        </w:rPr>
        <w:t>4.1 投标文件的密封和标记</w:t>
      </w:r>
      <w:bookmarkEnd w:id="156"/>
      <w:bookmarkEnd w:id="157"/>
    </w:p>
    <w:p w14:paraId="30EB953E">
      <w:pPr>
        <w:spacing w:line="360" w:lineRule="auto"/>
        <w:ind w:firstLine="420" w:firstLineChars="200"/>
        <w:rPr>
          <w:rFonts w:ascii="宋体" w:hAnsi="宋体"/>
          <w:strike/>
          <w:color w:val="auto"/>
          <w:highlight w:val="none"/>
        </w:rPr>
      </w:pPr>
      <w:r>
        <w:rPr>
          <w:rFonts w:hint="eastAsia" w:ascii="宋体" w:hAnsi="宋体"/>
          <w:strike/>
          <w:color w:val="auto"/>
          <w:highlight w:val="none"/>
        </w:rPr>
        <w:t>4.1.1 （A）投标文件应密封包装，并在封套的封口处加盖投标人单位章或由投标人的法定代表人或其授权的代理人签字。</w:t>
      </w:r>
    </w:p>
    <w:p w14:paraId="28842D2F">
      <w:pPr>
        <w:spacing w:line="360" w:lineRule="auto"/>
        <w:ind w:firstLine="420" w:firstLineChars="200"/>
        <w:rPr>
          <w:rFonts w:ascii="宋体" w:hAnsi="宋体"/>
          <w:color w:val="auto"/>
          <w:highlight w:val="none"/>
        </w:rPr>
      </w:pPr>
      <w:r>
        <w:rPr>
          <w:rFonts w:hint="eastAsia" w:ascii="宋体" w:hAnsi="宋体"/>
          <w:color w:val="auto"/>
          <w:highlight w:val="none"/>
        </w:rPr>
        <w:t>4.1.1 （B）投标人应当按照招标文件和电子招标投标交易平台的要求加密投标文件，具体要求见投标人须知前附表。</w:t>
      </w:r>
    </w:p>
    <w:p w14:paraId="2B79DD6D">
      <w:pPr>
        <w:spacing w:line="360" w:lineRule="auto"/>
        <w:ind w:firstLine="420" w:firstLineChars="200"/>
        <w:rPr>
          <w:rFonts w:ascii="宋体" w:hAnsi="宋体"/>
          <w:color w:val="auto"/>
          <w:highlight w:val="none"/>
        </w:rPr>
      </w:pPr>
      <w:r>
        <w:rPr>
          <w:rFonts w:hint="eastAsia" w:ascii="宋体" w:hAnsi="宋体"/>
          <w:color w:val="auto"/>
          <w:highlight w:val="none"/>
        </w:rPr>
        <w:t>4.1.2 投标文件封套上应写明的内容见投标人须知前附表。</w:t>
      </w:r>
    </w:p>
    <w:p w14:paraId="6BDEF27A">
      <w:pPr>
        <w:spacing w:line="360" w:lineRule="auto"/>
        <w:ind w:firstLine="420" w:firstLineChars="200"/>
        <w:rPr>
          <w:rFonts w:ascii="宋体" w:hAnsi="宋体"/>
          <w:color w:val="auto"/>
          <w:highlight w:val="none"/>
        </w:rPr>
      </w:pPr>
      <w:r>
        <w:rPr>
          <w:rFonts w:hint="eastAsia" w:ascii="宋体" w:hAnsi="宋体"/>
          <w:color w:val="auto"/>
          <w:highlight w:val="none"/>
        </w:rPr>
        <w:t>4.1.3 未按本章第4.1.1项要求密封的投标文件，招标人将予以拒收。</w:t>
      </w:r>
    </w:p>
    <w:p w14:paraId="091D4059">
      <w:pPr>
        <w:spacing w:before="240" w:beforeLines="100" w:after="240" w:afterLines="100"/>
        <w:rPr>
          <w:rFonts w:ascii="宋体" w:hAnsi="宋体"/>
          <w:b/>
          <w:color w:val="auto"/>
          <w:sz w:val="28"/>
          <w:szCs w:val="28"/>
          <w:highlight w:val="none"/>
        </w:rPr>
      </w:pPr>
      <w:bookmarkStart w:id="158" w:name="_Toc515205222"/>
      <w:bookmarkStart w:id="159" w:name="_Toc529196549"/>
      <w:r>
        <w:rPr>
          <w:rFonts w:hint="eastAsia" w:ascii="宋体" w:hAnsi="宋体"/>
          <w:b/>
          <w:color w:val="auto"/>
          <w:sz w:val="28"/>
          <w:szCs w:val="28"/>
          <w:highlight w:val="none"/>
        </w:rPr>
        <w:t>4.2 投标文件的递交</w:t>
      </w:r>
      <w:bookmarkEnd w:id="158"/>
      <w:bookmarkEnd w:id="159"/>
    </w:p>
    <w:p w14:paraId="50E87645">
      <w:pPr>
        <w:spacing w:line="360" w:lineRule="auto"/>
        <w:ind w:firstLine="420" w:firstLineChars="200"/>
        <w:rPr>
          <w:rFonts w:ascii="宋体" w:hAnsi="宋体"/>
          <w:color w:val="auto"/>
          <w:highlight w:val="none"/>
        </w:rPr>
      </w:pPr>
      <w:r>
        <w:rPr>
          <w:rFonts w:hint="eastAsia" w:ascii="宋体" w:hAnsi="宋体"/>
          <w:color w:val="auto"/>
          <w:highlight w:val="none"/>
        </w:rPr>
        <w:t>4.2.1 投标人应在投标人须知前附表规定的投标截止时间前递交投标文件。</w:t>
      </w:r>
    </w:p>
    <w:p w14:paraId="2657E128">
      <w:pPr>
        <w:spacing w:line="360" w:lineRule="auto"/>
        <w:ind w:firstLine="420" w:firstLineChars="200"/>
        <w:rPr>
          <w:rFonts w:ascii="宋体" w:hAnsi="宋体"/>
          <w:strike/>
          <w:color w:val="auto"/>
          <w:highlight w:val="none"/>
        </w:rPr>
      </w:pPr>
      <w:r>
        <w:rPr>
          <w:rFonts w:hint="eastAsia" w:ascii="宋体" w:hAnsi="宋体"/>
          <w:strike/>
          <w:color w:val="auto"/>
          <w:highlight w:val="none"/>
        </w:rPr>
        <w:t>4.2.2 （A）投标人递交投标文件的地点：见投标人须知前附表。</w:t>
      </w:r>
    </w:p>
    <w:p w14:paraId="5FD92826">
      <w:pPr>
        <w:spacing w:line="360" w:lineRule="auto"/>
        <w:ind w:firstLine="420" w:firstLineChars="200"/>
        <w:rPr>
          <w:rFonts w:ascii="宋体" w:hAnsi="宋体"/>
          <w:color w:val="auto"/>
          <w:highlight w:val="none"/>
        </w:rPr>
      </w:pPr>
      <w:r>
        <w:rPr>
          <w:rFonts w:hint="eastAsia" w:ascii="宋体" w:hAnsi="宋体"/>
          <w:color w:val="auto"/>
          <w:highlight w:val="none"/>
        </w:rPr>
        <w:t>4.2.2 （B）投标人通过下载招标文件的电子招标投标交易平台递交电子投标文件。</w:t>
      </w:r>
    </w:p>
    <w:p w14:paraId="0CAFD30E">
      <w:pPr>
        <w:spacing w:line="360" w:lineRule="auto"/>
        <w:ind w:firstLine="420" w:firstLineChars="200"/>
        <w:rPr>
          <w:rFonts w:ascii="宋体" w:hAnsi="宋体"/>
          <w:color w:val="auto"/>
          <w:highlight w:val="none"/>
        </w:rPr>
      </w:pPr>
      <w:r>
        <w:rPr>
          <w:rFonts w:hint="eastAsia" w:ascii="宋体" w:hAnsi="宋体"/>
          <w:color w:val="auto"/>
          <w:highlight w:val="none"/>
        </w:rPr>
        <w:t>4.2.3 除投标人须知前附表另有规定外，投标人所递交的投标文件不予退还。</w:t>
      </w:r>
    </w:p>
    <w:p w14:paraId="7038292E">
      <w:pPr>
        <w:spacing w:line="360" w:lineRule="auto"/>
        <w:ind w:firstLine="420" w:firstLineChars="200"/>
        <w:rPr>
          <w:rFonts w:ascii="宋体" w:hAnsi="宋体"/>
          <w:strike/>
          <w:color w:val="auto"/>
          <w:highlight w:val="none"/>
        </w:rPr>
      </w:pPr>
      <w:r>
        <w:rPr>
          <w:rFonts w:hint="eastAsia" w:ascii="宋体" w:hAnsi="宋体"/>
          <w:strike/>
          <w:color w:val="auto"/>
          <w:highlight w:val="none"/>
        </w:rPr>
        <w:t>4.2.4 （A）招标人收到投标文件后，向投标人出具签收凭证。</w:t>
      </w:r>
    </w:p>
    <w:p w14:paraId="5B591DC8">
      <w:pPr>
        <w:spacing w:line="360" w:lineRule="auto"/>
        <w:ind w:firstLine="420" w:firstLineChars="200"/>
        <w:rPr>
          <w:rFonts w:ascii="宋体" w:hAnsi="宋体"/>
          <w:color w:val="auto"/>
          <w:highlight w:val="none"/>
        </w:rPr>
      </w:pPr>
      <w:r>
        <w:rPr>
          <w:rFonts w:hint="eastAsia" w:ascii="宋体" w:hAnsi="宋体"/>
          <w:color w:val="auto"/>
          <w:highlight w:val="none"/>
        </w:rPr>
        <w:t>4.2.4 （B）投标人完成电子投标文件上传后，电子招标投标交易平台即时向投标人发出递交回执通知。递交时间以递交回执通知载明的传输完成时间为准。</w:t>
      </w:r>
    </w:p>
    <w:p w14:paraId="32115B4E">
      <w:pPr>
        <w:spacing w:line="360" w:lineRule="auto"/>
        <w:ind w:firstLine="420" w:firstLineChars="200"/>
        <w:rPr>
          <w:rFonts w:ascii="宋体" w:hAnsi="宋体"/>
          <w:strike/>
          <w:color w:val="auto"/>
          <w:highlight w:val="none"/>
        </w:rPr>
      </w:pPr>
      <w:r>
        <w:rPr>
          <w:rFonts w:hint="eastAsia" w:ascii="宋体" w:hAnsi="宋体"/>
          <w:strike/>
          <w:color w:val="auto"/>
          <w:highlight w:val="none"/>
        </w:rPr>
        <w:t>4.2.5 （A）逾期送达的投标文件，招标人将予以拒收。</w:t>
      </w:r>
    </w:p>
    <w:p w14:paraId="4545B5AF">
      <w:pPr>
        <w:spacing w:line="360" w:lineRule="auto"/>
        <w:ind w:firstLine="420" w:firstLineChars="200"/>
        <w:jc w:val="left"/>
        <w:rPr>
          <w:rFonts w:ascii="宋体" w:hAnsi="宋体"/>
          <w:color w:val="auto"/>
          <w:highlight w:val="none"/>
        </w:rPr>
      </w:pPr>
      <w:r>
        <w:rPr>
          <w:rFonts w:hint="eastAsia" w:ascii="宋体" w:hAnsi="宋体"/>
          <w:color w:val="auto"/>
          <w:highlight w:val="none"/>
        </w:rPr>
        <w:t>4.2.5 （B）逾期送达的投标文件，电子招标投标交易平台将予以拒收。</w:t>
      </w:r>
    </w:p>
    <w:p w14:paraId="1E47074E">
      <w:pPr>
        <w:spacing w:before="240" w:beforeLines="100" w:after="240" w:afterLines="100"/>
        <w:rPr>
          <w:rFonts w:ascii="宋体" w:hAnsi="宋体"/>
          <w:b/>
          <w:color w:val="auto"/>
          <w:sz w:val="28"/>
          <w:szCs w:val="28"/>
          <w:highlight w:val="none"/>
        </w:rPr>
      </w:pPr>
      <w:bookmarkStart w:id="160" w:name="_Toc515205223"/>
      <w:bookmarkStart w:id="161" w:name="_Toc529196550"/>
      <w:r>
        <w:rPr>
          <w:rFonts w:hint="eastAsia" w:ascii="宋体" w:hAnsi="宋体"/>
          <w:b/>
          <w:color w:val="auto"/>
          <w:sz w:val="28"/>
          <w:szCs w:val="28"/>
          <w:highlight w:val="none"/>
        </w:rPr>
        <w:t>4.3 投标文件的修改与撤回</w:t>
      </w:r>
      <w:bookmarkEnd w:id="160"/>
      <w:bookmarkEnd w:id="161"/>
    </w:p>
    <w:p w14:paraId="1F9C22B5">
      <w:pPr>
        <w:spacing w:line="360" w:lineRule="auto"/>
        <w:ind w:firstLine="420" w:firstLineChars="200"/>
        <w:rPr>
          <w:rFonts w:ascii="宋体" w:hAnsi="宋体"/>
          <w:color w:val="auto"/>
          <w:highlight w:val="none"/>
        </w:rPr>
      </w:pPr>
      <w:r>
        <w:rPr>
          <w:rFonts w:hint="eastAsia" w:ascii="宋体" w:hAnsi="宋体"/>
          <w:color w:val="auto"/>
          <w:highlight w:val="none"/>
        </w:rPr>
        <w:t>4.3.1 在本章第4.2.1项规定的投标截止时间前，投标人可以修改或撤回已递交的投标文件，但应以书面形式通知招标人。</w:t>
      </w:r>
    </w:p>
    <w:p w14:paraId="26B5328F">
      <w:pPr>
        <w:spacing w:line="360" w:lineRule="auto"/>
        <w:ind w:firstLine="420" w:firstLineChars="200"/>
        <w:rPr>
          <w:rFonts w:ascii="宋体" w:hAnsi="宋体"/>
          <w:strike/>
          <w:color w:val="auto"/>
          <w:highlight w:val="none"/>
        </w:rPr>
      </w:pPr>
      <w:r>
        <w:rPr>
          <w:rFonts w:hint="eastAsia" w:ascii="宋体" w:hAnsi="宋体"/>
          <w:strike/>
          <w:color w:val="auto"/>
          <w:highlight w:val="none"/>
        </w:rPr>
        <w:t>4.3.2 （A）投标人修改或撤回已递交投标文件的书面通知应按照本章第3.7.3（A）项的要求签字或盖章。招标人收到书面通知后，向投标人出具签收凭证。</w:t>
      </w:r>
    </w:p>
    <w:p w14:paraId="7779A4F5">
      <w:pPr>
        <w:spacing w:line="360" w:lineRule="auto"/>
        <w:ind w:firstLine="420" w:firstLineChars="200"/>
        <w:rPr>
          <w:rFonts w:ascii="宋体" w:hAnsi="宋体"/>
          <w:color w:val="auto"/>
          <w:highlight w:val="none"/>
        </w:rPr>
      </w:pPr>
      <w:r>
        <w:rPr>
          <w:rFonts w:hint="eastAsia" w:ascii="宋体" w:hAnsi="宋体"/>
          <w:color w:val="auto"/>
          <w:highlight w:val="none"/>
        </w:rPr>
        <w:t>4.3.2 （B）投标人修改或撤回已递交投标文件的通知，应按照本章第3.7.3（B）项的要求加盖电子印章。电子招标投标交易平台收到通知后，即时向投标人发出确认回执通知。</w:t>
      </w:r>
    </w:p>
    <w:p w14:paraId="4D772A9B">
      <w:pPr>
        <w:spacing w:line="360" w:lineRule="auto"/>
        <w:ind w:firstLine="420" w:firstLineChars="200"/>
        <w:rPr>
          <w:rFonts w:ascii="宋体" w:hAnsi="宋体"/>
          <w:color w:val="auto"/>
          <w:highlight w:val="none"/>
        </w:rPr>
      </w:pPr>
      <w:r>
        <w:rPr>
          <w:rFonts w:hint="eastAsia" w:ascii="宋体" w:hAnsi="宋体"/>
          <w:color w:val="auto"/>
          <w:highlight w:val="none"/>
        </w:rPr>
        <w:t>4.3.3 投标人撤回投标文件的，招标人自收到投标人书面撤回通知之日起5日内退还已收取的投标保证金。</w:t>
      </w:r>
    </w:p>
    <w:p w14:paraId="2D0C60FE">
      <w:pPr>
        <w:spacing w:line="360" w:lineRule="auto"/>
        <w:ind w:firstLine="420" w:firstLineChars="200"/>
        <w:rPr>
          <w:rFonts w:ascii="宋体" w:hAnsi="宋体"/>
          <w:color w:val="auto"/>
          <w:highlight w:val="none"/>
        </w:rPr>
      </w:pPr>
      <w:r>
        <w:rPr>
          <w:rFonts w:hint="eastAsia" w:ascii="宋体" w:hAnsi="宋体"/>
          <w:color w:val="auto"/>
          <w:highlight w:val="none"/>
        </w:rPr>
        <w:t>4.3.</w:t>
      </w:r>
      <w:bookmarkStart w:id="162" w:name="_Toc144974521"/>
      <w:bookmarkStart w:id="163" w:name="_Toc152045553"/>
      <w:bookmarkStart w:id="164" w:name="_Toc19203"/>
      <w:bookmarkStart w:id="165" w:name="_Toc152042329"/>
      <w:bookmarkStart w:id="166" w:name="_Toc300834974"/>
      <w:bookmarkStart w:id="167" w:name="_Toc361508610"/>
      <w:bookmarkStart w:id="168" w:name="_Toc247513977"/>
      <w:bookmarkStart w:id="169" w:name="_Toc352691497"/>
      <w:bookmarkStart w:id="170" w:name="_Toc247527578"/>
      <w:bookmarkStart w:id="171" w:name="_Toc384308235"/>
      <w:bookmarkStart w:id="172" w:name="_Toc369531541"/>
      <w:r>
        <w:rPr>
          <w:rFonts w:hint="eastAsia" w:ascii="宋体" w:hAnsi="宋体"/>
          <w:color w:val="auto"/>
          <w:highlight w:val="none"/>
        </w:rPr>
        <w:t>4 修改的内容为投标</w:t>
      </w:r>
      <w:bookmarkEnd w:id="162"/>
      <w:bookmarkEnd w:id="163"/>
      <w:bookmarkEnd w:id="164"/>
      <w:bookmarkEnd w:id="165"/>
      <w:bookmarkEnd w:id="166"/>
      <w:bookmarkEnd w:id="167"/>
      <w:bookmarkEnd w:id="168"/>
      <w:bookmarkEnd w:id="169"/>
      <w:bookmarkEnd w:id="170"/>
      <w:bookmarkEnd w:id="171"/>
      <w:bookmarkEnd w:id="172"/>
      <w:r>
        <w:rPr>
          <w:rFonts w:hint="eastAsia" w:ascii="宋体" w:hAnsi="宋体"/>
          <w:color w:val="auto"/>
          <w:highlight w:val="none"/>
        </w:rPr>
        <w:t>文件的组成部分。修改的投标文件应按照本章第3条、第4条的规定进行编制、密封、标记和递交，并标明“修改”字样。</w:t>
      </w:r>
    </w:p>
    <w:p w14:paraId="76E00075">
      <w:pPr>
        <w:spacing w:before="260"/>
        <w:outlineLvl w:val="2"/>
        <w:rPr>
          <w:rFonts w:ascii="宋体" w:hAnsi="宋体"/>
          <w:b/>
          <w:color w:val="auto"/>
          <w:sz w:val="32"/>
          <w:szCs w:val="32"/>
          <w:highlight w:val="none"/>
        </w:rPr>
      </w:pPr>
      <w:bookmarkStart w:id="173" w:name="_Toc515205224"/>
      <w:bookmarkStart w:id="174" w:name="_Toc529196551"/>
      <w:r>
        <w:rPr>
          <w:rFonts w:hint="eastAsia" w:ascii="宋体" w:hAnsi="宋体"/>
          <w:b/>
          <w:color w:val="auto"/>
          <w:sz w:val="32"/>
          <w:szCs w:val="32"/>
          <w:highlight w:val="none"/>
        </w:rPr>
        <w:t>5. 开标</w:t>
      </w:r>
      <w:bookmarkEnd w:id="173"/>
      <w:bookmarkEnd w:id="174"/>
    </w:p>
    <w:p w14:paraId="52F247FB">
      <w:pPr>
        <w:spacing w:before="240" w:beforeLines="100" w:after="240" w:afterLines="100"/>
        <w:rPr>
          <w:rFonts w:ascii="宋体" w:hAnsi="宋体"/>
          <w:b/>
          <w:strike w:val="0"/>
          <w:color w:val="auto"/>
          <w:sz w:val="28"/>
          <w:szCs w:val="28"/>
          <w:highlight w:val="none"/>
        </w:rPr>
      </w:pPr>
      <w:bookmarkStart w:id="175" w:name="_Toc529196552"/>
      <w:bookmarkStart w:id="176" w:name="_Toc515205225"/>
      <w:r>
        <w:rPr>
          <w:rFonts w:hint="eastAsia" w:ascii="宋体" w:hAnsi="宋体"/>
          <w:b/>
          <w:strike w:val="0"/>
          <w:color w:val="auto"/>
          <w:sz w:val="28"/>
          <w:szCs w:val="28"/>
          <w:highlight w:val="none"/>
        </w:rPr>
        <w:t>5.1 开标时间和地点（A）</w:t>
      </w:r>
      <w:bookmarkEnd w:id="175"/>
      <w:bookmarkEnd w:id="176"/>
    </w:p>
    <w:p w14:paraId="5AAEC6C5">
      <w:pPr>
        <w:spacing w:line="360" w:lineRule="auto"/>
        <w:ind w:firstLine="420" w:firstLineChars="200"/>
        <w:rPr>
          <w:rFonts w:ascii="宋体" w:hAnsi="宋体"/>
          <w:strike/>
          <w:color w:val="auto"/>
          <w:highlight w:val="none"/>
        </w:rPr>
      </w:pPr>
      <w:r>
        <w:rPr>
          <w:rFonts w:hint="eastAsia" w:ascii="宋体" w:hAnsi="宋体"/>
          <w:strike/>
          <w:color w:val="auto"/>
          <w:highlight w:val="none"/>
        </w:rPr>
        <w:t>招标人在本章第4.2.1项规定的投标截止时间（开标时间）和投标人须知前附表规定的地点公开开标，并邀请所有投标人的法定代表人或其委托代理人准时参加。</w:t>
      </w:r>
    </w:p>
    <w:p w14:paraId="023EE219">
      <w:pPr>
        <w:spacing w:before="240" w:beforeLines="100" w:after="240" w:afterLines="100"/>
        <w:rPr>
          <w:rFonts w:ascii="宋体" w:hAnsi="宋体"/>
          <w:b/>
          <w:color w:val="auto"/>
          <w:sz w:val="28"/>
          <w:szCs w:val="28"/>
          <w:highlight w:val="none"/>
        </w:rPr>
      </w:pPr>
      <w:bookmarkStart w:id="177" w:name="_Toc529196553"/>
      <w:bookmarkStart w:id="178" w:name="_Toc515205226"/>
      <w:r>
        <w:rPr>
          <w:rFonts w:hint="eastAsia" w:ascii="宋体" w:hAnsi="宋体"/>
          <w:b/>
          <w:color w:val="auto"/>
          <w:sz w:val="28"/>
          <w:szCs w:val="28"/>
          <w:highlight w:val="none"/>
        </w:rPr>
        <w:t>5.1 开标时间和地点（B）</w:t>
      </w:r>
      <w:bookmarkEnd w:id="177"/>
      <w:bookmarkEnd w:id="178"/>
    </w:p>
    <w:p w14:paraId="45723D81">
      <w:pPr>
        <w:spacing w:line="360" w:lineRule="auto"/>
        <w:ind w:firstLine="420" w:firstLineChars="200"/>
        <w:rPr>
          <w:rFonts w:ascii="宋体" w:hAnsi="宋体"/>
          <w:color w:val="auto"/>
          <w:highlight w:val="none"/>
        </w:rPr>
      </w:pPr>
      <w:r>
        <w:rPr>
          <w:rFonts w:hint="eastAsia" w:ascii="宋体" w:hAnsi="宋体"/>
          <w:color w:val="auto"/>
          <w:highlight w:val="none"/>
        </w:rPr>
        <w:t>招标人在本章第4.2.1项规定的投标截止时间（开标时间）,通过电子招标投标交易平台公开开标，所有投标人的法定代表人或其委托代理人应当准时参加。</w:t>
      </w:r>
    </w:p>
    <w:p w14:paraId="5EA22BC2">
      <w:pPr>
        <w:spacing w:before="240" w:beforeLines="100" w:after="240" w:afterLines="100"/>
        <w:rPr>
          <w:rFonts w:ascii="宋体" w:hAnsi="宋体"/>
          <w:b/>
          <w:color w:val="auto"/>
          <w:sz w:val="28"/>
          <w:szCs w:val="28"/>
          <w:highlight w:val="none"/>
        </w:rPr>
      </w:pPr>
      <w:bookmarkStart w:id="179" w:name="_Toc515205227"/>
      <w:bookmarkStart w:id="180" w:name="_Toc529196554"/>
      <w:r>
        <w:rPr>
          <w:rFonts w:hint="eastAsia" w:ascii="宋体" w:hAnsi="宋体"/>
          <w:b/>
          <w:color w:val="auto"/>
          <w:sz w:val="28"/>
          <w:szCs w:val="28"/>
          <w:highlight w:val="none"/>
        </w:rPr>
        <w:t>5.2 开标程序</w:t>
      </w:r>
      <w:bookmarkEnd w:id="179"/>
      <w:bookmarkEnd w:id="180"/>
    </w:p>
    <w:p w14:paraId="7708E613">
      <w:pPr>
        <w:spacing w:line="360" w:lineRule="auto"/>
        <w:ind w:firstLine="420" w:firstLineChars="200"/>
        <w:rPr>
          <w:rFonts w:ascii="宋体" w:hAnsi="宋体"/>
          <w:color w:val="auto"/>
          <w:highlight w:val="none"/>
        </w:rPr>
      </w:pPr>
      <w:r>
        <w:rPr>
          <w:rFonts w:hint="eastAsia" w:ascii="宋体" w:hAnsi="宋体"/>
          <w:color w:val="auto"/>
          <w:highlight w:val="none"/>
        </w:rPr>
        <w:t>主持人按下列程序进行开标：</w:t>
      </w:r>
    </w:p>
    <w:p w14:paraId="5DB00B39">
      <w:pPr>
        <w:spacing w:line="360" w:lineRule="auto"/>
        <w:ind w:firstLine="420" w:firstLineChars="200"/>
        <w:rPr>
          <w:rFonts w:ascii="宋体" w:hAnsi="宋体"/>
          <w:color w:val="auto"/>
          <w:highlight w:val="none"/>
        </w:rPr>
      </w:pPr>
      <w:r>
        <w:rPr>
          <w:rFonts w:hint="eastAsia" w:ascii="宋体" w:hAnsi="宋体"/>
          <w:color w:val="auto"/>
          <w:highlight w:val="none"/>
        </w:rPr>
        <w:t>（1）宣布开标纪律；</w:t>
      </w:r>
    </w:p>
    <w:p w14:paraId="173ECDC8">
      <w:pPr>
        <w:spacing w:line="360" w:lineRule="auto"/>
        <w:ind w:firstLine="420" w:firstLineChars="200"/>
        <w:rPr>
          <w:rFonts w:ascii="宋体" w:hAnsi="宋体"/>
          <w:color w:val="auto"/>
          <w:highlight w:val="none"/>
        </w:rPr>
      </w:pPr>
      <w:r>
        <w:rPr>
          <w:rFonts w:hint="eastAsia" w:ascii="宋体" w:hAnsi="宋体"/>
          <w:color w:val="auto"/>
          <w:highlight w:val="none"/>
        </w:rPr>
        <w:t>（2）公布在投标截止时间前递交投标文件的投标人名称；</w:t>
      </w:r>
    </w:p>
    <w:p w14:paraId="6740371D">
      <w:pPr>
        <w:spacing w:line="360" w:lineRule="auto"/>
        <w:ind w:firstLine="420" w:firstLineChars="200"/>
        <w:rPr>
          <w:rFonts w:ascii="宋体" w:hAnsi="宋体"/>
          <w:color w:val="auto"/>
          <w:highlight w:val="none"/>
        </w:rPr>
      </w:pPr>
      <w:r>
        <w:rPr>
          <w:rFonts w:hint="eastAsia" w:ascii="宋体" w:hAnsi="宋体"/>
          <w:color w:val="auto"/>
          <w:highlight w:val="none"/>
        </w:rPr>
        <w:t>（3）宣布</w:t>
      </w:r>
      <w:bookmarkStart w:id="181" w:name="_Toc152045554"/>
      <w:bookmarkStart w:id="182" w:name="_Toc384308236"/>
      <w:bookmarkStart w:id="183" w:name="_Toc247513978"/>
      <w:bookmarkStart w:id="184" w:name="_Toc22119"/>
      <w:bookmarkStart w:id="185" w:name="_Toc152042330"/>
      <w:bookmarkStart w:id="186" w:name="_Toc361508611"/>
      <w:bookmarkStart w:id="187" w:name="_Toc300834975"/>
      <w:bookmarkStart w:id="188" w:name="_Toc247527579"/>
      <w:bookmarkStart w:id="189" w:name="_Toc369531542"/>
      <w:bookmarkStart w:id="190" w:name="_Toc144974522"/>
      <w:bookmarkStart w:id="191" w:name="_Toc352691498"/>
      <w:r>
        <w:rPr>
          <w:rFonts w:hint="eastAsia" w:ascii="宋体" w:hAnsi="宋体"/>
          <w:color w:val="auto"/>
          <w:highlight w:val="none"/>
        </w:rPr>
        <w:t>开标人、唱标人、记录人</w:t>
      </w:r>
      <w:bookmarkEnd w:id="181"/>
      <w:bookmarkEnd w:id="182"/>
      <w:bookmarkEnd w:id="183"/>
      <w:bookmarkEnd w:id="184"/>
      <w:bookmarkEnd w:id="185"/>
      <w:bookmarkEnd w:id="186"/>
      <w:bookmarkEnd w:id="187"/>
      <w:bookmarkEnd w:id="188"/>
      <w:bookmarkEnd w:id="189"/>
      <w:bookmarkEnd w:id="190"/>
      <w:bookmarkEnd w:id="191"/>
      <w:r>
        <w:rPr>
          <w:rFonts w:hint="eastAsia" w:ascii="宋体" w:hAnsi="宋体"/>
          <w:color w:val="auto"/>
          <w:highlight w:val="none"/>
        </w:rPr>
        <w:t>、监标人等有关人员姓名；</w:t>
      </w:r>
    </w:p>
    <w:p w14:paraId="0EE13B8B">
      <w:pPr>
        <w:spacing w:line="360" w:lineRule="auto"/>
        <w:ind w:firstLine="420" w:firstLineChars="200"/>
        <w:rPr>
          <w:rFonts w:ascii="宋体" w:hAnsi="宋体"/>
          <w:strike/>
          <w:color w:val="auto"/>
          <w:highlight w:val="none"/>
        </w:rPr>
      </w:pPr>
      <w:r>
        <w:rPr>
          <w:rFonts w:hint="eastAsia" w:ascii="宋体" w:hAnsi="宋体"/>
          <w:strike/>
          <w:color w:val="auto"/>
          <w:highlight w:val="none"/>
        </w:rPr>
        <w:t>（4）（A）检查投标文件的密封情况，按照投标人须知前附表规定的开标顺序当众开标，公布招标项目名称、投标人名称、投标保证金的递交情况、投标报价、监理服务期限及其他内容，并记录在案；</w:t>
      </w:r>
    </w:p>
    <w:p w14:paraId="723286A9">
      <w:pPr>
        <w:spacing w:line="360" w:lineRule="auto"/>
        <w:ind w:firstLine="420" w:firstLineChars="200"/>
        <w:rPr>
          <w:rFonts w:ascii="宋体" w:hAnsi="宋体"/>
          <w:color w:val="auto"/>
          <w:highlight w:val="none"/>
        </w:rPr>
      </w:pPr>
      <w:r>
        <w:rPr>
          <w:rFonts w:hint="eastAsia" w:ascii="宋体" w:hAnsi="宋体"/>
          <w:color w:val="auto"/>
          <w:highlight w:val="none"/>
        </w:rPr>
        <w:t>（4）（B）投标人通过电子招标投标交易平台对已递交的电子投标文件进行解密，公布招标项目名称、投标人名称、投标保证金的递交情况、投标报价、监理服务期限及其他内容，并记录在案；</w:t>
      </w:r>
    </w:p>
    <w:p w14:paraId="2ED26F1F">
      <w:pPr>
        <w:spacing w:line="360" w:lineRule="auto"/>
        <w:ind w:firstLine="420" w:firstLineChars="200"/>
        <w:rPr>
          <w:rFonts w:ascii="宋体" w:hAnsi="宋体"/>
          <w:strike/>
          <w:color w:val="auto"/>
          <w:highlight w:val="none"/>
        </w:rPr>
      </w:pPr>
      <w:r>
        <w:rPr>
          <w:rFonts w:hint="eastAsia" w:ascii="宋体" w:hAnsi="宋体"/>
          <w:strike/>
          <w:color w:val="auto"/>
          <w:highlight w:val="none"/>
        </w:rPr>
        <w:t>（5）（A）投标人代表、招标人代表、监标人、记录人等有关人员在开标记录上签字确认；</w:t>
      </w:r>
    </w:p>
    <w:p w14:paraId="3EC46817">
      <w:pPr>
        <w:spacing w:line="360" w:lineRule="auto"/>
        <w:ind w:firstLine="420" w:firstLineChars="200"/>
        <w:rPr>
          <w:rFonts w:ascii="宋体" w:hAnsi="宋体"/>
          <w:color w:val="auto"/>
          <w:highlight w:val="none"/>
        </w:rPr>
      </w:pPr>
      <w:r>
        <w:rPr>
          <w:rFonts w:hint="eastAsia" w:ascii="宋体" w:hAnsi="宋体"/>
          <w:color w:val="auto"/>
          <w:highlight w:val="none"/>
        </w:rPr>
        <w:t>（5）（B）投标人代表、招标人代表、监标人、记录人等有关人员使用本人的电子印章在开标记录上签字确认；</w:t>
      </w:r>
    </w:p>
    <w:p w14:paraId="48801C50">
      <w:pPr>
        <w:spacing w:line="360" w:lineRule="auto"/>
        <w:ind w:firstLine="420" w:firstLineChars="200"/>
        <w:rPr>
          <w:rFonts w:ascii="宋体" w:hAnsi="宋体"/>
          <w:color w:val="auto"/>
          <w:highlight w:val="none"/>
        </w:rPr>
      </w:pPr>
      <w:r>
        <w:rPr>
          <w:rFonts w:hint="eastAsia" w:ascii="宋体" w:hAnsi="宋体"/>
          <w:color w:val="auto"/>
          <w:highlight w:val="none"/>
        </w:rPr>
        <w:t>（6）开标结束。</w:t>
      </w:r>
    </w:p>
    <w:p w14:paraId="7B0922CF">
      <w:pPr>
        <w:spacing w:before="240" w:beforeLines="100" w:after="240" w:afterLines="100"/>
        <w:rPr>
          <w:rFonts w:ascii="宋体" w:hAnsi="宋体"/>
          <w:b/>
          <w:color w:val="auto"/>
          <w:sz w:val="28"/>
          <w:szCs w:val="28"/>
          <w:highlight w:val="none"/>
        </w:rPr>
      </w:pPr>
      <w:bookmarkStart w:id="192" w:name="_Toc529196555"/>
      <w:bookmarkStart w:id="193" w:name="_Toc515205228"/>
      <w:r>
        <w:rPr>
          <w:rFonts w:hint="eastAsia" w:ascii="宋体" w:hAnsi="宋体"/>
          <w:b/>
          <w:color w:val="auto"/>
          <w:sz w:val="28"/>
          <w:szCs w:val="28"/>
          <w:highlight w:val="none"/>
        </w:rPr>
        <w:t>5.3 开标异议</w:t>
      </w:r>
      <w:bookmarkEnd w:id="192"/>
      <w:bookmarkEnd w:id="193"/>
    </w:p>
    <w:p w14:paraId="3EA2257C">
      <w:pPr>
        <w:spacing w:line="360" w:lineRule="auto"/>
        <w:ind w:firstLine="359" w:firstLineChars="171"/>
        <w:rPr>
          <w:rFonts w:ascii="宋体" w:hAnsi="宋体"/>
          <w:color w:val="auto"/>
          <w:highlight w:val="none"/>
        </w:rPr>
      </w:pPr>
      <w:r>
        <w:rPr>
          <w:rFonts w:hint="eastAsia" w:ascii="宋体" w:hAnsi="宋体"/>
          <w:color w:val="auto"/>
          <w:highlight w:val="none"/>
        </w:rPr>
        <w:t>投标人对开标有异议的，应当在开标现场提出，招标人当场作出答复，并制作记录。</w:t>
      </w:r>
    </w:p>
    <w:p w14:paraId="313B114E">
      <w:pPr>
        <w:spacing w:before="260"/>
        <w:outlineLvl w:val="2"/>
        <w:rPr>
          <w:rFonts w:ascii="宋体" w:hAnsi="宋体"/>
          <w:b/>
          <w:color w:val="auto"/>
          <w:sz w:val="32"/>
          <w:szCs w:val="32"/>
          <w:highlight w:val="none"/>
        </w:rPr>
      </w:pPr>
      <w:bookmarkStart w:id="194" w:name="_Toc529196556"/>
      <w:bookmarkStart w:id="195" w:name="_Toc515205229"/>
      <w:r>
        <w:rPr>
          <w:rFonts w:hint="eastAsia" w:ascii="宋体" w:hAnsi="宋体"/>
          <w:b/>
          <w:color w:val="auto"/>
          <w:sz w:val="32"/>
          <w:szCs w:val="32"/>
          <w:highlight w:val="none"/>
        </w:rPr>
        <w:t>6. 评标</w:t>
      </w:r>
      <w:bookmarkEnd w:id="194"/>
      <w:bookmarkEnd w:id="195"/>
    </w:p>
    <w:p w14:paraId="5AA6E71D">
      <w:pPr>
        <w:spacing w:before="240" w:beforeLines="100" w:after="240" w:afterLines="100"/>
        <w:rPr>
          <w:rFonts w:ascii="宋体" w:hAnsi="宋体"/>
          <w:b/>
          <w:color w:val="auto"/>
          <w:sz w:val="28"/>
          <w:szCs w:val="28"/>
          <w:highlight w:val="none"/>
        </w:rPr>
      </w:pPr>
      <w:bookmarkStart w:id="196" w:name="_Toc515205230"/>
      <w:bookmarkStart w:id="197" w:name="_Toc529196557"/>
      <w:r>
        <w:rPr>
          <w:rFonts w:hint="eastAsia" w:ascii="宋体" w:hAnsi="宋体"/>
          <w:b/>
          <w:color w:val="auto"/>
          <w:sz w:val="28"/>
          <w:szCs w:val="28"/>
          <w:highlight w:val="none"/>
        </w:rPr>
        <w:t>6.1 评标委员会</w:t>
      </w:r>
      <w:bookmarkEnd w:id="196"/>
      <w:bookmarkEnd w:id="197"/>
    </w:p>
    <w:p w14:paraId="5C0B1923">
      <w:pPr>
        <w:spacing w:line="360" w:lineRule="auto"/>
        <w:ind w:firstLine="420" w:firstLineChars="200"/>
        <w:rPr>
          <w:rFonts w:ascii="宋体" w:hAnsi="宋体"/>
          <w:color w:val="auto"/>
          <w:highlight w:val="none"/>
        </w:rPr>
      </w:pPr>
      <w:r>
        <w:rPr>
          <w:rFonts w:hint="eastAsia" w:ascii="宋体" w:hAnsi="宋体"/>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35AA58E">
      <w:pPr>
        <w:spacing w:line="360" w:lineRule="auto"/>
        <w:ind w:firstLine="420" w:firstLineChars="200"/>
        <w:rPr>
          <w:rFonts w:ascii="宋体" w:hAnsi="宋体"/>
          <w:color w:val="auto"/>
          <w:highlight w:val="none"/>
        </w:rPr>
      </w:pPr>
      <w:r>
        <w:rPr>
          <w:rFonts w:hint="eastAsia" w:ascii="宋体" w:hAnsi="宋体"/>
          <w:color w:val="auto"/>
          <w:highlight w:val="none"/>
        </w:rPr>
        <w:t>6.1.2 评标委员会成员有下列情形之一的，应当回避：</w:t>
      </w:r>
    </w:p>
    <w:p w14:paraId="513F669A">
      <w:pPr>
        <w:spacing w:line="360" w:lineRule="auto"/>
        <w:ind w:firstLine="718" w:firstLineChars="342"/>
        <w:rPr>
          <w:rFonts w:ascii="宋体" w:hAnsi="宋体"/>
          <w:color w:val="auto"/>
          <w:highlight w:val="none"/>
        </w:rPr>
      </w:pPr>
      <w:r>
        <w:rPr>
          <w:rFonts w:hint="eastAsia" w:ascii="宋体" w:hAnsi="宋体"/>
          <w:color w:val="auto"/>
          <w:highlight w:val="none"/>
        </w:rPr>
        <w:t>（1）投标人或投标人主要负责人的近亲属；</w:t>
      </w:r>
    </w:p>
    <w:p w14:paraId="2F567385">
      <w:pPr>
        <w:spacing w:line="360" w:lineRule="auto"/>
        <w:ind w:firstLine="718" w:firstLineChars="342"/>
        <w:rPr>
          <w:rFonts w:ascii="宋体" w:hAnsi="宋体"/>
          <w:color w:val="auto"/>
          <w:highlight w:val="none"/>
        </w:rPr>
      </w:pPr>
      <w:r>
        <w:rPr>
          <w:rFonts w:hint="eastAsia" w:ascii="宋体" w:hAnsi="宋体"/>
          <w:color w:val="auto"/>
          <w:highlight w:val="none"/>
        </w:rPr>
        <w:t>（2）项目主管部门或者行政监督部门的人员；</w:t>
      </w:r>
    </w:p>
    <w:p w14:paraId="013A8A4A">
      <w:pPr>
        <w:spacing w:line="360" w:lineRule="auto"/>
        <w:ind w:firstLine="718" w:firstLineChars="342"/>
        <w:rPr>
          <w:rFonts w:ascii="宋体" w:hAnsi="宋体"/>
          <w:color w:val="auto"/>
          <w:highlight w:val="none"/>
        </w:rPr>
      </w:pPr>
      <w:r>
        <w:rPr>
          <w:rFonts w:hint="eastAsia" w:ascii="宋体" w:hAnsi="宋体"/>
          <w:color w:val="auto"/>
          <w:highlight w:val="none"/>
        </w:rPr>
        <w:t>（3）与投标人有经济利益关系，可能影响对投标公正评审的；</w:t>
      </w:r>
    </w:p>
    <w:p w14:paraId="1E458073">
      <w:pPr>
        <w:spacing w:line="360" w:lineRule="auto"/>
        <w:ind w:firstLine="718" w:firstLineChars="342"/>
        <w:rPr>
          <w:rFonts w:ascii="宋体" w:hAnsi="宋体"/>
          <w:color w:val="auto"/>
          <w:highlight w:val="none"/>
        </w:rPr>
      </w:pPr>
      <w:r>
        <w:rPr>
          <w:rFonts w:hint="eastAsia" w:ascii="宋体" w:hAnsi="宋体"/>
          <w:color w:val="auto"/>
          <w:highlight w:val="none"/>
        </w:rPr>
        <w:t>（4）曾因在招标、评</w:t>
      </w:r>
      <w:bookmarkStart w:id="198" w:name="_Toc384308237"/>
      <w:bookmarkStart w:id="199" w:name="_Toc6230"/>
      <w:bookmarkStart w:id="200" w:name="_Toc247513979"/>
      <w:bookmarkStart w:id="201" w:name="_Toc352691499"/>
      <w:bookmarkStart w:id="202" w:name="_Toc369531543"/>
      <w:bookmarkStart w:id="203" w:name="_Toc152042331"/>
      <w:bookmarkStart w:id="204" w:name="_Toc361508612"/>
      <w:bookmarkStart w:id="205" w:name="_Toc144974523"/>
      <w:bookmarkStart w:id="206" w:name="_Toc152045555"/>
      <w:bookmarkStart w:id="207" w:name="_Toc247527580"/>
      <w:bookmarkStart w:id="208" w:name="_Toc300834976"/>
      <w:r>
        <w:rPr>
          <w:rFonts w:hint="eastAsia" w:ascii="宋体" w:hAnsi="宋体"/>
          <w:color w:val="auto"/>
          <w:highlight w:val="none"/>
        </w:rPr>
        <w:t>标以及其他</w:t>
      </w:r>
      <w:bookmarkEnd w:id="198"/>
      <w:bookmarkEnd w:id="199"/>
      <w:bookmarkEnd w:id="200"/>
      <w:bookmarkEnd w:id="201"/>
      <w:bookmarkEnd w:id="202"/>
      <w:bookmarkEnd w:id="203"/>
      <w:bookmarkEnd w:id="204"/>
      <w:bookmarkEnd w:id="205"/>
      <w:bookmarkEnd w:id="206"/>
      <w:bookmarkEnd w:id="207"/>
      <w:bookmarkEnd w:id="208"/>
      <w:r>
        <w:rPr>
          <w:rFonts w:hint="eastAsia" w:ascii="宋体" w:hAnsi="宋体"/>
          <w:color w:val="auto"/>
          <w:highlight w:val="none"/>
        </w:rPr>
        <w:t>与</w:t>
      </w:r>
      <w:bookmarkStart w:id="209" w:name="_Toc247527581"/>
      <w:bookmarkStart w:id="210" w:name="_Toc17703"/>
      <w:bookmarkStart w:id="211" w:name="_Toc152042332"/>
      <w:bookmarkStart w:id="212" w:name="_Toc144974524"/>
      <w:bookmarkStart w:id="213" w:name="_Toc384308238"/>
      <w:bookmarkStart w:id="214" w:name="_Toc352691500"/>
      <w:bookmarkStart w:id="215" w:name="_Toc369531544"/>
      <w:bookmarkStart w:id="216" w:name="_Toc361508613"/>
      <w:bookmarkStart w:id="217" w:name="_Toc152045556"/>
      <w:bookmarkStart w:id="218" w:name="_Toc300834977"/>
      <w:bookmarkStart w:id="219" w:name="_Toc247513980"/>
      <w:r>
        <w:rPr>
          <w:rFonts w:hint="eastAsia" w:ascii="宋体" w:hAnsi="宋体"/>
          <w:color w:val="auto"/>
          <w:highlight w:val="none"/>
        </w:rPr>
        <w:t>招标投标有关活动中从事违法行</w:t>
      </w:r>
      <w:bookmarkEnd w:id="209"/>
      <w:bookmarkEnd w:id="210"/>
      <w:bookmarkEnd w:id="211"/>
      <w:bookmarkEnd w:id="212"/>
      <w:bookmarkEnd w:id="213"/>
      <w:bookmarkEnd w:id="214"/>
      <w:bookmarkEnd w:id="215"/>
      <w:bookmarkEnd w:id="216"/>
      <w:bookmarkEnd w:id="217"/>
      <w:bookmarkEnd w:id="218"/>
      <w:bookmarkEnd w:id="219"/>
      <w:r>
        <w:rPr>
          <w:rFonts w:hint="eastAsia" w:ascii="宋体" w:hAnsi="宋体"/>
          <w:color w:val="auto"/>
          <w:highlight w:val="none"/>
        </w:rPr>
        <w:t>为而受过行政处罚或刑事处罚的；</w:t>
      </w:r>
    </w:p>
    <w:p w14:paraId="1D2387F7">
      <w:pPr>
        <w:spacing w:line="360" w:lineRule="auto"/>
        <w:ind w:firstLine="718" w:firstLineChars="342"/>
        <w:rPr>
          <w:rFonts w:ascii="宋体" w:hAnsi="宋体"/>
          <w:color w:val="auto"/>
          <w:highlight w:val="none"/>
        </w:rPr>
      </w:pPr>
      <w:r>
        <w:rPr>
          <w:rFonts w:hint="eastAsia" w:ascii="宋体" w:hAnsi="宋体"/>
          <w:color w:val="auto"/>
          <w:highlight w:val="none"/>
        </w:rPr>
        <w:t>（5）与投标人有其他利害关系。</w:t>
      </w:r>
    </w:p>
    <w:p w14:paraId="39F1C998">
      <w:pPr>
        <w:spacing w:line="360" w:lineRule="auto"/>
        <w:ind w:firstLine="420" w:firstLineChars="200"/>
        <w:rPr>
          <w:rFonts w:ascii="宋体" w:hAnsi="宋体"/>
          <w:color w:val="auto"/>
          <w:highlight w:val="none"/>
        </w:rPr>
      </w:pPr>
      <w:r>
        <w:rPr>
          <w:rFonts w:hint="eastAsia" w:ascii="宋体" w:hAnsi="宋体"/>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309A5472">
      <w:pPr>
        <w:spacing w:before="240" w:beforeLines="100" w:after="240" w:afterLines="100"/>
        <w:rPr>
          <w:rFonts w:ascii="宋体" w:hAnsi="宋体"/>
          <w:b/>
          <w:color w:val="auto"/>
          <w:sz w:val="28"/>
          <w:szCs w:val="28"/>
          <w:highlight w:val="none"/>
        </w:rPr>
      </w:pPr>
      <w:bookmarkStart w:id="220" w:name="_Toc515205231"/>
      <w:bookmarkStart w:id="221" w:name="_Toc529196558"/>
      <w:r>
        <w:rPr>
          <w:rFonts w:hint="eastAsia" w:ascii="宋体" w:hAnsi="宋体"/>
          <w:b/>
          <w:color w:val="auto"/>
          <w:sz w:val="28"/>
          <w:szCs w:val="28"/>
          <w:highlight w:val="none"/>
        </w:rPr>
        <w:t>6.2 评标原则</w:t>
      </w:r>
      <w:bookmarkEnd w:id="220"/>
      <w:bookmarkEnd w:id="221"/>
    </w:p>
    <w:p w14:paraId="7D6B0BD6">
      <w:pPr>
        <w:spacing w:line="360" w:lineRule="auto"/>
        <w:ind w:firstLine="420" w:firstLineChars="200"/>
        <w:rPr>
          <w:rFonts w:ascii="宋体" w:hAnsi="宋体"/>
          <w:color w:val="auto"/>
          <w:highlight w:val="none"/>
        </w:rPr>
      </w:pPr>
      <w:r>
        <w:rPr>
          <w:rFonts w:hint="eastAsia" w:ascii="宋体" w:hAnsi="宋体"/>
          <w:color w:val="auto"/>
          <w:highlight w:val="none"/>
        </w:rPr>
        <w:t>评标活动遵循公平、公正、科学和择优的原</w:t>
      </w:r>
      <w:bookmarkStart w:id="222" w:name="_Toc152042333"/>
      <w:bookmarkStart w:id="223" w:name="_Toc369531545"/>
      <w:bookmarkStart w:id="224" w:name="_Toc152045557"/>
      <w:bookmarkStart w:id="225" w:name="_Toc247513981"/>
      <w:bookmarkStart w:id="226" w:name="_Toc18949"/>
      <w:bookmarkStart w:id="227" w:name="_Toc247527582"/>
      <w:bookmarkStart w:id="228" w:name="_Toc300834978"/>
      <w:bookmarkStart w:id="229" w:name="_Toc361508614"/>
      <w:bookmarkStart w:id="230" w:name="_Toc352691501"/>
      <w:bookmarkStart w:id="231" w:name="_Toc384308239"/>
      <w:bookmarkStart w:id="232" w:name="_Toc144974525"/>
      <w:r>
        <w:rPr>
          <w:rFonts w:hint="eastAsia" w:ascii="宋体" w:hAnsi="宋体"/>
          <w:color w:val="auto"/>
          <w:highlight w:val="none"/>
        </w:rPr>
        <w:t>则。</w:t>
      </w:r>
    </w:p>
    <w:p w14:paraId="0B45B48D">
      <w:pPr>
        <w:spacing w:before="240" w:beforeLines="100" w:after="240" w:afterLines="100"/>
        <w:rPr>
          <w:rFonts w:ascii="宋体" w:hAnsi="宋体"/>
          <w:b/>
          <w:color w:val="auto"/>
          <w:sz w:val="28"/>
          <w:szCs w:val="28"/>
          <w:highlight w:val="none"/>
        </w:rPr>
      </w:pPr>
      <w:bookmarkStart w:id="233" w:name="_Toc529196559"/>
      <w:bookmarkStart w:id="234" w:name="_Toc515205232"/>
      <w:r>
        <w:rPr>
          <w:rFonts w:hint="eastAsia" w:ascii="宋体" w:hAnsi="宋体"/>
          <w:b/>
          <w:color w:val="auto"/>
          <w:sz w:val="28"/>
          <w:szCs w:val="28"/>
          <w:highlight w:val="none"/>
        </w:rPr>
        <w:t>6.3 评标</w:t>
      </w:r>
      <w:bookmarkEnd w:id="233"/>
      <w:bookmarkEnd w:id="234"/>
    </w:p>
    <w:p w14:paraId="18C78D9C">
      <w:pPr>
        <w:spacing w:line="360" w:lineRule="auto"/>
        <w:ind w:firstLine="420" w:firstLineChars="200"/>
        <w:rPr>
          <w:rFonts w:ascii="宋体" w:hAnsi="宋体"/>
          <w:color w:val="auto"/>
          <w:highlight w:val="none"/>
        </w:rPr>
      </w:pPr>
      <w:r>
        <w:rPr>
          <w:rFonts w:hint="eastAsia" w:ascii="宋体" w:hAnsi="宋体"/>
          <w:color w:val="auto"/>
          <w:highlight w:val="none"/>
        </w:rPr>
        <w:t>6</w:t>
      </w:r>
      <w:bookmarkEnd w:id="222"/>
      <w:bookmarkEnd w:id="223"/>
      <w:bookmarkEnd w:id="224"/>
      <w:bookmarkEnd w:id="225"/>
      <w:bookmarkEnd w:id="226"/>
      <w:bookmarkEnd w:id="227"/>
      <w:bookmarkEnd w:id="228"/>
      <w:bookmarkEnd w:id="229"/>
      <w:bookmarkEnd w:id="230"/>
      <w:bookmarkEnd w:id="231"/>
      <w:bookmarkEnd w:id="232"/>
      <w:r>
        <w:rPr>
          <w:rFonts w:hint="eastAsia" w:ascii="宋体" w:hAnsi="宋体"/>
          <w:color w:val="auto"/>
          <w:highlight w:val="none"/>
        </w:rPr>
        <w:t>.3.1评标委员会按照第三章“评标办法”规定的方法、评审因素、标准和程序对投标文件进行评审。第三章“评标办法”没有规定的方法、评审因素和标准，不作为评标依据。</w:t>
      </w:r>
    </w:p>
    <w:p w14:paraId="6B7732D4">
      <w:pPr>
        <w:spacing w:line="360" w:lineRule="auto"/>
        <w:ind w:firstLine="420" w:firstLineChars="200"/>
        <w:rPr>
          <w:rFonts w:ascii="宋体" w:hAnsi="宋体"/>
          <w:color w:val="auto"/>
          <w:highlight w:val="none"/>
        </w:rPr>
      </w:pPr>
      <w:r>
        <w:rPr>
          <w:rFonts w:hint="eastAsia" w:ascii="宋体" w:hAnsi="宋体"/>
          <w:color w:val="auto"/>
          <w:highlight w:val="none"/>
        </w:rPr>
        <w:t>6.3.2评标完成后，评标委员会应当向招标人提交书面评标报告和中标候选人名单。评标委员会推荐中标</w:t>
      </w:r>
      <w:bookmarkStart w:id="235" w:name="_Toc361508615"/>
      <w:bookmarkStart w:id="236" w:name="_Toc384308240"/>
      <w:bookmarkStart w:id="237" w:name="_Toc369531546"/>
      <w:bookmarkStart w:id="238" w:name="_Toc12259"/>
      <w:bookmarkStart w:id="239" w:name="_Toc247513982"/>
      <w:bookmarkStart w:id="240" w:name="_Toc152045558"/>
      <w:bookmarkStart w:id="241" w:name="_Toc300834979"/>
      <w:bookmarkStart w:id="242" w:name="_Toc352691502"/>
      <w:bookmarkStart w:id="243" w:name="_Toc152042334"/>
      <w:bookmarkStart w:id="244" w:name="_Toc144974526"/>
      <w:bookmarkStart w:id="245" w:name="_Toc247527583"/>
      <w:r>
        <w:rPr>
          <w:rFonts w:hint="eastAsia" w:ascii="宋体" w:hAnsi="宋体"/>
          <w:color w:val="auto"/>
          <w:highlight w:val="none"/>
        </w:rPr>
        <w:t>候选人的人数见投标人须知前附</w:t>
      </w:r>
      <w:bookmarkEnd w:id="235"/>
      <w:bookmarkEnd w:id="236"/>
      <w:bookmarkEnd w:id="237"/>
      <w:bookmarkEnd w:id="238"/>
      <w:bookmarkEnd w:id="239"/>
      <w:bookmarkEnd w:id="240"/>
      <w:bookmarkEnd w:id="241"/>
      <w:bookmarkEnd w:id="242"/>
      <w:bookmarkEnd w:id="243"/>
      <w:bookmarkEnd w:id="244"/>
      <w:bookmarkEnd w:id="245"/>
      <w:r>
        <w:rPr>
          <w:rFonts w:hint="eastAsia" w:ascii="宋体" w:hAnsi="宋体"/>
          <w:color w:val="auto"/>
          <w:highlight w:val="none"/>
        </w:rPr>
        <w:t>表。</w:t>
      </w:r>
    </w:p>
    <w:p w14:paraId="638DF7D7">
      <w:pPr>
        <w:spacing w:before="260"/>
        <w:outlineLvl w:val="2"/>
        <w:rPr>
          <w:rFonts w:ascii="宋体" w:hAnsi="宋体"/>
          <w:b/>
          <w:color w:val="auto"/>
          <w:sz w:val="32"/>
          <w:szCs w:val="32"/>
          <w:highlight w:val="none"/>
        </w:rPr>
      </w:pPr>
      <w:bookmarkStart w:id="246" w:name="_Toc515205233"/>
      <w:bookmarkStart w:id="247" w:name="_Toc529196560"/>
      <w:r>
        <w:rPr>
          <w:rFonts w:hint="eastAsia" w:ascii="宋体" w:hAnsi="宋体"/>
          <w:b/>
          <w:color w:val="auto"/>
          <w:sz w:val="32"/>
          <w:szCs w:val="32"/>
          <w:highlight w:val="none"/>
        </w:rPr>
        <w:t>7. 合同授予</w:t>
      </w:r>
      <w:bookmarkEnd w:id="246"/>
      <w:bookmarkEnd w:id="247"/>
    </w:p>
    <w:p w14:paraId="19D2EC2D">
      <w:pPr>
        <w:spacing w:before="240" w:beforeLines="100" w:after="240" w:afterLines="100"/>
        <w:rPr>
          <w:rFonts w:ascii="宋体" w:hAnsi="宋体"/>
          <w:b/>
          <w:color w:val="auto"/>
          <w:sz w:val="28"/>
          <w:szCs w:val="28"/>
          <w:highlight w:val="none"/>
        </w:rPr>
      </w:pPr>
      <w:bookmarkStart w:id="248" w:name="_Toc515205234"/>
      <w:bookmarkStart w:id="249" w:name="_Toc529196561"/>
      <w:r>
        <w:rPr>
          <w:rFonts w:hint="eastAsia" w:ascii="宋体" w:hAnsi="宋体"/>
          <w:b/>
          <w:color w:val="auto"/>
          <w:sz w:val="28"/>
          <w:szCs w:val="28"/>
          <w:highlight w:val="none"/>
        </w:rPr>
        <w:t>7.1 中标候选人公示</w:t>
      </w:r>
      <w:bookmarkEnd w:id="248"/>
      <w:bookmarkEnd w:id="249"/>
    </w:p>
    <w:p w14:paraId="70FD7C42">
      <w:pPr>
        <w:spacing w:line="360" w:lineRule="auto"/>
        <w:ind w:firstLine="420" w:firstLineChars="200"/>
        <w:rPr>
          <w:rFonts w:ascii="宋体" w:hAnsi="宋体"/>
          <w:color w:val="auto"/>
          <w:highlight w:val="none"/>
        </w:rPr>
      </w:pPr>
      <w:r>
        <w:rPr>
          <w:rFonts w:hint="eastAsia" w:ascii="宋体" w:hAnsi="宋体"/>
          <w:color w:val="auto"/>
          <w:highlight w:val="none"/>
        </w:rPr>
        <w:t>招标人在收到评标报告之日起3日内，按照投标人须知前附表规定的公示媒介和期限公示中标候选人，公示期不得少于3天。</w:t>
      </w:r>
    </w:p>
    <w:p w14:paraId="3804AF75">
      <w:pPr>
        <w:spacing w:before="240" w:beforeLines="100" w:after="240" w:afterLines="100"/>
        <w:rPr>
          <w:rFonts w:ascii="宋体" w:hAnsi="宋体"/>
          <w:b/>
          <w:color w:val="auto"/>
          <w:sz w:val="28"/>
          <w:szCs w:val="28"/>
          <w:highlight w:val="none"/>
        </w:rPr>
      </w:pPr>
      <w:bookmarkStart w:id="250" w:name="_Toc529196562"/>
      <w:bookmarkStart w:id="251" w:name="_Toc515205235"/>
      <w:r>
        <w:rPr>
          <w:rFonts w:hint="eastAsia" w:ascii="宋体" w:hAnsi="宋体"/>
          <w:b/>
          <w:color w:val="auto"/>
          <w:sz w:val="28"/>
          <w:szCs w:val="28"/>
          <w:highlight w:val="none"/>
        </w:rPr>
        <w:t>7.2 评标结果异议</w:t>
      </w:r>
      <w:bookmarkEnd w:id="250"/>
      <w:bookmarkEnd w:id="251"/>
    </w:p>
    <w:p w14:paraId="2B5EB222">
      <w:pPr>
        <w:spacing w:line="360" w:lineRule="auto"/>
        <w:ind w:firstLine="420" w:firstLineChars="200"/>
        <w:rPr>
          <w:rFonts w:ascii="宋体" w:hAnsi="宋体"/>
          <w:color w:val="auto"/>
          <w:highlight w:val="none"/>
        </w:rPr>
      </w:pPr>
      <w:r>
        <w:rPr>
          <w:rFonts w:hint="eastAsia" w:ascii="宋体" w:hAnsi="宋体"/>
          <w:color w:val="auto"/>
          <w:highlight w:val="none"/>
        </w:rPr>
        <w:t>投标人或者其他利</w:t>
      </w:r>
      <w:bookmarkStart w:id="252" w:name="_Toc361508618"/>
      <w:bookmarkStart w:id="253" w:name="_Toc30095"/>
      <w:bookmarkStart w:id="254" w:name="_Toc152042337"/>
      <w:bookmarkStart w:id="255" w:name="_Toc384308243"/>
      <w:bookmarkStart w:id="256" w:name="_Toc300834982"/>
      <w:bookmarkStart w:id="257" w:name="_Toc247527586"/>
      <w:bookmarkStart w:id="258" w:name="_Toc144974529"/>
      <w:bookmarkStart w:id="259" w:name="_Toc152045561"/>
      <w:bookmarkStart w:id="260" w:name="_Toc247513985"/>
      <w:bookmarkStart w:id="261" w:name="_Toc352691505"/>
      <w:bookmarkStart w:id="262" w:name="_Toc369531549"/>
      <w:r>
        <w:rPr>
          <w:rFonts w:hint="eastAsia" w:ascii="宋体" w:hAnsi="宋体"/>
          <w:color w:val="auto"/>
          <w:highlight w:val="none"/>
        </w:rPr>
        <w:t>害关系人对评标结</w:t>
      </w:r>
      <w:bookmarkEnd w:id="252"/>
      <w:bookmarkEnd w:id="253"/>
      <w:bookmarkEnd w:id="254"/>
      <w:bookmarkEnd w:id="255"/>
      <w:bookmarkEnd w:id="256"/>
      <w:bookmarkEnd w:id="257"/>
      <w:bookmarkEnd w:id="258"/>
      <w:bookmarkEnd w:id="259"/>
      <w:bookmarkEnd w:id="260"/>
      <w:bookmarkEnd w:id="261"/>
      <w:bookmarkEnd w:id="262"/>
      <w:r>
        <w:rPr>
          <w:rFonts w:hint="eastAsia" w:ascii="宋体" w:hAnsi="宋体"/>
          <w:color w:val="auto"/>
          <w:highlight w:val="none"/>
        </w:rPr>
        <w:t>果有异议的，应当在中标候选人公示期间提出。招标人将在收到异议之日起3日内作出答复；作出答复前，将暂停招标投标活动。</w:t>
      </w:r>
    </w:p>
    <w:p w14:paraId="7A45D589">
      <w:pPr>
        <w:spacing w:before="240" w:beforeLines="100" w:after="240" w:afterLines="100"/>
        <w:rPr>
          <w:rFonts w:ascii="宋体" w:hAnsi="宋体"/>
          <w:b/>
          <w:color w:val="auto"/>
          <w:sz w:val="28"/>
          <w:szCs w:val="28"/>
          <w:highlight w:val="none"/>
        </w:rPr>
      </w:pPr>
      <w:bookmarkStart w:id="263" w:name="_Toc515205236"/>
      <w:bookmarkStart w:id="264" w:name="_Toc529196563"/>
      <w:r>
        <w:rPr>
          <w:rFonts w:hint="eastAsia" w:ascii="宋体" w:hAnsi="宋体"/>
          <w:b/>
          <w:color w:val="auto"/>
          <w:sz w:val="28"/>
          <w:szCs w:val="28"/>
          <w:highlight w:val="none"/>
        </w:rPr>
        <w:t>7.3 中标候选人履约能力审查</w:t>
      </w:r>
      <w:bookmarkEnd w:id="263"/>
      <w:bookmarkEnd w:id="264"/>
    </w:p>
    <w:p w14:paraId="59A218F2">
      <w:pPr>
        <w:spacing w:line="360" w:lineRule="auto"/>
        <w:ind w:firstLine="420" w:firstLineChars="200"/>
        <w:rPr>
          <w:rFonts w:ascii="宋体" w:hAnsi="宋体"/>
          <w:color w:val="auto"/>
          <w:highlight w:val="none"/>
        </w:rPr>
      </w:pPr>
      <w:r>
        <w:rPr>
          <w:rFonts w:hint="eastAsia" w:ascii="宋体" w:hAnsi="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A81D21C">
      <w:pPr>
        <w:spacing w:before="240" w:beforeLines="100" w:after="240" w:afterLines="100"/>
        <w:rPr>
          <w:rFonts w:ascii="宋体" w:hAnsi="宋体"/>
          <w:b/>
          <w:color w:val="auto"/>
          <w:sz w:val="28"/>
          <w:szCs w:val="28"/>
          <w:highlight w:val="none"/>
        </w:rPr>
      </w:pPr>
      <w:bookmarkStart w:id="265" w:name="_Toc515205237"/>
      <w:bookmarkStart w:id="266" w:name="_Toc529196564"/>
      <w:r>
        <w:rPr>
          <w:rFonts w:hint="eastAsia" w:ascii="宋体" w:hAnsi="宋体"/>
          <w:b/>
          <w:color w:val="auto"/>
          <w:sz w:val="28"/>
          <w:szCs w:val="28"/>
          <w:highlight w:val="none"/>
        </w:rPr>
        <w:t>7.4 定标</w:t>
      </w:r>
      <w:bookmarkEnd w:id="265"/>
      <w:bookmarkEnd w:id="266"/>
    </w:p>
    <w:p w14:paraId="7644CE51">
      <w:pPr>
        <w:spacing w:line="360" w:lineRule="auto"/>
        <w:ind w:firstLine="420" w:firstLineChars="200"/>
        <w:rPr>
          <w:rFonts w:ascii="宋体" w:hAnsi="宋体"/>
          <w:color w:val="auto"/>
          <w:highlight w:val="none"/>
        </w:rPr>
      </w:pPr>
      <w:r>
        <w:rPr>
          <w:rFonts w:hint="eastAsia" w:ascii="宋体" w:hAnsi="宋体"/>
          <w:color w:val="auto"/>
          <w:highlight w:val="none"/>
        </w:rPr>
        <w:t>按照投标人须知前附表的规定，招标人或招标人授权的评标委员会依法确定中标人。</w:t>
      </w:r>
    </w:p>
    <w:p w14:paraId="01321E35">
      <w:pPr>
        <w:spacing w:before="240" w:beforeLines="100" w:after="240" w:afterLines="100"/>
        <w:rPr>
          <w:rFonts w:ascii="宋体" w:hAnsi="宋体"/>
          <w:b/>
          <w:color w:val="auto"/>
          <w:sz w:val="28"/>
          <w:szCs w:val="28"/>
          <w:highlight w:val="none"/>
        </w:rPr>
      </w:pPr>
      <w:bookmarkStart w:id="267" w:name="_Toc529196565"/>
      <w:bookmarkStart w:id="268" w:name="_Toc515205238"/>
      <w:r>
        <w:rPr>
          <w:rFonts w:hint="eastAsia" w:ascii="宋体" w:hAnsi="宋体"/>
          <w:b/>
          <w:color w:val="auto"/>
          <w:sz w:val="28"/>
          <w:szCs w:val="28"/>
          <w:highlight w:val="none"/>
        </w:rPr>
        <w:t>7.5 中标通知</w:t>
      </w:r>
      <w:bookmarkEnd w:id="267"/>
      <w:bookmarkEnd w:id="268"/>
    </w:p>
    <w:p w14:paraId="5AF2FB28">
      <w:pPr>
        <w:spacing w:line="360" w:lineRule="auto"/>
        <w:ind w:firstLine="420" w:firstLineChars="200"/>
        <w:rPr>
          <w:rFonts w:ascii="宋体" w:hAnsi="宋体"/>
          <w:color w:val="auto"/>
          <w:highlight w:val="none"/>
        </w:rPr>
      </w:pPr>
      <w:r>
        <w:rPr>
          <w:rFonts w:hint="eastAsia" w:ascii="宋体" w:hAnsi="宋体"/>
          <w:color w:val="auto"/>
          <w:highlight w:val="none"/>
        </w:rPr>
        <w:t>在本章第3.3款规定的投标有效期内，招标人以书面形式向中标人发出中标</w:t>
      </w:r>
      <w:bookmarkStart w:id="269" w:name="_Toc352691506"/>
      <w:bookmarkStart w:id="270" w:name="_Toc5668"/>
      <w:bookmarkStart w:id="271" w:name="_Toc369531550"/>
      <w:bookmarkStart w:id="272" w:name="_Toc361508619"/>
      <w:bookmarkStart w:id="273" w:name="_Toc384308244"/>
      <w:bookmarkStart w:id="274" w:name="_Toc300834983"/>
      <w:r>
        <w:rPr>
          <w:rFonts w:hint="eastAsia" w:ascii="宋体" w:hAnsi="宋体"/>
          <w:color w:val="auto"/>
          <w:highlight w:val="none"/>
        </w:rPr>
        <w:t>通知书，同时将中</w:t>
      </w:r>
      <w:bookmarkEnd w:id="269"/>
      <w:bookmarkEnd w:id="270"/>
      <w:bookmarkEnd w:id="271"/>
      <w:bookmarkEnd w:id="272"/>
      <w:bookmarkEnd w:id="273"/>
      <w:bookmarkEnd w:id="274"/>
      <w:r>
        <w:rPr>
          <w:rFonts w:hint="eastAsia" w:ascii="宋体" w:hAnsi="宋体"/>
          <w:color w:val="auto"/>
          <w:highlight w:val="none"/>
        </w:rPr>
        <w:t>标结果通知未中标的投标人。</w:t>
      </w:r>
    </w:p>
    <w:p w14:paraId="17E29C4E">
      <w:pPr>
        <w:spacing w:before="240" w:beforeLines="100" w:after="240" w:afterLines="100"/>
        <w:rPr>
          <w:rFonts w:ascii="宋体" w:hAnsi="宋体"/>
          <w:b/>
          <w:color w:val="auto"/>
          <w:sz w:val="28"/>
          <w:szCs w:val="28"/>
          <w:highlight w:val="none"/>
        </w:rPr>
      </w:pPr>
      <w:bookmarkStart w:id="275" w:name="_Toc529196566"/>
      <w:bookmarkStart w:id="276" w:name="_Toc515205239"/>
      <w:r>
        <w:rPr>
          <w:rFonts w:hint="eastAsia" w:ascii="宋体" w:hAnsi="宋体"/>
          <w:b/>
          <w:color w:val="auto"/>
          <w:sz w:val="28"/>
          <w:szCs w:val="28"/>
          <w:highlight w:val="none"/>
        </w:rPr>
        <w:t>7.6 履约保证金</w:t>
      </w:r>
      <w:bookmarkEnd w:id="275"/>
      <w:bookmarkEnd w:id="276"/>
    </w:p>
    <w:p w14:paraId="2B4121B1">
      <w:pPr>
        <w:spacing w:line="360" w:lineRule="auto"/>
        <w:ind w:firstLine="420" w:firstLineChars="200"/>
        <w:rPr>
          <w:rFonts w:ascii="宋体" w:hAnsi="宋体"/>
          <w:color w:val="auto"/>
          <w:highlight w:val="none"/>
        </w:rPr>
      </w:pPr>
      <w:r>
        <w:rPr>
          <w:rFonts w:hint="eastAsia" w:ascii="宋体" w:hAnsi="宋体"/>
          <w:color w:val="auto"/>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05FB9930">
      <w:pPr>
        <w:spacing w:line="360" w:lineRule="auto"/>
        <w:ind w:firstLine="420" w:firstLineChars="200"/>
        <w:rPr>
          <w:rFonts w:ascii="宋体" w:hAnsi="宋体"/>
          <w:color w:val="auto"/>
          <w:highlight w:val="none"/>
        </w:rPr>
      </w:pPr>
      <w:r>
        <w:rPr>
          <w:rFonts w:hint="eastAsia" w:ascii="宋体" w:hAnsi="宋体"/>
          <w:color w:val="auto"/>
          <w:highlight w:val="none"/>
        </w:rPr>
        <w:t>7.6.2 中标人不能按本章第7.6.1项要求提交履约保证金的，视为放弃中标，其投标保证金不予退还，给招标人造成的损失超过投标保证金数额的，中标人还应当对超过部分予以赔偿。</w:t>
      </w:r>
    </w:p>
    <w:p w14:paraId="40164235">
      <w:pPr>
        <w:spacing w:before="240" w:beforeLines="100" w:after="240" w:afterLines="100"/>
        <w:rPr>
          <w:rFonts w:ascii="宋体" w:hAnsi="宋体"/>
          <w:b/>
          <w:color w:val="auto"/>
          <w:sz w:val="28"/>
          <w:szCs w:val="28"/>
          <w:highlight w:val="none"/>
        </w:rPr>
      </w:pPr>
      <w:bookmarkStart w:id="277" w:name="_Toc529196567"/>
      <w:bookmarkStart w:id="278" w:name="_Toc515205240"/>
      <w:r>
        <w:rPr>
          <w:rFonts w:hint="eastAsia" w:ascii="宋体" w:hAnsi="宋体"/>
          <w:b/>
          <w:color w:val="auto"/>
          <w:sz w:val="28"/>
          <w:szCs w:val="28"/>
          <w:highlight w:val="none"/>
        </w:rPr>
        <w:t>7.7 签订合同</w:t>
      </w:r>
      <w:bookmarkEnd w:id="277"/>
      <w:bookmarkEnd w:id="278"/>
    </w:p>
    <w:p w14:paraId="13BC905C">
      <w:pPr>
        <w:spacing w:line="360" w:lineRule="auto"/>
        <w:ind w:firstLine="420" w:firstLineChars="200"/>
        <w:rPr>
          <w:rFonts w:ascii="宋体" w:hAnsi="宋体"/>
          <w:color w:val="auto"/>
          <w:highlight w:val="none"/>
        </w:rPr>
      </w:pPr>
      <w:r>
        <w:rPr>
          <w:rFonts w:hint="eastAsia" w:ascii="宋体" w:hAnsi="宋体"/>
          <w:color w:val="auto"/>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9C3AF11">
      <w:pPr>
        <w:spacing w:line="360" w:lineRule="auto"/>
        <w:ind w:firstLine="420" w:firstLineChars="200"/>
        <w:rPr>
          <w:rFonts w:ascii="宋体" w:hAnsi="宋体"/>
          <w:color w:val="auto"/>
          <w:highlight w:val="none"/>
        </w:rPr>
      </w:pPr>
      <w:r>
        <w:rPr>
          <w:rFonts w:hint="eastAsia" w:ascii="宋体" w:hAnsi="宋体"/>
          <w:color w:val="auto"/>
          <w:highlight w:val="none"/>
        </w:rPr>
        <w:t>7.7.2 发出中标通知书后，招标人无正当理由拒签合同，或者在签订合同时向中标人提出附加条件的，招标人向中标人退还投标保证金；给中标人造成损失的，还应当赔偿损失。</w:t>
      </w:r>
    </w:p>
    <w:p w14:paraId="2AC82E28">
      <w:pPr>
        <w:spacing w:line="360" w:lineRule="auto"/>
        <w:ind w:firstLine="420" w:firstLineChars="200"/>
        <w:rPr>
          <w:rFonts w:ascii="宋体" w:hAnsi="宋体"/>
          <w:color w:val="auto"/>
          <w:highlight w:val="none"/>
        </w:rPr>
      </w:pPr>
      <w:r>
        <w:rPr>
          <w:rFonts w:hint="eastAsia" w:ascii="宋体" w:hAnsi="宋体"/>
          <w:color w:val="auto"/>
          <w:highlight w:val="none"/>
        </w:rPr>
        <w:t>7.7.3联合体中标的，联合体各方应当共同与招标人签订合同，就中标项目向招标人承担连带责任。</w:t>
      </w:r>
    </w:p>
    <w:p w14:paraId="678D0C01">
      <w:pPr>
        <w:spacing w:before="260"/>
        <w:outlineLvl w:val="2"/>
        <w:rPr>
          <w:color w:val="auto"/>
          <w:highlight w:val="none"/>
        </w:rPr>
      </w:pPr>
      <w:bookmarkStart w:id="279" w:name="_Toc361508627"/>
      <w:bookmarkStart w:id="280" w:name="_Toc384308252"/>
      <w:bookmarkStart w:id="281" w:name="_Toc24067"/>
      <w:bookmarkStart w:id="282" w:name="_Toc529196568"/>
      <w:bookmarkStart w:id="283" w:name="_Toc515205241"/>
      <w:bookmarkStart w:id="284" w:name="_Toc152042344"/>
      <w:bookmarkStart w:id="285" w:name="_Toc247513992"/>
      <w:bookmarkStart w:id="286" w:name="_Toc144974536"/>
      <w:bookmarkStart w:id="287" w:name="_Toc300834991"/>
      <w:bookmarkStart w:id="288" w:name="_Toc152045568"/>
      <w:bookmarkStart w:id="289" w:name="_Toc247527593"/>
      <w:r>
        <w:rPr>
          <w:rFonts w:hint="eastAsia" w:ascii="宋体" w:hAnsi="宋体"/>
          <w:b/>
          <w:color w:val="auto"/>
          <w:sz w:val="32"/>
          <w:szCs w:val="32"/>
          <w:highlight w:val="none"/>
        </w:rPr>
        <w:t>8.</w:t>
      </w:r>
      <w:bookmarkEnd w:id="279"/>
      <w:bookmarkEnd w:id="280"/>
      <w:bookmarkEnd w:id="281"/>
      <w:r>
        <w:rPr>
          <w:rFonts w:hint="eastAsia" w:ascii="宋体" w:hAnsi="宋体"/>
          <w:b/>
          <w:color w:val="auto"/>
          <w:sz w:val="32"/>
          <w:szCs w:val="32"/>
          <w:highlight w:val="none"/>
        </w:rPr>
        <w:t>纪律和监督</w:t>
      </w:r>
      <w:bookmarkEnd w:id="282"/>
      <w:bookmarkEnd w:id="283"/>
    </w:p>
    <w:p w14:paraId="321D034D">
      <w:pPr>
        <w:spacing w:before="240" w:beforeLines="100" w:after="240" w:afterLines="100"/>
        <w:rPr>
          <w:rFonts w:ascii="宋体" w:hAnsi="宋体"/>
          <w:b/>
          <w:color w:val="auto"/>
          <w:sz w:val="28"/>
          <w:szCs w:val="28"/>
          <w:highlight w:val="none"/>
        </w:rPr>
      </w:pPr>
      <w:bookmarkStart w:id="290" w:name="_Toc515205242"/>
      <w:bookmarkStart w:id="291" w:name="_Toc529196569"/>
      <w:r>
        <w:rPr>
          <w:rFonts w:hint="eastAsia" w:ascii="宋体" w:hAnsi="宋体"/>
          <w:b/>
          <w:color w:val="auto"/>
          <w:sz w:val="28"/>
          <w:szCs w:val="28"/>
          <w:highlight w:val="none"/>
        </w:rPr>
        <w:t>8.1 对招标人的纪律要求</w:t>
      </w:r>
      <w:bookmarkEnd w:id="290"/>
      <w:bookmarkEnd w:id="291"/>
    </w:p>
    <w:p w14:paraId="55321F42">
      <w:pPr>
        <w:spacing w:line="360" w:lineRule="auto"/>
        <w:ind w:firstLine="420" w:firstLineChars="200"/>
        <w:rPr>
          <w:rFonts w:ascii="宋体" w:hAnsi="宋体"/>
          <w:color w:val="auto"/>
          <w:highlight w:val="none"/>
        </w:rPr>
      </w:pPr>
      <w:r>
        <w:rPr>
          <w:rFonts w:hint="eastAsia" w:ascii="宋体" w:hAnsi="宋体"/>
          <w:color w:val="auto"/>
          <w:highlight w:val="none"/>
        </w:rPr>
        <w:t>招标人不得泄露招标投标活动中应当保密的情况和资料，不得与投标人串通损害国家利益、社会公共利益或者他人合法权益。</w:t>
      </w:r>
    </w:p>
    <w:p w14:paraId="354C6254">
      <w:pPr>
        <w:spacing w:before="240" w:beforeLines="100" w:after="240" w:afterLines="100"/>
        <w:rPr>
          <w:rFonts w:ascii="宋体" w:hAnsi="宋体"/>
          <w:b/>
          <w:color w:val="auto"/>
          <w:sz w:val="28"/>
          <w:szCs w:val="28"/>
          <w:highlight w:val="none"/>
        </w:rPr>
      </w:pPr>
      <w:bookmarkStart w:id="292" w:name="_Toc529196570"/>
      <w:bookmarkStart w:id="293" w:name="_Toc515205243"/>
      <w:r>
        <w:rPr>
          <w:rFonts w:hint="eastAsia" w:ascii="宋体" w:hAnsi="宋体"/>
          <w:b/>
          <w:color w:val="auto"/>
          <w:sz w:val="28"/>
          <w:szCs w:val="28"/>
          <w:highlight w:val="none"/>
        </w:rPr>
        <w:t>8.2 对投标人的纪律要求</w:t>
      </w:r>
      <w:bookmarkEnd w:id="292"/>
      <w:bookmarkEnd w:id="293"/>
    </w:p>
    <w:p w14:paraId="74FF20F0">
      <w:pPr>
        <w:spacing w:line="360" w:lineRule="auto"/>
        <w:ind w:firstLine="420" w:firstLineChars="200"/>
        <w:rPr>
          <w:rFonts w:ascii="宋体" w:hAnsi="宋体"/>
          <w:color w:val="auto"/>
          <w:highlight w:val="none"/>
        </w:rPr>
      </w:pPr>
      <w:r>
        <w:rPr>
          <w:rFonts w:hint="eastAsia" w:ascii="宋体" w:hAnsi="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0249E7C">
      <w:pPr>
        <w:spacing w:before="240" w:beforeLines="100" w:after="240" w:afterLines="100"/>
        <w:rPr>
          <w:rFonts w:ascii="宋体" w:hAnsi="宋体"/>
          <w:b/>
          <w:color w:val="auto"/>
          <w:sz w:val="28"/>
          <w:szCs w:val="28"/>
          <w:highlight w:val="none"/>
        </w:rPr>
      </w:pPr>
      <w:bookmarkStart w:id="294" w:name="_Toc515205244"/>
      <w:bookmarkStart w:id="295" w:name="_Toc529196571"/>
      <w:r>
        <w:rPr>
          <w:rFonts w:hint="eastAsia" w:ascii="宋体" w:hAnsi="宋体"/>
          <w:b/>
          <w:color w:val="auto"/>
          <w:sz w:val="28"/>
          <w:szCs w:val="28"/>
          <w:highlight w:val="none"/>
        </w:rPr>
        <w:t>8.3 对评标委员会成员的纪律要求</w:t>
      </w:r>
      <w:bookmarkEnd w:id="294"/>
      <w:bookmarkEnd w:id="295"/>
    </w:p>
    <w:p w14:paraId="5B470810">
      <w:pPr>
        <w:spacing w:line="360" w:lineRule="auto"/>
        <w:ind w:firstLine="420" w:firstLineChars="200"/>
        <w:rPr>
          <w:rFonts w:ascii="宋体" w:hAnsi="宋体"/>
          <w:color w:val="auto"/>
          <w:highlight w:val="none"/>
        </w:rPr>
      </w:pPr>
      <w:r>
        <w:rPr>
          <w:rFonts w:hint="eastAsia" w:ascii="宋体" w:hAnsi="宋体"/>
          <w:color w:val="auto"/>
          <w:highlight w:val="none"/>
        </w:rPr>
        <w:t>评标委员会成员不得收受他人的财物或者其他好处，不得向他人透露对投标文件的评审</w:t>
      </w:r>
      <w:bookmarkStart w:id="296" w:name="_Toc369531559"/>
      <w:bookmarkStart w:id="297" w:name="_Toc384308253"/>
      <w:bookmarkStart w:id="298" w:name="_Toc352691515"/>
      <w:bookmarkStart w:id="299" w:name="_Toc13644"/>
      <w:bookmarkStart w:id="300" w:name="_Toc361508628"/>
      <w:r>
        <w:rPr>
          <w:rFonts w:hint="eastAsia" w:ascii="宋体" w:hAnsi="宋体"/>
          <w:color w:val="auto"/>
          <w:highlight w:val="none"/>
        </w:rPr>
        <w:t>和比较、中标候选人</w:t>
      </w:r>
      <w:bookmarkEnd w:id="284"/>
      <w:bookmarkEnd w:id="285"/>
      <w:bookmarkEnd w:id="286"/>
      <w:bookmarkEnd w:id="287"/>
      <w:bookmarkEnd w:id="288"/>
      <w:bookmarkEnd w:id="289"/>
      <w:bookmarkEnd w:id="296"/>
      <w:bookmarkEnd w:id="297"/>
      <w:bookmarkEnd w:id="298"/>
      <w:bookmarkEnd w:id="299"/>
      <w:bookmarkEnd w:id="300"/>
      <w:r>
        <w:rPr>
          <w:rFonts w:hint="eastAsia" w:ascii="宋体" w:hAnsi="宋体"/>
          <w:color w:val="auto"/>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AE08BF4">
      <w:pPr>
        <w:spacing w:before="240" w:beforeLines="100" w:after="240" w:afterLines="100"/>
        <w:rPr>
          <w:rFonts w:ascii="宋体" w:hAnsi="宋体"/>
          <w:b/>
          <w:color w:val="auto"/>
          <w:sz w:val="28"/>
          <w:szCs w:val="28"/>
          <w:highlight w:val="none"/>
        </w:rPr>
      </w:pPr>
      <w:bookmarkStart w:id="301" w:name="_Toc515205245"/>
      <w:bookmarkStart w:id="302" w:name="_Toc529196572"/>
      <w:r>
        <w:rPr>
          <w:rFonts w:hint="eastAsia" w:ascii="宋体" w:hAnsi="宋体"/>
          <w:b/>
          <w:color w:val="auto"/>
          <w:sz w:val="28"/>
          <w:szCs w:val="28"/>
          <w:highlight w:val="none"/>
        </w:rPr>
        <w:t>8.4 对与评标活动有关的工作人员的纪律要求</w:t>
      </w:r>
      <w:bookmarkEnd w:id="301"/>
      <w:bookmarkEnd w:id="302"/>
    </w:p>
    <w:p w14:paraId="7C3AC535">
      <w:pPr>
        <w:spacing w:line="360" w:lineRule="auto"/>
        <w:ind w:firstLine="420" w:firstLineChars="200"/>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与评标活动有关的工作人员不得收受他人的财物或者其他好处，不得向他人透露对投标文件</w:t>
      </w:r>
      <w:bookmarkStart w:id="303" w:name="_Toc369531560"/>
      <w:bookmarkStart w:id="304" w:name="_Toc152045569"/>
      <w:bookmarkStart w:id="305" w:name="_Toc352691516"/>
      <w:bookmarkStart w:id="306" w:name="_Toc144974537"/>
      <w:bookmarkStart w:id="307" w:name="_Toc384308254"/>
      <w:bookmarkStart w:id="308" w:name="_Toc19429"/>
      <w:bookmarkStart w:id="309" w:name="_Toc152042345"/>
      <w:bookmarkStart w:id="310" w:name="_Toc247527594"/>
      <w:bookmarkStart w:id="311" w:name="_Toc300834992"/>
      <w:bookmarkStart w:id="312" w:name="_Toc361508629"/>
      <w:bookmarkStart w:id="313" w:name="_Toc247513993"/>
      <w:r>
        <w:rPr>
          <w:rFonts w:hint="eastAsia" w:ascii="宋体" w:hAnsi="宋体"/>
          <w:color w:val="auto"/>
          <w:highlight w:val="none"/>
        </w:rPr>
        <w:t>的评审和比较、中标</w:t>
      </w:r>
      <w:bookmarkEnd w:id="303"/>
      <w:bookmarkEnd w:id="304"/>
      <w:bookmarkEnd w:id="305"/>
      <w:bookmarkEnd w:id="306"/>
      <w:bookmarkEnd w:id="307"/>
      <w:bookmarkEnd w:id="308"/>
      <w:bookmarkEnd w:id="309"/>
      <w:bookmarkEnd w:id="310"/>
      <w:bookmarkEnd w:id="311"/>
      <w:bookmarkEnd w:id="312"/>
      <w:bookmarkEnd w:id="313"/>
      <w:r>
        <w:rPr>
          <w:rFonts w:hint="eastAsia" w:ascii="宋体" w:hAnsi="宋体"/>
          <w:color w:val="auto"/>
          <w:highlight w:val="none"/>
        </w:rPr>
        <w:t>候选人的推荐情况以及评标有关的其他情况。在评标活动中，与评标活动有关的工作人员不得擅离职守，影响评标程序正常进行。</w:t>
      </w:r>
    </w:p>
    <w:p w14:paraId="622E0C35">
      <w:pPr>
        <w:spacing w:before="240" w:beforeLines="100" w:after="240" w:afterLines="100"/>
        <w:rPr>
          <w:rFonts w:ascii="宋体" w:hAnsi="宋体"/>
          <w:b/>
          <w:color w:val="auto"/>
          <w:sz w:val="28"/>
          <w:szCs w:val="28"/>
          <w:highlight w:val="none"/>
        </w:rPr>
      </w:pPr>
      <w:bookmarkStart w:id="314" w:name="_Toc529196573"/>
      <w:bookmarkStart w:id="315" w:name="_Toc515205246"/>
      <w:r>
        <w:rPr>
          <w:rFonts w:hint="eastAsia" w:ascii="宋体" w:hAnsi="宋体"/>
          <w:b/>
          <w:color w:val="auto"/>
          <w:sz w:val="28"/>
          <w:szCs w:val="28"/>
          <w:highlight w:val="none"/>
        </w:rPr>
        <w:t>8.5 投诉</w:t>
      </w:r>
      <w:bookmarkEnd w:id="314"/>
      <w:bookmarkEnd w:id="315"/>
    </w:p>
    <w:p w14:paraId="4C7DC564">
      <w:pPr>
        <w:spacing w:line="360" w:lineRule="auto"/>
        <w:ind w:firstLine="420" w:firstLineChars="200"/>
        <w:rPr>
          <w:rFonts w:ascii="宋体" w:hAnsi="宋体"/>
          <w:color w:val="auto"/>
          <w:highlight w:val="none"/>
        </w:rPr>
      </w:pPr>
      <w:r>
        <w:rPr>
          <w:rFonts w:hint="eastAsia" w:ascii="宋体" w:hAnsi="宋体"/>
          <w:color w:val="auto"/>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60E41D22">
      <w:pPr>
        <w:spacing w:line="360" w:lineRule="auto"/>
        <w:ind w:firstLine="420" w:firstLineChars="200"/>
        <w:rPr>
          <w:rFonts w:ascii="宋体" w:hAnsi="宋体"/>
          <w:color w:val="auto"/>
          <w:highlight w:val="none"/>
        </w:rPr>
      </w:pPr>
      <w:r>
        <w:rPr>
          <w:rFonts w:hint="eastAsia" w:ascii="宋体" w:hAnsi="宋体"/>
          <w:color w:val="auto"/>
          <w:highlight w:val="none"/>
        </w:rPr>
        <w:t>8.5.2 投标人或者其他利害关系人对招标文件、开标和评标结果提出投诉的，应当按照投标人须知第2.4款、第5.3款和第7.2款的规定先向招标人提出异议。异议答复期间</w:t>
      </w:r>
      <w:bookmarkStart w:id="316" w:name="_Toc12776"/>
      <w:bookmarkStart w:id="317" w:name="_Toc247527595"/>
      <w:bookmarkStart w:id="318" w:name="_Toc152045570"/>
      <w:bookmarkStart w:id="319" w:name="_Toc361508630"/>
      <w:bookmarkStart w:id="320" w:name="_Toc352691517"/>
      <w:bookmarkStart w:id="321" w:name="_Toc369531561"/>
      <w:bookmarkStart w:id="322" w:name="_Toc152042346"/>
      <w:bookmarkStart w:id="323" w:name="_Toc144974538"/>
      <w:bookmarkStart w:id="324" w:name="_Toc384308255"/>
      <w:bookmarkStart w:id="325" w:name="_Toc247513994"/>
      <w:bookmarkStart w:id="326" w:name="_Toc300834993"/>
      <w:r>
        <w:rPr>
          <w:rFonts w:hint="eastAsia" w:ascii="宋体" w:hAnsi="宋体"/>
          <w:color w:val="auto"/>
          <w:highlight w:val="none"/>
        </w:rPr>
        <w:t>不计算在第8.5.</w:t>
      </w:r>
      <w:bookmarkEnd w:id="316"/>
      <w:bookmarkEnd w:id="317"/>
      <w:bookmarkEnd w:id="318"/>
      <w:bookmarkEnd w:id="319"/>
      <w:bookmarkEnd w:id="320"/>
      <w:bookmarkEnd w:id="321"/>
      <w:bookmarkEnd w:id="322"/>
      <w:bookmarkEnd w:id="323"/>
      <w:bookmarkEnd w:id="324"/>
      <w:bookmarkEnd w:id="325"/>
      <w:bookmarkEnd w:id="326"/>
      <w:r>
        <w:rPr>
          <w:rFonts w:hint="eastAsia" w:ascii="宋体" w:hAnsi="宋体"/>
          <w:color w:val="auto"/>
          <w:highlight w:val="none"/>
        </w:rPr>
        <w:t>1项规定的期限内。</w:t>
      </w:r>
    </w:p>
    <w:p w14:paraId="77715921">
      <w:pPr>
        <w:spacing w:before="260"/>
        <w:outlineLvl w:val="2"/>
        <w:rPr>
          <w:rFonts w:ascii="宋体" w:hAnsi="宋体"/>
          <w:b/>
          <w:color w:val="auto"/>
          <w:sz w:val="32"/>
          <w:szCs w:val="32"/>
          <w:highlight w:val="none"/>
        </w:rPr>
      </w:pPr>
      <w:bookmarkStart w:id="327" w:name="_Toc477134992"/>
      <w:bookmarkStart w:id="328" w:name="_Toc529196574"/>
      <w:bookmarkStart w:id="329" w:name="_Toc515205247"/>
      <w:r>
        <w:rPr>
          <w:rFonts w:hint="eastAsia" w:ascii="宋体" w:hAnsi="宋体"/>
          <w:b/>
          <w:color w:val="auto"/>
          <w:sz w:val="32"/>
          <w:szCs w:val="32"/>
          <w:highlight w:val="none"/>
        </w:rPr>
        <w:t>9. 是否采用电子招标投标</w:t>
      </w:r>
      <w:bookmarkEnd w:id="327"/>
      <w:bookmarkEnd w:id="328"/>
      <w:bookmarkEnd w:id="329"/>
    </w:p>
    <w:p w14:paraId="317B1814">
      <w:pPr>
        <w:spacing w:before="240" w:beforeLines="100" w:line="360" w:lineRule="auto"/>
        <w:ind w:firstLine="420" w:firstLineChars="200"/>
        <w:rPr>
          <w:rFonts w:ascii="宋体" w:hAnsi="宋体"/>
          <w:color w:val="auto"/>
          <w:highlight w:val="none"/>
        </w:rPr>
      </w:pPr>
      <w:r>
        <w:rPr>
          <w:rFonts w:hint="eastAsia" w:ascii="宋体" w:hAnsi="宋体"/>
          <w:color w:val="auto"/>
          <w:highlight w:val="none"/>
        </w:rPr>
        <w:t>本招标项目是否采用电子招标投标方式，见投标人须知前附表。</w:t>
      </w:r>
    </w:p>
    <w:p w14:paraId="2E18417A">
      <w:pPr>
        <w:spacing w:before="260"/>
        <w:outlineLvl w:val="2"/>
        <w:rPr>
          <w:rFonts w:ascii="宋体" w:hAnsi="宋体"/>
          <w:b/>
          <w:color w:val="auto"/>
          <w:sz w:val="32"/>
          <w:szCs w:val="32"/>
          <w:highlight w:val="none"/>
        </w:rPr>
      </w:pPr>
      <w:bookmarkStart w:id="330" w:name="_Toc529196575"/>
      <w:bookmarkStart w:id="331" w:name="_Toc515205248"/>
      <w:r>
        <w:rPr>
          <w:rFonts w:hint="eastAsia" w:ascii="宋体" w:hAnsi="宋体"/>
          <w:b/>
          <w:color w:val="auto"/>
          <w:sz w:val="32"/>
          <w:szCs w:val="32"/>
          <w:highlight w:val="none"/>
        </w:rPr>
        <w:t>10. 需要补充的其他内容</w:t>
      </w:r>
      <w:bookmarkEnd w:id="330"/>
      <w:bookmarkEnd w:id="331"/>
    </w:p>
    <w:p w14:paraId="384250F7">
      <w:pPr>
        <w:spacing w:before="240" w:beforeLines="100"/>
        <w:ind w:firstLine="420" w:firstLineChars="200"/>
        <w:rPr>
          <w:rFonts w:ascii="宋体" w:hAnsi="宋体"/>
          <w:color w:val="auto"/>
          <w:sz w:val="18"/>
          <w:highlight w:val="none"/>
        </w:rPr>
      </w:pPr>
      <w:r>
        <w:rPr>
          <w:rFonts w:hint="eastAsia" w:ascii="宋体" w:hAnsi="宋体"/>
          <w:color w:val="auto"/>
          <w:highlight w:val="none"/>
        </w:rPr>
        <w:t>见投标人须知前附表。</w:t>
      </w:r>
    </w:p>
    <w:p w14:paraId="4B10C6FE">
      <w:pPr>
        <w:widowControl/>
        <w:jc w:val="left"/>
        <w:rPr>
          <w:color w:val="auto"/>
          <w:highlight w:val="none"/>
        </w:rPr>
        <w:sectPr>
          <w:pgSz w:w="12240" w:h="15840"/>
          <w:pgMar w:top="1440" w:right="1800" w:bottom="1440" w:left="1800" w:header="0" w:footer="567" w:gutter="0"/>
          <w:pgBorders>
            <w:top w:val="none" w:sz="0" w:space="0"/>
            <w:left w:val="none" w:sz="0" w:space="0"/>
            <w:bottom w:val="none" w:sz="0" w:space="0"/>
            <w:right w:val="none" w:sz="0" w:space="0"/>
          </w:pgBorders>
          <w:cols w:space="720" w:num="1"/>
          <w:rtlGutter w:val="1"/>
          <w:docGrid w:linePitch="286" w:charSpace="0"/>
        </w:sectPr>
      </w:pPr>
    </w:p>
    <w:p w14:paraId="2570328B">
      <w:pPr>
        <w:spacing w:line="2" w:lineRule="exact"/>
        <w:rPr>
          <w:rFonts w:eastAsia="Times New Roman"/>
          <w:color w:val="auto"/>
          <w:highlight w:val="none"/>
        </w:rPr>
      </w:pPr>
    </w:p>
    <w:p w14:paraId="35C59950">
      <w:pPr>
        <w:spacing w:after="240"/>
        <w:rPr>
          <w:b/>
          <w:color w:val="auto"/>
          <w:sz w:val="28"/>
          <w:highlight w:val="none"/>
        </w:rPr>
      </w:pPr>
      <w:bookmarkStart w:id="332" w:name="_Toc529196576"/>
      <w:bookmarkStart w:id="333" w:name="_Toc530470624"/>
      <w:bookmarkStart w:id="334" w:name="_Toc535938714"/>
      <w:r>
        <w:rPr>
          <w:rFonts w:hint="eastAsia"/>
          <w:b/>
          <w:color w:val="auto"/>
          <w:sz w:val="28"/>
          <w:szCs w:val="20"/>
          <w:highlight w:val="none"/>
        </w:rPr>
        <w:t>附件一：开标记录表</w:t>
      </w:r>
      <w:bookmarkEnd w:id="332"/>
      <w:bookmarkEnd w:id="333"/>
      <w:bookmarkEnd w:id="334"/>
      <w:r>
        <w:rPr>
          <w:rFonts w:hint="eastAsia"/>
          <w:b/>
          <w:color w:val="auto"/>
          <w:sz w:val="28"/>
          <w:highlight w:val="none"/>
        </w:rPr>
        <w:t>（</w:t>
      </w:r>
      <w:r>
        <w:rPr>
          <w:rFonts w:hint="eastAsia"/>
          <w:b/>
          <w:color w:val="auto"/>
          <w:sz w:val="28"/>
          <w:highlight w:val="none"/>
          <w:lang w:val="en-US" w:eastAsia="zh-CN"/>
        </w:rPr>
        <w:t>具体以交易系统格式为准</w:t>
      </w:r>
      <w:r>
        <w:rPr>
          <w:rFonts w:hint="eastAsia"/>
          <w:b/>
          <w:color w:val="auto"/>
          <w:sz w:val="28"/>
          <w:highlight w:val="none"/>
        </w:rPr>
        <w:t>）</w:t>
      </w:r>
    </w:p>
    <w:p w14:paraId="77C1A918">
      <w:pPr>
        <w:spacing w:line="440" w:lineRule="exact"/>
        <w:jc w:val="center"/>
        <w:rPr>
          <w:rFonts w:ascii="宋体" w:hAnsi="宋体"/>
          <w:b/>
          <w:color w:val="auto"/>
          <w:sz w:val="28"/>
          <w:highlight w:val="none"/>
        </w:rPr>
      </w:pPr>
      <w:r>
        <w:rPr>
          <w:rFonts w:hint="eastAsia" w:ascii="宋体" w:hAnsi="宋体"/>
          <w:b/>
          <w:color w:val="auto"/>
          <w:sz w:val="28"/>
          <w:highlight w:val="none"/>
        </w:rPr>
        <w:t>开标记录表</w:t>
      </w:r>
    </w:p>
    <w:p w14:paraId="65EE7F94">
      <w:pPr>
        <w:spacing w:beforeLines="50" w:afterLines="50" w:line="400" w:lineRule="exact"/>
        <w:ind w:right="525"/>
        <w:jc w:val="left"/>
        <w:rPr>
          <w:rFonts w:ascii="宋体" w:hAnsi="宋体"/>
          <w:color w:val="auto"/>
          <w:sz w:val="28"/>
          <w:szCs w:val="28"/>
          <w:highlight w:val="none"/>
        </w:rPr>
      </w:pPr>
      <w:r>
        <w:rPr>
          <w:rFonts w:hint="eastAsia" w:ascii="宋体" w:hAnsi="宋体"/>
          <w:color w:val="auto"/>
          <w:sz w:val="28"/>
          <w:szCs w:val="28"/>
          <w:highlight w:val="none"/>
        </w:rPr>
        <w:t>开标时间：年月日时分</w:t>
      </w:r>
    </w:p>
    <w:p w14:paraId="6EC03F8C">
      <w:pPr>
        <w:spacing w:beforeLines="50" w:afterLines="50" w:line="400" w:lineRule="exact"/>
        <w:ind w:right="420"/>
        <w:jc w:val="left"/>
        <w:rPr>
          <w:rFonts w:ascii="宋体" w:hAnsi="宋体"/>
          <w:color w:val="auto"/>
          <w:sz w:val="28"/>
          <w:szCs w:val="28"/>
          <w:highlight w:val="none"/>
        </w:rPr>
      </w:pPr>
      <w:r>
        <w:rPr>
          <w:rFonts w:hint="eastAsia" w:ascii="宋体" w:hAnsi="宋体"/>
          <w:color w:val="auto"/>
          <w:sz w:val="28"/>
          <w:szCs w:val="28"/>
          <w:highlight w:val="none"/>
        </w:rPr>
        <w:t>项目名称：</w:t>
      </w:r>
    </w:p>
    <w:tbl>
      <w:tblPr>
        <w:tblStyle w:val="36"/>
        <w:tblW w:w="9752" w:type="dxa"/>
        <w:tblInd w:w="0" w:type="dxa"/>
        <w:tblLayout w:type="fixed"/>
        <w:tblCellMar>
          <w:top w:w="0" w:type="dxa"/>
          <w:left w:w="108" w:type="dxa"/>
          <w:bottom w:w="0" w:type="dxa"/>
          <w:right w:w="108" w:type="dxa"/>
        </w:tblCellMar>
      </w:tblPr>
      <w:tblGrid>
        <w:gridCol w:w="488"/>
        <w:gridCol w:w="896"/>
        <w:gridCol w:w="709"/>
        <w:gridCol w:w="851"/>
        <w:gridCol w:w="993"/>
        <w:gridCol w:w="851"/>
        <w:gridCol w:w="849"/>
        <w:gridCol w:w="1134"/>
        <w:gridCol w:w="1131"/>
        <w:gridCol w:w="705"/>
        <w:gridCol w:w="1145"/>
      </w:tblGrid>
      <w:tr w14:paraId="0A3C2E41">
        <w:tblPrEx>
          <w:tblCellMar>
            <w:top w:w="0" w:type="dxa"/>
            <w:left w:w="108" w:type="dxa"/>
            <w:bottom w:w="0" w:type="dxa"/>
            <w:right w:w="108" w:type="dxa"/>
          </w:tblCellMar>
        </w:tblPrEx>
        <w:trPr>
          <w:trHeight w:val="850" w:hRule="atLeast"/>
        </w:trPr>
        <w:tc>
          <w:tcPr>
            <w:tcW w:w="488" w:type="dxa"/>
            <w:tcBorders>
              <w:top w:val="single" w:color="auto" w:sz="4" w:space="0"/>
              <w:left w:val="single" w:color="auto" w:sz="4" w:space="0"/>
              <w:bottom w:val="single" w:color="auto" w:sz="4" w:space="0"/>
              <w:right w:val="single" w:color="auto" w:sz="4" w:space="0"/>
            </w:tcBorders>
            <w:noWrap/>
            <w:vAlign w:val="center"/>
          </w:tcPr>
          <w:p w14:paraId="4E2235C9">
            <w:pPr>
              <w:spacing w:line="276" w:lineRule="auto"/>
              <w:jc w:val="center"/>
              <w:rPr>
                <w:rFonts w:ascii="宋体" w:hAnsi="宋体"/>
                <w:color w:val="auto"/>
                <w:highlight w:val="none"/>
              </w:rPr>
            </w:pPr>
            <w:r>
              <w:rPr>
                <w:rFonts w:hint="eastAsia" w:ascii="宋体" w:hAnsi="宋体"/>
                <w:color w:val="auto"/>
                <w:highlight w:val="none"/>
              </w:rPr>
              <w:t>序号</w:t>
            </w:r>
          </w:p>
        </w:tc>
        <w:tc>
          <w:tcPr>
            <w:tcW w:w="896" w:type="dxa"/>
            <w:tcBorders>
              <w:top w:val="single" w:color="auto" w:sz="4" w:space="0"/>
              <w:left w:val="single" w:color="auto" w:sz="4" w:space="0"/>
              <w:bottom w:val="single" w:color="auto" w:sz="4" w:space="0"/>
              <w:right w:val="single" w:color="auto" w:sz="4" w:space="0"/>
            </w:tcBorders>
            <w:noWrap/>
            <w:vAlign w:val="center"/>
          </w:tcPr>
          <w:p w14:paraId="2FCA9E99">
            <w:pPr>
              <w:spacing w:line="276" w:lineRule="auto"/>
              <w:jc w:val="center"/>
              <w:rPr>
                <w:rFonts w:ascii="宋体" w:hAnsi="宋体"/>
                <w:color w:val="auto"/>
                <w:highlight w:val="none"/>
              </w:rPr>
            </w:pPr>
            <w:r>
              <w:rPr>
                <w:rFonts w:hint="eastAsia" w:ascii="宋体" w:hAnsi="宋体"/>
                <w:color w:val="auto"/>
                <w:highlight w:val="none"/>
              </w:rPr>
              <w:t>投标人</w:t>
            </w:r>
          </w:p>
        </w:tc>
        <w:tc>
          <w:tcPr>
            <w:tcW w:w="709" w:type="dxa"/>
            <w:tcBorders>
              <w:top w:val="single" w:color="auto" w:sz="4" w:space="0"/>
              <w:left w:val="single" w:color="auto" w:sz="4" w:space="0"/>
              <w:bottom w:val="single" w:color="auto" w:sz="4" w:space="0"/>
              <w:right w:val="single" w:color="auto" w:sz="4" w:space="0"/>
            </w:tcBorders>
            <w:noWrap/>
            <w:vAlign w:val="center"/>
          </w:tcPr>
          <w:p w14:paraId="7FCDE0EE">
            <w:pPr>
              <w:spacing w:line="276" w:lineRule="auto"/>
              <w:jc w:val="center"/>
              <w:rPr>
                <w:rFonts w:hint="default" w:ascii="宋体" w:hAnsi="宋体" w:eastAsia="宋体"/>
                <w:color w:val="auto"/>
                <w:highlight w:val="none"/>
                <w:lang w:val="en-US" w:eastAsia="zh-CN"/>
              </w:rPr>
            </w:pPr>
            <w:r>
              <w:rPr>
                <w:rFonts w:hint="eastAsia" w:ascii="宋体" w:hAnsi="宋体"/>
                <w:strike/>
                <w:color w:val="auto"/>
                <w:highlight w:val="none"/>
              </w:rPr>
              <w:t>投标保证金</w:t>
            </w:r>
          </w:p>
        </w:tc>
        <w:tc>
          <w:tcPr>
            <w:tcW w:w="851" w:type="dxa"/>
            <w:tcBorders>
              <w:top w:val="single" w:color="auto" w:sz="4" w:space="0"/>
              <w:left w:val="single" w:color="auto" w:sz="4" w:space="0"/>
              <w:bottom w:val="single" w:color="auto" w:sz="4" w:space="0"/>
              <w:right w:val="single" w:color="auto" w:sz="4" w:space="0"/>
            </w:tcBorders>
            <w:noWrap/>
            <w:vAlign w:val="center"/>
          </w:tcPr>
          <w:p w14:paraId="158DCC0D">
            <w:pPr>
              <w:spacing w:line="276"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投标下浮率（%）</w:t>
            </w:r>
          </w:p>
        </w:tc>
        <w:tc>
          <w:tcPr>
            <w:tcW w:w="993" w:type="dxa"/>
            <w:tcBorders>
              <w:top w:val="single" w:color="auto" w:sz="4" w:space="0"/>
              <w:left w:val="single" w:color="auto" w:sz="4" w:space="0"/>
              <w:bottom w:val="single" w:color="auto" w:sz="4" w:space="0"/>
              <w:right w:val="single" w:color="auto" w:sz="4" w:space="0"/>
            </w:tcBorders>
            <w:noWrap/>
            <w:vAlign w:val="center"/>
          </w:tcPr>
          <w:p w14:paraId="54A29D13">
            <w:pPr>
              <w:spacing w:line="276" w:lineRule="auto"/>
              <w:ind w:right="-12" w:rightChars="-6"/>
              <w:jc w:val="center"/>
              <w:rPr>
                <w:rFonts w:ascii="宋体" w:hAnsi="宋体"/>
                <w:color w:val="auto"/>
                <w:highlight w:val="none"/>
              </w:rPr>
            </w:pPr>
            <w:r>
              <w:rPr>
                <w:rFonts w:hint="eastAsia" w:ascii="宋体" w:hAnsi="宋体"/>
                <w:color w:val="auto"/>
                <w:highlight w:val="none"/>
              </w:rPr>
              <w:t>投标报价（元）</w:t>
            </w:r>
          </w:p>
        </w:tc>
        <w:tc>
          <w:tcPr>
            <w:tcW w:w="851" w:type="dxa"/>
            <w:tcBorders>
              <w:top w:val="single" w:color="auto" w:sz="4" w:space="0"/>
              <w:left w:val="single" w:color="auto" w:sz="4" w:space="0"/>
              <w:bottom w:val="single" w:color="auto" w:sz="4" w:space="0"/>
              <w:right w:val="single" w:color="auto" w:sz="4" w:space="0"/>
            </w:tcBorders>
            <w:noWrap/>
            <w:vAlign w:val="center"/>
          </w:tcPr>
          <w:p w14:paraId="3CE3F1E2">
            <w:pPr>
              <w:spacing w:line="276" w:lineRule="auto"/>
              <w:jc w:val="center"/>
              <w:rPr>
                <w:rFonts w:ascii="宋体" w:hAnsi="宋体"/>
                <w:color w:val="auto"/>
                <w:highlight w:val="none"/>
              </w:rPr>
            </w:pPr>
            <w:r>
              <w:rPr>
                <w:rFonts w:hint="eastAsia" w:ascii="宋体" w:hAnsi="宋体"/>
                <w:color w:val="auto"/>
                <w:highlight w:val="none"/>
              </w:rPr>
              <w:t>总监理工程师</w:t>
            </w:r>
          </w:p>
        </w:tc>
        <w:tc>
          <w:tcPr>
            <w:tcW w:w="849" w:type="dxa"/>
            <w:tcBorders>
              <w:top w:val="single" w:color="auto" w:sz="4" w:space="0"/>
              <w:left w:val="single" w:color="auto" w:sz="4" w:space="0"/>
              <w:bottom w:val="single" w:color="auto" w:sz="4" w:space="0"/>
              <w:right w:val="single" w:color="auto" w:sz="4" w:space="0"/>
            </w:tcBorders>
            <w:noWrap/>
            <w:vAlign w:val="center"/>
          </w:tcPr>
          <w:p w14:paraId="51149C62">
            <w:pPr>
              <w:spacing w:line="276" w:lineRule="auto"/>
              <w:jc w:val="center"/>
              <w:rPr>
                <w:rFonts w:ascii="宋体" w:hAnsi="宋体"/>
                <w:color w:val="auto"/>
                <w:highlight w:val="none"/>
              </w:rPr>
            </w:pPr>
            <w:r>
              <w:rPr>
                <w:rFonts w:hint="eastAsia" w:ascii="宋体" w:hAnsi="宋体"/>
                <w:color w:val="auto"/>
                <w:highlight w:val="none"/>
              </w:rPr>
              <w:t>监理服务期限</w:t>
            </w:r>
          </w:p>
        </w:tc>
        <w:tc>
          <w:tcPr>
            <w:tcW w:w="1134" w:type="dxa"/>
            <w:tcBorders>
              <w:top w:val="single" w:color="auto" w:sz="4" w:space="0"/>
              <w:left w:val="single" w:color="auto" w:sz="4" w:space="0"/>
              <w:bottom w:val="single" w:color="auto" w:sz="4" w:space="0"/>
              <w:right w:val="single" w:color="auto" w:sz="4" w:space="0"/>
            </w:tcBorders>
            <w:noWrap/>
            <w:vAlign w:val="center"/>
          </w:tcPr>
          <w:p w14:paraId="5A32ADAE">
            <w:pPr>
              <w:spacing w:line="276" w:lineRule="auto"/>
              <w:jc w:val="center"/>
              <w:rPr>
                <w:rFonts w:ascii="宋体" w:hAnsi="宋体"/>
                <w:color w:val="auto"/>
                <w:highlight w:val="none"/>
              </w:rPr>
            </w:pPr>
            <w:r>
              <w:rPr>
                <w:rFonts w:hint="eastAsia" w:ascii="宋体" w:hAnsi="宋体"/>
                <w:color w:val="auto"/>
                <w:highlight w:val="none"/>
              </w:rPr>
              <w:t>投标文件递交情况</w:t>
            </w:r>
          </w:p>
        </w:tc>
        <w:tc>
          <w:tcPr>
            <w:tcW w:w="1131" w:type="dxa"/>
            <w:tcBorders>
              <w:top w:val="single" w:color="auto" w:sz="4" w:space="0"/>
              <w:left w:val="single" w:color="auto" w:sz="4" w:space="0"/>
              <w:bottom w:val="single" w:color="auto" w:sz="4" w:space="0"/>
              <w:right w:val="single" w:color="auto" w:sz="4" w:space="0"/>
            </w:tcBorders>
            <w:noWrap/>
            <w:vAlign w:val="center"/>
          </w:tcPr>
          <w:p w14:paraId="77A78356">
            <w:pPr>
              <w:spacing w:line="276" w:lineRule="auto"/>
              <w:jc w:val="center"/>
              <w:rPr>
                <w:rFonts w:ascii="宋体" w:hAnsi="宋体"/>
                <w:color w:val="auto"/>
                <w:highlight w:val="none"/>
              </w:rPr>
            </w:pPr>
            <w:r>
              <w:rPr>
                <w:rFonts w:hint="eastAsia" w:ascii="宋体" w:hAnsi="宋体"/>
                <w:color w:val="auto"/>
                <w:highlight w:val="none"/>
              </w:rPr>
              <w:t>投标文件解密情况</w:t>
            </w:r>
          </w:p>
        </w:tc>
        <w:tc>
          <w:tcPr>
            <w:tcW w:w="705" w:type="dxa"/>
            <w:tcBorders>
              <w:top w:val="single" w:color="auto" w:sz="4" w:space="0"/>
              <w:left w:val="single" w:color="auto" w:sz="4" w:space="0"/>
              <w:bottom w:val="single" w:color="auto" w:sz="4" w:space="0"/>
              <w:right w:val="single" w:color="auto" w:sz="4" w:space="0"/>
            </w:tcBorders>
            <w:noWrap/>
            <w:vAlign w:val="center"/>
          </w:tcPr>
          <w:p w14:paraId="0204BCD1">
            <w:pPr>
              <w:spacing w:line="276" w:lineRule="auto"/>
              <w:jc w:val="center"/>
              <w:rPr>
                <w:rFonts w:ascii="宋体" w:hAnsi="宋体"/>
                <w:color w:val="auto"/>
                <w:highlight w:val="none"/>
              </w:rPr>
            </w:pPr>
            <w:r>
              <w:rPr>
                <w:rFonts w:hint="eastAsia" w:ascii="宋体" w:hAnsi="宋体"/>
                <w:color w:val="auto"/>
                <w:highlight w:val="none"/>
              </w:rPr>
              <w:t>备注</w:t>
            </w:r>
          </w:p>
        </w:tc>
        <w:tc>
          <w:tcPr>
            <w:tcW w:w="1145" w:type="dxa"/>
            <w:tcBorders>
              <w:top w:val="single" w:color="auto" w:sz="4" w:space="0"/>
              <w:left w:val="single" w:color="auto" w:sz="4" w:space="0"/>
              <w:bottom w:val="single" w:color="auto" w:sz="4" w:space="0"/>
              <w:right w:val="single" w:color="auto" w:sz="4" w:space="0"/>
            </w:tcBorders>
            <w:noWrap/>
            <w:vAlign w:val="center"/>
          </w:tcPr>
          <w:p w14:paraId="3DC3B39D">
            <w:pPr>
              <w:spacing w:line="276" w:lineRule="auto"/>
              <w:jc w:val="center"/>
              <w:rPr>
                <w:rFonts w:ascii="宋体" w:hAnsi="宋体"/>
                <w:color w:val="auto"/>
                <w:highlight w:val="none"/>
              </w:rPr>
            </w:pPr>
            <w:r>
              <w:rPr>
                <w:rFonts w:hint="eastAsia" w:ascii="宋体" w:hAnsi="宋体"/>
                <w:color w:val="auto"/>
                <w:highlight w:val="none"/>
              </w:rPr>
              <w:t>投标人</w:t>
            </w:r>
          </w:p>
          <w:p w14:paraId="36F4F363">
            <w:pPr>
              <w:spacing w:line="276" w:lineRule="auto"/>
              <w:jc w:val="center"/>
              <w:rPr>
                <w:rFonts w:ascii="宋体" w:hAnsi="宋体"/>
                <w:color w:val="auto"/>
                <w:highlight w:val="none"/>
              </w:rPr>
            </w:pPr>
            <w:r>
              <w:rPr>
                <w:rFonts w:hint="eastAsia" w:ascii="宋体" w:hAnsi="宋体"/>
                <w:color w:val="auto"/>
                <w:highlight w:val="none"/>
              </w:rPr>
              <w:t>代表签名</w:t>
            </w:r>
          </w:p>
        </w:tc>
      </w:tr>
      <w:tr w14:paraId="59F502CA">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026A76A8">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28E3460">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75AE412">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2E1F1B2">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1D8C792">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6BA3890">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1B102F10">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F7001EF">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36742A1F">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4E48AE99">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10BC24A">
            <w:pPr>
              <w:spacing w:line="500" w:lineRule="exact"/>
              <w:jc w:val="center"/>
              <w:rPr>
                <w:rFonts w:ascii="宋体" w:hAnsi="宋体"/>
                <w:color w:val="auto"/>
                <w:highlight w:val="none"/>
              </w:rPr>
            </w:pPr>
          </w:p>
        </w:tc>
      </w:tr>
      <w:tr w14:paraId="3412B4F7">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1E8EAB06">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58BE91E3">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A1C15E3">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D40081D">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BBE7A42">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01FD9FF">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733D46BD">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E5C244A">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7EFE42D8">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18EEAC99">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4B1F85C">
            <w:pPr>
              <w:spacing w:line="500" w:lineRule="exact"/>
              <w:jc w:val="center"/>
              <w:rPr>
                <w:rFonts w:ascii="宋体" w:hAnsi="宋体"/>
                <w:color w:val="auto"/>
                <w:highlight w:val="none"/>
              </w:rPr>
            </w:pPr>
          </w:p>
        </w:tc>
      </w:tr>
      <w:tr w14:paraId="1668DA71">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4B3E9DCF">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F0FA39F">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AF5F1CC">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2A50D79">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7568808">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210E95E">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E747770">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8A0DABF">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58A5419C">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76F917E0">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553242EA">
            <w:pPr>
              <w:spacing w:line="500" w:lineRule="exact"/>
              <w:jc w:val="center"/>
              <w:rPr>
                <w:rFonts w:ascii="宋体" w:hAnsi="宋体"/>
                <w:color w:val="auto"/>
                <w:highlight w:val="none"/>
              </w:rPr>
            </w:pPr>
          </w:p>
        </w:tc>
      </w:tr>
      <w:tr w14:paraId="2FADF8A2">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3654863E">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C436683">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A536DFE">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7F953C7">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726B9AC">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5358197">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E99C159">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4F86BF5">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4CABF00">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3D0FAFD7">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62ED26CD">
            <w:pPr>
              <w:spacing w:line="500" w:lineRule="exact"/>
              <w:jc w:val="center"/>
              <w:rPr>
                <w:rFonts w:ascii="宋体" w:hAnsi="宋体"/>
                <w:color w:val="auto"/>
                <w:highlight w:val="none"/>
              </w:rPr>
            </w:pPr>
          </w:p>
        </w:tc>
      </w:tr>
      <w:tr w14:paraId="29014F3D">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1F8E4157">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09884E34">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4455B1E">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00FB01B">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C2DA2BB">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FB4DA62">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3AA80674">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D135326">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CA3A05F">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24FA516">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EAF3E0D">
            <w:pPr>
              <w:spacing w:line="500" w:lineRule="exact"/>
              <w:jc w:val="center"/>
              <w:rPr>
                <w:rFonts w:ascii="宋体" w:hAnsi="宋体"/>
                <w:color w:val="auto"/>
                <w:highlight w:val="none"/>
              </w:rPr>
            </w:pPr>
          </w:p>
        </w:tc>
      </w:tr>
      <w:tr w14:paraId="00D74E7A">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6AF1864E">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2EC452A">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9C9F717">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C094D94">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1144406">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B32C409">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162DF1A0">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F2DF29">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183F9AB">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187B60A8">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27AF866">
            <w:pPr>
              <w:spacing w:line="500" w:lineRule="exact"/>
              <w:jc w:val="center"/>
              <w:rPr>
                <w:rFonts w:ascii="宋体" w:hAnsi="宋体"/>
                <w:color w:val="auto"/>
                <w:highlight w:val="none"/>
              </w:rPr>
            </w:pPr>
          </w:p>
        </w:tc>
      </w:tr>
      <w:tr w14:paraId="46A715C8">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34C38026">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ECD0927">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C83843B">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C42BD98">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614725E">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5FA5DC1">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11A48E25">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03FC667">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33A11EE6">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0C6E83F1">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7FF8967">
            <w:pPr>
              <w:spacing w:line="500" w:lineRule="exact"/>
              <w:jc w:val="center"/>
              <w:rPr>
                <w:rFonts w:ascii="宋体" w:hAnsi="宋体"/>
                <w:color w:val="auto"/>
                <w:highlight w:val="none"/>
              </w:rPr>
            </w:pPr>
          </w:p>
        </w:tc>
      </w:tr>
      <w:tr w14:paraId="56CEF760">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2BFED126">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70F22CB">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EF473B3">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BF79057">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ED79CF4">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9F0A877">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53DE61A2">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E6D8FA7">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07C23F62">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395F396F">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6272BEC">
            <w:pPr>
              <w:spacing w:line="500" w:lineRule="exact"/>
              <w:jc w:val="center"/>
              <w:rPr>
                <w:rFonts w:ascii="宋体" w:hAnsi="宋体"/>
                <w:color w:val="auto"/>
                <w:highlight w:val="none"/>
              </w:rPr>
            </w:pPr>
          </w:p>
        </w:tc>
      </w:tr>
      <w:tr w14:paraId="2AAAE8E0">
        <w:tblPrEx>
          <w:tblCellMar>
            <w:top w:w="0" w:type="dxa"/>
            <w:left w:w="108" w:type="dxa"/>
            <w:bottom w:w="0" w:type="dxa"/>
            <w:right w:w="108" w:type="dxa"/>
          </w:tblCellMar>
        </w:tblPrEx>
        <w:trPr>
          <w:trHeight w:val="502" w:hRule="atLeast"/>
        </w:trPr>
        <w:tc>
          <w:tcPr>
            <w:tcW w:w="488" w:type="dxa"/>
            <w:tcBorders>
              <w:top w:val="single" w:color="auto" w:sz="4" w:space="0"/>
              <w:left w:val="single" w:color="auto" w:sz="4" w:space="0"/>
              <w:bottom w:val="single" w:color="auto" w:sz="4" w:space="0"/>
              <w:right w:val="single" w:color="auto" w:sz="4" w:space="0"/>
            </w:tcBorders>
            <w:noWrap/>
            <w:vAlign w:val="center"/>
          </w:tcPr>
          <w:p w14:paraId="6051F583">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5AC2D02D">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CF64DAA">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DB1262C">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5CC4819">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C0AFA80">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773DDF92">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BB19B9D">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2FE7E8DA">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44849C7A">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86E18F8">
            <w:pPr>
              <w:spacing w:line="500" w:lineRule="exact"/>
              <w:jc w:val="center"/>
              <w:rPr>
                <w:rFonts w:ascii="宋体" w:hAnsi="宋体"/>
                <w:color w:val="auto"/>
                <w:highlight w:val="none"/>
              </w:rPr>
            </w:pPr>
          </w:p>
        </w:tc>
      </w:tr>
      <w:tr w14:paraId="69517AF7">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5FFBAFCD">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94D4D7E">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29B5D5C">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439B992">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2F63267">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B73C3A8">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3459F319">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C255FCE">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5BFFFBB8">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4AA28997">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5B2B994">
            <w:pPr>
              <w:spacing w:line="500" w:lineRule="exact"/>
              <w:jc w:val="center"/>
              <w:rPr>
                <w:rFonts w:ascii="宋体" w:hAnsi="宋体"/>
                <w:color w:val="auto"/>
                <w:highlight w:val="none"/>
              </w:rPr>
            </w:pPr>
          </w:p>
        </w:tc>
      </w:tr>
      <w:tr w14:paraId="072EE8E3">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5EA24C8E">
            <w:pPr>
              <w:spacing w:line="500" w:lineRule="exact"/>
              <w:jc w:val="center"/>
              <w:rPr>
                <w:rFonts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B78D08A">
            <w:pPr>
              <w:spacing w:line="500" w:lineRule="exact"/>
              <w:jc w:val="center"/>
              <w:rPr>
                <w:rFonts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DDEFB2D">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18304CE">
            <w:pPr>
              <w:spacing w:line="500" w:lineRule="exact"/>
              <w:jc w:val="center"/>
              <w:rPr>
                <w:rFonts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B8A2540">
            <w:pPr>
              <w:spacing w:line="500" w:lineRule="exact"/>
              <w:jc w:val="center"/>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4036F39">
            <w:pPr>
              <w:spacing w:line="500" w:lineRule="exact"/>
              <w:jc w:val="center"/>
              <w:rPr>
                <w:rFonts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237135AA">
            <w:pPr>
              <w:spacing w:line="500" w:lineRule="exact"/>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5C46ED6">
            <w:pPr>
              <w:spacing w:line="500" w:lineRule="exact"/>
              <w:jc w:val="center"/>
              <w:rPr>
                <w:rFonts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3B102D0B">
            <w:pPr>
              <w:spacing w:line="500" w:lineRule="exact"/>
              <w:jc w:val="center"/>
              <w:rPr>
                <w:rFonts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721E71E1">
            <w:pPr>
              <w:spacing w:line="500" w:lineRule="exact"/>
              <w:jc w:val="center"/>
              <w:rPr>
                <w:rFonts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21C2724">
            <w:pPr>
              <w:spacing w:line="500" w:lineRule="exact"/>
              <w:jc w:val="center"/>
              <w:rPr>
                <w:rFonts w:ascii="宋体" w:hAnsi="宋体"/>
                <w:color w:val="auto"/>
                <w:highlight w:val="none"/>
              </w:rPr>
            </w:pPr>
          </w:p>
        </w:tc>
      </w:tr>
      <w:tr w14:paraId="3A199567">
        <w:tblPrEx>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noWrap/>
            <w:vAlign w:val="center"/>
          </w:tcPr>
          <w:p w14:paraId="5FC82162">
            <w:pPr>
              <w:spacing w:line="500" w:lineRule="exact"/>
              <w:jc w:val="center"/>
              <w:rPr>
                <w:rFonts w:ascii="宋体" w:hAnsi="宋体"/>
                <w:color w:val="auto"/>
                <w:highlight w:val="none"/>
              </w:rPr>
            </w:pPr>
            <w:r>
              <w:rPr>
                <w:rFonts w:hint="eastAsia" w:ascii="宋体" w:hAnsi="宋体"/>
                <w:color w:val="auto"/>
                <w:highlight w:val="none"/>
              </w:rPr>
              <w:t>最高投标限价：</w:t>
            </w:r>
          </w:p>
        </w:tc>
        <w:tc>
          <w:tcPr>
            <w:tcW w:w="7659" w:type="dxa"/>
            <w:gridSpan w:val="8"/>
            <w:tcBorders>
              <w:top w:val="single" w:color="auto" w:sz="4" w:space="0"/>
              <w:left w:val="single" w:color="auto" w:sz="4" w:space="0"/>
              <w:bottom w:val="single" w:color="auto" w:sz="4" w:space="0"/>
              <w:right w:val="single" w:color="auto" w:sz="4" w:space="0"/>
            </w:tcBorders>
            <w:noWrap/>
            <w:vAlign w:val="center"/>
          </w:tcPr>
          <w:p w14:paraId="33327412">
            <w:pPr>
              <w:spacing w:line="500" w:lineRule="exact"/>
              <w:jc w:val="center"/>
              <w:rPr>
                <w:rFonts w:ascii="宋体" w:hAnsi="宋体"/>
                <w:color w:val="auto"/>
                <w:highlight w:val="none"/>
              </w:rPr>
            </w:pPr>
          </w:p>
        </w:tc>
      </w:tr>
    </w:tbl>
    <w:p w14:paraId="0A0C506F">
      <w:pPr>
        <w:spacing w:line="440" w:lineRule="exact"/>
        <w:rPr>
          <w:rFonts w:ascii="宋体" w:hAnsi="宋体"/>
          <w:color w:val="auto"/>
          <w:highlight w:val="none"/>
        </w:rPr>
      </w:pPr>
    </w:p>
    <w:p w14:paraId="1464E7A3">
      <w:pPr>
        <w:spacing w:line="620" w:lineRule="exact"/>
        <w:rPr>
          <w:rFonts w:ascii="宋体" w:hAnsi="宋体"/>
          <w:color w:val="auto"/>
          <w:sz w:val="28"/>
          <w:szCs w:val="28"/>
          <w:highlight w:val="none"/>
        </w:rPr>
      </w:pPr>
      <w:r>
        <w:rPr>
          <w:rFonts w:hint="eastAsia" w:ascii="宋体" w:hAnsi="宋体"/>
          <w:color w:val="auto"/>
          <w:sz w:val="28"/>
          <w:szCs w:val="28"/>
          <w:highlight w:val="none"/>
        </w:rPr>
        <w:t>招标人代表：记录人：监标人：</w:t>
      </w:r>
    </w:p>
    <w:p w14:paraId="5ECE4E6E">
      <w:pPr>
        <w:wordWrap w:val="0"/>
        <w:spacing w:line="620" w:lineRule="exact"/>
        <w:jc w:val="right"/>
        <w:rPr>
          <w:rFonts w:ascii="宋体" w:hAnsi="宋体"/>
          <w:color w:val="auto"/>
          <w:sz w:val="28"/>
          <w:szCs w:val="28"/>
          <w:highlight w:val="none"/>
        </w:rPr>
      </w:pPr>
      <w:r>
        <w:rPr>
          <w:rFonts w:hint="eastAsia" w:ascii="宋体" w:hAnsi="宋体"/>
          <w:color w:val="auto"/>
          <w:sz w:val="28"/>
          <w:szCs w:val="28"/>
          <w:highlight w:val="none"/>
        </w:rPr>
        <w:t xml:space="preserve">   年月日</w:t>
      </w:r>
    </w:p>
    <w:p w14:paraId="668907C4">
      <w:pPr>
        <w:rPr>
          <w:rFonts w:ascii="宋体" w:hAnsi="宋体"/>
          <w:color w:val="auto"/>
          <w:highlight w:val="none"/>
        </w:rPr>
      </w:pPr>
      <w:bookmarkStart w:id="335" w:name="_Toc529196577"/>
    </w:p>
    <w:p w14:paraId="1D1942EB">
      <w:pPr>
        <w:rPr>
          <w:rFonts w:ascii="宋体" w:hAnsi="宋体"/>
          <w:color w:val="auto"/>
          <w:highlight w:val="none"/>
        </w:rPr>
      </w:pPr>
    </w:p>
    <w:p w14:paraId="7D54720B">
      <w:pPr>
        <w:spacing w:after="240"/>
        <w:rPr>
          <w:b/>
          <w:color w:val="auto"/>
          <w:sz w:val="28"/>
          <w:szCs w:val="20"/>
          <w:highlight w:val="none"/>
        </w:rPr>
      </w:pPr>
      <w:r>
        <w:rPr>
          <w:rFonts w:hint="eastAsia" w:ascii="宋体" w:hAnsi="宋体"/>
          <w:b/>
          <w:color w:val="auto"/>
          <w:sz w:val="28"/>
          <w:szCs w:val="20"/>
          <w:highlight w:val="none"/>
        </w:rPr>
        <w:br w:type="page"/>
      </w:r>
      <w:bookmarkStart w:id="336" w:name="_Toc530470625"/>
      <w:bookmarkStart w:id="337" w:name="_Toc535938715"/>
      <w:r>
        <w:rPr>
          <w:rFonts w:hint="eastAsia"/>
          <w:b/>
          <w:color w:val="auto"/>
          <w:sz w:val="28"/>
          <w:szCs w:val="20"/>
          <w:highlight w:val="none"/>
        </w:rPr>
        <w:t>附件二：问题澄清通知（按广州公共资源交易中心问题澄清通知格式）</w:t>
      </w:r>
      <w:bookmarkEnd w:id="335"/>
      <w:bookmarkEnd w:id="336"/>
      <w:bookmarkEnd w:id="337"/>
      <w:bookmarkStart w:id="338" w:name="_Toc152042355"/>
      <w:bookmarkStart w:id="339" w:name="_Toc144974546"/>
    </w:p>
    <w:p w14:paraId="28ED5822">
      <w:pPr>
        <w:spacing w:after="240"/>
        <w:rPr>
          <w:b/>
          <w:color w:val="auto"/>
          <w:sz w:val="28"/>
          <w:szCs w:val="20"/>
          <w:highlight w:val="none"/>
        </w:rPr>
      </w:pPr>
      <w:bookmarkStart w:id="340" w:name="_Toc530470626"/>
      <w:bookmarkStart w:id="341" w:name="_Toc535938716"/>
      <w:bookmarkStart w:id="342" w:name="_Toc529196578"/>
      <w:r>
        <w:rPr>
          <w:rFonts w:hint="eastAsia"/>
          <w:b/>
          <w:color w:val="auto"/>
          <w:sz w:val="28"/>
          <w:szCs w:val="20"/>
          <w:highlight w:val="none"/>
        </w:rPr>
        <w:t>附件三：问题的澄清</w:t>
      </w:r>
      <w:bookmarkEnd w:id="338"/>
      <w:bookmarkStart w:id="343" w:name="_Toc152045579"/>
      <w:bookmarkStart w:id="344" w:name="_Toc384308263"/>
      <w:bookmarkStart w:id="345" w:name="_Toc369531568"/>
      <w:bookmarkStart w:id="346" w:name="_Toc300834999"/>
      <w:bookmarkStart w:id="347" w:name="_Toc3622"/>
      <w:bookmarkStart w:id="348" w:name="_Toc247514003"/>
      <w:bookmarkStart w:id="349" w:name="_Toc247527604"/>
      <w:bookmarkStart w:id="350" w:name="_Toc152042356"/>
      <w:bookmarkStart w:id="351" w:name="_Toc361508637"/>
      <w:bookmarkStart w:id="352" w:name="_Toc352691524"/>
      <w:r>
        <w:rPr>
          <w:rFonts w:hint="eastAsia"/>
          <w:b/>
          <w:color w:val="auto"/>
          <w:sz w:val="28"/>
          <w:szCs w:val="20"/>
          <w:highlight w:val="none"/>
        </w:rPr>
        <w:t>（按广州公共资源交易中心问题澄清格式）</w:t>
      </w:r>
      <w:bookmarkEnd w:id="340"/>
      <w:bookmarkEnd w:id="341"/>
      <w:bookmarkEnd w:id="342"/>
    </w:p>
    <w:bookmarkEnd w:id="339"/>
    <w:bookmarkEnd w:id="343"/>
    <w:bookmarkEnd w:id="344"/>
    <w:bookmarkEnd w:id="345"/>
    <w:bookmarkEnd w:id="346"/>
    <w:bookmarkEnd w:id="347"/>
    <w:bookmarkEnd w:id="348"/>
    <w:bookmarkEnd w:id="349"/>
    <w:bookmarkEnd w:id="350"/>
    <w:bookmarkEnd w:id="351"/>
    <w:bookmarkEnd w:id="352"/>
    <w:p w14:paraId="367DA59F">
      <w:pPr>
        <w:rPr>
          <w:rFonts w:ascii="宋体" w:hAnsi="宋体"/>
          <w:color w:val="auto"/>
          <w:highlight w:val="none"/>
        </w:rPr>
      </w:pPr>
    </w:p>
    <w:p w14:paraId="0F36D73F">
      <w:pPr>
        <w:spacing w:line="240" w:lineRule="exact"/>
        <w:ind w:left="1800" w:firstLine="137"/>
        <w:rPr>
          <w:rFonts w:ascii="宋体" w:hAnsi="宋体"/>
          <w:color w:val="auto"/>
          <w:highlight w:val="none"/>
        </w:rPr>
      </w:pPr>
    </w:p>
    <w:p w14:paraId="40A426D6">
      <w:pPr>
        <w:rPr>
          <w:rFonts w:ascii="宋体" w:hAnsi="宋体"/>
          <w:color w:val="auto"/>
          <w:highlight w:val="none"/>
        </w:rPr>
      </w:pPr>
    </w:p>
    <w:p w14:paraId="79EFECAA">
      <w:pPr>
        <w:pStyle w:val="3"/>
        <w:keepNext w:val="0"/>
        <w:keepLines w:val="0"/>
        <w:spacing w:line="240" w:lineRule="auto"/>
        <w:jc w:val="center"/>
        <w:rPr>
          <w:rFonts w:ascii="宋体" w:hAnsi="宋体"/>
          <w:color w:val="auto"/>
          <w:highlight w:val="none"/>
        </w:rPr>
      </w:pPr>
      <w:r>
        <w:rPr>
          <w:rFonts w:hint="eastAsia" w:ascii="宋体" w:hAnsi="宋体"/>
          <w:b w:val="0"/>
          <w:color w:val="auto"/>
          <w:highlight w:val="none"/>
        </w:rPr>
        <w:br w:type="page"/>
      </w:r>
      <w:bookmarkStart w:id="353" w:name="_Toc63769815"/>
      <w:r>
        <w:rPr>
          <w:rFonts w:hint="eastAsia" w:ascii="宋体" w:hAnsi="宋体"/>
          <w:color w:val="auto"/>
          <w:highlight w:val="none"/>
        </w:rPr>
        <w:t>第三章 评标办法（综合评估法）</w:t>
      </w:r>
      <w:bookmarkEnd w:id="353"/>
    </w:p>
    <w:p w14:paraId="12492162">
      <w:pPr>
        <w:pStyle w:val="5"/>
        <w:rPr>
          <w:rFonts w:ascii="宋体" w:hAnsi="宋体" w:cs="宋体"/>
          <w:color w:val="auto"/>
          <w:highlight w:val="none"/>
        </w:rPr>
      </w:pPr>
      <w:bookmarkStart w:id="354" w:name="_Toc8656911"/>
      <w:bookmarkStart w:id="355" w:name="_Toc11850344"/>
      <w:r>
        <w:rPr>
          <w:rFonts w:hint="eastAsia" w:ascii="宋体" w:hAnsi="宋体" w:cs="宋体"/>
          <w:color w:val="auto"/>
          <w:highlight w:val="none"/>
        </w:rPr>
        <w:t>评标办法前附表</w:t>
      </w:r>
    </w:p>
    <w:tbl>
      <w:tblPr>
        <w:tblStyle w:val="3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43"/>
        <w:gridCol w:w="9"/>
        <w:gridCol w:w="2004"/>
        <w:gridCol w:w="4989"/>
      </w:tblGrid>
      <w:tr w14:paraId="21CF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4" w:type="dxa"/>
            <w:gridSpan w:val="3"/>
            <w:vAlign w:val="center"/>
          </w:tcPr>
          <w:p w14:paraId="01FD33AE">
            <w:pPr>
              <w:jc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sz w:val="18"/>
                <w:szCs w:val="18"/>
                <w:highlight w:val="none"/>
              </w:rPr>
              <w:t>条款号</w:t>
            </w:r>
          </w:p>
        </w:tc>
        <w:tc>
          <w:tcPr>
            <w:tcW w:w="2004" w:type="dxa"/>
            <w:tcMar>
              <w:top w:w="0" w:type="dxa"/>
              <w:left w:w="57" w:type="dxa"/>
              <w:bottom w:w="0" w:type="dxa"/>
              <w:right w:w="57" w:type="dxa"/>
            </w:tcMar>
            <w:vAlign w:val="center"/>
          </w:tcPr>
          <w:p w14:paraId="441B2063">
            <w:pPr>
              <w:jc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sz w:val="18"/>
                <w:szCs w:val="18"/>
                <w:highlight w:val="none"/>
              </w:rPr>
              <w:t>评审因素</w:t>
            </w:r>
          </w:p>
        </w:tc>
        <w:tc>
          <w:tcPr>
            <w:tcW w:w="4989" w:type="dxa"/>
            <w:tcMar>
              <w:top w:w="0" w:type="dxa"/>
              <w:left w:w="57" w:type="dxa"/>
              <w:bottom w:w="0" w:type="dxa"/>
              <w:right w:w="57" w:type="dxa"/>
            </w:tcMar>
            <w:vAlign w:val="center"/>
          </w:tcPr>
          <w:p w14:paraId="6F14B2B7">
            <w:pPr>
              <w:jc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sz w:val="18"/>
                <w:szCs w:val="18"/>
                <w:highlight w:val="none"/>
              </w:rPr>
              <w:t>评审标准</w:t>
            </w:r>
          </w:p>
        </w:tc>
      </w:tr>
      <w:tr w14:paraId="68C0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jc w:val="center"/>
        </w:trPr>
        <w:tc>
          <w:tcPr>
            <w:tcW w:w="792" w:type="dxa"/>
            <w:vAlign w:val="center"/>
          </w:tcPr>
          <w:p w14:paraId="0EDBCFE2">
            <w:pPr>
              <w:jc w:val="center"/>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1</w:t>
            </w:r>
          </w:p>
        </w:tc>
        <w:tc>
          <w:tcPr>
            <w:tcW w:w="1452" w:type="dxa"/>
            <w:gridSpan w:val="2"/>
            <w:vAlign w:val="center"/>
          </w:tcPr>
          <w:p w14:paraId="47DD8FA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tc>
        <w:tc>
          <w:tcPr>
            <w:tcW w:w="2004" w:type="dxa"/>
            <w:tcMar>
              <w:top w:w="0" w:type="dxa"/>
              <w:left w:w="57" w:type="dxa"/>
              <w:bottom w:w="0" w:type="dxa"/>
              <w:right w:w="57" w:type="dxa"/>
            </w:tcMar>
            <w:vAlign w:val="center"/>
          </w:tcPr>
          <w:p w14:paraId="6F15055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中标候选人排序方法</w:t>
            </w:r>
          </w:p>
        </w:tc>
        <w:tc>
          <w:tcPr>
            <w:tcW w:w="4989" w:type="dxa"/>
            <w:tcMar>
              <w:top w:w="0" w:type="dxa"/>
              <w:left w:w="57" w:type="dxa"/>
              <w:bottom w:w="0" w:type="dxa"/>
              <w:right w:w="57" w:type="dxa"/>
            </w:tcMar>
            <w:vAlign w:val="center"/>
          </w:tcPr>
          <w:p w14:paraId="27A56CA8">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本次评标采用综合评估法。评标委员会对满足招标文件实质性要求的投标文件，按照本章第</w:t>
            </w:r>
            <w:r>
              <w:rPr>
                <w:rFonts w:cs="宋体" w:asciiTheme="minorEastAsia" w:hAnsiTheme="minorEastAsia" w:eastAsiaTheme="minorEastAsia"/>
                <w:color w:val="auto"/>
                <w:szCs w:val="21"/>
                <w:highlight w:val="none"/>
              </w:rPr>
              <w:t xml:space="preserve">2.2 </w:t>
            </w:r>
            <w:r>
              <w:rPr>
                <w:rFonts w:hint="eastAsia" w:cs="宋体" w:asciiTheme="minorEastAsia" w:hAnsiTheme="minorEastAsia" w:eastAsiaTheme="minorEastAsia"/>
                <w:color w:val="auto"/>
                <w:szCs w:val="21"/>
                <w:highlight w:val="none"/>
              </w:rPr>
              <w:t>款规定的评分标准进行打分，并按得分由高到低顺序推荐前三名作为中标候选人。综合评分相等时，以投标报价低的优先；投标报价也相等的，以监理大纲得分高的优先；如果监理大纲得分也相等，由评标委员会采用记名投票方式，以得票多的优先。</w:t>
            </w:r>
          </w:p>
        </w:tc>
      </w:tr>
      <w:tr w14:paraId="608C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92" w:type="dxa"/>
            <w:vMerge w:val="restart"/>
            <w:tcMar>
              <w:top w:w="0" w:type="dxa"/>
              <w:left w:w="57" w:type="dxa"/>
              <w:bottom w:w="0" w:type="dxa"/>
              <w:right w:w="57" w:type="dxa"/>
            </w:tcMar>
            <w:vAlign w:val="center"/>
          </w:tcPr>
          <w:p w14:paraId="4D3A9C08">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2.1.1</w:t>
            </w:r>
          </w:p>
        </w:tc>
        <w:tc>
          <w:tcPr>
            <w:tcW w:w="1452" w:type="dxa"/>
            <w:gridSpan w:val="2"/>
            <w:vMerge w:val="restart"/>
            <w:tcMar>
              <w:top w:w="0" w:type="dxa"/>
              <w:left w:w="57" w:type="dxa"/>
              <w:bottom w:w="0" w:type="dxa"/>
              <w:right w:w="57" w:type="dxa"/>
            </w:tcMar>
            <w:vAlign w:val="center"/>
          </w:tcPr>
          <w:p w14:paraId="7764C11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形式评审标准</w:t>
            </w:r>
          </w:p>
        </w:tc>
        <w:tc>
          <w:tcPr>
            <w:tcW w:w="2004" w:type="dxa"/>
            <w:tcMar>
              <w:top w:w="0" w:type="dxa"/>
              <w:left w:w="57" w:type="dxa"/>
              <w:bottom w:w="0" w:type="dxa"/>
              <w:right w:w="57" w:type="dxa"/>
            </w:tcMar>
            <w:vAlign w:val="center"/>
          </w:tcPr>
          <w:p w14:paraId="7563766D">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投标人名称</w:t>
            </w:r>
          </w:p>
        </w:tc>
        <w:tc>
          <w:tcPr>
            <w:tcW w:w="4989" w:type="dxa"/>
            <w:vAlign w:val="center"/>
          </w:tcPr>
          <w:p w14:paraId="2A771FAD">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与营业执照、资质证书一致，香港企业独立参加投标的，须与在广东省住房和城乡建设主管部门备案证明扫描件一致。</w:t>
            </w:r>
          </w:p>
        </w:tc>
      </w:tr>
      <w:tr w14:paraId="6544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792" w:type="dxa"/>
            <w:vMerge w:val="continue"/>
            <w:tcMar>
              <w:top w:w="0" w:type="dxa"/>
              <w:left w:w="57" w:type="dxa"/>
              <w:bottom w:w="0" w:type="dxa"/>
              <w:right w:w="57" w:type="dxa"/>
            </w:tcMar>
            <w:vAlign w:val="center"/>
          </w:tcPr>
          <w:p w14:paraId="0E2315E5">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6A1FC787">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0EE53F27">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投标函及投标函附录签字盖章</w:t>
            </w:r>
          </w:p>
        </w:tc>
        <w:tc>
          <w:tcPr>
            <w:tcW w:w="4989" w:type="dxa"/>
            <w:vAlign w:val="center"/>
          </w:tcPr>
          <w:p w14:paraId="2CD251DE">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有法定代表人或其委托代理人签字或加盖电子印章。由法定代表人签字的，应附法定代表人身份证明，由代理人签字的，应附授权委托书，身份证明或授权委托书应符合第六章“投标文件格式”的规定。</w:t>
            </w:r>
          </w:p>
        </w:tc>
      </w:tr>
      <w:tr w14:paraId="1D1E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92" w:type="dxa"/>
            <w:vMerge w:val="continue"/>
            <w:tcMar>
              <w:top w:w="0" w:type="dxa"/>
              <w:left w:w="57" w:type="dxa"/>
              <w:bottom w:w="0" w:type="dxa"/>
              <w:right w:w="57" w:type="dxa"/>
            </w:tcMar>
            <w:vAlign w:val="center"/>
          </w:tcPr>
          <w:p w14:paraId="22422A27">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57ECE095">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171B6775">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投标文件格式</w:t>
            </w:r>
          </w:p>
        </w:tc>
        <w:tc>
          <w:tcPr>
            <w:tcW w:w="4989" w:type="dxa"/>
            <w:vAlign w:val="center"/>
          </w:tcPr>
          <w:p w14:paraId="2A269D96">
            <w:pPr>
              <w:spacing w:line="240" w:lineRule="exac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投标函及投标函附录符合第六章“投标文件格式”的规定</w:t>
            </w:r>
          </w:p>
        </w:tc>
      </w:tr>
      <w:tr w14:paraId="3BB1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792" w:type="dxa"/>
            <w:vMerge w:val="continue"/>
            <w:tcMar>
              <w:top w:w="0" w:type="dxa"/>
              <w:left w:w="57" w:type="dxa"/>
              <w:bottom w:w="0" w:type="dxa"/>
              <w:right w:w="57" w:type="dxa"/>
            </w:tcMar>
            <w:vAlign w:val="center"/>
          </w:tcPr>
          <w:p w14:paraId="684C8760">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0593E776">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42C89411">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联合体投标人</w:t>
            </w:r>
          </w:p>
        </w:tc>
        <w:tc>
          <w:tcPr>
            <w:tcW w:w="4989" w:type="dxa"/>
            <w:vAlign w:val="center"/>
          </w:tcPr>
          <w:p w14:paraId="46B61648">
            <w:pPr>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不接受联合体投标。</w:t>
            </w:r>
          </w:p>
        </w:tc>
      </w:tr>
      <w:tr w14:paraId="7544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92" w:type="dxa"/>
            <w:vMerge w:val="continue"/>
            <w:tcMar>
              <w:top w:w="0" w:type="dxa"/>
              <w:left w:w="57" w:type="dxa"/>
              <w:bottom w:w="0" w:type="dxa"/>
              <w:right w:w="57" w:type="dxa"/>
            </w:tcMar>
            <w:vAlign w:val="center"/>
          </w:tcPr>
          <w:p w14:paraId="4606002F">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542539D2">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3968D60A">
            <w:pP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备选投标方案</w:t>
            </w:r>
          </w:p>
        </w:tc>
        <w:tc>
          <w:tcPr>
            <w:tcW w:w="4989" w:type="dxa"/>
            <w:vAlign w:val="center"/>
          </w:tcPr>
          <w:p w14:paraId="1BA9195D">
            <w:pPr>
              <w:spacing w:line="240" w:lineRule="exact"/>
              <w:rPr>
                <w:rFonts w:hint="default"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不允许提交备选投标方案。</w:t>
            </w:r>
          </w:p>
        </w:tc>
      </w:tr>
      <w:tr w14:paraId="6E14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92" w:type="dxa"/>
            <w:vMerge w:val="continue"/>
            <w:tcMar>
              <w:top w:w="0" w:type="dxa"/>
              <w:left w:w="57" w:type="dxa"/>
              <w:bottom w:w="0" w:type="dxa"/>
              <w:right w:w="57" w:type="dxa"/>
            </w:tcMar>
            <w:vAlign w:val="center"/>
          </w:tcPr>
          <w:p w14:paraId="675BE01A">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3A3BA11E">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66A98254">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投标人机器码</w:t>
            </w:r>
          </w:p>
        </w:tc>
        <w:tc>
          <w:tcPr>
            <w:tcW w:w="4989" w:type="dxa"/>
            <w:vAlign w:val="center"/>
          </w:tcPr>
          <w:p w14:paraId="210F9A48">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与本项目不同投标人机器码相同，视为不合格</w:t>
            </w:r>
          </w:p>
        </w:tc>
      </w:tr>
      <w:tr w14:paraId="7E6D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792" w:type="dxa"/>
            <w:vMerge w:val="restart"/>
            <w:tcMar>
              <w:top w:w="0" w:type="dxa"/>
              <w:left w:w="57" w:type="dxa"/>
              <w:bottom w:w="0" w:type="dxa"/>
              <w:right w:w="57" w:type="dxa"/>
            </w:tcMar>
            <w:vAlign w:val="center"/>
          </w:tcPr>
          <w:p w14:paraId="34C31D5D">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2.1.2</w:t>
            </w:r>
          </w:p>
        </w:tc>
        <w:tc>
          <w:tcPr>
            <w:tcW w:w="1452" w:type="dxa"/>
            <w:gridSpan w:val="2"/>
            <w:vMerge w:val="restart"/>
            <w:tcMar>
              <w:top w:w="0" w:type="dxa"/>
              <w:left w:w="57" w:type="dxa"/>
              <w:bottom w:w="0" w:type="dxa"/>
              <w:right w:w="57" w:type="dxa"/>
            </w:tcMar>
            <w:vAlign w:val="center"/>
          </w:tcPr>
          <w:p w14:paraId="1868C06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资格评审</w:t>
            </w:r>
          </w:p>
          <w:p w14:paraId="2DF87AD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准</w:t>
            </w:r>
          </w:p>
        </w:tc>
        <w:tc>
          <w:tcPr>
            <w:tcW w:w="2004" w:type="dxa"/>
            <w:tcMar>
              <w:top w:w="0" w:type="dxa"/>
              <w:left w:w="57" w:type="dxa"/>
              <w:bottom w:w="0" w:type="dxa"/>
              <w:right w:w="57" w:type="dxa"/>
            </w:tcMar>
            <w:vAlign w:val="center"/>
          </w:tcPr>
          <w:p w14:paraId="233F38E5">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营业执照和组织机构代码证</w:t>
            </w:r>
          </w:p>
        </w:tc>
        <w:tc>
          <w:tcPr>
            <w:tcW w:w="4989" w:type="dxa"/>
            <w:vAlign w:val="center"/>
          </w:tcPr>
          <w:p w14:paraId="0CE565EB">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符合</w:t>
            </w:r>
            <w:r>
              <w:rPr>
                <w:rFonts w:hint="eastAsia" w:cs="宋体" w:asciiTheme="minorEastAsia" w:hAnsiTheme="minorEastAsia" w:eastAsiaTheme="minorEastAsia"/>
                <w:color w:val="auto"/>
                <w:szCs w:val="21"/>
                <w:highlight w:val="none"/>
                <w:lang w:val="en-US" w:eastAsia="zh-CN"/>
              </w:rPr>
              <w:t>招标公告要求</w:t>
            </w:r>
            <w:r>
              <w:rPr>
                <w:rFonts w:hint="eastAsia" w:cs="宋体" w:asciiTheme="minorEastAsia" w:hAnsiTheme="minorEastAsia" w:eastAsiaTheme="minorEastAsia"/>
                <w:color w:val="auto"/>
                <w:szCs w:val="21"/>
                <w:highlight w:val="none"/>
              </w:rPr>
              <w:t>。</w:t>
            </w:r>
          </w:p>
        </w:tc>
      </w:tr>
      <w:tr w14:paraId="61AF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92" w:type="dxa"/>
            <w:vMerge w:val="continue"/>
            <w:tcMar>
              <w:top w:w="0" w:type="dxa"/>
              <w:left w:w="57" w:type="dxa"/>
              <w:bottom w:w="0" w:type="dxa"/>
              <w:right w:w="57" w:type="dxa"/>
            </w:tcMar>
            <w:vAlign w:val="center"/>
          </w:tcPr>
          <w:p w14:paraId="7533E840">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57B522D3">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06B569EB">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资质要求</w:t>
            </w:r>
          </w:p>
        </w:tc>
        <w:tc>
          <w:tcPr>
            <w:tcW w:w="4989" w:type="dxa"/>
            <w:vAlign w:val="center"/>
          </w:tcPr>
          <w:p w14:paraId="591A6CBD">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符合</w:t>
            </w:r>
            <w:r>
              <w:rPr>
                <w:rFonts w:hint="eastAsia" w:cs="宋体" w:asciiTheme="minorEastAsia" w:hAnsiTheme="minorEastAsia" w:eastAsiaTheme="minorEastAsia"/>
                <w:color w:val="auto"/>
                <w:szCs w:val="21"/>
                <w:highlight w:val="none"/>
                <w:lang w:val="en-US" w:eastAsia="zh-CN"/>
              </w:rPr>
              <w:t>招标公告要求。</w:t>
            </w:r>
          </w:p>
        </w:tc>
      </w:tr>
      <w:tr w14:paraId="1D50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2" w:type="dxa"/>
            <w:vMerge w:val="continue"/>
            <w:vAlign w:val="center"/>
          </w:tcPr>
          <w:p w14:paraId="4A0846C2">
            <w:pPr>
              <w:widowControl/>
              <w:jc w:val="left"/>
              <w:rPr>
                <w:rFonts w:cs="宋体" w:asciiTheme="minorEastAsia" w:hAnsiTheme="minorEastAsia" w:eastAsiaTheme="minorEastAsia"/>
                <w:color w:val="auto"/>
                <w:szCs w:val="21"/>
                <w:highlight w:val="none"/>
              </w:rPr>
            </w:pPr>
          </w:p>
        </w:tc>
        <w:tc>
          <w:tcPr>
            <w:tcW w:w="1452" w:type="dxa"/>
            <w:gridSpan w:val="2"/>
            <w:vMerge w:val="continue"/>
            <w:vAlign w:val="center"/>
          </w:tcPr>
          <w:p w14:paraId="50E4BB29">
            <w:pPr>
              <w:widowControl/>
              <w:jc w:val="left"/>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5BCFE77F">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总监理工程师</w:t>
            </w:r>
          </w:p>
        </w:tc>
        <w:tc>
          <w:tcPr>
            <w:tcW w:w="4989" w:type="dxa"/>
            <w:vAlign w:val="center"/>
          </w:tcPr>
          <w:p w14:paraId="142B36EB">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符合</w:t>
            </w:r>
            <w:r>
              <w:rPr>
                <w:rFonts w:hint="eastAsia" w:cs="宋体" w:asciiTheme="minorEastAsia" w:hAnsiTheme="minorEastAsia" w:eastAsiaTheme="minorEastAsia"/>
                <w:color w:val="auto"/>
                <w:szCs w:val="21"/>
                <w:highlight w:val="none"/>
                <w:lang w:val="en-US" w:eastAsia="zh-CN"/>
              </w:rPr>
              <w:t>招标公告要求。</w:t>
            </w:r>
          </w:p>
        </w:tc>
      </w:tr>
      <w:tr w14:paraId="64FF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792" w:type="dxa"/>
            <w:vMerge w:val="continue"/>
            <w:vAlign w:val="center"/>
          </w:tcPr>
          <w:p w14:paraId="202BFDAB">
            <w:pPr>
              <w:widowControl/>
              <w:jc w:val="left"/>
              <w:rPr>
                <w:rFonts w:cs="宋体" w:asciiTheme="minorEastAsia" w:hAnsiTheme="minorEastAsia" w:eastAsiaTheme="minorEastAsia"/>
                <w:color w:val="auto"/>
                <w:szCs w:val="21"/>
                <w:highlight w:val="none"/>
              </w:rPr>
            </w:pPr>
          </w:p>
        </w:tc>
        <w:tc>
          <w:tcPr>
            <w:tcW w:w="1452" w:type="dxa"/>
            <w:gridSpan w:val="2"/>
            <w:vMerge w:val="continue"/>
            <w:vAlign w:val="center"/>
          </w:tcPr>
          <w:p w14:paraId="5A9EC87E">
            <w:pPr>
              <w:widowControl/>
              <w:jc w:val="left"/>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3C798EE0">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其他要求</w:t>
            </w:r>
          </w:p>
        </w:tc>
        <w:tc>
          <w:tcPr>
            <w:tcW w:w="4989" w:type="dxa"/>
            <w:vAlign w:val="center"/>
          </w:tcPr>
          <w:p w14:paraId="0C2995AF">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符合</w:t>
            </w:r>
            <w:r>
              <w:rPr>
                <w:rFonts w:hint="eastAsia" w:cs="宋体" w:asciiTheme="minorEastAsia" w:hAnsiTheme="minorEastAsia" w:eastAsiaTheme="minorEastAsia"/>
                <w:color w:val="auto"/>
                <w:szCs w:val="21"/>
                <w:highlight w:val="none"/>
                <w:lang w:val="en-US" w:eastAsia="zh-CN"/>
              </w:rPr>
              <w:t>招标公告要求。</w:t>
            </w:r>
          </w:p>
        </w:tc>
      </w:tr>
      <w:tr w14:paraId="19C5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792" w:type="dxa"/>
            <w:vMerge w:val="continue"/>
            <w:vAlign w:val="center"/>
          </w:tcPr>
          <w:p w14:paraId="05083E2F">
            <w:pPr>
              <w:widowControl/>
              <w:jc w:val="left"/>
              <w:rPr>
                <w:rFonts w:cs="宋体" w:asciiTheme="minorEastAsia" w:hAnsiTheme="minorEastAsia" w:eastAsiaTheme="minorEastAsia"/>
                <w:color w:val="auto"/>
                <w:szCs w:val="21"/>
                <w:highlight w:val="none"/>
              </w:rPr>
            </w:pPr>
          </w:p>
        </w:tc>
        <w:tc>
          <w:tcPr>
            <w:tcW w:w="1452" w:type="dxa"/>
            <w:gridSpan w:val="2"/>
            <w:vMerge w:val="continue"/>
            <w:vAlign w:val="center"/>
          </w:tcPr>
          <w:p w14:paraId="61211709">
            <w:pPr>
              <w:widowControl/>
              <w:jc w:val="left"/>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2C93A7F1">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联合体投标人</w:t>
            </w:r>
          </w:p>
        </w:tc>
        <w:tc>
          <w:tcPr>
            <w:tcW w:w="4989" w:type="dxa"/>
            <w:vAlign w:val="center"/>
          </w:tcPr>
          <w:p w14:paraId="1E18539B">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不接受联合体投标。</w:t>
            </w:r>
          </w:p>
        </w:tc>
      </w:tr>
      <w:tr w14:paraId="7605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792" w:type="dxa"/>
            <w:vMerge w:val="continue"/>
            <w:vAlign w:val="center"/>
          </w:tcPr>
          <w:p w14:paraId="1C2E87EB">
            <w:pPr>
              <w:widowControl/>
              <w:jc w:val="left"/>
              <w:rPr>
                <w:rFonts w:cs="宋体" w:asciiTheme="minorEastAsia" w:hAnsiTheme="minorEastAsia" w:eastAsiaTheme="minorEastAsia"/>
                <w:color w:val="auto"/>
                <w:szCs w:val="21"/>
                <w:highlight w:val="none"/>
              </w:rPr>
            </w:pPr>
          </w:p>
        </w:tc>
        <w:tc>
          <w:tcPr>
            <w:tcW w:w="1452" w:type="dxa"/>
            <w:gridSpan w:val="2"/>
            <w:vMerge w:val="continue"/>
            <w:vAlign w:val="center"/>
          </w:tcPr>
          <w:p w14:paraId="6FCB0E76">
            <w:pPr>
              <w:widowControl/>
              <w:jc w:val="left"/>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tcPr>
          <w:p w14:paraId="3A74CD98">
            <w:pPr>
              <w:spacing w:line="24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不存在禁止投标的情形</w:t>
            </w:r>
          </w:p>
        </w:tc>
        <w:tc>
          <w:tcPr>
            <w:tcW w:w="4989" w:type="dxa"/>
          </w:tcPr>
          <w:p w14:paraId="7D7545CD">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不存在第二章“投标人须知”第</w:t>
            </w:r>
            <w:r>
              <w:rPr>
                <w:rFonts w:cs="宋体" w:asciiTheme="minorEastAsia" w:hAnsiTheme="minorEastAsia" w:eastAsiaTheme="minorEastAsia"/>
                <w:color w:val="auto"/>
                <w:szCs w:val="21"/>
                <w:highlight w:val="none"/>
              </w:rPr>
              <w:t xml:space="preserve"> 1.4.3 </w:t>
            </w:r>
            <w:r>
              <w:rPr>
                <w:rFonts w:hint="eastAsia" w:cs="宋体" w:asciiTheme="minorEastAsia" w:hAnsiTheme="minorEastAsia" w:eastAsiaTheme="minorEastAsia"/>
                <w:color w:val="auto"/>
                <w:szCs w:val="21"/>
                <w:highlight w:val="none"/>
              </w:rPr>
              <w:t>项规定的任何一种情形（以《投标人声明》为准）</w:t>
            </w:r>
          </w:p>
        </w:tc>
      </w:tr>
      <w:tr w14:paraId="43EF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792" w:type="dxa"/>
            <w:vMerge w:val="restart"/>
            <w:tcMar>
              <w:top w:w="0" w:type="dxa"/>
              <w:left w:w="57" w:type="dxa"/>
              <w:bottom w:w="0" w:type="dxa"/>
              <w:right w:w="57" w:type="dxa"/>
            </w:tcMar>
            <w:vAlign w:val="center"/>
          </w:tcPr>
          <w:p w14:paraId="40704D81">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2.1.3</w:t>
            </w:r>
          </w:p>
        </w:tc>
        <w:tc>
          <w:tcPr>
            <w:tcW w:w="1452" w:type="dxa"/>
            <w:gridSpan w:val="2"/>
            <w:vMerge w:val="restart"/>
            <w:tcMar>
              <w:top w:w="0" w:type="dxa"/>
              <w:left w:w="57" w:type="dxa"/>
              <w:bottom w:w="0" w:type="dxa"/>
              <w:right w:w="57" w:type="dxa"/>
            </w:tcMar>
            <w:vAlign w:val="center"/>
          </w:tcPr>
          <w:p w14:paraId="785D65F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响应性评审标准</w:t>
            </w:r>
          </w:p>
        </w:tc>
        <w:tc>
          <w:tcPr>
            <w:tcW w:w="2004" w:type="dxa"/>
            <w:tcMar>
              <w:top w:w="0" w:type="dxa"/>
              <w:left w:w="57" w:type="dxa"/>
              <w:bottom w:w="0" w:type="dxa"/>
              <w:right w:w="57" w:type="dxa"/>
            </w:tcMar>
            <w:vAlign w:val="center"/>
          </w:tcPr>
          <w:p w14:paraId="523D096F">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w:t>
            </w:r>
          </w:p>
        </w:tc>
        <w:tc>
          <w:tcPr>
            <w:tcW w:w="4989" w:type="dxa"/>
            <w:vAlign w:val="center"/>
          </w:tcPr>
          <w:p w14:paraId="341A58B9">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投标文件所列投标人名称、项目（总监）负责人与投标登记时一致；</w:t>
            </w:r>
          </w:p>
        </w:tc>
      </w:tr>
      <w:tr w14:paraId="2EDF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792" w:type="dxa"/>
            <w:vMerge w:val="continue"/>
            <w:tcMar>
              <w:top w:w="0" w:type="dxa"/>
              <w:left w:w="57" w:type="dxa"/>
              <w:bottom w:w="0" w:type="dxa"/>
              <w:right w:w="57" w:type="dxa"/>
            </w:tcMar>
            <w:vAlign w:val="center"/>
          </w:tcPr>
          <w:p w14:paraId="4805C86A">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55834150">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6CBCA3D9">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投标报价</w:t>
            </w:r>
          </w:p>
        </w:tc>
        <w:tc>
          <w:tcPr>
            <w:tcW w:w="4989" w:type="dxa"/>
            <w:vAlign w:val="center"/>
          </w:tcPr>
          <w:p w14:paraId="2B1F56D8">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符合第二章“投标人须知”第</w:t>
            </w:r>
            <w:r>
              <w:rPr>
                <w:rFonts w:cs="宋体" w:asciiTheme="minorEastAsia" w:hAnsiTheme="minorEastAsia" w:eastAsiaTheme="minorEastAsia"/>
                <w:color w:val="auto"/>
                <w:szCs w:val="21"/>
                <w:highlight w:val="none"/>
              </w:rPr>
              <w:t xml:space="preserve"> 3.2 </w:t>
            </w:r>
            <w:r>
              <w:rPr>
                <w:rFonts w:hint="eastAsia" w:cs="宋体" w:asciiTheme="minorEastAsia" w:hAnsiTheme="minorEastAsia" w:eastAsiaTheme="minorEastAsia"/>
                <w:color w:val="auto"/>
                <w:szCs w:val="21"/>
                <w:highlight w:val="none"/>
              </w:rPr>
              <w:t>款规定进行投标报价的；对同一招标项目没有出现两个或以上的投标报价，且修正无依据；</w:t>
            </w:r>
          </w:p>
        </w:tc>
      </w:tr>
      <w:tr w14:paraId="7069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792" w:type="dxa"/>
            <w:vMerge w:val="continue"/>
            <w:tcMar>
              <w:top w:w="0" w:type="dxa"/>
              <w:left w:w="57" w:type="dxa"/>
              <w:bottom w:w="0" w:type="dxa"/>
              <w:right w:w="57" w:type="dxa"/>
            </w:tcMar>
            <w:vAlign w:val="center"/>
          </w:tcPr>
          <w:p w14:paraId="3C4B5071">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377B0B3A">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15182E89">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投标内容</w:t>
            </w:r>
          </w:p>
        </w:tc>
        <w:tc>
          <w:tcPr>
            <w:tcW w:w="4989" w:type="dxa"/>
            <w:vAlign w:val="center"/>
          </w:tcPr>
          <w:p w14:paraId="5A66EEF3">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符合第二章“投标人须知”第</w:t>
            </w:r>
            <w:r>
              <w:rPr>
                <w:rFonts w:cs="宋体" w:asciiTheme="minorEastAsia" w:hAnsiTheme="minorEastAsia" w:eastAsiaTheme="minorEastAsia"/>
                <w:color w:val="auto"/>
                <w:szCs w:val="21"/>
                <w:highlight w:val="none"/>
              </w:rPr>
              <w:t xml:space="preserve"> 1.3.1 </w:t>
            </w:r>
            <w:r>
              <w:rPr>
                <w:rFonts w:hint="eastAsia" w:cs="宋体" w:asciiTheme="minorEastAsia" w:hAnsiTheme="minorEastAsia" w:eastAsiaTheme="minorEastAsia"/>
                <w:color w:val="auto"/>
                <w:szCs w:val="21"/>
                <w:highlight w:val="none"/>
              </w:rPr>
              <w:t>项规定，投标文件按规定的格式填写，内容齐全或关键字迹清晰、容易辨认；</w:t>
            </w:r>
          </w:p>
        </w:tc>
      </w:tr>
      <w:tr w14:paraId="3E02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Merge w:val="continue"/>
            <w:tcMar>
              <w:top w:w="0" w:type="dxa"/>
              <w:left w:w="57" w:type="dxa"/>
              <w:bottom w:w="0" w:type="dxa"/>
              <w:right w:w="57" w:type="dxa"/>
            </w:tcMar>
            <w:vAlign w:val="center"/>
          </w:tcPr>
          <w:p w14:paraId="3C4817F1">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2689D4F5">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4536536B">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监理服务期限</w:t>
            </w:r>
          </w:p>
        </w:tc>
        <w:tc>
          <w:tcPr>
            <w:tcW w:w="4989" w:type="dxa"/>
            <w:vAlign w:val="center"/>
          </w:tcPr>
          <w:p w14:paraId="0ED7C5E2">
            <w:pPr>
              <w:spacing w:line="24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符合第二章“投标人须知”第</w:t>
            </w:r>
            <w:r>
              <w:rPr>
                <w:rFonts w:cs="宋体" w:asciiTheme="minorEastAsia" w:hAnsiTheme="minorEastAsia" w:eastAsiaTheme="minorEastAsia"/>
                <w:color w:val="auto"/>
                <w:szCs w:val="21"/>
                <w:highlight w:val="none"/>
              </w:rPr>
              <w:t xml:space="preserve"> 1.3.2 </w:t>
            </w:r>
            <w:r>
              <w:rPr>
                <w:rFonts w:hint="eastAsia" w:cs="宋体" w:asciiTheme="minorEastAsia" w:hAnsiTheme="minorEastAsia" w:eastAsiaTheme="minorEastAsia"/>
                <w:color w:val="auto"/>
                <w:szCs w:val="21"/>
                <w:highlight w:val="none"/>
              </w:rPr>
              <w:t>项规定</w:t>
            </w:r>
            <w:r>
              <w:rPr>
                <w:rFonts w:hint="eastAsia" w:cs="宋体" w:asciiTheme="minorEastAsia" w:hAnsiTheme="minorEastAsia" w:eastAsiaTheme="minorEastAsia"/>
                <w:color w:val="auto"/>
                <w:szCs w:val="21"/>
                <w:highlight w:val="none"/>
                <w:lang w:eastAsia="zh-CN"/>
              </w:rPr>
              <w:t>；</w:t>
            </w:r>
          </w:p>
        </w:tc>
      </w:tr>
      <w:tr w14:paraId="2CD1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Merge w:val="continue"/>
            <w:tcMar>
              <w:top w:w="0" w:type="dxa"/>
              <w:left w:w="57" w:type="dxa"/>
              <w:bottom w:w="0" w:type="dxa"/>
              <w:right w:w="57" w:type="dxa"/>
            </w:tcMar>
            <w:vAlign w:val="center"/>
          </w:tcPr>
          <w:p w14:paraId="12B5545F">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4E1A814C">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5D0AC482">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质量标准</w:t>
            </w:r>
          </w:p>
        </w:tc>
        <w:tc>
          <w:tcPr>
            <w:tcW w:w="4989" w:type="dxa"/>
            <w:vAlign w:val="center"/>
          </w:tcPr>
          <w:p w14:paraId="64017C04">
            <w:pPr>
              <w:spacing w:line="24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符合第二章“投标人须知”第</w:t>
            </w:r>
            <w:r>
              <w:rPr>
                <w:rFonts w:cs="宋体" w:asciiTheme="minorEastAsia" w:hAnsiTheme="minorEastAsia" w:eastAsiaTheme="minorEastAsia"/>
                <w:color w:val="auto"/>
                <w:szCs w:val="21"/>
                <w:highlight w:val="none"/>
              </w:rPr>
              <w:t xml:space="preserve"> 1.3.3 </w:t>
            </w:r>
            <w:r>
              <w:rPr>
                <w:rFonts w:hint="eastAsia" w:cs="宋体" w:asciiTheme="minorEastAsia" w:hAnsiTheme="minorEastAsia" w:eastAsiaTheme="minorEastAsia"/>
                <w:color w:val="auto"/>
                <w:szCs w:val="21"/>
                <w:highlight w:val="none"/>
              </w:rPr>
              <w:t>项规定</w:t>
            </w:r>
            <w:r>
              <w:rPr>
                <w:rFonts w:hint="eastAsia" w:cs="宋体" w:asciiTheme="minorEastAsia" w:hAnsiTheme="minorEastAsia" w:eastAsiaTheme="minorEastAsia"/>
                <w:color w:val="auto"/>
                <w:szCs w:val="21"/>
                <w:highlight w:val="none"/>
                <w:lang w:eastAsia="zh-CN"/>
              </w:rPr>
              <w:t>；</w:t>
            </w:r>
          </w:p>
        </w:tc>
      </w:tr>
      <w:tr w14:paraId="25B3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792" w:type="dxa"/>
            <w:vMerge w:val="continue"/>
            <w:tcMar>
              <w:top w:w="0" w:type="dxa"/>
              <w:left w:w="57" w:type="dxa"/>
              <w:bottom w:w="0" w:type="dxa"/>
              <w:right w:w="57" w:type="dxa"/>
            </w:tcMar>
            <w:vAlign w:val="center"/>
          </w:tcPr>
          <w:p w14:paraId="5A4822A6">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52BA63BA">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18868DA4">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投标有效期</w:t>
            </w:r>
          </w:p>
        </w:tc>
        <w:tc>
          <w:tcPr>
            <w:tcW w:w="4989" w:type="dxa"/>
            <w:vAlign w:val="center"/>
          </w:tcPr>
          <w:p w14:paraId="7B02F097">
            <w:pPr>
              <w:spacing w:line="24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符合第二章“投标人须知”第</w:t>
            </w:r>
            <w:r>
              <w:rPr>
                <w:rFonts w:cs="宋体" w:asciiTheme="minorEastAsia" w:hAnsiTheme="minorEastAsia" w:eastAsiaTheme="minorEastAsia"/>
                <w:color w:val="auto"/>
                <w:szCs w:val="21"/>
                <w:highlight w:val="none"/>
              </w:rPr>
              <w:t xml:space="preserve"> 3.3.1 </w:t>
            </w:r>
            <w:r>
              <w:rPr>
                <w:rFonts w:hint="eastAsia" w:cs="宋体" w:asciiTheme="minorEastAsia" w:hAnsiTheme="minorEastAsia" w:eastAsiaTheme="minorEastAsia"/>
                <w:color w:val="auto"/>
                <w:szCs w:val="21"/>
                <w:highlight w:val="none"/>
              </w:rPr>
              <w:t>项规定</w:t>
            </w:r>
            <w:r>
              <w:rPr>
                <w:rFonts w:hint="eastAsia" w:cs="宋体" w:asciiTheme="minorEastAsia" w:hAnsiTheme="minorEastAsia" w:eastAsiaTheme="minorEastAsia"/>
                <w:color w:val="auto"/>
                <w:szCs w:val="21"/>
                <w:highlight w:val="none"/>
                <w:lang w:eastAsia="zh-CN"/>
              </w:rPr>
              <w:t>；</w:t>
            </w:r>
          </w:p>
        </w:tc>
      </w:tr>
      <w:tr w14:paraId="7D80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792" w:type="dxa"/>
            <w:vMerge w:val="continue"/>
            <w:tcMar>
              <w:top w:w="0" w:type="dxa"/>
              <w:left w:w="57" w:type="dxa"/>
              <w:bottom w:w="0" w:type="dxa"/>
              <w:right w:w="57" w:type="dxa"/>
            </w:tcMar>
            <w:vAlign w:val="center"/>
          </w:tcPr>
          <w:p w14:paraId="4299BA8A">
            <w:pPr>
              <w:jc w:val="center"/>
              <w:rPr>
                <w:rFonts w:cs="宋体" w:asciiTheme="minorEastAsia" w:hAnsiTheme="minorEastAsia" w:eastAsiaTheme="minorEastAsia"/>
                <w:color w:val="auto"/>
                <w:szCs w:val="21"/>
                <w:highlight w:val="none"/>
              </w:rPr>
            </w:pPr>
          </w:p>
        </w:tc>
        <w:tc>
          <w:tcPr>
            <w:tcW w:w="1452" w:type="dxa"/>
            <w:gridSpan w:val="2"/>
            <w:vMerge w:val="continue"/>
            <w:tcMar>
              <w:top w:w="0" w:type="dxa"/>
              <w:left w:w="57" w:type="dxa"/>
              <w:bottom w:w="0" w:type="dxa"/>
              <w:right w:w="57" w:type="dxa"/>
            </w:tcMar>
            <w:vAlign w:val="center"/>
          </w:tcPr>
          <w:p w14:paraId="0D64B142">
            <w:pPr>
              <w:jc w:val="center"/>
              <w:rPr>
                <w:rFonts w:cs="宋体" w:asciiTheme="minorEastAsia" w:hAnsiTheme="minorEastAsia" w:eastAsiaTheme="minorEastAsia"/>
                <w:color w:val="auto"/>
                <w:szCs w:val="21"/>
                <w:highlight w:val="none"/>
              </w:rPr>
            </w:pPr>
          </w:p>
        </w:tc>
        <w:tc>
          <w:tcPr>
            <w:tcW w:w="2004" w:type="dxa"/>
            <w:tcMar>
              <w:top w:w="0" w:type="dxa"/>
              <w:left w:w="57" w:type="dxa"/>
              <w:bottom w:w="0" w:type="dxa"/>
              <w:right w:w="57" w:type="dxa"/>
            </w:tcMar>
            <w:vAlign w:val="center"/>
          </w:tcPr>
          <w:p w14:paraId="41F7A02F">
            <w:pPr>
              <w:autoSpaceDE w:val="0"/>
              <w:autoSpaceDN w:val="0"/>
              <w:spacing w:before="44"/>
              <w:ind w:left="-4" w:leftChars="-2"/>
              <w:jc w:val="left"/>
              <w:rPr>
                <w:rFonts w:cs="宋体" w:asciiTheme="minorEastAsia" w:hAnsiTheme="minorEastAsia" w:eastAsiaTheme="minorEastAsia"/>
                <w:strike/>
                <w:color w:val="auto"/>
                <w:szCs w:val="21"/>
                <w:highlight w:val="none"/>
              </w:rPr>
            </w:pPr>
            <w:r>
              <w:rPr>
                <w:rFonts w:hint="eastAsia" w:cs="宋体" w:asciiTheme="minorEastAsia" w:hAnsiTheme="minorEastAsia" w:eastAsiaTheme="minorEastAsia"/>
                <w:color w:val="auto"/>
                <w:szCs w:val="21"/>
                <w:highlight w:val="none"/>
              </w:rPr>
              <w:t>串通投标情形</w:t>
            </w:r>
          </w:p>
        </w:tc>
        <w:tc>
          <w:tcPr>
            <w:tcW w:w="4989" w:type="dxa"/>
            <w:vAlign w:val="center"/>
          </w:tcPr>
          <w:p w14:paraId="5CA6E370">
            <w:pPr>
              <w:autoSpaceDE w:val="0"/>
              <w:autoSpaceDN w:val="0"/>
              <w:adjustRightInd w:val="0"/>
              <w:snapToGrid w:val="0"/>
              <w:spacing w:line="276" w:lineRule="auto"/>
              <w:rPr>
                <w:rFonts w:cs="宋体" w:asciiTheme="minorEastAsia" w:hAnsiTheme="minorEastAsia" w:eastAsiaTheme="minorEastAsia"/>
                <w:strike/>
                <w:color w:val="auto"/>
                <w:szCs w:val="21"/>
                <w:highlight w:val="none"/>
              </w:rPr>
            </w:pPr>
            <w:r>
              <w:rPr>
                <w:rFonts w:hint="eastAsia" w:cs="宋体" w:asciiTheme="minorEastAsia" w:hAnsiTheme="minorEastAsia" w:eastAsiaTheme="minorEastAsia"/>
                <w:color w:val="auto"/>
                <w:szCs w:val="21"/>
                <w:highlight w:val="none"/>
              </w:rPr>
              <w:t>不存在串通投标情形（串通投标情形以《中华人民共和国招标投标法实施条例》的规定为准）。</w:t>
            </w:r>
          </w:p>
        </w:tc>
      </w:tr>
      <w:tr w14:paraId="128A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244" w:type="dxa"/>
            <w:gridSpan w:val="3"/>
            <w:tcMar>
              <w:top w:w="0" w:type="dxa"/>
              <w:left w:w="57" w:type="dxa"/>
              <w:bottom w:w="0" w:type="dxa"/>
              <w:right w:w="57" w:type="dxa"/>
            </w:tcMar>
            <w:vAlign w:val="center"/>
          </w:tcPr>
          <w:p w14:paraId="2779EF52">
            <w:pPr>
              <w:jc w:val="center"/>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条款号</w:t>
            </w:r>
          </w:p>
        </w:tc>
        <w:tc>
          <w:tcPr>
            <w:tcW w:w="2004" w:type="dxa"/>
            <w:tcMar>
              <w:top w:w="0" w:type="dxa"/>
              <w:left w:w="57" w:type="dxa"/>
              <w:bottom w:w="0" w:type="dxa"/>
              <w:right w:w="57" w:type="dxa"/>
            </w:tcMar>
            <w:vAlign w:val="center"/>
          </w:tcPr>
          <w:p w14:paraId="5C1EBCA3">
            <w:pPr>
              <w:jc w:val="center"/>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条款内容</w:t>
            </w:r>
          </w:p>
        </w:tc>
        <w:tc>
          <w:tcPr>
            <w:tcW w:w="4989" w:type="dxa"/>
            <w:vAlign w:val="center"/>
          </w:tcPr>
          <w:p w14:paraId="59414A7D">
            <w:pPr>
              <w:jc w:val="center"/>
              <w:rPr>
                <w:rFonts w:cs="宋体" w:asciiTheme="minorEastAsia" w:hAnsiTheme="minorEastAsia" w:eastAsiaTheme="minorEastAsia"/>
                <w:b/>
                <w:bCs/>
                <w:color w:val="auto"/>
                <w:sz w:val="18"/>
                <w:szCs w:val="18"/>
                <w:highlight w:val="none"/>
                <w:u w:val="single"/>
              </w:rPr>
            </w:pPr>
            <w:r>
              <w:rPr>
                <w:rFonts w:hint="eastAsia" w:cs="宋体" w:asciiTheme="minorEastAsia" w:hAnsiTheme="minorEastAsia" w:eastAsiaTheme="minorEastAsia"/>
                <w:b/>
                <w:bCs/>
                <w:color w:val="auto"/>
                <w:sz w:val="18"/>
                <w:szCs w:val="18"/>
                <w:highlight w:val="none"/>
                <w:u w:val="single"/>
              </w:rPr>
              <w:t>编列内容</w:t>
            </w:r>
          </w:p>
        </w:tc>
      </w:tr>
      <w:tr w14:paraId="638E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gridSpan w:val="3"/>
            <w:tcMar>
              <w:top w:w="0" w:type="dxa"/>
              <w:left w:w="57" w:type="dxa"/>
              <w:bottom w:w="0" w:type="dxa"/>
              <w:right w:w="57" w:type="dxa"/>
            </w:tcMar>
            <w:vAlign w:val="center"/>
          </w:tcPr>
          <w:p w14:paraId="71FD8A4D">
            <w:pPr>
              <w:jc w:val="center"/>
              <w:rPr>
                <w:rFonts w:cs="宋体" w:asciiTheme="minorEastAsia" w:hAnsiTheme="minorEastAsia" w:eastAsiaTheme="minorEastAsia"/>
                <w:color w:val="auto"/>
                <w:sz w:val="18"/>
                <w:szCs w:val="18"/>
                <w:highlight w:val="none"/>
              </w:rPr>
            </w:pPr>
            <w:r>
              <w:rPr>
                <w:rFonts w:cs="宋体" w:asciiTheme="minorEastAsia" w:hAnsiTheme="minorEastAsia" w:eastAsiaTheme="minorEastAsia"/>
                <w:color w:val="auto"/>
                <w:sz w:val="18"/>
                <w:szCs w:val="18"/>
                <w:highlight w:val="none"/>
              </w:rPr>
              <w:t>2.2.1</w:t>
            </w:r>
          </w:p>
        </w:tc>
        <w:tc>
          <w:tcPr>
            <w:tcW w:w="2004" w:type="dxa"/>
            <w:tcMar>
              <w:top w:w="0" w:type="dxa"/>
              <w:left w:w="57" w:type="dxa"/>
              <w:bottom w:w="0" w:type="dxa"/>
              <w:right w:w="57" w:type="dxa"/>
            </w:tcMar>
            <w:vAlign w:val="center"/>
          </w:tcPr>
          <w:p w14:paraId="703DDBAF">
            <w:pPr>
              <w:spacing w:line="44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分值构成</w:t>
            </w:r>
          </w:p>
          <w:p w14:paraId="017BDB15">
            <w:pPr>
              <w:spacing w:line="44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 xml:space="preserve">(总分100分) </w:t>
            </w:r>
          </w:p>
        </w:tc>
        <w:tc>
          <w:tcPr>
            <w:tcW w:w="4989" w:type="dxa"/>
            <w:vAlign w:val="center"/>
          </w:tcPr>
          <w:p w14:paraId="4C53317C">
            <w:pPr>
              <w:jc w:val="left"/>
              <w:rPr>
                <w:rStyle w:val="222"/>
                <w:rFonts w:asciiTheme="minorEastAsia" w:hAnsiTheme="minorEastAsia" w:eastAsiaTheme="minorEastAsia"/>
                <w:color w:val="auto"/>
                <w:szCs w:val="21"/>
                <w:highlight w:val="none"/>
              </w:rPr>
            </w:pPr>
            <w:r>
              <w:rPr>
                <w:rStyle w:val="222"/>
                <w:rFonts w:asciiTheme="minorEastAsia" w:hAnsiTheme="minorEastAsia" w:eastAsiaTheme="minorEastAsia"/>
                <w:color w:val="auto"/>
                <w:szCs w:val="21"/>
                <w:highlight w:val="none"/>
              </w:rPr>
              <w:t>资信业绩部分：</w:t>
            </w:r>
            <w:r>
              <w:rPr>
                <w:rStyle w:val="222"/>
                <w:rFonts w:hint="eastAsia" w:asciiTheme="minorEastAsia" w:hAnsiTheme="minorEastAsia" w:eastAsiaTheme="minorEastAsia"/>
                <w:b/>
                <w:bCs/>
                <w:color w:val="auto"/>
                <w:szCs w:val="21"/>
                <w:highlight w:val="none"/>
                <w:u w:val="single"/>
                <w:lang w:val="en-US" w:eastAsia="zh-CN"/>
              </w:rPr>
              <w:t>40</w:t>
            </w:r>
            <w:r>
              <w:rPr>
                <w:rStyle w:val="222"/>
                <w:rFonts w:asciiTheme="minorEastAsia" w:hAnsiTheme="minorEastAsia" w:eastAsiaTheme="minorEastAsia"/>
                <w:b/>
                <w:bCs/>
                <w:color w:val="auto"/>
                <w:szCs w:val="21"/>
                <w:highlight w:val="none"/>
              </w:rPr>
              <w:t>分</w:t>
            </w:r>
          </w:p>
          <w:p w14:paraId="6B2100D6">
            <w:pPr>
              <w:jc w:val="left"/>
              <w:rPr>
                <w:rStyle w:val="222"/>
                <w:rFonts w:asciiTheme="minorEastAsia" w:hAnsiTheme="minorEastAsia" w:eastAsiaTheme="minorEastAsia"/>
                <w:color w:val="auto"/>
                <w:szCs w:val="21"/>
                <w:highlight w:val="none"/>
              </w:rPr>
            </w:pPr>
            <w:r>
              <w:rPr>
                <w:rStyle w:val="222"/>
                <w:rFonts w:asciiTheme="minorEastAsia" w:hAnsiTheme="minorEastAsia" w:eastAsiaTheme="minorEastAsia"/>
                <w:color w:val="auto"/>
                <w:szCs w:val="21"/>
                <w:highlight w:val="none"/>
              </w:rPr>
              <w:t>监理大纲部分：</w:t>
            </w:r>
            <w:r>
              <w:rPr>
                <w:rStyle w:val="222"/>
                <w:rFonts w:hint="eastAsia" w:asciiTheme="minorEastAsia" w:hAnsiTheme="minorEastAsia" w:eastAsiaTheme="minorEastAsia"/>
                <w:b/>
                <w:bCs/>
                <w:color w:val="auto"/>
                <w:szCs w:val="21"/>
                <w:highlight w:val="none"/>
                <w:u w:val="single"/>
                <w:lang w:val="en-US" w:eastAsia="zh-CN"/>
              </w:rPr>
              <w:t>40</w:t>
            </w:r>
            <w:r>
              <w:rPr>
                <w:rStyle w:val="222"/>
                <w:rFonts w:asciiTheme="minorEastAsia" w:hAnsiTheme="minorEastAsia" w:eastAsiaTheme="minorEastAsia"/>
                <w:b/>
                <w:bCs/>
                <w:color w:val="auto"/>
                <w:szCs w:val="21"/>
                <w:highlight w:val="none"/>
              </w:rPr>
              <w:t>分</w:t>
            </w:r>
          </w:p>
          <w:p w14:paraId="55E253DA">
            <w:pPr>
              <w:jc w:val="left"/>
              <w:rPr>
                <w:rStyle w:val="222"/>
                <w:rFonts w:asciiTheme="minorEastAsia" w:hAnsiTheme="minorEastAsia" w:eastAsiaTheme="minorEastAsia"/>
                <w:color w:val="auto"/>
                <w:szCs w:val="21"/>
                <w:highlight w:val="none"/>
              </w:rPr>
            </w:pPr>
            <w:r>
              <w:rPr>
                <w:rStyle w:val="222"/>
                <w:rFonts w:asciiTheme="minorEastAsia" w:hAnsiTheme="minorEastAsia" w:eastAsiaTheme="minorEastAsia"/>
                <w:color w:val="auto"/>
                <w:szCs w:val="21"/>
                <w:highlight w:val="none"/>
              </w:rPr>
              <w:t>投标报价：</w:t>
            </w:r>
            <w:r>
              <w:rPr>
                <w:rStyle w:val="222"/>
                <w:rFonts w:hint="eastAsia" w:asciiTheme="minorEastAsia" w:hAnsiTheme="minorEastAsia" w:eastAsiaTheme="minorEastAsia"/>
                <w:b/>
                <w:bCs/>
                <w:color w:val="auto"/>
                <w:szCs w:val="21"/>
                <w:highlight w:val="none"/>
                <w:u w:val="single"/>
                <w:lang w:val="en-US" w:eastAsia="zh-CN"/>
              </w:rPr>
              <w:t>1</w:t>
            </w:r>
            <w:r>
              <w:rPr>
                <w:rStyle w:val="222"/>
                <w:rFonts w:hint="eastAsia" w:asciiTheme="minorEastAsia" w:hAnsiTheme="minorEastAsia" w:eastAsiaTheme="minorEastAsia"/>
                <w:b/>
                <w:bCs/>
                <w:color w:val="auto"/>
                <w:szCs w:val="21"/>
                <w:highlight w:val="none"/>
                <w:u w:val="single"/>
              </w:rPr>
              <w:t>0</w:t>
            </w:r>
            <w:r>
              <w:rPr>
                <w:rStyle w:val="222"/>
                <w:rFonts w:asciiTheme="minorEastAsia" w:hAnsiTheme="minorEastAsia" w:eastAsiaTheme="minorEastAsia"/>
                <w:b/>
                <w:bCs/>
                <w:color w:val="auto"/>
                <w:szCs w:val="21"/>
                <w:highlight w:val="none"/>
              </w:rPr>
              <w:t>分</w:t>
            </w:r>
          </w:p>
          <w:p w14:paraId="262741DA">
            <w:pPr>
              <w:jc w:val="left"/>
              <w:rPr>
                <w:rStyle w:val="222"/>
                <w:rFonts w:asciiTheme="minorEastAsia" w:hAnsiTheme="minorEastAsia" w:eastAsiaTheme="minorEastAsia"/>
                <w:color w:val="auto"/>
                <w:szCs w:val="21"/>
                <w:highlight w:val="none"/>
              </w:rPr>
            </w:pPr>
            <w:r>
              <w:rPr>
                <w:rStyle w:val="222"/>
                <w:rFonts w:asciiTheme="minorEastAsia" w:hAnsiTheme="minorEastAsia" w:eastAsiaTheme="minorEastAsia"/>
                <w:color w:val="auto"/>
                <w:szCs w:val="21"/>
                <w:highlight w:val="none"/>
              </w:rPr>
              <w:t>其他评分因素：投标人诚信得分</w:t>
            </w:r>
            <w:r>
              <w:rPr>
                <w:rStyle w:val="222"/>
                <w:rFonts w:hint="eastAsia" w:asciiTheme="minorEastAsia" w:hAnsiTheme="minorEastAsia" w:eastAsiaTheme="minorEastAsia"/>
                <w:color w:val="auto"/>
                <w:szCs w:val="21"/>
                <w:highlight w:val="none"/>
              </w:rPr>
              <w:t>：</w:t>
            </w:r>
            <w:r>
              <w:rPr>
                <w:rStyle w:val="222"/>
                <w:rFonts w:hint="eastAsia" w:asciiTheme="minorEastAsia" w:hAnsiTheme="minorEastAsia" w:eastAsiaTheme="minorEastAsia"/>
                <w:b/>
                <w:bCs/>
                <w:color w:val="auto"/>
                <w:szCs w:val="21"/>
                <w:highlight w:val="none"/>
                <w:u w:val="single"/>
              </w:rPr>
              <w:t>1</w:t>
            </w:r>
            <w:r>
              <w:rPr>
                <w:rStyle w:val="222"/>
                <w:rFonts w:asciiTheme="minorEastAsia" w:hAnsiTheme="minorEastAsia" w:eastAsiaTheme="minorEastAsia"/>
                <w:b/>
                <w:bCs/>
                <w:color w:val="auto"/>
                <w:szCs w:val="21"/>
                <w:highlight w:val="none"/>
                <w:u w:val="single"/>
              </w:rPr>
              <w:t>0</w:t>
            </w:r>
            <w:r>
              <w:rPr>
                <w:rStyle w:val="222"/>
                <w:rFonts w:asciiTheme="minorEastAsia" w:hAnsiTheme="minorEastAsia" w:eastAsiaTheme="minorEastAsia"/>
                <w:color w:val="auto"/>
                <w:szCs w:val="21"/>
                <w:highlight w:val="none"/>
              </w:rPr>
              <w:t>分</w:t>
            </w:r>
          </w:p>
          <w:p w14:paraId="0C2568B6">
            <w:pPr>
              <w:jc w:val="left"/>
              <w:rPr>
                <w:rStyle w:val="222"/>
                <w:rFonts w:asciiTheme="minorEastAsia" w:hAnsiTheme="minorEastAsia" w:eastAsiaTheme="minorEastAsia"/>
                <w:color w:val="auto"/>
                <w:szCs w:val="21"/>
                <w:highlight w:val="none"/>
              </w:rPr>
            </w:pPr>
            <w:r>
              <w:rPr>
                <w:rStyle w:val="222"/>
                <w:rFonts w:asciiTheme="minorEastAsia" w:hAnsiTheme="minorEastAsia" w:eastAsiaTheme="minorEastAsia"/>
                <w:color w:val="auto"/>
                <w:szCs w:val="21"/>
                <w:highlight w:val="none"/>
              </w:rPr>
              <w:t>投标人诚信得分=诚信综合评价排名得分×</w:t>
            </w:r>
            <w:r>
              <w:rPr>
                <w:rStyle w:val="222"/>
                <w:rFonts w:hint="eastAsia" w:asciiTheme="minorEastAsia" w:hAnsiTheme="minorEastAsia" w:eastAsiaTheme="minorEastAsia"/>
                <w:color w:val="auto"/>
                <w:szCs w:val="21"/>
                <w:highlight w:val="none"/>
              </w:rPr>
              <w:t>1</w:t>
            </w:r>
            <w:r>
              <w:rPr>
                <w:rStyle w:val="222"/>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企业的诚信综合评价排名得分以投标截止当天广州市工程招标行业协会网站监理企业专栏上公布的企业60日诚信分得分为准。企业诚信综合诚信评价排名以监理-房建排名为准</w:t>
            </w:r>
            <w:r>
              <w:rPr>
                <w:rStyle w:val="222"/>
                <w:rFonts w:asciiTheme="minorEastAsia" w:hAnsiTheme="minorEastAsia" w:eastAsiaTheme="minorEastAsia"/>
                <w:color w:val="auto"/>
                <w:szCs w:val="21"/>
                <w:highlight w:val="none"/>
              </w:rPr>
              <w:t>。</w:t>
            </w:r>
          </w:p>
          <w:p w14:paraId="448E2735">
            <w:pPr>
              <w:pStyle w:val="4"/>
              <w:rPr>
                <w:rFonts w:asciiTheme="minorEastAsia" w:hAnsiTheme="minorEastAsia" w:eastAsiaTheme="minorEastAsia"/>
                <w:color w:val="auto"/>
                <w:highlight w:val="none"/>
              </w:rPr>
            </w:pPr>
            <w:r>
              <w:rPr>
                <w:rStyle w:val="222"/>
                <w:rFonts w:hint="eastAsia" w:asciiTheme="minorEastAsia" w:hAnsiTheme="minorEastAsia" w:eastAsiaTheme="minorEastAsia"/>
                <w:b w:val="0"/>
                <w:bCs w:val="0"/>
                <w:color w:val="auto"/>
                <w:sz w:val="21"/>
                <w:szCs w:val="21"/>
                <w:highlight w:val="none"/>
              </w:rPr>
              <w:t>投标人得分＝</w:t>
            </w:r>
            <w:r>
              <w:rPr>
                <w:rStyle w:val="222"/>
                <w:rFonts w:asciiTheme="minorEastAsia" w:hAnsiTheme="minorEastAsia" w:eastAsiaTheme="minorEastAsia"/>
                <w:b w:val="0"/>
                <w:bCs w:val="0"/>
                <w:color w:val="auto"/>
                <w:sz w:val="21"/>
                <w:szCs w:val="21"/>
                <w:highlight w:val="none"/>
                <w:u w:val="single"/>
              </w:rPr>
              <w:t>资信业绩部分</w:t>
            </w:r>
            <w:r>
              <w:rPr>
                <w:rStyle w:val="222"/>
                <w:rFonts w:hint="eastAsia" w:asciiTheme="minorEastAsia" w:hAnsiTheme="minorEastAsia" w:eastAsiaTheme="minorEastAsia"/>
                <w:b w:val="0"/>
                <w:bCs w:val="0"/>
                <w:color w:val="auto"/>
                <w:sz w:val="21"/>
                <w:szCs w:val="21"/>
                <w:highlight w:val="none"/>
                <w:u w:val="single"/>
                <w:lang w:val="en-US" w:eastAsia="zh-CN"/>
              </w:rPr>
              <w:t>得分</w:t>
            </w:r>
            <w:r>
              <w:rPr>
                <w:rStyle w:val="222"/>
                <w:rFonts w:hint="eastAsia" w:asciiTheme="minorEastAsia" w:hAnsiTheme="minorEastAsia" w:eastAsiaTheme="minorEastAsia"/>
                <w:b w:val="0"/>
                <w:bCs w:val="0"/>
                <w:color w:val="auto"/>
                <w:sz w:val="21"/>
                <w:szCs w:val="21"/>
                <w:highlight w:val="none"/>
                <w:u w:val="single"/>
              </w:rPr>
              <w:t>+</w:t>
            </w:r>
            <w:r>
              <w:rPr>
                <w:rStyle w:val="222"/>
                <w:rFonts w:asciiTheme="minorEastAsia" w:hAnsiTheme="minorEastAsia" w:eastAsiaTheme="minorEastAsia"/>
                <w:b w:val="0"/>
                <w:bCs w:val="0"/>
                <w:color w:val="auto"/>
                <w:sz w:val="21"/>
                <w:szCs w:val="21"/>
                <w:highlight w:val="none"/>
                <w:u w:val="single"/>
              </w:rPr>
              <w:t>监理大纲部分</w:t>
            </w:r>
            <w:r>
              <w:rPr>
                <w:rStyle w:val="222"/>
                <w:rFonts w:hint="eastAsia" w:asciiTheme="minorEastAsia" w:hAnsiTheme="minorEastAsia" w:eastAsiaTheme="minorEastAsia"/>
                <w:b w:val="0"/>
                <w:bCs w:val="0"/>
                <w:color w:val="auto"/>
                <w:sz w:val="21"/>
                <w:szCs w:val="21"/>
                <w:highlight w:val="none"/>
                <w:u w:val="single"/>
                <w:lang w:val="en-US" w:eastAsia="zh-CN"/>
              </w:rPr>
              <w:t>得分</w:t>
            </w:r>
            <w:r>
              <w:rPr>
                <w:rStyle w:val="222"/>
                <w:rFonts w:hint="eastAsia" w:asciiTheme="minorEastAsia" w:hAnsiTheme="minorEastAsia" w:eastAsiaTheme="minorEastAsia"/>
                <w:b w:val="0"/>
                <w:bCs w:val="0"/>
                <w:color w:val="auto"/>
                <w:sz w:val="21"/>
                <w:szCs w:val="21"/>
                <w:highlight w:val="none"/>
                <w:u w:val="single"/>
              </w:rPr>
              <w:t>+</w:t>
            </w:r>
            <w:r>
              <w:rPr>
                <w:rStyle w:val="222"/>
                <w:rFonts w:asciiTheme="minorEastAsia" w:hAnsiTheme="minorEastAsia" w:eastAsiaTheme="minorEastAsia"/>
                <w:b w:val="0"/>
                <w:bCs w:val="0"/>
                <w:color w:val="auto"/>
                <w:sz w:val="21"/>
                <w:szCs w:val="21"/>
                <w:highlight w:val="none"/>
                <w:u w:val="single"/>
              </w:rPr>
              <w:t>投标报价</w:t>
            </w:r>
            <w:r>
              <w:rPr>
                <w:rStyle w:val="222"/>
                <w:rFonts w:hint="eastAsia" w:asciiTheme="minorEastAsia" w:hAnsiTheme="minorEastAsia" w:eastAsiaTheme="minorEastAsia"/>
                <w:b w:val="0"/>
                <w:bCs w:val="0"/>
                <w:color w:val="auto"/>
                <w:sz w:val="21"/>
                <w:szCs w:val="21"/>
                <w:highlight w:val="none"/>
                <w:u w:val="single"/>
                <w:lang w:val="en-US" w:eastAsia="zh-CN"/>
              </w:rPr>
              <w:t>得分</w:t>
            </w:r>
            <w:r>
              <w:rPr>
                <w:rStyle w:val="222"/>
                <w:rFonts w:hint="eastAsia" w:asciiTheme="minorEastAsia" w:hAnsiTheme="minorEastAsia" w:eastAsiaTheme="minorEastAsia"/>
                <w:b w:val="0"/>
                <w:bCs w:val="0"/>
                <w:color w:val="auto"/>
                <w:sz w:val="21"/>
                <w:szCs w:val="21"/>
                <w:highlight w:val="none"/>
                <w:u w:val="single"/>
              </w:rPr>
              <w:t>+</w:t>
            </w:r>
            <w:r>
              <w:rPr>
                <w:rStyle w:val="222"/>
                <w:rFonts w:asciiTheme="minorEastAsia" w:hAnsiTheme="minorEastAsia" w:eastAsiaTheme="minorEastAsia"/>
                <w:b w:val="0"/>
                <w:bCs w:val="0"/>
                <w:color w:val="auto"/>
                <w:sz w:val="21"/>
                <w:szCs w:val="21"/>
                <w:highlight w:val="none"/>
                <w:u w:val="single"/>
              </w:rPr>
              <w:t>投标人诚信得分</w:t>
            </w:r>
          </w:p>
        </w:tc>
      </w:tr>
      <w:tr w14:paraId="4F79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244" w:type="dxa"/>
            <w:gridSpan w:val="3"/>
            <w:tcMar>
              <w:top w:w="0" w:type="dxa"/>
              <w:left w:w="57" w:type="dxa"/>
              <w:bottom w:w="0" w:type="dxa"/>
              <w:right w:w="57" w:type="dxa"/>
            </w:tcMar>
            <w:vAlign w:val="center"/>
          </w:tcPr>
          <w:p w14:paraId="7B10BA68">
            <w:pPr>
              <w:jc w:val="center"/>
              <w:rPr>
                <w:rFonts w:cs="宋体" w:asciiTheme="minorEastAsia" w:hAnsiTheme="minorEastAsia" w:eastAsiaTheme="minorEastAsia"/>
                <w:color w:val="auto"/>
                <w:sz w:val="18"/>
                <w:szCs w:val="18"/>
                <w:highlight w:val="none"/>
              </w:rPr>
            </w:pPr>
            <w:r>
              <w:rPr>
                <w:rFonts w:cs="宋体" w:asciiTheme="minorEastAsia" w:hAnsiTheme="minorEastAsia" w:eastAsiaTheme="minorEastAsia"/>
                <w:color w:val="auto"/>
                <w:sz w:val="18"/>
                <w:szCs w:val="18"/>
                <w:highlight w:val="none"/>
              </w:rPr>
              <w:t>2.2.2</w:t>
            </w:r>
          </w:p>
        </w:tc>
        <w:tc>
          <w:tcPr>
            <w:tcW w:w="2004" w:type="dxa"/>
            <w:tcMar>
              <w:top w:w="0" w:type="dxa"/>
              <w:left w:w="57" w:type="dxa"/>
              <w:bottom w:w="0" w:type="dxa"/>
              <w:right w:w="57" w:type="dxa"/>
            </w:tcMar>
            <w:vAlign w:val="center"/>
          </w:tcPr>
          <w:p w14:paraId="4494CB42">
            <w:pPr>
              <w:spacing w:line="44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评标基准价计算方法</w:t>
            </w:r>
          </w:p>
        </w:tc>
        <w:tc>
          <w:tcPr>
            <w:tcW w:w="4989" w:type="dxa"/>
            <w:vAlign w:val="center"/>
          </w:tcPr>
          <w:p w14:paraId="624B61BF">
            <w:pPr>
              <w:spacing w:line="32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当通过形式评审、资格评审、响应性评审的有效投标人大于5名且投标报价为有效投标价时，去掉一个最高价和一个最低价，取余下有效投标价的算术平均值的作为评标基准价。当通过形式评审、资格评审、响应性评审的有效投标人小于或等于5名时，取所有入围的有效投标价的算术平均值的作为评标基准价。(有效报价范围为[最高投标限价×80%，最高投标限价]，超过此范围的报价不参与评标基准价的计算)</w:t>
            </w:r>
            <w:r>
              <w:rPr>
                <w:rStyle w:val="222"/>
                <w:rFonts w:asciiTheme="minorEastAsia" w:hAnsiTheme="minorEastAsia" w:eastAsiaTheme="minorEastAsia"/>
                <w:color w:val="auto"/>
                <w:szCs w:val="21"/>
                <w:highlight w:val="none"/>
              </w:rPr>
              <w:t>。</w:t>
            </w:r>
          </w:p>
        </w:tc>
      </w:tr>
      <w:tr w14:paraId="6941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44" w:type="dxa"/>
            <w:gridSpan w:val="3"/>
            <w:tcMar>
              <w:top w:w="0" w:type="dxa"/>
              <w:left w:w="57" w:type="dxa"/>
              <w:bottom w:w="0" w:type="dxa"/>
              <w:right w:w="57" w:type="dxa"/>
            </w:tcMar>
            <w:vAlign w:val="center"/>
          </w:tcPr>
          <w:p w14:paraId="4D2B687C">
            <w:pPr>
              <w:jc w:val="center"/>
              <w:rPr>
                <w:rFonts w:cs="宋体" w:asciiTheme="minorEastAsia" w:hAnsiTheme="minorEastAsia" w:eastAsiaTheme="minorEastAsia"/>
                <w:color w:val="auto"/>
                <w:sz w:val="18"/>
                <w:szCs w:val="18"/>
                <w:highlight w:val="none"/>
              </w:rPr>
            </w:pPr>
            <w:r>
              <w:rPr>
                <w:rFonts w:cs="宋体" w:asciiTheme="minorEastAsia" w:hAnsiTheme="minorEastAsia" w:eastAsiaTheme="minorEastAsia"/>
                <w:color w:val="auto"/>
                <w:sz w:val="18"/>
                <w:szCs w:val="18"/>
                <w:highlight w:val="none"/>
              </w:rPr>
              <w:t>2.2.3</w:t>
            </w:r>
          </w:p>
        </w:tc>
        <w:tc>
          <w:tcPr>
            <w:tcW w:w="2004" w:type="dxa"/>
            <w:tcMar>
              <w:top w:w="0" w:type="dxa"/>
              <w:left w:w="57" w:type="dxa"/>
              <w:bottom w:w="0" w:type="dxa"/>
              <w:right w:w="57" w:type="dxa"/>
            </w:tcMar>
            <w:vAlign w:val="center"/>
          </w:tcPr>
          <w:p w14:paraId="0EDAE377">
            <w:pPr>
              <w:spacing w:line="44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投标报价的偏差率</w:t>
            </w:r>
          </w:p>
          <w:p w14:paraId="48F0E92C">
            <w:pPr>
              <w:spacing w:line="44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计算公式</w:t>
            </w:r>
          </w:p>
        </w:tc>
        <w:tc>
          <w:tcPr>
            <w:tcW w:w="4989" w:type="dxa"/>
            <w:vAlign w:val="center"/>
          </w:tcPr>
          <w:p w14:paraId="545551C2">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偏差率= ∣有效投标报价 — 评标基准价∣ / 评标基准价*100% </w:t>
            </w:r>
          </w:p>
          <w:p w14:paraId="5AE86CD2">
            <w:pPr>
              <w:jc w:val="left"/>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（偏差率出现小数点时，保留小数点后2位，第三位小数四舍五入。）</w:t>
            </w:r>
          </w:p>
        </w:tc>
      </w:tr>
      <w:tr w14:paraId="43CC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44" w:type="dxa"/>
            <w:gridSpan w:val="3"/>
            <w:tcMar>
              <w:top w:w="0" w:type="dxa"/>
              <w:left w:w="57" w:type="dxa"/>
              <w:bottom w:w="0" w:type="dxa"/>
              <w:right w:w="57" w:type="dxa"/>
            </w:tcMar>
            <w:vAlign w:val="center"/>
          </w:tcPr>
          <w:p w14:paraId="5EB9D4E2">
            <w:pPr>
              <w:jc w:val="center"/>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条款号</w:t>
            </w:r>
          </w:p>
        </w:tc>
        <w:tc>
          <w:tcPr>
            <w:tcW w:w="2004" w:type="dxa"/>
            <w:tcMar>
              <w:top w:w="0" w:type="dxa"/>
              <w:left w:w="57" w:type="dxa"/>
              <w:bottom w:w="0" w:type="dxa"/>
              <w:right w:w="57" w:type="dxa"/>
            </w:tcMar>
            <w:vAlign w:val="center"/>
          </w:tcPr>
          <w:p w14:paraId="68BDB7F9">
            <w:pPr>
              <w:jc w:val="center"/>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评分因素（偏差率）</w:t>
            </w:r>
          </w:p>
        </w:tc>
        <w:tc>
          <w:tcPr>
            <w:tcW w:w="4989" w:type="dxa"/>
            <w:vAlign w:val="center"/>
          </w:tcPr>
          <w:p w14:paraId="771C92CA">
            <w:pPr>
              <w:jc w:val="center"/>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评分标准</w:t>
            </w:r>
          </w:p>
        </w:tc>
      </w:tr>
      <w:tr w14:paraId="3917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2" w:type="dxa"/>
            <w:vMerge w:val="restart"/>
            <w:tcMar>
              <w:top w:w="0" w:type="dxa"/>
              <w:left w:w="57" w:type="dxa"/>
              <w:bottom w:w="0" w:type="dxa"/>
              <w:right w:w="57" w:type="dxa"/>
            </w:tcMar>
          </w:tcPr>
          <w:p w14:paraId="0E3A75E1">
            <w:pPr>
              <w:spacing w:line="200" w:lineRule="exact"/>
              <w:jc w:val="left"/>
              <w:rPr>
                <w:rFonts w:asciiTheme="minorEastAsia" w:hAnsiTheme="minorEastAsia" w:eastAsiaTheme="minorEastAsia"/>
                <w:color w:val="auto"/>
                <w:sz w:val="18"/>
                <w:szCs w:val="18"/>
                <w:highlight w:val="none"/>
              </w:rPr>
            </w:pPr>
          </w:p>
          <w:p w14:paraId="78AEEDA0">
            <w:pPr>
              <w:spacing w:line="200" w:lineRule="exact"/>
              <w:jc w:val="left"/>
              <w:rPr>
                <w:rFonts w:asciiTheme="minorEastAsia" w:hAnsiTheme="minorEastAsia" w:eastAsiaTheme="minorEastAsia"/>
                <w:color w:val="auto"/>
                <w:sz w:val="18"/>
                <w:szCs w:val="18"/>
                <w:highlight w:val="none"/>
              </w:rPr>
            </w:pPr>
          </w:p>
          <w:p w14:paraId="77857C46">
            <w:pPr>
              <w:spacing w:line="200" w:lineRule="exact"/>
              <w:jc w:val="left"/>
              <w:rPr>
                <w:rFonts w:asciiTheme="minorEastAsia" w:hAnsiTheme="minorEastAsia" w:eastAsiaTheme="minorEastAsia"/>
                <w:color w:val="auto"/>
                <w:sz w:val="18"/>
                <w:szCs w:val="18"/>
                <w:highlight w:val="none"/>
              </w:rPr>
            </w:pPr>
          </w:p>
          <w:p w14:paraId="5769D41E">
            <w:pPr>
              <w:spacing w:before="17" w:line="200" w:lineRule="exact"/>
              <w:jc w:val="left"/>
              <w:rPr>
                <w:rFonts w:asciiTheme="minorEastAsia" w:hAnsiTheme="minorEastAsia" w:eastAsiaTheme="minorEastAsia"/>
                <w:color w:val="auto"/>
                <w:sz w:val="18"/>
                <w:szCs w:val="18"/>
                <w:highlight w:val="none"/>
              </w:rPr>
            </w:pPr>
          </w:p>
          <w:p w14:paraId="5829DC71">
            <w:pPr>
              <w:ind w:left="234" w:right="-2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2.2.4</w:t>
            </w:r>
          </w:p>
          <w:p w14:paraId="048EF853">
            <w:pPr>
              <w:spacing w:before="88"/>
              <w:ind w:left="181" w:right="-20"/>
              <w:jc w:val="left"/>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p>
        </w:tc>
        <w:tc>
          <w:tcPr>
            <w:tcW w:w="1452" w:type="dxa"/>
            <w:gridSpan w:val="2"/>
            <w:vMerge w:val="restart"/>
            <w:tcMar>
              <w:top w:w="0" w:type="dxa"/>
              <w:left w:w="57" w:type="dxa"/>
              <w:bottom w:w="0" w:type="dxa"/>
              <w:right w:w="57" w:type="dxa"/>
            </w:tcMar>
            <w:vAlign w:val="center"/>
          </w:tcPr>
          <w:p w14:paraId="10A4E318">
            <w:pPr>
              <w:contextualSpacing/>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资信业绩评分标准</w:t>
            </w:r>
          </w:p>
          <w:p w14:paraId="43C2D143">
            <w:pPr>
              <w:contextualSpacing/>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40</w:t>
            </w:r>
            <w:r>
              <w:rPr>
                <w:rFonts w:hint="eastAsia" w:cs="宋体" w:asciiTheme="minorEastAsia" w:hAnsiTheme="minorEastAsia" w:eastAsiaTheme="minorEastAsia"/>
                <w:color w:val="auto"/>
                <w:szCs w:val="21"/>
                <w:highlight w:val="none"/>
              </w:rPr>
              <w:t>分）</w:t>
            </w:r>
          </w:p>
        </w:tc>
        <w:tc>
          <w:tcPr>
            <w:tcW w:w="2004" w:type="dxa"/>
            <w:tcMar>
              <w:top w:w="0" w:type="dxa"/>
              <w:left w:w="57" w:type="dxa"/>
              <w:bottom w:w="0" w:type="dxa"/>
              <w:right w:w="57" w:type="dxa"/>
            </w:tcMar>
            <w:vAlign w:val="center"/>
          </w:tcPr>
          <w:p w14:paraId="5D6A00FF">
            <w:pPr>
              <w:contextualSpacing/>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类似项目业绩（</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tc>
        <w:tc>
          <w:tcPr>
            <w:tcW w:w="4989" w:type="dxa"/>
            <w:vAlign w:val="center"/>
          </w:tcPr>
          <w:p w14:paraId="0A7F5BCC">
            <w:pPr>
              <w:contextualSpacing/>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rPr>
              <w:t>至投标截止完成过质量合格的类似项目每项得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分。（需同时提供监理委托合同协议以及竣工验收资料扫描件，时间以竣工验收时间为准）</w:t>
            </w:r>
          </w:p>
        </w:tc>
      </w:tr>
      <w:tr w14:paraId="65A5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2" w:type="dxa"/>
            <w:vMerge w:val="continue"/>
            <w:tcMar>
              <w:top w:w="0" w:type="dxa"/>
              <w:left w:w="57" w:type="dxa"/>
              <w:bottom w:w="0" w:type="dxa"/>
              <w:right w:w="57" w:type="dxa"/>
            </w:tcMar>
          </w:tcPr>
          <w:p w14:paraId="701BF5E5">
            <w:pPr>
              <w:spacing w:line="200" w:lineRule="exact"/>
              <w:jc w:val="left"/>
              <w:rPr>
                <w:rFonts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4A999B78">
            <w:pPr>
              <w:spacing w:before="5" w:line="100" w:lineRule="exact"/>
              <w:jc w:val="left"/>
              <w:rPr>
                <w:rFonts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0DD242CB">
            <w:pPr>
              <w:contextualSpacing/>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获奖</w:t>
            </w:r>
            <w:r>
              <w:rPr>
                <w:rFonts w:hint="eastAsia" w:cs="宋体" w:asciiTheme="minorEastAsia" w:hAnsiTheme="minorEastAsia" w:eastAsiaTheme="minorEastAsia"/>
                <w:color w:val="auto"/>
                <w:szCs w:val="21"/>
                <w:highlight w:val="none"/>
                <w:lang w:val="en-US" w:eastAsia="zh-CN"/>
              </w:rPr>
              <w:t>监理业绩</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分）</w:t>
            </w:r>
          </w:p>
        </w:tc>
        <w:tc>
          <w:tcPr>
            <w:tcW w:w="4989" w:type="dxa"/>
            <w:vAlign w:val="center"/>
          </w:tcPr>
          <w:p w14:paraId="127F98F9">
            <w:pPr>
              <w:contextualSpacing/>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投标人自</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rPr>
              <w:t>至投标截止监理过的</w:t>
            </w:r>
            <w:r>
              <w:rPr>
                <w:rFonts w:hint="eastAsia" w:ascii="宋体" w:hAnsi="宋体" w:cs="宋体"/>
                <w:color w:val="auto"/>
                <w:sz w:val="21"/>
                <w:szCs w:val="21"/>
                <w:highlight w:val="none"/>
                <w:lang w:val="en-US" w:eastAsia="zh-CN"/>
              </w:rPr>
              <w:t>房屋建筑</w:t>
            </w:r>
            <w:r>
              <w:rPr>
                <w:rFonts w:hint="eastAsia" w:ascii="宋体" w:hAnsi="宋体" w:eastAsia="宋体" w:cs="宋体"/>
                <w:color w:val="auto"/>
                <w:sz w:val="21"/>
                <w:szCs w:val="21"/>
                <w:highlight w:val="none"/>
              </w:rPr>
              <w:t>工程获得国家级奖项每项得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获得省级奖项每项得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获得市级奖项每项得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分。（需提供获奖证书扫描件，时间以获奖证书时间为准）</w:t>
            </w:r>
          </w:p>
        </w:tc>
      </w:tr>
      <w:tr w14:paraId="3B9C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2" w:type="dxa"/>
            <w:vMerge w:val="continue"/>
            <w:tcMar>
              <w:top w:w="0" w:type="dxa"/>
              <w:left w:w="57" w:type="dxa"/>
              <w:bottom w:w="0" w:type="dxa"/>
              <w:right w:w="57" w:type="dxa"/>
            </w:tcMar>
          </w:tcPr>
          <w:p w14:paraId="1FE2DEF7">
            <w:pPr>
              <w:ind w:left="2082" w:right="2063"/>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4D2F7C0A">
            <w:pPr>
              <w:ind w:left="2082" w:right="2063"/>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7992C734">
            <w:pPr>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总监理工程师资历</w:t>
            </w:r>
          </w:p>
          <w:p w14:paraId="6622A49B">
            <w:pPr>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4989" w:type="dxa"/>
            <w:vAlign w:val="center"/>
          </w:tcPr>
          <w:p w14:paraId="6B9011EF">
            <w:pPr>
              <w:contextualSpacing/>
              <w:rPr>
                <w:rFonts w:hint="eastAsia" w:ascii="宋体" w:hAnsi="宋体" w:eastAsia="宋体" w:cs="宋体"/>
                <w:color w:val="auto"/>
                <w:szCs w:val="21"/>
                <w:highlight w:val="none"/>
              </w:rPr>
            </w:pPr>
            <w:r>
              <w:rPr>
                <w:rFonts w:hint="eastAsia" w:ascii="宋体" w:hAnsi="宋体" w:cs="宋体"/>
                <w:color w:val="auto"/>
                <w:sz w:val="21"/>
                <w:szCs w:val="21"/>
                <w:highlight w:val="none"/>
              </w:rPr>
              <w:t>满足招标公告要求，</w:t>
            </w:r>
            <w:r>
              <w:rPr>
                <w:rFonts w:hint="eastAsia" w:ascii="宋体" w:hAnsi="宋体" w:cs="宋体"/>
                <w:color w:val="auto"/>
                <w:sz w:val="21"/>
                <w:szCs w:val="21"/>
                <w:highlight w:val="none"/>
                <w:lang w:val="en-US" w:eastAsia="zh-CN"/>
              </w:rPr>
              <w:t>且具</w:t>
            </w:r>
            <w:r>
              <w:rPr>
                <w:rFonts w:hint="eastAsia" w:ascii="宋体" w:hAnsi="宋体" w:cs="宋体"/>
                <w:color w:val="auto"/>
                <w:sz w:val="21"/>
                <w:szCs w:val="21"/>
                <w:highlight w:val="none"/>
              </w:rPr>
              <w:t>有高级工程师或以上</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rPr>
              <w:t>职称的，</w:t>
            </w:r>
            <w:r>
              <w:rPr>
                <w:rFonts w:hint="eastAsia" w:ascii="宋体" w:hAnsi="宋体" w:cs="宋体"/>
                <w:color w:val="auto"/>
                <w:sz w:val="21"/>
                <w:szCs w:val="21"/>
                <w:highlight w:val="none"/>
                <w:lang w:val="en-US" w:eastAsia="zh-CN"/>
              </w:rPr>
              <w:t>得2分，具有中级工程师技术职称的，得1分。</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按最高得分计算一次，</w:t>
            </w:r>
            <w:r>
              <w:rPr>
                <w:rFonts w:hint="eastAsia" w:ascii="宋体" w:hAnsi="宋体" w:cs="宋体"/>
                <w:color w:val="auto"/>
                <w:sz w:val="21"/>
                <w:szCs w:val="21"/>
                <w:highlight w:val="none"/>
              </w:rPr>
              <w:t>需提供相关证书扫描件）</w:t>
            </w:r>
          </w:p>
        </w:tc>
      </w:tr>
      <w:tr w14:paraId="0F19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92" w:type="dxa"/>
            <w:vMerge w:val="continue"/>
            <w:tcMar>
              <w:top w:w="0" w:type="dxa"/>
              <w:left w:w="57" w:type="dxa"/>
              <w:bottom w:w="0" w:type="dxa"/>
              <w:right w:w="57" w:type="dxa"/>
            </w:tcMar>
          </w:tcPr>
          <w:p w14:paraId="79432506">
            <w:pPr>
              <w:ind w:left="2082" w:right="2063"/>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2CFDB590">
            <w:pPr>
              <w:ind w:left="2082" w:right="2063"/>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386F7684">
            <w:pPr>
              <w:contextualSpacing/>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拟投入本项目的其他监理人员（</w:t>
            </w:r>
            <w:r>
              <w:rPr>
                <w:rFonts w:hint="eastAsia" w:cs="宋体" w:asciiTheme="minorEastAsia" w:hAnsiTheme="minorEastAsia" w:eastAsiaTheme="minorEastAsia"/>
                <w:color w:val="auto"/>
                <w:szCs w:val="21"/>
                <w:highlight w:val="none"/>
                <w:lang w:val="en-US" w:eastAsia="zh-CN"/>
              </w:rPr>
              <w:t>13</w:t>
            </w:r>
            <w:r>
              <w:rPr>
                <w:rFonts w:hint="eastAsia" w:cs="宋体" w:asciiTheme="minorEastAsia" w:hAnsiTheme="minorEastAsia" w:eastAsiaTheme="minorEastAsia"/>
                <w:color w:val="auto"/>
                <w:szCs w:val="21"/>
                <w:highlight w:val="none"/>
              </w:rPr>
              <w:t>分）</w:t>
            </w:r>
          </w:p>
        </w:tc>
        <w:tc>
          <w:tcPr>
            <w:tcW w:w="4989" w:type="dxa"/>
            <w:vAlign w:val="center"/>
          </w:tcPr>
          <w:p w14:paraId="445257DD">
            <w:pPr>
              <w:adjustRightInd/>
              <w:snapToGrid/>
              <w:spacing w:before="0" w:beforeLines="-2147483648" w:after="0" w:afterLines="-2147483648"/>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配备的人员中（不含总监、总监代表）：</w:t>
            </w:r>
          </w:p>
          <w:p w14:paraId="2665429C">
            <w:pPr>
              <w:adjustRightInd w:val="0"/>
              <w:snapToGrid w:val="0"/>
              <w:spacing w:before="46" w:beforeLines="15" w:after="46" w:afterLines="15"/>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有高级工程师或以上</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职称的</w:t>
            </w:r>
            <w:r>
              <w:rPr>
                <w:rFonts w:hint="eastAsia" w:ascii="宋体" w:hAnsi="宋体" w:eastAsia="宋体" w:cs="宋体"/>
                <w:color w:val="auto"/>
                <w:sz w:val="21"/>
                <w:szCs w:val="21"/>
                <w:highlight w:val="none"/>
                <w:lang w:val="en-US"/>
              </w:rPr>
              <w:t>，每人得2分，</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具有中级</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职称的</w:t>
            </w:r>
            <w:r>
              <w:rPr>
                <w:rFonts w:hint="eastAsia" w:ascii="宋体" w:hAnsi="宋体" w:eastAsia="宋体" w:cs="宋体"/>
                <w:color w:val="auto"/>
                <w:sz w:val="21"/>
                <w:szCs w:val="21"/>
                <w:highlight w:val="none"/>
                <w:lang w:val="en-US"/>
              </w:rPr>
              <w:t>，每人得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本小项最多得4分。</w:t>
            </w:r>
          </w:p>
          <w:p w14:paraId="48E285E0">
            <w:pPr>
              <w:adjustRightInd/>
              <w:snapToGrid/>
              <w:spacing w:before="0" w:beforeLines="-2147483648" w:after="0" w:afterLines="-2147483648"/>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同一人按最高得分计算一次，</w:t>
            </w:r>
            <w:r>
              <w:rPr>
                <w:rFonts w:hint="eastAsia" w:ascii="宋体" w:hAnsi="宋体" w:eastAsia="宋体" w:cs="宋体"/>
                <w:color w:val="auto"/>
                <w:sz w:val="21"/>
                <w:szCs w:val="21"/>
                <w:highlight w:val="none"/>
              </w:rPr>
              <w:t>需提供相关证书扫描件）</w:t>
            </w:r>
          </w:p>
          <w:p w14:paraId="486DE0A5">
            <w:pPr>
              <w:adjustRightInd/>
              <w:snapToGrid/>
              <w:spacing w:before="0" w:beforeLines="-2147483648" w:after="0" w:afterLines="-2147483648"/>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2、获得过省级或以上人民政府(或行政部门或建筑学会或协会）颁发的工程类科学技术奖项每人得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获得过</w:t>
            </w:r>
            <w:r>
              <w:rPr>
                <w:rFonts w:hint="eastAsia" w:ascii="宋体" w:hAnsi="宋体" w:eastAsia="宋体" w:cs="宋体"/>
                <w:color w:val="auto"/>
                <w:sz w:val="21"/>
                <w:szCs w:val="21"/>
                <w:highlight w:val="none"/>
                <w:lang w:val="en-US" w:eastAsia="zh-CN"/>
              </w:rPr>
              <w:t>市</w:t>
            </w:r>
            <w:r>
              <w:rPr>
                <w:rFonts w:hint="eastAsia" w:ascii="宋体" w:hAnsi="宋体" w:eastAsia="宋体" w:cs="宋体"/>
                <w:color w:val="auto"/>
                <w:sz w:val="21"/>
                <w:szCs w:val="21"/>
                <w:highlight w:val="none"/>
              </w:rPr>
              <w:t>级人民政府(或行政部门或建筑学会或协会）颁发的工程类科学技术奖项每人得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本小项最多得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同一人按最高得分计算一次，</w:t>
            </w: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val="en-US" w:eastAsia="zh-CN"/>
              </w:rPr>
              <w:t>获奖</w:t>
            </w:r>
            <w:r>
              <w:rPr>
                <w:rFonts w:hint="eastAsia" w:ascii="宋体" w:hAnsi="宋体" w:eastAsia="宋体" w:cs="宋体"/>
                <w:color w:val="auto"/>
                <w:sz w:val="21"/>
                <w:szCs w:val="21"/>
                <w:highlight w:val="none"/>
              </w:rPr>
              <w:t>证书扫描件）</w:t>
            </w:r>
          </w:p>
          <w:p w14:paraId="697DA3D3">
            <w:pPr>
              <w:contextualSpacing w:val="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注:获奖时间以获奖证书颁发时间为准。工程类科学技术类奖项是指“科学技术进步奖”或“科技进步奖”或“科学技术奖”</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。发证机构须为政府部门、</w:t>
            </w:r>
            <w:r>
              <w:rPr>
                <w:rFonts w:hint="eastAsia" w:ascii="宋体" w:hAnsi="宋体" w:cs="宋体"/>
                <w:color w:val="auto"/>
                <w:sz w:val="21"/>
                <w:szCs w:val="21"/>
                <w:highlight w:val="none"/>
                <w:lang w:eastAsia="zh-CN"/>
              </w:rPr>
              <w:t>市</w:t>
            </w:r>
            <w:r>
              <w:rPr>
                <w:rFonts w:hint="eastAsia" w:ascii="宋体" w:hAnsi="宋体" w:eastAsia="宋体" w:cs="宋体"/>
                <w:color w:val="auto"/>
                <w:sz w:val="21"/>
                <w:szCs w:val="21"/>
                <w:highlight w:val="none"/>
              </w:rPr>
              <w:t>级或以上社会组织（如协会、学会等），如发奖单位为</w:t>
            </w:r>
            <w:r>
              <w:rPr>
                <w:rFonts w:hint="eastAsia" w:ascii="宋体" w:hAnsi="宋体" w:cs="宋体"/>
                <w:color w:val="auto"/>
                <w:sz w:val="21"/>
                <w:szCs w:val="21"/>
                <w:highlight w:val="none"/>
                <w:lang w:eastAsia="zh-CN"/>
              </w:rPr>
              <w:t>市</w:t>
            </w:r>
            <w:r>
              <w:rPr>
                <w:rFonts w:hint="eastAsia" w:ascii="宋体" w:hAnsi="宋体" w:eastAsia="宋体" w:cs="宋体"/>
                <w:color w:val="auto"/>
                <w:sz w:val="21"/>
                <w:szCs w:val="21"/>
                <w:highlight w:val="none"/>
              </w:rPr>
              <w:t>级或以上社会组织颁发，则须提供该协会（学会）在“中国社会组织</w:t>
            </w:r>
            <w:r>
              <w:rPr>
                <w:rFonts w:hint="eastAsia" w:ascii="宋体" w:hAnsi="宋体" w:eastAsia="宋体" w:cs="宋体"/>
                <w:color w:val="auto"/>
                <w:sz w:val="21"/>
                <w:szCs w:val="21"/>
                <w:highlight w:val="none"/>
                <w:lang w:eastAsia="zh-CN"/>
              </w:rPr>
              <w:t>政务</w:t>
            </w:r>
            <w:r>
              <w:rPr>
                <w:rFonts w:hint="eastAsia" w:ascii="宋体" w:hAnsi="宋体" w:eastAsia="宋体" w:cs="宋体"/>
                <w:color w:val="auto"/>
                <w:sz w:val="21"/>
                <w:szCs w:val="21"/>
                <w:highlight w:val="none"/>
              </w:rPr>
              <w:t>服务平台”网站查询结果</w:t>
            </w:r>
            <w:r>
              <w:rPr>
                <w:rFonts w:hint="eastAsia" w:ascii="宋体" w:hAnsi="宋体" w:eastAsia="宋体" w:cs="宋体"/>
                <w:color w:val="auto"/>
                <w:sz w:val="21"/>
                <w:szCs w:val="21"/>
                <w:highlight w:val="none"/>
                <w:lang w:eastAsia="zh-CN"/>
              </w:rPr>
              <w:t>的网页</w:t>
            </w:r>
            <w:r>
              <w:rPr>
                <w:rFonts w:hint="eastAsia" w:ascii="宋体" w:hAnsi="宋体" w:eastAsia="宋体" w:cs="宋体"/>
                <w:color w:val="auto"/>
                <w:sz w:val="21"/>
                <w:szCs w:val="21"/>
                <w:highlight w:val="none"/>
              </w:rPr>
              <w:t>截图，不提供不得分；同一项目的科学技术进步奖或科学技术奖或科技进步奖获得不同级别奖项的按最高级别只计一次得分。</w:t>
            </w:r>
          </w:p>
        </w:tc>
      </w:tr>
      <w:tr w14:paraId="60B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92" w:type="dxa"/>
            <w:vMerge w:val="continue"/>
            <w:tcMar>
              <w:top w:w="0" w:type="dxa"/>
              <w:left w:w="57" w:type="dxa"/>
              <w:bottom w:w="0" w:type="dxa"/>
              <w:right w:w="57" w:type="dxa"/>
            </w:tcMar>
          </w:tcPr>
          <w:p w14:paraId="54E9A938">
            <w:pPr>
              <w:ind w:left="2082" w:right="2063"/>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0D876336">
            <w:pPr>
              <w:ind w:left="2082" w:right="2063"/>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24343BA9">
            <w:pPr>
              <w:contextualSpacing/>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ISO管理体系认证</w:t>
            </w:r>
          </w:p>
          <w:p w14:paraId="3EDBA7E5">
            <w:pPr>
              <w:contextualSpacing/>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（4分）</w:t>
            </w:r>
          </w:p>
        </w:tc>
        <w:tc>
          <w:tcPr>
            <w:tcW w:w="4989" w:type="dxa"/>
            <w:vAlign w:val="center"/>
          </w:tcPr>
          <w:p w14:paraId="3E9C2F80">
            <w:pPr>
              <w:adjustRightInd w:val="0"/>
              <w:snapToGrid w:val="0"/>
              <w:spacing w:before="46" w:beforeLines="15" w:after="46" w:afterLines="15"/>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投标人同时具有质量管理体系认证、环境管理体系认证、职业健康与安全管理体系认证的得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分，具有其他管理体系认证的每个加1分，最多加1分。</w:t>
            </w:r>
          </w:p>
          <w:p w14:paraId="53416DF8">
            <w:pPr>
              <w:contextualSpacing/>
              <w:jc w:val="left"/>
              <w:rPr>
                <w:rFonts w:cs="宋体" w:asciiTheme="minorEastAsia" w:hAnsiTheme="minorEastAsia" w:eastAsiaTheme="minorEastAsia"/>
                <w:color w:val="auto"/>
                <w:szCs w:val="21"/>
                <w:highlight w:val="none"/>
              </w:rPr>
            </w:pPr>
            <w:r>
              <w:rPr>
                <w:rFonts w:hint="eastAsia" w:ascii="宋体" w:hAnsi="宋体" w:eastAsia="宋体" w:cs="宋体"/>
                <w:color w:val="auto"/>
                <w:sz w:val="21"/>
                <w:szCs w:val="21"/>
                <w:highlight w:val="none"/>
              </w:rPr>
              <w:t>本项最多得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分。（需提供相关证书扫描件，证书须在有效期内）</w:t>
            </w:r>
          </w:p>
        </w:tc>
      </w:tr>
      <w:tr w14:paraId="262A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92" w:type="dxa"/>
            <w:vMerge w:val="continue"/>
            <w:tcMar>
              <w:top w:w="0" w:type="dxa"/>
              <w:left w:w="57" w:type="dxa"/>
              <w:bottom w:w="0" w:type="dxa"/>
              <w:right w:w="57" w:type="dxa"/>
            </w:tcMar>
          </w:tcPr>
          <w:p w14:paraId="2BC89159">
            <w:pPr>
              <w:ind w:left="2079" w:right="2059"/>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6AC67849">
            <w:pPr>
              <w:ind w:left="2079" w:right="2059"/>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10F7231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企业技术管理能力</w:t>
            </w:r>
          </w:p>
          <w:p w14:paraId="404FD6C3">
            <w:pPr>
              <w:contextualSpacing/>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tc>
        <w:tc>
          <w:tcPr>
            <w:tcW w:w="4989" w:type="dxa"/>
            <w:vAlign w:val="center"/>
          </w:tcPr>
          <w:p w14:paraId="13F784AF">
            <w:pPr>
              <w:keepNext w:val="0"/>
              <w:keepLines w:val="0"/>
              <w:pageBreakBefore w:val="0"/>
              <w:kinsoku/>
              <w:wordWrap/>
              <w:overflowPunct/>
              <w:topLinePunct w:val="0"/>
              <w:autoSpaceDE w:val="0"/>
              <w:autoSpaceDN w:val="0"/>
              <w:bidi w:val="0"/>
              <w:adjustRightInd w:val="0"/>
              <w:snapToGrid w:val="0"/>
              <w:spacing w:before="0" w:beforeLines="0" w:beforeAutospacing="0" w:after="0" w:afterLines="0" w:afterAutospacing="0" w:line="320" w:lineRule="exact"/>
              <w:ind w:left="42" w:leftChars="20" w:right="42" w:rightChars="2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rPr>
              <w:t>至投标截止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获得过省级或以上人民政府(或行政部门或建筑学会或协会）颁发的工程类科学技术奖项</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获得过</w:t>
            </w:r>
            <w:r>
              <w:rPr>
                <w:rFonts w:hint="eastAsia" w:ascii="宋体" w:hAnsi="宋体" w:eastAsia="宋体" w:cs="宋体"/>
                <w:color w:val="auto"/>
                <w:sz w:val="21"/>
                <w:szCs w:val="21"/>
                <w:highlight w:val="none"/>
                <w:lang w:val="en-US" w:eastAsia="zh-CN"/>
              </w:rPr>
              <w:t>市</w:t>
            </w:r>
            <w:r>
              <w:rPr>
                <w:rFonts w:hint="eastAsia" w:ascii="宋体" w:hAnsi="宋体" w:eastAsia="宋体" w:cs="宋体"/>
                <w:color w:val="auto"/>
                <w:sz w:val="21"/>
                <w:szCs w:val="21"/>
                <w:highlight w:val="none"/>
              </w:rPr>
              <w:t>级人民政府(或行政部门或建筑学会或协会）颁发的工程类科学技术奖项</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5C229E31">
            <w:pPr>
              <w:contextualSpacing/>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注:提供相关获奖证书原件扫描件，获奖时间以获奖证书颁发时间为准。工程类科学技术类奖项是指“科学技术进步奖”或“科技进步奖”或“科学技术奖”</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。发证机构须为政府部门、</w:t>
            </w:r>
            <w:r>
              <w:rPr>
                <w:rFonts w:hint="eastAsia" w:ascii="宋体" w:hAnsi="宋体" w:eastAsia="宋体" w:cs="宋体"/>
                <w:color w:val="auto"/>
                <w:sz w:val="21"/>
                <w:szCs w:val="21"/>
                <w:highlight w:val="none"/>
                <w:lang w:eastAsia="zh-CN"/>
              </w:rPr>
              <w:t>市</w:t>
            </w:r>
            <w:r>
              <w:rPr>
                <w:rFonts w:hint="eastAsia" w:ascii="宋体" w:hAnsi="宋体" w:eastAsia="宋体" w:cs="宋体"/>
                <w:color w:val="auto"/>
                <w:sz w:val="21"/>
                <w:szCs w:val="21"/>
                <w:highlight w:val="none"/>
              </w:rPr>
              <w:t>级或以上社会组织（如协会、学会等），如发奖单位为</w:t>
            </w:r>
            <w:r>
              <w:rPr>
                <w:rFonts w:hint="eastAsia" w:ascii="宋体" w:hAnsi="宋体" w:eastAsia="宋体" w:cs="宋体"/>
                <w:color w:val="auto"/>
                <w:sz w:val="21"/>
                <w:szCs w:val="21"/>
                <w:highlight w:val="none"/>
                <w:lang w:eastAsia="zh-CN"/>
              </w:rPr>
              <w:t>市</w:t>
            </w:r>
            <w:r>
              <w:rPr>
                <w:rFonts w:hint="eastAsia" w:ascii="宋体" w:hAnsi="宋体" w:eastAsia="宋体" w:cs="宋体"/>
                <w:color w:val="auto"/>
                <w:sz w:val="21"/>
                <w:szCs w:val="21"/>
                <w:highlight w:val="none"/>
              </w:rPr>
              <w:t>级或以上社会组织颁发，则须提供该协会（学会）在“中国社会组织</w:t>
            </w:r>
            <w:r>
              <w:rPr>
                <w:rFonts w:hint="eastAsia" w:ascii="宋体" w:hAnsi="宋体" w:eastAsia="宋体" w:cs="宋体"/>
                <w:color w:val="auto"/>
                <w:sz w:val="21"/>
                <w:szCs w:val="21"/>
                <w:highlight w:val="none"/>
                <w:lang w:eastAsia="zh-CN"/>
              </w:rPr>
              <w:t>政务</w:t>
            </w:r>
            <w:r>
              <w:rPr>
                <w:rFonts w:hint="eastAsia" w:ascii="宋体" w:hAnsi="宋体" w:eastAsia="宋体" w:cs="宋体"/>
                <w:color w:val="auto"/>
                <w:sz w:val="21"/>
                <w:szCs w:val="21"/>
                <w:highlight w:val="none"/>
              </w:rPr>
              <w:t>服务平台”网站查询结果</w:t>
            </w:r>
            <w:r>
              <w:rPr>
                <w:rFonts w:hint="eastAsia" w:ascii="宋体" w:hAnsi="宋体" w:eastAsia="宋体" w:cs="宋体"/>
                <w:color w:val="auto"/>
                <w:sz w:val="21"/>
                <w:szCs w:val="21"/>
                <w:highlight w:val="none"/>
                <w:lang w:eastAsia="zh-CN"/>
              </w:rPr>
              <w:t>的网页</w:t>
            </w:r>
            <w:r>
              <w:rPr>
                <w:rFonts w:hint="eastAsia" w:ascii="宋体" w:hAnsi="宋体" w:eastAsia="宋体" w:cs="宋体"/>
                <w:color w:val="auto"/>
                <w:sz w:val="21"/>
                <w:szCs w:val="21"/>
                <w:highlight w:val="none"/>
              </w:rPr>
              <w:t>截图，不提供不得分；同一项目的科学技术进步奖或科学技术奖或科技进步奖获得不同级别奖项的按最高级别只计一次得分。</w:t>
            </w:r>
          </w:p>
        </w:tc>
      </w:tr>
      <w:tr w14:paraId="320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2" w:type="dxa"/>
            <w:vMerge w:val="restart"/>
            <w:tcMar>
              <w:top w:w="0" w:type="dxa"/>
              <w:left w:w="57" w:type="dxa"/>
              <w:bottom w:w="0" w:type="dxa"/>
              <w:right w:w="57" w:type="dxa"/>
            </w:tcMar>
          </w:tcPr>
          <w:p w14:paraId="2ED1AA4E">
            <w:pPr>
              <w:spacing w:line="200" w:lineRule="exact"/>
              <w:jc w:val="left"/>
              <w:rPr>
                <w:rFonts w:asciiTheme="minorEastAsia" w:hAnsiTheme="minorEastAsia" w:eastAsiaTheme="minorEastAsia"/>
                <w:color w:val="auto"/>
                <w:sz w:val="18"/>
                <w:szCs w:val="18"/>
                <w:highlight w:val="none"/>
              </w:rPr>
            </w:pPr>
          </w:p>
          <w:p w14:paraId="4C92A58A">
            <w:pPr>
              <w:spacing w:line="200" w:lineRule="exact"/>
              <w:jc w:val="left"/>
              <w:rPr>
                <w:rFonts w:asciiTheme="minorEastAsia" w:hAnsiTheme="minorEastAsia" w:eastAsiaTheme="minorEastAsia"/>
                <w:color w:val="auto"/>
                <w:sz w:val="18"/>
                <w:szCs w:val="18"/>
                <w:highlight w:val="none"/>
              </w:rPr>
            </w:pPr>
          </w:p>
          <w:p w14:paraId="22823739">
            <w:pPr>
              <w:spacing w:line="200" w:lineRule="exact"/>
              <w:jc w:val="left"/>
              <w:rPr>
                <w:rFonts w:asciiTheme="minorEastAsia" w:hAnsiTheme="minorEastAsia" w:eastAsiaTheme="minorEastAsia"/>
                <w:color w:val="auto"/>
                <w:sz w:val="18"/>
                <w:szCs w:val="18"/>
                <w:highlight w:val="none"/>
              </w:rPr>
            </w:pPr>
          </w:p>
          <w:p w14:paraId="50935CDD">
            <w:pPr>
              <w:spacing w:line="200" w:lineRule="exact"/>
              <w:jc w:val="left"/>
              <w:rPr>
                <w:rFonts w:asciiTheme="minorEastAsia" w:hAnsiTheme="minorEastAsia" w:eastAsiaTheme="minorEastAsia"/>
                <w:color w:val="auto"/>
                <w:sz w:val="18"/>
                <w:szCs w:val="18"/>
                <w:highlight w:val="none"/>
              </w:rPr>
            </w:pPr>
          </w:p>
          <w:p w14:paraId="46D5275B">
            <w:pPr>
              <w:spacing w:line="200" w:lineRule="exact"/>
              <w:jc w:val="left"/>
              <w:rPr>
                <w:rFonts w:asciiTheme="minorEastAsia" w:hAnsiTheme="minorEastAsia" w:eastAsiaTheme="minorEastAsia"/>
                <w:color w:val="auto"/>
                <w:sz w:val="18"/>
                <w:szCs w:val="18"/>
                <w:highlight w:val="none"/>
              </w:rPr>
            </w:pPr>
          </w:p>
          <w:p w14:paraId="0A632C2B">
            <w:pPr>
              <w:spacing w:line="200" w:lineRule="exact"/>
              <w:jc w:val="left"/>
              <w:rPr>
                <w:rFonts w:asciiTheme="minorEastAsia" w:hAnsiTheme="minorEastAsia" w:eastAsiaTheme="minorEastAsia"/>
                <w:color w:val="auto"/>
                <w:sz w:val="18"/>
                <w:szCs w:val="18"/>
                <w:highlight w:val="none"/>
              </w:rPr>
            </w:pPr>
          </w:p>
          <w:p w14:paraId="28091EBD">
            <w:pPr>
              <w:spacing w:line="200" w:lineRule="exact"/>
              <w:jc w:val="left"/>
              <w:rPr>
                <w:rFonts w:asciiTheme="minorEastAsia" w:hAnsiTheme="minorEastAsia" w:eastAsiaTheme="minorEastAsia"/>
                <w:color w:val="auto"/>
                <w:sz w:val="18"/>
                <w:szCs w:val="18"/>
                <w:highlight w:val="none"/>
              </w:rPr>
            </w:pPr>
          </w:p>
          <w:p w14:paraId="5F6ED812">
            <w:pPr>
              <w:spacing w:line="200" w:lineRule="exact"/>
              <w:jc w:val="left"/>
              <w:rPr>
                <w:rFonts w:asciiTheme="minorEastAsia" w:hAnsiTheme="minorEastAsia" w:eastAsiaTheme="minorEastAsia"/>
                <w:color w:val="auto"/>
                <w:sz w:val="18"/>
                <w:szCs w:val="18"/>
                <w:highlight w:val="none"/>
              </w:rPr>
            </w:pPr>
          </w:p>
          <w:p w14:paraId="400183E4">
            <w:pPr>
              <w:spacing w:line="200" w:lineRule="exact"/>
              <w:jc w:val="left"/>
              <w:rPr>
                <w:rFonts w:asciiTheme="minorEastAsia" w:hAnsiTheme="minorEastAsia" w:eastAsiaTheme="minorEastAsia"/>
                <w:color w:val="auto"/>
                <w:sz w:val="18"/>
                <w:szCs w:val="18"/>
                <w:highlight w:val="none"/>
              </w:rPr>
            </w:pPr>
          </w:p>
          <w:p w14:paraId="4098749E">
            <w:pPr>
              <w:spacing w:before="3" w:line="280" w:lineRule="exact"/>
              <w:jc w:val="left"/>
              <w:rPr>
                <w:rFonts w:asciiTheme="minorEastAsia" w:hAnsiTheme="minorEastAsia" w:eastAsiaTheme="minorEastAsia"/>
                <w:color w:val="auto"/>
                <w:sz w:val="18"/>
                <w:szCs w:val="18"/>
                <w:highlight w:val="none"/>
              </w:rPr>
            </w:pPr>
          </w:p>
          <w:p w14:paraId="146A39CB">
            <w:pPr>
              <w:ind w:left="234" w:right="-2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2.2.4</w:t>
            </w:r>
          </w:p>
          <w:p w14:paraId="1C4DF4F3">
            <w:pPr>
              <w:spacing w:before="86"/>
              <w:ind w:left="181" w:right="-20"/>
              <w:jc w:val="left"/>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p>
        </w:tc>
        <w:tc>
          <w:tcPr>
            <w:tcW w:w="1452" w:type="dxa"/>
            <w:gridSpan w:val="2"/>
            <w:vMerge w:val="restart"/>
            <w:tcMar>
              <w:top w:w="0" w:type="dxa"/>
              <w:left w:w="57" w:type="dxa"/>
              <w:bottom w:w="0" w:type="dxa"/>
              <w:right w:w="57" w:type="dxa"/>
            </w:tcMar>
          </w:tcPr>
          <w:p w14:paraId="2473C4AA">
            <w:pPr>
              <w:spacing w:before="1" w:line="170" w:lineRule="exact"/>
              <w:jc w:val="left"/>
              <w:rPr>
                <w:rFonts w:asciiTheme="minorEastAsia" w:hAnsiTheme="minorEastAsia" w:eastAsiaTheme="minorEastAsia"/>
                <w:color w:val="auto"/>
                <w:sz w:val="18"/>
                <w:szCs w:val="18"/>
                <w:highlight w:val="none"/>
              </w:rPr>
            </w:pPr>
          </w:p>
          <w:p w14:paraId="469355DB">
            <w:pPr>
              <w:spacing w:line="200" w:lineRule="exact"/>
              <w:jc w:val="left"/>
              <w:rPr>
                <w:rFonts w:asciiTheme="minorEastAsia" w:hAnsiTheme="minorEastAsia" w:eastAsiaTheme="minorEastAsia"/>
                <w:color w:val="auto"/>
                <w:sz w:val="18"/>
                <w:szCs w:val="18"/>
                <w:highlight w:val="none"/>
              </w:rPr>
            </w:pPr>
          </w:p>
          <w:p w14:paraId="399028D0">
            <w:pPr>
              <w:spacing w:line="200" w:lineRule="exact"/>
              <w:jc w:val="left"/>
              <w:rPr>
                <w:rFonts w:asciiTheme="minorEastAsia" w:hAnsiTheme="minorEastAsia" w:eastAsiaTheme="minorEastAsia"/>
                <w:color w:val="auto"/>
                <w:sz w:val="18"/>
                <w:szCs w:val="18"/>
                <w:highlight w:val="none"/>
              </w:rPr>
            </w:pPr>
          </w:p>
          <w:p w14:paraId="19285D6C">
            <w:pPr>
              <w:spacing w:line="200" w:lineRule="exact"/>
              <w:jc w:val="left"/>
              <w:rPr>
                <w:rFonts w:asciiTheme="minorEastAsia" w:hAnsiTheme="minorEastAsia" w:eastAsiaTheme="minorEastAsia"/>
                <w:color w:val="auto"/>
                <w:sz w:val="18"/>
                <w:szCs w:val="18"/>
                <w:highlight w:val="none"/>
              </w:rPr>
            </w:pPr>
          </w:p>
          <w:p w14:paraId="2A6223E9">
            <w:pPr>
              <w:spacing w:line="200" w:lineRule="exact"/>
              <w:jc w:val="left"/>
              <w:rPr>
                <w:rFonts w:asciiTheme="minorEastAsia" w:hAnsiTheme="minorEastAsia" w:eastAsiaTheme="minorEastAsia"/>
                <w:color w:val="auto"/>
                <w:sz w:val="18"/>
                <w:szCs w:val="18"/>
                <w:highlight w:val="none"/>
              </w:rPr>
            </w:pPr>
          </w:p>
          <w:p w14:paraId="38BB01EC">
            <w:pPr>
              <w:spacing w:line="200" w:lineRule="exact"/>
              <w:jc w:val="left"/>
              <w:rPr>
                <w:rFonts w:asciiTheme="minorEastAsia" w:hAnsiTheme="minorEastAsia" w:eastAsiaTheme="minorEastAsia"/>
                <w:color w:val="auto"/>
                <w:sz w:val="18"/>
                <w:szCs w:val="18"/>
                <w:highlight w:val="none"/>
              </w:rPr>
            </w:pPr>
          </w:p>
          <w:p w14:paraId="0CA260A9">
            <w:pPr>
              <w:spacing w:line="200" w:lineRule="exact"/>
              <w:jc w:val="left"/>
              <w:rPr>
                <w:rFonts w:asciiTheme="minorEastAsia" w:hAnsiTheme="minorEastAsia" w:eastAsiaTheme="minorEastAsia"/>
                <w:color w:val="auto"/>
                <w:sz w:val="18"/>
                <w:szCs w:val="18"/>
                <w:highlight w:val="none"/>
              </w:rPr>
            </w:pPr>
          </w:p>
          <w:p w14:paraId="15FD0D8E">
            <w:pPr>
              <w:spacing w:line="200" w:lineRule="exact"/>
              <w:jc w:val="left"/>
              <w:rPr>
                <w:rFonts w:asciiTheme="minorEastAsia" w:hAnsiTheme="minorEastAsia" w:eastAsiaTheme="minorEastAsia"/>
                <w:color w:val="auto"/>
                <w:sz w:val="18"/>
                <w:szCs w:val="18"/>
                <w:highlight w:val="none"/>
              </w:rPr>
            </w:pPr>
          </w:p>
          <w:p w14:paraId="7959CACF">
            <w:pPr>
              <w:spacing w:line="200" w:lineRule="exact"/>
              <w:jc w:val="left"/>
              <w:rPr>
                <w:rFonts w:asciiTheme="minorEastAsia" w:hAnsiTheme="minorEastAsia" w:eastAsiaTheme="minorEastAsia"/>
                <w:color w:val="auto"/>
                <w:sz w:val="18"/>
                <w:szCs w:val="18"/>
                <w:highlight w:val="none"/>
              </w:rPr>
            </w:pPr>
          </w:p>
          <w:p w14:paraId="100C0BF1">
            <w:pPr>
              <w:spacing w:line="200" w:lineRule="exact"/>
              <w:jc w:val="left"/>
              <w:rPr>
                <w:rFonts w:asciiTheme="minorEastAsia" w:hAnsiTheme="minorEastAsia" w:eastAsiaTheme="minorEastAsia"/>
                <w:color w:val="auto"/>
                <w:sz w:val="18"/>
                <w:szCs w:val="18"/>
                <w:highlight w:val="none"/>
              </w:rPr>
            </w:pPr>
          </w:p>
          <w:p w14:paraId="5940D2F3">
            <w:pPr>
              <w:contextualSpacing/>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监理大纲评分标准</w:t>
            </w:r>
          </w:p>
          <w:p w14:paraId="634CAF9D">
            <w:pPr>
              <w:spacing w:line="292" w:lineRule="auto"/>
              <w:ind w:left="136" w:right="59"/>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40</w:t>
            </w:r>
            <w:r>
              <w:rPr>
                <w:rFonts w:hint="eastAsia" w:cs="宋体" w:asciiTheme="minorEastAsia" w:hAnsiTheme="minorEastAsia" w:eastAsiaTheme="minorEastAsia"/>
                <w:color w:val="auto"/>
                <w:szCs w:val="21"/>
                <w:highlight w:val="none"/>
              </w:rPr>
              <w:t>分）</w:t>
            </w:r>
          </w:p>
        </w:tc>
        <w:tc>
          <w:tcPr>
            <w:tcW w:w="2004" w:type="dxa"/>
            <w:tcMar>
              <w:top w:w="0" w:type="dxa"/>
              <w:left w:w="57" w:type="dxa"/>
              <w:bottom w:w="0" w:type="dxa"/>
              <w:right w:w="57" w:type="dxa"/>
            </w:tcMar>
            <w:vAlign w:val="center"/>
          </w:tcPr>
          <w:p w14:paraId="3525EAD9">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监理范围与内容、监理依据与工作目标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eastAsia="zh-CN"/>
              </w:rPr>
              <w:t>）</w:t>
            </w:r>
          </w:p>
        </w:tc>
        <w:tc>
          <w:tcPr>
            <w:tcW w:w="4989" w:type="dxa"/>
            <w:vAlign w:val="center"/>
          </w:tcPr>
          <w:p w14:paraId="5F55856F">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响应并满足招标文件要求的</w:t>
            </w:r>
            <w:r>
              <w:rPr>
                <w:rFonts w:hint="eastAsia" w:ascii="宋体" w:hAnsi="宋体" w:cs="宋体"/>
                <w:bCs/>
                <w:color w:val="auto"/>
                <w:szCs w:val="21"/>
                <w:highlight w:val="none"/>
              </w:rPr>
              <w:t>得1分</w:t>
            </w:r>
            <w:r>
              <w:rPr>
                <w:rFonts w:hint="eastAsia" w:ascii="宋体" w:hAnsi="宋体" w:cs="宋体"/>
                <w:color w:val="auto"/>
                <w:szCs w:val="21"/>
                <w:highlight w:val="none"/>
              </w:rPr>
              <w:t>；不满足的</w:t>
            </w:r>
            <w:r>
              <w:rPr>
                <w:rFonts w:hint="eastAsia" w:ascii="宋体" w:hAnsi="宋体" w:cs="宋体"/>
                <w:bCs/>
                <w:color w:val="auto"/>
                <w:szCs w:val="21"/>
                <w:highlight w:val="none"/>
              </w:rPr>
              <w:t>不得分。</w:t>
            </w:r>
          </w:p>
        </w:tc>
      </w:tr>
      <w:tr w14:paraId="6B71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92" w:type="dxa"/>
            <w:vMerge w:val="continue"/>
            <w:tcMar>
              <w:top w:w="0" w:type="dxa"/>
              <w:left w:w="57" w:type="dxa"/>
              <w:bottom w:w="0" w:type="dxa"/>
              <w:right w:w="57" w:type="dxa"/>
            </w:tcMar>
          </w:tcPr>
          <w:p w14:paraId="712FFF50">
            <w:pPr>
              <w:ind w:left="2082" w:right="2063"/>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6EE99160">
            <w:pPr>
              <w:ind w:left="2082" w:right="2063"/>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6A122204">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监理机构设置与岗位职责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w:t>
            </w:r>
          </w:p>
        </w:tc>
        <w:tc>
          <w:tcPr>
            <w:tcW w:w="4989" w:type="dxa"/>
            <w:vAlign w:val="center"/>
          </w:tcPr>
          <w:p w14:paraId="2DC606EE">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职能分工及人员安排合理可行，岗位职责明确，满足监理机构人员配备最低要求。优于最低要求得3分；满足要求得2分；不满足不得分。最高不超过3分。</w:t>
            </w:r>
          </w:p>
        </w:tc>
      </w:tr>
      <w:tr w14:paraId="596E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92" w:type="dxa"/>
            <w:vMerge w:val="continue"/>
            <w:tcMar>
              <w:top w:w="0" w:type="dxa"/>
              <w:left w:w="57" w:type="dxa"/>
              <w:bottom w:w="0" w:type="dxa"/>
              <w:right w:w="57" w:type="dxa"/>
            </w:tcMar>
          </w:tcPr>
          <w:p w14:paraId="1DE7E86A">
            <w:pPr>
              <w:ind w:left="2081" w:right="2056"/>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2F26BF24">
            <w:pPr>
              <w:ind w:left="2081" w:right="2056"/>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79249159">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监理工作程序、方法和制度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w:t>
            </w:r>
          </w:p>
        </w:tc>
        <w:tc>
          <w:tcPr>
            <w:tcW w:w="4989" w:type="dxa"/>
            <w:vAlign w:val="center"/>
          </w:tcPr>
          <w:p w14:paraId="7B41E212">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有清晰的工作流程图、工作准则。满足要求得3分；基本满足要求得1分；不满足要求不得分。最高不超过3分。</w:t>
            </w:r>
          </w:p>
        </w:tc>
      </w:tr>
      <w:tr w14:paraId="6EF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2" w:type="dxa"/>
            <w:vMerge w:val="continue"/>
            <w:tcMar>
              <w:top w:w="0" w:type="dxa"/>
              <w:left w:w="57" w:type="dxa"/>
              <w:bottom w:w="0" w:type="dxa"/>
              <w:right w:w="57" w:type="dxa"/>
            </w:tcMar>
          </w:tcPr>
          <w:p w14:paraId="2A09F82C">
            <w:pPr>
              <w:spacing w:line="174" w:lineRule="exact"/>
              <w:ind w:left="2090" w:right="2065"/>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106E641C">
            <w:pPr>
              <w:spacing w:line="174" w:lineRule="exact"/>
              <w:ind w:left="2090" w:right="2065"/>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5949842F">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质量控制措施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4分</w:t>
            </w:r>
            <w:r>
              <w:rPr>
                <w:rFonts w:hint="eastAsia" w:ascii="宋体" w:hAnsi="宋体" w:cs="宋体"/>
                <w:color w:val="auto"/>
                <w:szCs w:val="21"/>
                <w:highlight w:val="none"/>
                <w:lang w:eastAsia="zh-CN"/>
              </w:rPr>
              <w:t>）</w:t>
            </w:r>
          </w:p>
        </w:tc>
        <w:tc>
          <w:tcPr>
            <w:tcW w:w="4989" w:type="dxa"/>
            <w:vAlign w:val="center"/>
          </w:tcPr>
          <w:p w14:paraId="2BD89786">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要求目标明确、方法合理可行、措施具体、针对性强。措施为优得4分；措施为良得2分；措施为一般得1分；无措施不得分；最高不超过4分。</w:t>
            </w:r>
          </w:p>
        </w:tc>
      </w:tr>
      <w:tr w14:paraId="37A2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2" w:type="dxa"/>
            <w:vMerge w:val="continue"/>
            <w:tcMar>
              <w:top w:w="0" w:type="dxa"/>
              <w:left w:w="57" w:type="dxa"/>
              <w:bottom w:w="0" w:type="dxa"/>
              <w:right w:w="57" w:type="dxa"/>
            </w:tcMar>
          </w:tcPr>
          <w:p w14:paraId="370B6775">
            <w:pPr>
              <w:ind w:left="2080" w:right="2055"/>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290226EC">
            <w:pPr>
              <w:ind w:left="2080" w:right="2055"/>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19251E50">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进度控制措施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4分</w:t>
            </w:r>
            <w:r>
              <w:rPr>
                <w:rFonts w:hint="eastAsia" w:ascii="宋体" w:hAnsi="宋体" w:cs="宋体"/>
                <w:color w:val="auto"/>
                <w:szCs w:val="21"/>
                <w:highlight w:val="none"/>
                <w:lang w:eastAsia="zh-CN"/>
              </w:rPr>
              <w:t>）</w:t>
            </w:r>
          </w:p>
        </w:tc>
        <w:tc>
          <w:tcPr>
            <w:tcW w:w="4989" w:type="dxa"/>
            <w:vAlign w:val="center"/>
          </w:tcPr>
          <w:p w14:paraId="4AB2A069">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要求目标明确、方法合理可行、措施具体、针对性强。措施为优得4分；措施为良得2分；措施为一般得1分；无措施不得分；最高不超过4分。</w:t>
            </w:r>
          </w:p>
        </w:tc>
      </w:tr>
      <w:tr w14:paraId="76D8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2" w:type="dxa"/>
            <w:vMerge w:val="continue"/>
            <w:tcMar>
              <w:top w:w="0" w:type="dxa"/>
              <w:left w:w="57" w:type="dxa"/>
              <w:bottom w:w="0" w:type="dxa"/>
              <w:right w:w="57" w:type="dxa"/>
            </w:tcMar>
          </w:tcPr>
          <w:p w14:paraId="37F6C113">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1428C52E">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41CF954B">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造价控制措施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4分</w:t>
            </w:r>
            <w:r>
              <w:rPr>
                <w:rFonts w:hint="eastAsia" w:ascii="宋体" w:hAnsi="宋体" w:cs="宋体"/>
                <w:color w:val="auto"/>
                <w:szCs w:val="21"/>
                <w:highlight w:val="none"/>
                <w:lang w:eastAsia="zh-CN"/>
              </w:rPr>
              <w:t>）</w:t>
            </w:r>
          </w:p>
        </w:tc>
        <w:tc>
          <w:tcPr>
            <w:tcW w:w="4989" w:type="dxa"/>
            <w:vAlign w:val="center"/>
          </w:tcPr>
          <w:p w14:paraId="39047B8B">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要求目标明确、方法合理可行、措施具体、针对性强。措施为优得4分；措施为良得2分；措施为一般得1分；无措施不得分；最高不超过4分。</w:t>
            </w:r>
          </w:p>
        </w:tc>
      </w:tr>
      <w:tr w14:paraId="23D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tcMar>
              <w:top w:w="0" w:type="dxa"/>
              <w:left w:w="57" w:type="dxa"/>
              <w:bottom w:w="0" w:type="dxa"/>
              <w:right w:w="57" w:type="dxa"/>
            </w:tcMar>
          </w:tcPr>
          <w:p w14:paraId="31DDF299">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2B177938">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7F5742AE">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安全、环保控制措施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4分</w:t>
            </w:r>
            <w:r>
              <w:rPr>
                <w:rFonts w:hint="eastAsia" w:ascii="宋体" w:hAnsi="宋体" w:cs="宋体"/>
                <w:color w:val="auto"/>
                <w:szCs w:val="21"/>
                <w:highlight w:val="none"/>
                <w:lang w:eastAsia="zh-CN"/>
              </w:rPr>
              <w:t>）</w:t>
            </w:r>
          </w:p>
        </w:tc>
        <w:tc>
          <w:tcPr>
            <w:tcW w:w="4989" w:type="dxa"/>
            <w:vAlign w:val="center"/>
          </w:tcPr>
          <w:p w14:paraId="32B8FCA4">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管理措施优得4分；良得2分；一般得1分；无措施不得分。</w:t>
            </w:r>
          </w:p>
        </w:tc>
      </w:tr>
      <w:tr w14:paraId="34B6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2" w:type="dxa"/>
            <w:vMerge w:val="continue"/>
            <w:tcMar>
              <w:top w:w="0" w:type="dxa"/>
              <w:left w:w="57" w:type="dxa"/>
              <w:bottom w:w="0" w:type="dxa"/>
              <w:right w:w="57" w:type="dxa"/>
            </w:tcMar>
          </w:tcPr>
          <w:p w14:paraId="22066883">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2E2C9243">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5715D484">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合同、信息管理方案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w:t>
            </w:r>
          </w:p>
        </w:tc>
        <w:tc>
          <w:tcPr>
            <w:tcW w:w="4989" w:type="dxa"/>
            <w:vAlign w:val="center"/>
          </w:tcPr>
          <w:p w14:paraId="01F36B7E">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管理方法合理有效，针对性强、措施具体得3分；措施不具体得2分；无措施不得分。最高不超过3分。</w:t>
            </w:r>
          </w:p>
        </w:tc>
      </w:tr>
      <w:tr w14:paraId="1F09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2" w:type="dxa"/>
            <w:vMerge w:val="continue"/>
            <w:tcMar>
              <w:top w:w="0" w:type="dxa"/>
              <w:left w:w="57" w:type="dxa"/>
              <w:bottom w:w="0" w:type="dxa"/>
              <w:right w:w="57" w:type="dxa"/>
            </w:tcMar>
          </w:tcPr>
          <w:p w14:paraId="60B1B714">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47CA00D5">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3377AD34">
            <w:pPr>
              <w:autoSpaceDE w:val="0"/>
              <w:autoSpaceDN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组织协调内容及措施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w:t>
            </w:r>
          </w:p>
        </w:tc>
        <w:tc>
          <w:tcPr>
            <w:tcW w:w="4989" w:type="dxa"/>
            <w:vAlign w:val="center"/>
          </w:tcPr>
          <w:p w14:paraId="00C9E699">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协调方法合理、针对性强、措施具体得3分；基本可行得2分；措施不得力不得分。最高不超过3分。</w:t>
            </w:r>
          </w:p>
        </w:tc>
      </w:tr>
      <w:tr w14:paraId="2F12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92" w:type="dxa"/>
            <w:vMerge w:val="continue"/>
            <w:tcMar>
              <w:top w:w="0" w:type="dxa"/>
              <w:left w:w="57" w:type="dxa"/>
              <w:bottom w:w="0" w:type="dxa"/>
              <w:right w:w="57" w:type="dxa"/>
            </w:tcMar>
          </w:tcPr>
          <w:p w14:paraId="738EA057">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62441191">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35F8FACF">
            <w:pPr>
              <w:autoSpaceDE w:val="0"/>
              <w:autoSpaceDN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重点难点监控措施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w:t>
            </w:r>
          </w:p>
        </w:tc>
        <w:tc>
          <w:tcPr>
            <w:tcW w:w="4989" w:type="dxa"/>
            <w:vAlign w:val="center"/>
          </w:tcPr>
          <w:p w14:paraId="24187045">
            <w:pPr>
              <w:autoSpaceDE w:val="0"/>
              <w:autoSpaceDN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要求针对性强、措施具体、可操作。优得3分；良得2分；中得1分；差及无措施不得分。最高不超过3分。</w:t>
            </w:r>
          </w:p>
        </w:tc>
      </w:tr>
      <w:tr w14:paraId="737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92" w:type="dxa"/>
            <w:vMerge w:val="continue"/>
            <w:tcMar>
              <w:top w:w="0" w:type="dxa"/>
              <w:left w:w="57" w:type="dxa"/>
              <w:bottom w:w="0" w:type="dxa"/>
              <w:right w:w="57" w:type="dxa"/>
            </w:tcMar>
          </w:tcPr>
          <w:p w14:paraId="2F73BF99">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0D7D5157">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36A78381">
            <w:pPr>
              <w:autoSpaceDE w:val="0"/>
              <w:autoSpaceDN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合理化建议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w:t>
            </w:r>
          </w:p>
        </w:tc>
        <w:tc>
          <w:tcPr>
            <w:tcW w:w="4989" w:type="dxa"/>
            <w:vAlign w:val="center"/>
          </w:tcPr>
          <w:p w14:paraId="69C1388F">
            <w:pPr>
              <w:autoSpaceDE w:val="0"/>
              <w:autoSpaceDN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具有科学、合理、可行及具体措施的建议并经评委分析论证认同的可得2分；无建议或建议不可行的不得分。最高不超过2分。</w:t>
            </w:r>
          </w:p>
        </w:tc>
      </w:tr>
      <w:tr w14:paraId="0B52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92" w:type="dxa"/>
            <w:vMerge w:val="continue"/>
            <w:tcMar>
              <w:top w:w="0" w:type="dxa"/>
              <w:left w:w="57" w:type="dxa"/>
              <w:bottom w:w="0" w:type="dxa"/>
              <w:right w:w="57" w:type="dxa"/>
            </w:tcMar>
          </w:tcPr>
          <w:p w14:paraId="4D8C6051">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277EBA92">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0E2FF40E">
            <w:pPr>
              <w:autoSpaceDE w:val="0"/>
              <w:autoSpaceDN w:val="0"/>
              <w:snapToGrid w:val="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工程验收、移交、保修的管理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w:t>
            </w:r>
          </w:p>
        </w:tc>
        <w:tc>
          <w:tcPr>
            <w:tcW w:w="4989" w:type="dxa"/>
            <w:vAlign w:val="center"/>
          </w:tcPr>
          <w:p w14:paraId="6C1B0523">
            <w:pPr>
              <w:autoSpaceDE w:val="0"/>
              <w:autoSpaceDN w:val="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管理方法合理有效、有具体措施得2分；一般、措施不具体得1分；无管理方法和措施不得分。最高不超过2分。</w:t>
            </w:r>
          </w:p>
        </w:tc>
      </w:tr>
      <w:tr w14:paraId="4F1E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92" w:type="dxa"/>
            <w:vMerge w:val="continue"/>
            <w:tcMar>
              <w:top w:w="0" w:type="dxa"/>
              <w:left w:w="57" w:type="dxa"/>
              <w:bottom w:w="0" w:type="dxa"/>
              <w:right w:w="57" w:type="dxa"/>
            </w:tcMar>
          </w:tcPr>
          <w:p w14:paraId="27CB0FDA">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7493F759">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5385C082">
            <w:pPr>
              <w:autoSpaceDE w:val="0"/>
              <w:autoSpaceDN w:val="0"/>
              <w:snapToGrid w:val="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工程进度款、工程结算的管理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w:t>
            </w:r>
          </w:p>
        </w:tc>
        <w:tc>
          <w:tcPr>
            <w:tcW w:w="4989" w:type="dxa"/>
            <w:vAlign w:val="center"/>
          </w:tcPr>
          <w:p w14:paraId="74B1CBB0">
            <w:pPr>
              <w:autoSpaceDE w:val="0"/>
              <w:autoSpaceDN w:val="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管理方法合理有效、有具体措施得2分；一般、措施不具体得1分；无管理的方法和措施不得分。最高不超过2分。</w:t>
            </w:r>
          </w:p>
        </w:tc>
      </w:tr>
      <w:tr w14:paraId="147C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92" w:type="dxa"/>
            <w:vMerge w:val="continue"/>
            <w:tcMar>
              <w:top w:w="0" w:type="dxa"/>
              <w:left w:w="57" w:type="dxa"/>
              <w:bottom w:w="0" w:type="dxa"/>
              <w:right w:w="57" w:type="dxa"/>
            </w:tcMar>
          </w:tcPr>
          <w:p w14:paraId="111D5690">
            <w:pPr>
              <w:ind w:left="2085" w:right="2060"/>
              <w:jc w:val="center"/>
              <w:rPr>
                <w:rFonts w:cs="宋体" w:asciiTheme="minorEastAsia" w:hAnsiTheme="minorEastAsia" w:eastAsiaTheme="minorEastAsia"/>
                <w:color w:val="auto"/>
                <w:sz w:val="18"/>
                <w:szCs w:val="18"/>
                <w:highlight w:val="none"/>
              </w:rPr>
            </w:pPr>
          </w:p>
        </w:tc>
        <w:tc>
          <w:tcPr>
            <w:tcW w:w="1452" w:type="dxa"/>
            <w:gridSpan w:val="2"/>
            <w:vMerge w:val="continue"/>
            <w:tcMar>
              <w:top w:w="0" w:type="dxa"/>
              <w:left w:w="57" w:type="dxa"/>
              <w:bottom w:w="0" w:type="dxa"/>
              <w:right w:w="57" w:type="dxa"/>
            </w:tcMar>
          </w:tcPr>
          <w:p w14:paraId="3BF4F592">
            <w:pPr>
              <w:ind w:left="2085" w:right="2060"/>
              <w:jc w:val="center"/>
              <w:rPr>
                <w:rFonts w:cs="宋体" w:asciiTheme="minorEastAsia" w:hAnsiTheme="minorEastAsia" w:eastAsiaTheme="minorEastAsia"/>
                <w:color w:val="auto"/>
                <w:sz w:val="18"/>
                <w:szCs w:val="18"/>
                <w:highlight w:val="none"/>
              </w:rPr>
            </w:pPr>
          </w:p>
        </w:tc>
        <w:tc>
          <w:tcPr>
            <w:tcW w:w="2004" w:type="dxa"/>
            <w:tcMar>
              <w:top w:w="0" w:type="dxa"/>
              <w:left w:w="57" w:type="dxa"/>
              <w:bottom w:w="0" w:type="dxa"/>
              <w:right w:w="57" w:type="dxa"/>
            </w:tcMar>
            <w:vAlign w:val="center"/>
          </w:tcPr>
          <w:p w14:paraId="1B421EFD">
            <w:pPr>
              <w:autoSpaceDE w:val="0"/>
              <w:autoSpaceDN w:val="0"/>
              <w:snapToGrid w:val="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会议制度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w:t>
            </w:r>
          </w:p>
        </w:tc>
        <w:tc>
          <w:tcPr>
            <w:tcW w:w="4989" w:type="dxa"/>
            <w:vAlign w:val="center"/>
          </w:tcPr>
          <w:p w14:paraId="204656B4">
            <w:pPr>
              <w:autoSpaceDE w:val="0"/>
              <w:autoSpaceDN w:val="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建立完善的工地会议制度。满足要求得2分；不满足要求不得分。最高不超过2分。</w:t>
            </w:r>
          </w:p>
        </w:tc>
      </w:tr>
      <w:tr w14:paraId="5FE9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792" w:type="dxa"/>
            <w:tcMar>
              <w:top w:w="0" w:type="dxa"/>
              <w:left w:w="57" w:type="dxa"/>
              <w:bottom w:w="0" w:type="dxa"/>
              <w:right w:w="57" w:type="dxa"/>
            </w:tcMar>
            <w:vAlign w:val="center"/>
          </w:tcPr>
          <w:p w14:paraId="26E87857">
            <w:pPr>
              <w:spacing w:line="340" w:lineRule="exact"/>
              <w:jc w:val="center"/>
              <w:rPr>
                <w:rFonts w:cs="宋体" w:asciiTheme="minorEastAsia" w:hAnsiTheme="minorEastAsia" w:eastAsiaTheme="minorEastAsia"/>
                <w:color w:val="auto"/>
                <w:sz w:val="18"/>
                <w:szCs w:val="18"/>
                <w:highlight w:val="none"/>
              </w:rPr>
            </w:pPr>
            <w:r>
              <w:rPr>
                <w:rFonts w:cs="宋体" w:asciiTheme="minorEastAsia" w:hAnsiTheme="minorEastAsia" w:eastAsiaTheme="minorEastAsia"/>
                <w:color w:val="auto"/>
                <w:sz w:val="18"/>
                <w:szCs w:val="18"/>
                <w:highlight w:val="none"/>
              </w:rPr>
              <w:t>2.2.4</w:t>
            </w:r>
          </w:p>
          <w:p w14:paraId="5C14CFAA">
            <w:pPr>
              <w:spacing w:line="340" w:lineRule="exac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（3）</w:t>
            </w:r>
          </w:p>
        </w:tc>
        <w:tc>
          <w:tcPr>
            <w:tcW w:w="1443" w:type="dxa"/>
            <w:tcMar>
              <w:top w:w="0" w:type="dxa"/>
              <w:left w:w="57" w:type="dxa"/>
              <w:bottom w:w="0" w:type="dxa"/>
              <w:right w:w="57" w:type="dxa"/>
            </w:tcMar>
            <w:vAlign w:val="center"/>
          </w:tcPr>
          <w:p w14:paraId="7992F751">
            <w:pPr>
              <w:snapToGrid w:val="0"/>
              <w:jc w:val="center"/>
              <w:rPr>
                <w:rStyle w:val="222"/>
                <w:rFonts w:asciiTheme="minorEastAsia" w:hAnsiTheme="minorEastAsia" w:eastAsiaTheme="minorEastAsia"/>
                <w:color w:val="auto"/>
                <w:highlight w:val="none"/>
              </w:rPr>
            </w:pPr>
            <w:r>
              <w:rPr>
                <w:rStyle w:val="222"/>
                <w:rFonts w:hint="eastAsia" w:asciiTheme="minorEastAsia" w:hAnsiTheme="minorEastAsia" w:eastAsiaTheme="minorEastAsia"/>
                <w:color w:val="auto"/>
                <w:highlight w:val="none"/>
              </w:rPr>
              <w:t>投标报价评分标准（</w:t>
            </w:r>
            <w:r>
              <w:rPr>
                <w:rStyle w:val="222"/>
                <w:rFonts w:hint="eastAsia" w:asciiTheme="minorEastAsia" w:hAnsiTheme="minorEastAsia" w:eastAsiaTheme="minorEastAsia"/>
                <w:color w:val="auto"/>
                <w:highlight w:val="none"/>
                <w:lang w:val="en-US" w:eastAsia="zh-CN"/>
              </w:rPr>
              <w:t>10</w:t>
            </w:r>
            <w:r>
              <w:rPr>
                <w:rStyle w:val="222"/>
                <w:rFonts w:hint="eastAsia" w:asciiTheme="minorEastAsia" w:hAnsiTheme="minorEastAsia" w:eastAsiaTheme="minorEastAsia"/>
                <w:color w:val="auto"/>
                <w:highlight w:val="none"/>
              </w:rPr>
              <w:t>分）</w:t>
            </w:r>
          </w:p>
        </w:tc>
        <w:tc>
          <w:tcPr>
            <w:tcW w:w="2013" w:type="dxa"/>
            <w:gridSpan w:val="2"/>
            <w:tcMar>
              <w:top w:w="0" w:type="dxa"/>
              <w:left w:w="57" w:type="dxa"/>
              <w:bottom w:w="0" w:type="dxa"/>
              <w:right w:w="57" w:type="dxa"/>
            </w:tcMar>
            <w:vAlign w:val="center"/>
          </w:tcPr>
          <w:p w14:paraId="6EB9D603">
            <w:pPr>
              <w:pStyle w:val="223"/>
              <w:spacing w:before="14"/>
              <w:ind w:left="-101" w:leftChars="-49" w:hanging="1"/>
              <w:jc w:val="center"/>
              <w:rPr>
                <w:rFonts w:cs="宋体" w:asciiTheme="minorEastAsia" w:hAnsiTheme="minorEastAsia" w:eastAsiaTheme="minorEastAsia"/>
                <w:color w:val="auto"/>
                <w:szCs w:val="21"/>
                <w:highlight w:val="none"/>
              </w:rPr>
            </w:pPr>
            <w:r>
              <w:rPr>
                <w:rStyle w:val="222"/>
                <w:rFonts w:asciiTheme="minorEastAsia" w:hAnsiTheme="minorEastAsia" w:eastAsiaTheme="minorEastAsia"/>
                <w:color w:val="auto"/>
                <w:highlight w:val="none"/>
              </w:rPr>
              <w:t>报价得分</w:t>
            </w:r>
          </w:p>
        </w:tc>
        <w:tc>
          <w:tcPr>
            <w:tcW w:w="4989" w:type="dxa"/>
            <w:vAlign w:val="center"/>
          </w:tcPr>
          <w:p w14:paraId="18AA2047">
            <w:pPr>
              <w:rPr>
                <w:rFonts w:cs="宋体" w:asciiTheme="minorEastAsia" w:hAnsiTheme="minorEastAsia" w:eastAsiaTheme="minorEastAsia"/>
                <w:color w:val="auto"/>
                <w:sz w:val="18"/>
                <w:szCs w:val="18"/>
                <w:highlight w:val="none"/>
              </w:rPr>
            </w:pPr>
            <w:r>
              <w:rPr>
                <w:rStyle w:val="222"/>
                <w:rFonts w:asciiTheme="minorEastAsia" w:hAnsiTheme="minorEastAsia" w:eastAsiaTheme="minorEastAsia"/>
                <w:color w:val="auto"/>
                <w:szCs w:val="21"/>
                <w:highlight w:val="none"/>
              </w:rPr>
              <w:t>以评标基准价作为计算各有效投标价得分的基础，当有效投标报价等于评标基准价时得</w:t>
            </w:r>
            <w:r>
              <w:rPr>
                <w:rStyle w:val="222"/>
                <w:rFonts w:hint="eastAsia" w:asciiTheme="minorEastAsia" w:hAnsiTheme="minorEastAsia" w:eastAsiaTheme="minorEastAsia"/>
                <w:color w:val="auto"/>
                <w:szCs w:val="21"/>
                <w:highlight w:val="none"/>
                <w:lang w:val="en-US" w:eastAsia="zh-CN"/>
              </w:rPr>
              <w:t>10</w:t>
            </w:r>
            <w:r>
              <w:rPr>
                <w:rStyle w:val="222"/>
                <w:rFonts w:asciiTheme="minorEastAsia" w:hAnsiTheme="minorEastAsia" w:eastAsiaTheme="minorEastAsia"/>
                <w:color w:val="auto"/>
                <w:szCs w:val="21"/>
                <w:highlight w:val="none"/>
              </w:rPr>
              <w:t>分；投标有效报价与评标基准价之差，每上偏1%扣</w:t>
            </w:r>
            <w:r>
              <w:rPr>
                <w:rStyle w:val="222"/>
                <w:rFonts w:hint="eastAsia" w:asciiTheme="minorEastAsia" w:hAnsiTheme="minorEastAsia" w:eastAsiaTheme="minorEastAsia"/>
                <w:color w:val="auto"/>
                <w:szCs w:val="21"/>
                <w:highlight w:val="none"/>
                <w:lang w:val="en-US" w:eastAsia="zh-CN"/>
              </w:rPr>
              <w:t>0.5</w:t>
            </w:r>
            <w:r>
              <w:rPr>
                <w:rStyle w:val="222"/>
                <w:rFonts w:asciiTheme="minorEastAsia" w:hAnsiTheme="minorEastAsia" w:eastAsiaTheme="minorEastAsia"/>
                <w:color w:val="auto"/>
                <w:szCs w:val="21"/>
                <w:highlight w:val="none"/>
              </w:rPr>
              <w:t>分，下偏1%扣0.5分。（得分扣至0分止）</w:t>
            </w:r>
          </w:p>
        </w:tc>
      </w:tr>
      <w:tr w14:paraId="1533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2" w:type="dxa"/>
            <w:tcMar>
              <w:top w:w="0" w:type="dxa"/>
              <w:left w:w="57" w:type="dxa"/>
              <w:bottom w:w="0" w:type="dxa"/>
              <w:right w:w="57" w:type="dxa"/>
            </w:tcMar>
            <w:vAlign w:val="center"/>
          </w:tcPr>
          <w:p w14:paraId="65DBA05A">
            <w:pPr>
              <w:widowControl/>
              <w:jc w:val="center"/>
              <w:textAlignment w:val="center"/>
              <w:rPr>
                <w:rFonts w:hint="eastAsia" w:cs="宋体" w:asciiTheme="minorEastAsia" w:hAnsiTheme="minorEastAsia" w:eastAsiaTheme="minorEastAsia"/>
                <w:color w:val="auto"/>
                <w:sz w:val="18"/>
                <w:szCs w:val="18"/>
                <w:highlight w:val="none"/>
                <w:lang w:eastAsia="zh-CN"/>
              </w:rPr>
            </w:pPr>
            <w:r>
              <w:rPr>
                <w:rFonts w:cs="宋体" w:asciiTheme="minorEastAsia" w:hAnsiTheme="minorEastAsia" w:eastAsiaTheme="minorEastAsia"/>
                <w:color w:val="auto"/>
                <w:sz w:val="18"/>
                <w:szCs w:val="18"/>
                <w:highlight w:val="none"/>
              </w:rPr>
              <w:t>2.2.4</w:t>
            </w:r>
          </w:p>
          <w:p w14:paraId="7A40355F">
            <w:pPr>
              <w:widowControl/>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（4）</w:t>
            </w:r>
          </w:p>
        </w:tc>
        <w:tc>
          <w:tcPr>
            <w:tcW w:w="1443" w:type="dxa"/>
            <w:tcMar>
              <w:top w:w="0" w:type="dxa"/>
              <w:left w:w="57" w:type="dxa"/>
              <w:bottom w:w="0" w:type="dxa"/>
              <w:right w:w="57" w:type="dxa"/>
            </w:tcMar>
            <w:vAlign w:val="center"/>
          </w:tcPr>
          <w:p w14:paraId="299DA8F1">
            <w:pPr>
              <w:snapToGrid w:val="0"/>
              <w:jc w:val="center"/>
              <w:rPr>
                <w:rStyle w:val="222"/>
                <w:rFonts w:asciiTheme="minorEastAsia" w:hAnsiTheme="minorEastAsia" w:eastAsiaTheme="minorEastAsia"/>
                <w:color w:val="auto"/>
                <w:highlight w:val="none"/>
              </w:rPr>
            </w:pPr>
            <w:r>
              <w:rPr>
                <w:rStyle w:val="222"/>
                <w:rFonts w:asciiTheme="minorEastAsia" w:hAnsiTheme="minorEastAsia" w:eastAsiaTheme="minorEastAsia"/>
                <w:color w:val="auto"/>
                <w:highlight w:val="none"/>
              </w:rPr>
              <w:t>其他因素评分标准</w:t>
            </w:r>
          </w:p>
          <w:p w14:paraId="286F3487">
            <w:pPr>
              <w:snapToGrid w:val="0"/>
              <w:jc w:val="center"/>
              <w:rPr>
                <w:rFonts w:cs="宋体" w:asciiTheme="minorEastAsia" w:hAnsiTheme="minorEastAsia" w:eastAsiaTheme="minorEastAsia"/>
                <w:color w:val="auto"/>
                <w:szCs w:val="21"/>
                <w:highlight w:val="none"/>
              </w:rPr>
            </w:pPr>
            <w:r>
              <w:rPr>
                <w:rStyle w:val="222"/>
                <w:rFonts w:asciiTheme="minorEastAsia" w:hAnsiTheme="minorEastAsia" w:eastAsiaTheme="minorEastAsia"/>
                <w:color w:val="auto"/>
                <w:highlight w:val="none"/>
              </w:rPr>
              <w:t>（</w:t>
            </w:r>
            <w:r>
              <w:rPr>
                <w:rStyle w:val="222"/>
                <w:rFonts w:hint="eastAsia" w:asciiTheme="minorEastAsia" w:hAnsiTheme="minorEastAsia" w:eastAsiaTheme="minorEastAsia"/>
                <w:color w:val="auto"/>
                <w:highlight w:val="none"/>
              </w:rPr>
              <w:t>1</w:t>
            </w:r>
            <w:r>
              <w:rPr>
                <w:rStyle w:val="222"/>
                <w:rFonts w:asciiTheme="minorEastAsia" w:hAnsiTheme="minorEastAsia" w:eastAsiaTheme="minorEastAsia"/>
                <w:color w:val="auto"/>
                <w:highlight w:val="none"/>
              </w:rPr>
              <w:t>0分）</w:t>
            </w:r>
          </w:p>
        </w:tc>
        <w:tc>
          <w:tcPr>
            <w:tcW w:w="2013" w:type="dxa"/>
            <w:gridSpan w:val="2"/>
            <w:tcMar>
              <w:top w:w="0" w:type="dxa"/>
              <w:left w:w="57" w:type="dxa"/>
              <w:bottom w:w="0" w:type="dxa"/>
              <w:right w:w="57" w:type="dxa"/>
            </w:tcMar>
            <w:vAlign w:val="center"/>
          </w:tcPr>
          <w:p w14:paraId="142B1E26">
            <w:pPr>
              <w:widowControl/>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21"/>
                <w:szCs w:val="21"/>
                <w:highlight w:val="none"/>
              </w:rPr>
              <w:t>企业诚信排名</w:t>
            </w:r>
          </w:p>
        </w:tc>
        <w:tc>
          <w:tcPr>
            <w:tcW w:w="4989" w:type="dxa"/>
            <w:vAlign w:val="center"/>
          </w:tcPr>
          <w:p w14:paraId="5540887E">
            <w:pPr>
              <w:rPr>
                <w:rStyle w:val="222"/>
                <w:rFonts w:hint="eastAsia" w:ascii="宋体" w:hAnsi="宋体" w:eastAsia="宋体" w:cs="宋体"/>
                <w:b/>
                <w:color w:val="auto"/>
                <w:szCs w:val="21"/>
                <w:highlight w:val="none"/>
              </w:rPr>
            </w:pPr>
            <w:r>
              <w:rPr>
                <w:rStyle w:val="222"/>
                <w:rFonts w:hint="eastAsia" w:ascii="宋体" w:hAnsi="宋体" w:eastAsia="宋体" w:cs="宋体"/>
                <w:b/>
                <w:color w:val="auto"/>
                <w:szCs w:val="21"/>
                <w:highlight w:val="none"/>
              </w:rPr>
              <w:t>投标人诚信得分=诚信综合评价排名得分×10%。</w:t>
            </w:r>
          </w:p>
          <w:p w14:paraId="7DB3AAAF">
            <w:pPr>
              <w:rPr>
                <w:rStyle w:val="222"/>
                <w:color w:val="auto"/>
                <w:szCs w:val="21"/>
                <w:highlight w:val="none"/>
              </w:rPr>
            </w:pPr>
            <w:r>
              <w:rPr>
                <w:rStyle w:val="222"/>
                <w:rFonts w:hint="eastAsia" w:ascii="宋体" w:hAnsi="宋体" w:cs="宋体"/>
                <w:color w:val="auto"/>
                <w:highlight w:val="none"/>
              </w:rPr>
              <w:t>企业的诚信综合评价排名得分以投标截止当天广州市工程招标行业协会网站监理企业专栏上公布的企业60日诚信分得分为准。企业诚信综合诚信评价排名以监理-房建排名为准</w:t>
            </w:r>
            <w:r>
              <w:rPr>
                <w:rStyle w:val="222"/>
                <w:rFonts w:hint="eastAsia" w:ascii="宋体" w:hAnsi="宋体" w:eastAsia="宋体" w:cs="宋体"/>
                <w:color w:val="auto"/>
                <w:szCs w:val="21"/>
                <w:highlight w:val="none"/>
              </w:rPr>
              <w:t>。</w:t>
            </w:r>
          </w:p>
        </w:tc>
      </w:tr>
    </w:tbl>
    <w:p w14:paraId="20041159">
      <w:pPr>
        <w:spacing w:line="360" w:lineRule="auto"/>
        <w:ind w:left="10" w:hanging="10" w:hangingChars="5"/>
        <w:rPr>
          <w:rFonts w:ascii="宋体" w:hAnsi="宋体" w:cs="宋体"/>
          <w:color w:val="auto"/>
          <w:szCs w:val="21"/>
          <w:highlight w:val="none"/>
        </w:rPr>
      </w:pPr>
    </w:p>
    <w:p w14:paraId="3AC8EB89">
      <w:pPr>
        <w:spacing w:line="400" w:lineRule="exact"/>
        <w:ind w:left="10" w:hanging="10" w:hangingChars="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说明：（1）类似</w:t>
      </w:r>
      <w:r>
        <w:rPr>
          <w:rFonts w:hint="eastAsia" w:ascii="宋体" w:hAnsi="宋体" w:cs="宋体"/>
          <w:color w:val="auto"/>
          <w:szCs w:val="21"/>
          <w:highlight w:val="none"/>
          <w:lang w:val="en-US" w:eastAsia="zh-CN"/>
        </w:rPr>
        <w:t>项目业绩</w:t>
      </w:r>
      <w:r>
        <w:rPr>
          <w:rFonts w:hint="eastAsia" w:ascii="宋体" w:hAnsi="宋体" w:cs="宋体"/>
          <w:color w:val="auto"/>
          <w:szCs w:val="21"/>
          <w:highlight w:val="none"/>
        </w:rPr>
        <w:t>是指：招标公告投标人合格条件第3.1点所述资质方能承接的</w:t>
      </w:r>
      <w:r>
        <w:rPr>
          <w:rFonts w:hint="eastAsia" w:ascii="宋体" w:hAnsi="宋体" w:cs="楷体"/>
          <w:color w:val="auto"/>
          <w:kern w:val="0"/>
          <w:szCs w:val="21"/>
          <w:highlight w:val="none"/>
        </w:rPr>
        <w:t>房屋建筑</w:t>
      </w:r>
      <w:r>
        <w:rPr>
          <w:rFonts w:hint="eastAsia" w:ascii="宋体" w:hAnsi="宋体" w:cs="宋体"/>
          <w:color w:val="auto"/>
          <w:szCs w:val="21"/>
          <w:highlight w:val="none"/>
        </w:rPr>
        <w:t>工程监理业绩</w:t>
      </w:r>
      <w:r>
        <w:rPr>
          <w:rFonts w:hint="eastAsia" w:ascii="宋体" w:hAnsi="宋体" w:cs="宋体"/>
          <w:color w:val="auto"/>
          <w:szCs w:val="21"/>
          <w:highlight w:val="none"/>
          <w:lang w:eastAsia="zh-CN"/>
        </w:rPr>
        <w:t>。</w:t>
      </w:r>
    </w:p>
    <w:p w14:paraId="05492A84">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（2）获奖监理业绩：国家级奖指中国土木工程詹天佑奖、中国建设工程鲁班奖、国家优质工程金质奖、国家优质工程奖；省级或市级奖项是指由建设行政主管部门或行业协会颁发（</w:t>
      </w:r>
      <w:r>
        <w:rPr>
          <w:rFonts w:hint="eastAsia" w:ascii="宋体" w:hAnsi="宋体" w:cs="宋体"/>
          <w:color w:val="auto"/>
          <w:szCs w:val="21"/>
          <w:highlight w:val="none"/>
          <w:lang w:val="en-US" w:eastAsia="zh-CN"/>
        </w:rPr>
        <w:t>如是</w:t>
      </w:r>
      <w:r>
        <w:rPr>
          <w:rFonts w:hint="eastAsia" w:ascii="宋体" w:hAnsi="宋体" w:cs="宋体"/>
          <w:color w:val="auto"/>
          <w:szCs w:val="21"/>
          <w:highlight w:val="none"/>
        </w:rPr>
        <w:t>行业协会</w:t>
      </w:r>
      <w:r>
        <w:rPr>
          <w:rFonts w:hint="eastAsia" w:ascii="宋体" w:hAnsi="宋体" w:cs="宋体"/>
          <w:color w:val="auto"/>
          <w:szCs w:val="21"/>
          <w:highlight w:val="none"/>
          <w:lang w:eastAsia="zh-CN"/>
        </w:rPr>
        <w:t>颁发，</w:t>
      </w:r>
      <w:r>
        <w:rPr>
          <w:rFonts w:hint="eastAsia" w:ascii="宋体" w:hAnsi="宋体" w:cs="宋体"/>
          <w:color w:val="auto"/>
          <w:szCs w:val="21"/>
          <w:highlight w:val="none"/>
          <w:lang w:val="en-US" w:eastAsia="zh-CN"/>
        </w:rPr>
        <w:t>须提供该</w:t>
      </w:r>
      <w:r>
        <w:rPr>
          <w:rFonts w:hint="eastAsia" w:ascii="宋体" w:hAnsi="宋体" w:cs="宋体"/>
          <w:color w:val="auto"/>
          <w:szCs w:val="21"/>
          <w:highlight w:val="none"/>
        </w:rPr>
        <w:t>行业协会在</w:t>
      </w:r>
      <w:r>
        <w:rPr>
          <w:rStyle w:val="225"/>
          <w:rFonts w:hint="eastAsia" w:ascii="宋体" w:hAnsi="宋体" w:eastAsia="宋体" w:cs="宋体"/>
          <w:color w:val="auto"/>
          <w:sz w:val="21"/>
          <w:szCs w:val="21"/>
          <w:highlight w:val="none"/>
          <w:lang w:val="en-US" w:eastAsia="zh-CN" w:bidi="ar"/>
        </w:rPr>
        <w:t>“中国社会组织政务服务平台”的登记信息查询结果网页打印件</w:t>
      </w:r>
      <w:r>
        <w:rPr>
          <w:rFonts w:hint="eastAsia" w:ascii="宋体" w:hAnsi="宋体" w:cs="宋体"/>
          <w:color w:val="auto"/>
          <w:szCs w:val="21"/>
          <w:highlight w:val="none"/>
        </w:rPr>
        <w:t>）的工程质量奖项。对同一工程奖项按最高奖项计取，不重复计算。</w:t>
      </w:r>
    </w:p>
    <w:p w14:paraId="0BB829D6">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投标人提供的人员须为投标人在职员工，并提供社保缴纳证明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2024年7月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60366CD">
      <w:pPr>
        <w:spacing w:line="400" w:lineRule="exact"/>
        <w:ind w:firstLine="630" w:firstLineChars="300"/>
        <w:rPr>
          <w:rFonts w:ascii="宋体" w:hAnsi="宋体" w:cs="宋体"/>
          <w:strike w:val="0"/>
          <w:color w:val="auto"/>
          <w:szCs w:val="21"/>
          <w:highlight w:val="none"/>
        </w:rPr>
      </w:pPr>
      <w:r>
        <w:rPr>
          <w:rFonts w:hint="eastAsia" w:ascii="宋体" w:hAnsi="宋体" w:cs="宋体"/>
          <w:strike w:val="0"/>
          <w:color w:val="auto"/>
          <w:szCs w:val="21"/>
          <w:highlight w:val="none"/>
        </w:rPr>
        <w:t>（</w:t>
      </w:r>
      <w:r>
        <w:rPr>
          <w:rFonts w:hint="eastAsia" w:ascii="宋体" w:hAnsi="宋体" w:cs="宋体"/>
          <w:strike w:val="0"/>
          <w:color w:val="auto"/>
          <w:szCs w:val="21"/>
          <w:highlight w:val="none"/>
          <w:lang w:val="en-US" w:eastAsia="zh-CN"/>
        </w:rPr>
        <w:t>4</w:t>
      </w:r>
      <w:r>
        <w:rPr>
          <w:rFonts w:hint="eastAsia" w:ascii="宋体" w:hAnsi="宋体" w:cs="宋体"/>
          <w:strike w:val="0"/>
          <w:color w:val="auto"/>
          <w:szCs w:val="21"/>
          <w:highlight w:val="none"/>
        </w:rPr>
        <w:t>）投标人的</w:t>
      </w:r>
      <w:r>
        <w:rPr>
          <w:rFonts w:hint="eastAsia" w:cs="宋体" w:asciiTheme="minorEastAsia" w:hAnsiTheme="minorEastAsia" w:eastAsiaTheme="minorEastAsia"/>
          <w:color w:val="auto"/>
          <w:szCs w:val="21"/>
          <w:highlight w:val="none"/>
        </w:rPr>
        <w:t>资信业绩</w:t>
      </w:r>
      <w:r>
        <w:rPr>
          <w:rFonts w:hint="eastAsia" w:ascii="宋体" w:hAnsi="宋体" w:cs="宋体"/>
          <w:strike w:val="0"/>
          <w:color w:val="auto"/>
          <w:szCs w:val="21"/>
          <w:highlight w:val="none"/>
        </w:rPr>
        <w:t>得分</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监理大纲</w:t>
      </w:r>
      <w:r>
        <w:rPr>
          <w:rFonts w:hint="eastAsia" w:ascii="宋体" w:hAnsi="宋体" w:cs="宋体"/>
          <w:strike w:val="0"/>
          <w:color w:val="auto"/>
          <w:szCs w:val="21"/>
          <w:highlight w:val="none"/>
        </w:rPr>
        <w:t>得分为各评委的评分计取的算术平均分（分数出现小数点时，保留小数点后二位，第三位小数四舍五入）。</w:t>
      </w:r>
    </w:p>
    <w:bookmarkEnd w:id="354"/>
    <w:bookmarkEnd w:id="355"/>
    <w:p w14:paraId="1AF09F20">
      <w:pPr>
        <w:spacing w:line="400" w:lineRule="exact"/>
        <w:jc w:val="left"/>
        <w:rPr>
          <w:rFonts w:hint="default" w:ascii="宋体" w:hAnsi="宋体" w:eastAsia="宋体"/>
          <w:b/>
          <w:color w:val="auto"/>
          <w:sz w:val="28"/>
          <w:szCs w:val="30"/>
          <w:highlight w:val="none"/>
          <w:lang w:val="en-US" w:eastAsia="zh-CN"/>
        </w:rPr>
      </w:pPr>
      <w:r>
        <w:rPr>
          <w:rFonts w:hint="eastAsia" w:ascii="宋体" w:hAnsi="宋体"/>
          <w:b/>
          <w:color w:val="auto"/>
          <w:sz w:val="30"/>
          <w:szCs w:val="30"/>
          <w:highlight w:val="none"/>
        </w:rPr>
        <w:br w:type="page"/>
      </w:r>
    </w:p>
    <w:p w14:paraId="38F476B6">
      <w:pPr>
        <w:rPr>
          <w:color w:val="auto"/>
          <w:highlight w:val="none"/>
        </w:rPr>
      </w:pPr>
    </w:p>
    <w:p w14:paraId="6DB3E9A4">
      <w:pPr>
        <w:spacing w:beforeLines="50" w:afterLines="50" w:line="360" w:lineRule="exact"/>
        <w:outlineLvl w:val="2"/>
        <w:rPr>
          <w:rFonts w:ascii="宋体" w:hAnsi="宋体"/>
          <w:b/>
          <w:color w:val="auto"/>
          <w:sz w:val="32"/>
          <w:highlight w:val="none"/>
        </w:rPr>
      </w:pPr>
      <w:bookmarkStart w:id="356" w:name="_Toc515205256"/>
      <w:bookmarkStart w:id="357" w:name="_Toc529196583"/>
      <w:r>
        <w:rPr>
          <w:rFonts w:hint="eastAsia" w:ascii="宋体" w:hAnsi="宋体"/>
          <w:b/>
          <w:color w:val="auto"/>
          <w:sz w:val="32"/>
          <w:highlight w:val="none"/>
        </w:rPr>
        <w:t>1. 评标方法</w:t>
      </w:r>
      <w:bookmarkEnd w:id="356"/>
      <w:bookmarkEnd w:id="357"/>
    </w:p>
    <w:p w14:paraId="70E56DB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58" w:name="_Toc152042375"/>
      <w:bookmarkStart w:id="359" w:name="_Toc300835008"/>
      <w:bookmarkStart w:id="360" w:name="_Toc247527623"/>
      <w:bookmarkStart w:id="361" w:name="_Toc361508646"/>
      <w:bookmarkStart w:id="362" w:name="_Toc247514022"/>
      <w:bookmarkStart w:id="363" w:name="_Toc384308272"/>
      <w:bookmarkStart w:id="364" w:name="_Toc144974565"/>
      <w:bookmarkStart w:id="365" w:name="_Toc152045598"/>
      <w:bookmarkStart w:id="366" w:name="_Toc369531577"/>
      <w:bookmarkStart w:id="367" w:name="_Toc352691533"/>
      <w:bookmarkStart w:id="368" w:name="_Toc4497"/>
      <w:r>
        <w:rPr>
          <w:rFonts w:hint="eastAsia" w:ascii="宋体" w:hAnsi="宋体"/>
          <w:color w:val="auto"/>
          <w:szCs w:val="21"/>
          <w:highlight w:val="none"/>
        </w:rPr>
        <w:t>外。综合评分相等</w:t>
      </w:r>
      <w:bookmarkEnd w:id="358"/>
      <w:bookmarkEnd w:id="359"/>
      <w:bookmarkEnd w:id="360"/>
      <w:bookmarkEnd w:id="361"/>
      <w:bookmarkEnd w:id="362"/>
      <w:bookmarkEnd w:id="363"/>
      <w:bookmarkEnd w:id="364"/>
      <w:bookmarkEnd w:id="365"/>
      <w:r>
        <w:rPr>
          <w:rFonts w:hint="eastAsia" w:ascii="宋体" w:hAnsi="宋体"/>
          <w:color w:val="auto"/>
          <w:szCs w:val="21"/>
          <w:highlight w:val="none"/>
        </w:rPr>
        <w:t>时，以投标报价低的</w:t>
      </w:r>
      <w:bookmarkEnd w:id="366"/>
      <w:bookmarkEnd w:id="367"/>
      <w:bookmarkEnd w:id="368"/>
      <w:r>
        <w:rPr>
          <w:rFonts w:hint="eastAsia" w:ascii="宋体" w:hAnsi="宋体"/>
          <w:color w:val="auto"/>
          <w:szCs w:val="21"/>
          <w:highlight w:val="none"/>
        </w:rPr>
        <w:t>优</w:t>
      </w:r>
      <w:bookmarkStart w:id="369" w:name="_Toc39"/>
      <w:bookmarkStart w:id="370" w:name="_Toc361508647"/>
      <w:bookmarkStart w:id="371" w:name="_Toc369531578"/>
      <w:bookmarkStart w:id="372" w:name="_Toc144974566"/>
      <w:bookmarkStart w:id="373" w:name="_Toc300835009"/>
      <w:bookmarkStart w:id="374" w:name="_Toc352691534"/>
      <w:bookmarkStart w:id="375" w:name="_Toc384308273"/>
      <w:bookmarkStart w:id="376" w:name="_Toc152045599"/>
      <w:bookmarkStart w:id="377" w:name="_Toc247514023"/>
      <w:bookmarkStart w:id="378" w:name="_Toc152042376"/>
      <w:bookmarkStart w:id="379" w:name="_Toc247527624"/>
      <w:r>
        <w:rPr>
          <w:rFonts w:hint="eastAsia" w:ascii="宋体" w:hAnsi="宋体"/>
          <w:color w:val="auto"/>
          <w:szCs w:val="21"/>
          <w:highlight w:val="none"/>
        </w:rPr>
        <w:t>先；投标报价也相等</w:t>
      </w:r>
      <w:bookmarkEnd w:id="369"/>
      <w:bookmarkEnd w:id="370"/>
      <w:bookmarkEnd w:id="371"/>
      <w:bookmarkEnd w:id="372"/>
      <w:bookmarkEnd w:id="373"/>
      <w:bookmarkEnd w:id="374"/>
      <w:bookmarkEnd w:id="375"/>
      <w:bookmarkEnd w:id="376"/>
      <w:bookmarkEnd w:id="377"/>
      <w:bookmarkEnd w:id="378"/>
      <w:bookmarkEnd w:id="379"/>
      <w:r>
        <w:rPr>
          <w:rFonts w:hint="eastAsia" w:ascii="宋体" w:hAnsi="宋体"/>
          <w:color w:val="auto"/>
          <w:szCs w:val="21"/>
          <w:highlight w:val="none"/>
        </w:rPr>
        <w:t>的，以监理大纲得分高的优先；如果监理大纲得分也相等，按照评标办法前附表的规定确定中标候选人顺序。</w:t>
      </w:r>
    </w:p>
    <w:p w14:paraId="35B264F7">
      <w:pPr>
        <w:rPr>
          <w:color w:val="auto"/>
          <w:highlight w:val="none"/>
        </w:rPr>
      </w:pPr>
    </w:p>
    <w:p w14:paraId="54C74232">
      <w:pPr>
        <w:spacing w:beforeLines="50" w:line="360" w:lineRule="exact"/>
        <w:outlineLvl w:val="2"/>
        <w:rPr>
          <w:rFonts w:ascii="宋体" w:hAnsi="宋体"/>
          <w:b/>
          <w:color w:val="auto"/>
          <w:sz w:val="32"/>
          <w:highlight w:val="none"/>
        </w:rPr>
      </w:pPr>
      <w:bookmarkStart w:id="380" w:name="_Toc529196584"/>
      <w:bookmarkStart w:id="381" w:name="_Toc515205257"/>
      <w:r>
        <w:rPr>
          <w:rFonts w:hint="eastAsia" w:ascii="宋体" w:hAnsi="宋体"/>
          <w:b/>
          <w:color w:val="auto"/>
          <w:sz w:val="32"/>
          <w:highlight w:val="none"/>
        </w:rPr>
        <w:t>2. 评审标准</w:t>
      </w:r>
      <w:bookmarkEnd w:id="380"/>
      <w:bookmarkEnd w:id="381"/>
    </w:p>
    <w:p w14:paraId="24ABFF6D">
      <w:pPr>
        <w:spacing w:before="1" w:beforeLines="100" w:after="1" w:afterLines="100" w:line="360" w:lineRule="exact"/>
        <w:rPr>
          <w:rFonts w:ascii="宋体" w:hAnsi="宋体"/>
          <w:b/>
          <w:color w:val="auto"/>
          <w:sz w:val="28"/>
          <w:highlight w:val="none"/>
        </w:rPr>
      </w:pPr>
      <w:bookmarkStart w:id="382" w:name="_Toc529196585"/>
      <w:bookmarkStart w:id="383" w:name="_Toc515205258"/>
      <w:r>
        <w:rPr>
          <w:rFonts w:hint="eastAsia" w:ascii="宋体" w:hAnsi="宋体"/>
          <w:b/>
          <w:color w:val="auto"/>
          <w:sz w:val="28"/>
          <w:highlight w:val="none"/>
        </w:rPr>
        <w:t>2.1 初步评审标准</w:t>
      </w:r>
      <w:bookmarkEnd w:id="382"/>
      <w:bookmarkEnd w:id="383"/>
    </w:p>
    <w:p w14:paraId="099AE0B1">
      <w:pPr>
        <w:spacing w:line="360" w:lineRule="exact"/>
        <w:ind w:firstLine="420" w:firstLineChars="200"/>
        <w:rPr>
          <w:rFonts w:ascii="宋体" w:hAnsi="宋体"/>
          <w:color w:val="auto"/>
          <w:highlight w:val="none"/>
        </w:rPr>
      </w:pPr>
      <w:r>
        <w:rPr>
          <w:rFonts w:hint="eastAsia" w:ascii="宋体" w:hAnsi="宋体"/>
          <w:color w:val="auto"/>
          <w:highlight w:val="none"/>
        </w:rPr>
        <w:t>2.1.1 形式评审标准：见评标办法前附表。</w:t>
      </w:r>
    </w:p>
    <w:p w14:paraId="25F1B4F3">
      <w:pPr>
        <w:spacing w:line="360" w:lineRule="exact"/>
        <w:ind w:firstLine="420" w:firstLineChars="200"/>
        <w:rPr>
          <w:rFonts w:ascii="宋体" w:hAnsi="宋体"/>
          <w:color w:val="auto"/>
          <w:highlight w:val="none"/>
        </w:rPr>
      </w:pPr>
      <w:r>
        <w:rPr>
          <w:rFonts w:hint="eastAsia" w:ascii="宋体" w:hAnsi="宋体"/>
          <w:color w:val="auto"/>
          <w:highlight w:val="none"/>
        </w:rPr>
        <w:t>2.1.2 资格评审标准：见评标办法前附表。</w:t>
      </w:r>
    </w:p>
    <w:p w14:paraId="270A37ED">
      <w:pPr>
        <w:spacing w:line="360" w:lineRule="exact"/>
        <w:ind w:firstLine="420" w:firstLineChars="200"/>
        <w:rPr>
          <w:rFonts w:ascii="宋体" w:hAnsi="宋体"/>
          <w:color w:val="auto"/>
          <w:highlight w:val="none"/>
        </w:rPr>
      </w:pPr>
      <w:r>
        <w:rPr>
          <w:rFonts w:hint="eastAsia" w:ascii="宋体" w:hAnsi="宋体"/>
          <w:color w:val="auto"/>
          <w:highlight w:val="none"/>
        </w:rPr>
        <w:t>2.1.3 响应性评审标准：见评标办法前附表。</w:t>
      </w:r>
    </w:p>
    <w:p w14:paraId="746A5E53">
      <w:pPr>
        <w:spacing w:before="1" w:beforeLines="100" w:after="1" w:afterLines="100" w:line="360" w:lineRule="exact"/>
        <w:rPr>
          <w:rFonts w:ascii="宋体" w:hAnsi="宋体"/>
          <w:b/>
          <w:color w:val="auto"/>
          <w:sz w:val="28"/>
          <w:highlight w:val="none"/>
        </w:rPr>
      </w:pPr>
      <w:bookmarkStart w:id="384" w:name="_Toc515205259"/>
      <w:bookmarkStart w:id="385" w:name="_Toc529196586"/>
      <w:r>
        <w:rPr>
          <w:rFonts w:hint="eastAsia" w:ascii="宋体" w:hAnsi="宋体"/>
          <w:b/>
          <w:color w:val="auto"/>
          <w:sz w:val="28"/>
          <w:highlight w:val="none"/>
        </w:rPr>
        <w:t>2.2 分值构成与评分标准</w:t>
      </w:r>
      <w:bookmarkEnd w:id="384"/>
      <w:bookmarkEnd w:id="385"/>
    </w:p>
    <w:p w14:paraId="3D1AD6CD">
      <w:pPr>
        <w:spacing w:line="360" w:lineRule="exact"/>
        <w:ind w:firstLine="420" w:firstLineChars="200"/>
        <w:rPr>
          <w:rFonts w:ascii="宋体" w:hAnsi="宋体"/>
          <w:color w:val="auto"/>
          <w:highlight w:val="none"/>
        </w:rPr>
      </w:pPr>
      <w:r>
        <w:rPr>
          <w:rFonts w:hint="eastAsia" w:ascii="宋体" w:hAnsi="宋体"/>
          <w:color w:val="auto"/>
          <w:highlight w:val="none"/>
        </w:rPr>
        <w:t>2.2.1 分值构成：</w:t>
      </w:r>
    </w:p>
    <w:p w14:paraId="429498CB">
      <w:pPr>
        <w:spacing w:line="360" w:lineRule="exact"/>
        <w:ind w:firstLine="420" w:firstLineChars="200"/>
        <w:rPr>
          <w:rFonts w:ascii="宋体" w:hAnsi="宋体"/>
          <w:color w:val="auto"/>
          <w:highlight w:val="none"/>
        </w:rPr>
      </w:pPr>
      <w:r>
        <w:rPr>
          <w:rFonts w:hint="eastAsia" w:ascii="宋体" w:hAnsi="宋体"/>
          <w:color w:val="auto"/>
          <w:highlight w:val="none"/>
        </w:rPr>
        <w:t>（1）资信业绩部分：见评标办法前附表；</w:t>
      </w:r>
    </w:p>
    <w:p w14:paraId="72047C95">
      <w:pPr>
        <w:spacing w:line="360" w:lineRule="exact"/>
        <w:ind w:firstLine="420" w:firstLineChars="200"/>
        <w:rPr>
          <w:rFonts w:ascii="宋体" w:hAnsi="宋体"/>
          <w:color w:val="auto"/>
          <w:highlight w:val="none"/>
        </w:rPr>
      </w:pPr>
      <w:r>
        <w:rPr>
          <w:rFonts w:hint="eastAsia" w:ascii="宋体" w:hAnsi="宋体"/>
          <w:color w:val="auto"/>
          <w:highlight w:val="none"/>
        </w:rPr>
        <w:t>（2）监理大纲部分：见评标办法前附表；</w:t>
      </w:r>
    </w:p>
    <w:p w14:paraId="279CCD4A">
      <w:pPr>
        <w:spacing w:line="360" w:lineRule="exact"/>
        <w:ind w:firstLine="420" w:firstLineChars="200"/>
        <w:rPr>
          <w:rFonts w:ascii="宋体" w:hAnsi="宋体"/>
          <w:color w:val="auto"/>
          <w:highlight w:val="none"/>
        </w:rPr>
      </w:pPr>
      <w:r>
        <w:rPr>
          <w:rFonts w:hint="eastAsia" w:ascii="宋体" w:hAnsi="宋体"/>
          <w:color w:val="auto"/>
          <w:highlight w:val="none"/>
        </w:rPr>
        <w:t>（3）投标报价：见评标办法前附表；</w:t>
      </w:r>
    </w:p>
    <w:p w14:paraId="083E765B">
      <w:pPr>
        <w:spacing w:line="360" w:lineRule="exact"/>
        <w:ind w:firstLine="420" w:firstLineChars="200"/>
        <w:rPr>
          <w:rFonts w:ascii="宋体" w:hAnsi="宋体"/>
          <w:color w:val="auto"/>
          <w:highlight w:val="none"/>
        </w:rPr>
      </w:pPr>
      <w:r>
        <w:rPr>
          <w:rFonts w:hint="eastAsia" w:ascii="宋体" w:hAnsi="宋体"/>
          <w:color w:val="auto"/>
          <w:highlight w:val="none"/>
        </w:rPr>
        <w:t>（4）其他评分因素：见评标办法前附表。</w:t>
      </w:r>
    </w:p>
    <w:p w14:paraId="619F70F5">
      <w:pPr>
        <w:spacing w:line="360" w:lineRule="exact"/>
        <w:ind w:firstLine="420" w:firstLineChars="200"/>
        <w:rPr>
          <w:rFonts w:ascii="宋体" w:hAnsi="宋体"/>
          <w:color w:val="auto"/>
          <w:highlight w:val="none"/>
        </w:rPr>
      </w:pPr>
      <w:r>
        <w:rPr>
          <w:rFonts w:hint="eastAsia" w:ascii="宋体" w:hAnsi="宋体"/>
          <w:color w:val="auto"/>
          <w:highlight w:val="none"/>
        </w:rPr>
        <w:t>2.2.2 评标基准价计算</w:t>
      </w:r>
    </w:p>
    <w:p w14:paraId="7FDCA4FB">
      <w:pPr>
        <w:spacing w:line="360" w:lineRule="exact"/>
        <w:ind w:firstLine="420" w:firstLineChars="200"/>
        <w:rPr>
          <w:rFonts w:ascii="宋体" w:hAnsi="宋体"/>
          <w:color w:val="auto"/>
          <w:highlight w:val="none"/>
        </w:rPr>
      </w:pPr>
      <w:r>
        <w:rPr>
          <w:rFonts w:hint="eastAsia" w:ascii="宋体" w:hAnsi="宋体"/>
          <w:color w:val="auto"/>
          <w:highlight w:val="none"/>
        </w:rPr>
        <w:t>评标基准价计算方法：见评标办法前附表。</w:t>
      </w:r>
    </w:p>
    <w:p w14:paraId="01214C01">
      <w:pPr>
        <w:spacing w:line="360" w:lineRule="exact"/>
        <w:ind w:firstLine="420" w:firstLineChars="200"/>
        <w:rPr>
          <w:rFonts w:ascii="宋体" w:hAnsi="宋体"/>
          <w:color w:val="auto"/>
          <w:highlight w:val="none"/>
        </w:rPr>
      </w:pPr>
      <w:r>
        <w:rPr>
          <w:rFonts w:hint="eastAsia" w:ascii="宋体" w:hAnsi="宋体"/>
          <w:color w:val="auto"/>
          <w:highlight w:val="none"/>
        </w:rPr>
        <w:t>2.2.3 投标报价的偏差率计算</w:t>
      </w:r>
    </w:p>
    <w:p w14:paraId="3EF9990B">
      <w:pPr>
        <w:spacing w:line="360" w:lineRule="exact"/>
        <w:ind w:firstLine="420" w:firstLineChars="200"/>
        <w:rPr>
          <w:rFonts w:ascii="宋体" w:hAnsi="宋体"/>
          <w:color w:val="auto"/>
          <w:highlight w:val="none"/>
        </w:rPr>
      </w:pPr>
      <w:r>
        <w:rPr>
          <w:rFonts w:hint="eastAsia" w:ascii="宋体" w:hAnsi="宋体"/>
          <w:color w:val="auto"/>
          <w:highlight w:val="none"/>
        </w:rPr>
        <w:t>投标报价的偏差率计算公式：见评标办法前附表。</w:t>
      </w:r>
    </w:p>
    <w:p w14:paraId="36AC0CCD">
      <w:pPr>
        <w:spacing w:line="360" w:lineRule="exact"/>
        <w:ind w:firstLine="420" w:firstLineChars="200"/>
        <w:rPr>
          <w:rFonts w:ascii="宋体" w:hAnsi="宋体"/>
          <w:color w:val="auto"/>
          <w:highlight w:val="none"/>
        </w:rPr>
      </w:pPr>
      <w:r>
        <w:rPr>
          <w:rFonts w:hint="eastAsia" w:ascii="宋体" w:hAnsi="宋体"/>
          <w:color w:val="auto"/>
          <w:highlight w:val="none"/>
        </w:rPr>
        <w:t>2.2.4 评分标准</w:t>
      </w:r>
    </w:p>
    <w:p w14:paraId="2A469F79">
      <w:pPr>
        <w:spacing w:line="360" w:lineRule="exact"/>
        <w:ind w:firstLine="420" w:firstLineChars="200"/>
        <w:rPr>
          <w:rFonts w:ascii="宋体" w:hAnsi="宋体"/>
          <w:color w:val="auto"/>
          <w:highlight w:val="none"/>
        </w:rPr>
      </w:pPr>
      <w:r>
        <w:rPr>
          <w:rFonts w:hint="eastAsia" w:ascii="宋体" w:hAnsi="宋体"/>
          <w:color w:val="auto"/>
          <w:highlight w:val="none"/>
        </w:rPr>
        <w:t>（1）资信业绩评分标准：见评标办法前附表；</w:t>
      </w:r>
    </w:p>
    <w:p w14:paraId="7BCB5FB7">
      <w:pPr>
        <w:spacing w:line="360" w:lineRule="exact"/>
        <w:ind w:firstLine="420" w:firstLineChars="200"/>
        <w:rPr>
          <w:rFonts w:ascii="宋体" w:hAnsi="宋体"/>
          <w:color w:val="auto"/>
          <w:highlight w:val="none"/>
        </w:rPr>
      </w:pPr>
      <w:r>
        <w:rPr>
          <w:rFonts w:hint="eastAsia" w:ascii="宋体" w:hAnsi="宋体"/>
          <w:color w:val="auto"/>
          <w:highlight w:val="none"/>
        </w:rPr>
        <w:t>（2）监理大纲评分标准：见评标办法前附表；</w:t>
      </w:r>
    </w:p>
    <w:p w14:paraId="26C7F2DD">
      <w:pPr>
        <w:spacing w:line="360" w:lineRule="exact"/>
        <w:ind w:firstLine="420" w:firstLineChars="200"/>
        <w:rPr>
          <w:rFonts w:ascii="宋体" w:hAnsi="宋体"/>
          <w:color w:val="auto"/>
          <w:highlight w:val="none"/>
        </w:rPr>
      </w:pPr>
      <w:r>
        <w:rPr>
          <w:rFonts w:hint="eastAsia" w:ascii="宋体" w:hAnsi="宋体"/>
          <w:color w:val="auto"/>
          <w:highlight w:val="none"/>
        </w:rPr>
        <w:t>（3）投标报价评分标准：见评标办法前附表；</w:t>
      </w:r>
    </w:p>
    <w:p w14:paraId="0DCD4B0A">
      <w:pPr>
        <w:spacing w:line="360" w:lineRule="exact"/>
        <w:ind w:firstLine="420" w:firstLineChars="200"/>
        <w:rPr>
          <w:rFonts w:ascii="宋体" w:hAnsi="宋体"/>
          <w:color w:val="auto"/>
          <w:highlight w:val="none"/>
        </w:rPr>
      </w:pPr>
      <w:r>
        <w:rPr>
          <w:rFonts w:hint="eastAsia" w:ascii="宋体" w:hAnsi="宋体"/>
          <w:color w:val="auto"/>
          <w:highlight w:val="none"/>
        </w:rPr>
        <w:t>（4）其他因素评分标准：见评标办法前附表。</w:t>
      </w:r>
    </w:p>
    <w:p w14:paraId="2EB991AA">
      <w:pPr>
        <w:rPr>
          <w:color w:val="auto"/>
          <w:highlight w:val="none"/>
        </w:rPr>
      </w:pPr>
    </w:p>
    <w:p w14:paraId="10EB4FDB">
      <w:pPr>
        <w:spacing w:beforeLines="50" w:line="360" w:lineRule="exact"/>
        <w:outlineLvl w:val="2"/>
        <w:rPr>
          <w:rFonts w:ascii="宋体" w:hAnsi="宋体"/>
          <w:b/>
          <w:color w:val="auto"/>
          <w:sz w:val="32"/>
          <w:highlight w:val="none"/>
        </w:rPr>
      </w:pPr>
      <w:bookmarkStart w:id="386" w:name="_Toc515205260"/>
      <w:bookmarkStart w:id="387" w:name="_Toc529196587"/>
      <w:r>
        <w:rPr>
          <w:rFonts w:hint="eastAsia" w:ascii="宋体" w:hAnsi="宋体"/>
          <w:b/>
          <w:color w:val="auto"/>
          <w:sz w:val="32"/>
          <w:highlight w:val="none"/>
        </w:rPr>
        <w:t>3. 评标程序</w:t>
      </w:r>
      <w:bookmarkEnd w:id="386"/>
      <w:bookmarkEnd w:id="387"/>
    </w:p>
    <w:p w14:paraId="096A1D94">
      <w:pPr>
        <w:spacing w:before="1" w:beforeLines="100" w:after="1" w:afterLines="100" w:line="360" w:lineRule="exact"/>
        <w:rPr>
          <w:rFonts w:ascii="宋体" w:hAnsi="宋体"/>
          <w:b/>
          <w:color w:val="auto"/>
          <w:sz w:val="28"/>
          <w:highlight w:val="none"/>
        </w:rPr>
      </w:pPr>
      <w:bookmarkStart w:id="388" w:name="_Toc515205261"/>
      <w:bookmarkStart w:id="389" w:name="_Toc529196588"/>
      <w:r>
        <w:rPr>
          <w:rFonts w:hint="eastAsia" w:ascii="宋体" w:hAnsi="宋体"/>
          <w:b/>
          <w:color w:val="auto"/>
          <w:sz w:val="28"/>
          <w:highlight w:val="none"/>
        </w:rPr>
        <w:t>3.1 初步评审</w:t>
      </w:r>
      <w:bookmarkEnd w:id="388"/>
      <w:bookmarkEnd w:id="389"/>
    </w:p>
    <w:p w14:paraId="05B2477C">
      <w:pPr>
        <w:spacing w:line="360" w:lineRule="exact"/>
        <w:ind w:firstLine="420" w:firstLineChars="200"/>
        <w:rPr>
          <w:rFonts w:ascii="宋体" w:hAnsi="宋体"/>
          <w:color w:val="auto"/>
          <w:highlight w:val="none"/>
        </w:rPr>
      </w:pPr>
      <w:r>
        <w:rPr>
          <w:rFonts w:hint="eastAsia" w:ascii="宋体" w:hAnsi="宋体"/>
          <w:color w:val="auto"/>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619EFF83">
      <w:pPr>
        <w:spacing w:line="360" w:lineRule="exact"/>
        <w:ind w:firstLine="420" w:firstLineChars="200"/>
        <w:rPr>
          <w:rFonts w:ascii="宋体" w:hAnsi="宋体"/>
          <w:color w:val="auto"/>
          <w:highlight w:val="none"/>
        </w:rPr>
      </w:pPr>
      <w:r>
        <w:rPr>
          <w:rFonts w:hint="eastAsia" w:ascii="宋体" w:hAnsi="宋体"/>
          <w:color w:val="auto"/>
          <w:highlight w:val="none"/>
        </w:rPr>
        <w:t>3.1.2 投标人有以下情形之一的，评标委员会应当否决其投标：</w:t>
      </w:r>
    </w:p>
    <w:p w14:paraId="4B026BCF">
      <w:pPr>
        <w:spacing w:line="360" w:lineRule="exact"/>
        <w:ind w:firstLine="420" w:firstLineChars="200"/>
        <w:rPr>
          <w:rFonts w:ascii="宋体" w:hAnsi="宋体"/>
          <w:color w:val="auto"/>
          <w:highlight w:val="none"/>
        </w:rPr>
      </w:pPr>
      <w:r>
        <w:rPr>
          <w:rFonts w:hint="eastAsia" w:ascii="宋体" w:hAnsi="宋体"/>
          <w:color w:val="auto"/>
          <w:highlight w:val="none"/>
        </w:rPr>
        <w:t>（1）投标文件没有对招标文件的实质性要求和条件作出响应，或者对招标文件的偏差超出招标文件规定的偏差范围或最高项数；</w:t>
      </w:r>
    </w:p>
    <w:p w14:paraId="492A4C50">
      <w:pPr>
        <w:spacing w:line="360" w:lineRule="exact"/>
        <w:ind w:firstLine="420" w:firstLineChars="200"/>
        <w:rPr>
          <w:rFonts w:ascii="宋体" w:hAnsi="宋体"/>
          <w:color w:val="auto"/>
          <w:highlight w:val="none"/>
        </w:rPr>
      </w:pPr>
      <w:r>
        <w:rPr>
          <w:rFonts w:hint="eastAsia" w:ascii="宋体" w:hAnsi="宋体"/>
          <w:color w:val="auto"/>
          <w:highlight w:val="none"/>
        </w:rPr>
        <w:t>（2）有串通投标、弄虚作假、行贿等违法行为。</w:t>
      </w:r>
    </w:p>
    <w:p w14:paraId="5F43701F">
      <w:pPr>
        <w:spacing w:line="360" w:lineRule="exact"/>
        <w:ind w:firstLine="420" w:firstLineChars="200"/>
        <w:rPr>
          <w:rFonts w:ascii="宋体" w:hAnsi="宋体"/>
          <w:color w:val="auto"/>
          <w:highlight w:val="none"/>
        </w:rPr>
      </w:pPr>
      <w:r>
        <w:rPr>
          <w:rFonts w:hint="eastAsia" w:ascii="宋体" w:hAnsi="宋体"/>
          <w:color w:val="auto"/>
          <w:highlight w:val="none"/>
        </w:rPr>
        <w:t>3.1.3 投标报价有算术错误及其他错误的，评标委员会按以下原则要求投标人对投标报价进</w:t>
      </w:r>
      <w:bookmarkStart w:id="390" w:name="_Toc361508651"/>
      <w:bookmarkStart w:id="391" w:name="_Toc152045603"/>
      <w:bookmarkStart w:id="392" w:name="_Toc300835013"/>
      <w:bookmarkStart w:id="393" w:name="_Toc2907"/>
      <w:bookmarkStart w:id="394" w:name="_Toc144974570"/>
      <w:bookmarkStart w:id="395" w:name="_Toc247514027"/>
      <w:bookmarkStart w:id="396" w:name="_Toc247527628"/>
      <w:bookmarkStart w:id="397" w:name="_Toc152042380"/>
      <w:bookmarkStart w:id="398" w:name="_Toc384308277"/>
      <w:bookmarkStart w:id="399" w:name="_Toc352691538"/>
      <w:bookmarkStart w:id="400" w:name="_Toc369531582"/>
      <w:r>
        <w:rPr>
          <w:rFonts w:hint="eastAsia" w:ascii="宋体" w:hAnsi="宋体"/>
          <w:color w:val="auto"/>
          <w:highlight w:val="none"/>
        </w:rPr>
        <w:t>行修正，并要求投标人书面澄清确认。</w:t>
      </w:r>
      <w:bookmarkEnd w:id="390"/>
      <w:bookmarkEnd w:id="391"/>
      <w:bookmarkEnd w:id="392"/>
      <w:bookmarkEnd w:id="393"/>
      <w:bookmarkEnd w:id="394"/>
      <w:bookmarkEnd w:id="395"/>
      <w:bookmarkEnd w:id="396"/>
      <w:bookmarkEnd w:id="397"/>
      <w:bookmarkEnd w:id="398"/>
      <w:bookmarkEnd w:id="399"/>
      <w:bookmarkEnd w:id="400"/>
      <w:r>
        <w:rPr>
          <w:rFonts w:hint="eastAsia" w:ascii="宋体" w:hAnsi="宋体"/>
          <w:color w:val="auto"/>
          <w:highlight w:val="none"/>
        </w:rPr>
        <w:t>投标人拒不澄清确认的，评标委员会应当否决其投标：</w:t>
      </w:r>
    </w:p>
    <w:p w14:paraId="52188E61">
      <w:pPr>
        <w:spacing w:line="360" w:lineRule="exact"/>
        <w:ind w:firstLine="420" w:firstLineChars="200"/>
        <w:rPr>
          <w:rFonts w:ascii="宋体" w:hAnsi="宋体"/>
          <w:color w:val="auto"/>
          <w:highlight w:val="none"/>
        </w:rPr>
      </w:pPr>
      <w:r>
        <w:rPr>
          <w:rFonts w:hint="eastAsia" w:ascii="宋体" w:hAnsi="宋体"/>
          <w:color w:val="auto"/>
          <w:highlight w:val="none"/>
        </w:rPr>
        <w:t>（1）投标文件中的大写金额与小写金额不一致的，以大写金额为准；</w:t>
      </w:r>
    </w:p>
    <w:p w14:paraId="550857E3">
      <w:pPr>
        <w:spacing w:line="360" w:lineRule="exact"/>
        <w:ind w:firstLine="420" w:firstLineChars="200"/>
        <w:rPr>
          <w:rFonts w:ascii="宋体" w:hAnsi="宋体"/>
          <w:color w:val="auto"/>
          <w:highlight w:val="none"/>
        </w:rPr>
      </w:pPr>
      <w:r>
        <w:rPr>
          <w:rFonts w:hint="eastAsia" w:ascii="宋体" w:hAnsi="宋体"/>
          <w:color w:val="auto"/>
          <w:highlight w:val="none"/>
        </w:rPr>
        <w:t>（2）总价金额与单价金额不一致的，以单价金额为准，但单价金额小数点有明显错误的除外。</w:t>
      </w:r>
    </w:p>
    <w:p w14:paraId="0A6B711A">
      <w:pPr>
        <w:spacing w:beforeLines="70" w:afterLines="70" w:line="360" w:lineRule="exact"/>
        <w:rPr>
          <w:rFonts w:ascii="宋体" w:hAnsi="宋体"/>
          <w:b/>
          <w:color w:val="auto"/>
          <w:sz w:val="28"/>
          <w:highlight w:val="none"/>
        </w:rPr>
      </w:pPr>
      <w:bookmarkStart w:id="401" w:name="_Toc529196589"/>
      <w:bookmarkStart w:id="402" w:name="_Toc515205262"/>
      <w:r>
        <w:rPr>
          <w:rFonts w:hint="eastAsia" w:ascii="宋体" w:hAnsi="宋体"/>
          <w:b/>
          <w:color w:val="auto"/>
          <w:sz w:val="28"/>
          <w:highlight w:val="none"/>
        </w:rPr>
        <w:t>3.2 详细评审</w:t>
      </w:r>
      <w:bookmarkEnd w:id="401"/>
      <w:bookmarkEnd w:id="402"/>
    </w:p>
    <w:p w14:paraId="190EA0A5">
      <w:pPr>
        <w:spacing w:line="360" w:lineRule="exact"/>
        <w:ind w:firstLine="420" w:firstLineChars="200"/>
        <w:rPr>
          <w:rFonts w:ascii="宋体" w:hAnsi="宋体"/>
          <w:color w:val="auto"/>
          <w:highlight w:val="none"/>
        </w:rPr>
      </w:pPr>
      <w:r>
        <w:rPr>
          <w:rFonts w:hint="eastAsia" w:ascii="宋体" w:hAnsi="宋体"/>
          <w:color w:val="auto"/>
          <w:highlight w:val="none"/>
        </w:rPr>
        <w:t>3.2.1 评标委员会按本章第2.2款规定的量化因素和分值进行打分，并计算出综合评估得分。</w:t>
      </w:r>
    </w:p>
    <w:p w14:paraId="56DCCFF7">
      <w:pPr>
        <w:spacing w:line="360" w:lineRule="exact"/>
        <w:ind w:firstLine="420" w:firstLineChars="200"/>
        <w:rPr>
          <w:rFonts w:ascii="宋体" w:hAnsi="宋体"/>
          <w:color w:val="auto"/>
          <w:highlight w:val="none"/>
        </w:rPr>
      </w:pPr>
      <w:r>
        <w:rPr>
          <w:rFonts w:hint="eastAsia" w:ascii="宋体" w:hAnsi="宋体"/>
          <w:color w:val="auto"/>
          <w:highlight w:val="none"/>
        </w:rPr>
        <w:t>（1）按本章第 2.2.4（1）目规定的评审因素和分值对资信业绩部分计算出得分 A；</w:t>
      </w:r>
    </w:p>
    <w:p w14:paraId="4EF8AA97">
      <w:pPr>
        <w:spacing w:line="360" w:lineRule="exact"/>
        <w:ind w:firstLine="420" w:firstLineChars="200"/>
        <w:rPr>
          <w:rFonts w:ascii="宋体" w:hAnsi="宋体"/>
          <w:color w:val="auto"/>
          <w:highlight w:val="none"/>
        </w:rPr>
      </w:pPr>
      <w:r>
        <w:rPr>
          <w:rFonts w:hint="eastAsia" w:ascii="宋体" w:hAnsi="宋体"/>
          <w:color w:val="auto"/>
          <w:highlight w:val="none"/>
        </w:rPr>
        <w:t>（2）按本章第 2.2.4（2）目规定的评审因素和分值对监理大纲部分计算出得分 B；</w:t>
      </w:r>
    </w:p>
    <w:p w14:paraId="7605C121">
      <w:pPr>
        <w:spacing w:line="360" w:lineRule="exact"/>
        <w:ind w:firstLine="420" w:firstLineChars="200"/>
        <w:rPr>
          <w:rFonts w:ascii="宋体" w:hAnsi="宋体"/>
          <w:color w:val="auto"/>
          <w:highlight w:val="none"/>
        </w:rPr>
      </w:pPr>
      <w:r>
        <w:rPr>
          <w:rFonts w:hint="eastAsia" w:ascii="宋体" w:hAnsi="宋体"/>
          <w:color w:val="auto"/>
          <w:highlight w:val="none"/>
        </w:rPr>
        <w:t>（3）按本章第 2.2.4（3）目规定的评审因素和分值对投标报价计算出得分 C；</w:t>
      </w:r>
    </w:p>
    <w:p w14:paraId="46881198">
      <w:pPr>
        <w:spacing w:line="360" w:lineRule="exact"/>
        <w:ind w:firstLine="420" w:firstLineChars="200"/>
        <w:rPr>
          <w:rFonts w:ascii="宋体" w:hAnsi="宋体"/>
          <w:color w:val="auto"/>
          <w:highlight w:val="none"/>
        </w:rPr>
      </w:pPr>
      <w:r>
        <w:rPr>
          <w:rFonts w:hint="eastAsia" w:ascii="宋体" w:hAnsi="宋体"/>
          <w:color w:val="auto"/>
          <w:highlight w:val="none"/>
        </w:rPr>
        <w:t>（4）按本章第 2.2.4（4）目规定的评审因素和分值对其他部分计算出得分 D。</w:t>
      </w:r>
    </w:p>
    <w:p w14:paraId="43FB6B46">
      <w:pPr>
        <w:spacing w:line="360" w:lineRule="exact"/>
        <w:ind w:firstLine="420" w:firstLineChars="200"/>
        <w:rPr>
          <w:rFonts w:ascii="宋体" w:hAnsi="宋体"/>
          <w:color w:val="auto"/>
          <w:highlight w:val="none"/>
        </w:rPr>
      </w:pPr>
      <w:r>
        <w:rPr>
          <w:rFonts w:hint="eastAsia" w:ascii="宋体" w:hAnsi="宋体"/>
          <w:color w:val="auto"/>
          <w:highlight w:val="none"/>
        </w:rPr>
        <w:t>3.2.2 评分分值计算保留小数点后两位，小数点后第三位“四舍五入”。</w:t>
      </w:r>
    </w:p>
    <w:p w14:paraId="5F4301F7">
      <w:pPr>
        <w:spacing w:line="360" w:lineRule="exact"/>
        <w:ind w:firstLine="420" w:firstLineChars="200"/>
        <w:rPr>
          <w:rFonts w:ascii="宋体" w:hAnsi="宋体"/>
          <w:color w:val="auto"/>
          <w:highlight w:val="none"/>
        </w:rPr>
      </w:pPr>
      <w:r>
        <w:rPr>
          <w:rFonts w:hint="eastAsia" w:ascii="宋体" w:hAnsi="宋体"/>
          <w:color w:val="auto"/>
          <w:highlight w:val="none"/>
        </w:rPr>
        <w:t>3.2.3 投标人得分=A+B+C+D</w:t>
      </w:r>
    </w:p>
    <w:p w14:paraId="2F346167">
      <w:pPr>
        <w:spacing w:line="360" w:lineRule="exact"/>
        <w:ind w:firstLine="420" w:firstLineChars="200"/>
        <w:rPr>
          <w:rFonts w:ascii="宋体" w:hAnsi="宋体"/>
          <w:color w:val="auto"/>
          <w:highlight w:val="none"/>
        </w:rPr>
      </w:pPr>
      <w:r>
        <w:rPr>
          <w:rFonts w:hint="eastAsia" w:ascii="宋体" w:hAnsi="宋体"/>
          <w:color w:val="auto"/>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0B3200E">
      <w:pPr>
        <w:spacing w:beforeLines="70" w:afterLines="70" w:line="360" w:lineRule="exact"/>
        <w:rPr>
          <w:rFonts w:ascii="宋体" w:hAnsi="宋体"/>
          <w:b/>
          <w:color w:val="auto"/>
          <w:sz w:val="28"/>
          <w:highlight w:val="none"/>
        </w:rPr>
      </w:pPr>
      <w:bookmarkStart w:id="403" w:name="_Toc529196590"/>
      <w:bookmarkStart w:id="404" w:name="_Toc515205263"/>
      <w:r>
        <w:rPr>
          <w:rFonts w:hint="eastAsia" w:ascii="宋体" w:hAnsi="宋体"/>
          <w:b/>
          <w:color w:val="auto"/>
          <w:sz w:val="28"/>
          <w:highlight w:val="none"/>
        </w:rPr>
        <w:t>3.3 投标文件的澄清</w:t>
      </w:r>
      <w:bookmarkEnd w:id="403"/>
      <w:bookmarkEnd w:id="404"/>
    </w:p>
    <w:p w14:paraId="50E33370">
      <w:pPr>
        <w:spacing w:line="360" w:lineRule="exact"/>
        <w:ind w:firstLine="420" w:firstLineChars="200"/>
        <w:rPr>
          <w:rFonts w:ascii="宋体" w:hAnsi="宋体"/>
          <w:color w:val="auto"/>
          <w:highlight w:val="none"/>
        </w:rPr>
      </w:pPr>
      <w:r>
        <w:rPr>
          <w:rFonts w:hint="eastAsia" w:ascii="宋体" w:hAnsi="宋体"/>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ABDA5C">
      <w:pPr>
        <w:spacing w:line="360" w:lineRule="exact"/>
        <w:ind w:firstLine="420" w:firstLineChars="200"/>
        <w:rPr>
          <w:rFonts w:ascii="宋体" w:hAnsi="宋体"/>
          <w:color w:val="auto"/>
          <w:highlight w:val="none"/>
        </w:rPr>
      </w:pPr>
      <w:r>
        <w:rPr>
          <w:rFonts w:hint="eastAsia" w:ascii="宋体" w:hAnsi="宋体"/>
          <w:color w:val="auto"/>
          <w:highlight w:val="none"/>
        </w:rPr>
        <w:t>3.3.2 澄清、说明或补正不得超出投标文件的范围且不得改变投标文件的实质性内容，并构成投标文件的组成部分。</w:t>
      </w:r>
    </w:p>
    <w:p w14:paraId="3CDB16C6">
      <w:pPr>
        <w:spacing w:line="360" w:lineRule="exact"/>
        <w:ind w:firstLine="420" w:firstLineChars="200"/>
        <w:rPr>
          <w:rFonts w:ascii="宋体" w:hAnsi="宋体"/>
          <w:color w:val="auto"/>
          <w:highlight w:val="none"/>
        </w:rPr>
      </w:pPr>
      <w:r>
        <w:rPr>
          <w:rFonts w:hint="eastAsia" w:ascii="宋体" w:hAnsi="宋体"/>
          <w:color w:val="auto"/>
          <w:highlight w:val="none"/>
        </w:rPr>
        <w:t>3.3.3 评标委员会对投标人提交的澄清、说明或补正有疑问的，可以要求投标人进一步澄清、说明或补正，直至满足评标委员会的要求。</w:t>
      </w:r>
    </w:p>
    <w:p w14:paraId="3E84BDAC">
      <w:pPr>
        <w:spacing w:beforeLines="70" w:afterLines="70" w:line="360" w:lineRule="exact"/>
        <w:rPr>
          <w:rFonts w:ascii="宋体" w:hAnsi="宋体"/>
          <w:b/>
          <w:color w:val="auto"/>
          <w:sz w:val="28"/>
          <w:highlight w:val="none"/>
        </w:rPr>
      </w:pPr>
      <w:bookmarkStart w:id="405" w:name="_Toc515205264"/>
      <w:bookmarkStart w:id="406" w:name="_Toc529196591"/>
      <w:r>
        <w:rPr>
          <w:rFonts w:hint="eastAsia" w:ascii="宋体" w:hAnsi="宋体"/>
          <w:b/>
          <w:color w:val="auto"/>
          <w:sz w:val="28"/>
          <w:highlight w:val="none"/>
        </w:rPr>
        <w:t>3.4 评标结果</w:t>
      </w:r>
      <w:bookmarkEnd w:id="405"/>
      <w:bookmarkEnd w:id="406"/>
    </w:p>
    <w:p w14:paraId="151073BA">
      <w:pPr>
        <w:spacing w:line="360" w:lineRule="exact"/>
        <w:ind w:firstLine="420" w:firstLineChars="200"/>
        <w:rPr>
          <w:rFonts w:ascii="宋体" w:hAnsi="宋体"/>
          <w:b/>
          <w:color w:val="auto"/>
          <w:highlight w:val="none"/>
        </w:rPr>
      </w:pPr>
      <w:r>
        <w:rPr>
          <w:rFonts w:hint="eastAsia" w:ascii="宋体" w:hAnsi="宋体"/>
          <w:color w:val="auto"/>
          <w:highlight w:val="none"/>
        </w:rPr>
        <w:t>3.4.1 除第二章“投标人须知”前附表授权直接确定中标人外，评标委员会按照得分由高到低的顺序推荐中标候选人，并标明排序。</w:t>
      </w:r>
    </w:p>
    <w:p w14:paraId="2459506C">
      <w:pPr>
        <w:spacing w:line="360" w:lineRule="exact"/>
        <w:ind w:firstLine="482"/>
        <w:rPr>
          <w:rFonts w:ascii="宋体" w:hAnsi="宋体"/>
          <w:b/>
          <w:color w:val="auto"/>
          <w:sz w:val="30"/>
          <w:szCs w:val="30"/>
          <w:highlight w:val="none"/>
        </w:rPr>
      </w:pPr>
      <w:r>
        <w:rPr>
          <w:rFonts w:hint="eastAsia" w:ascii="宋体" w:hAnsi="宋体"/>
          <w:color w:val="auto"/>
          <w:highlight w:val="none"/>
        </w:rPr>
        <w:t>3.4.2 评标委员会完成评标后，应当向招标人提交书面评标报告和中标候选人名单。</w:t>
      </w:r>
    </w:p>
    <w:p w14:paraId="3A95CD61">
      <w:pPr>
        <w:pStyle w:val="3"/>
        <w:keepNext w:val="0"/>
        <w:keepLines w:val="0"/>
        <w:spacing w:line="320" w:lineRule="exact"/>
        <w:jc w:val="center"/>
        <w:rPr>
          <w:rFonts w:ascii="宋体" w:hAnsi="宋体"/>
          <w:color w:val="auto"/>
          <w:highlight w:val="none"/>
        </w:rPr>
      </w:pPr>
      <w:r>
        <w:rPr>
          <w:rFonts w:hint="eastAsia" w:ascii="宋体" w:hAnsi="宋体"/>
          <w:color w:val="auto"/>
          <w:highlight w:val="none"/>
        </w:rPr>
        <w:br w:type="page"/>
      </w:r>
      <w:bookmarkStart w:id="407" w:name="_Toc63769816"/>
      <w:r>
        <w:rPr>
          <w:rFonts w:hint="eastAsia" w:ascii="宋体" w:hAnsi="宋体"/>
          <w:color w:val="auto"/>
          <w:highlight w:val="none"/>
        </w:rPr>
        <w:t>第四章 合同条款及格式</w:t>
      </w:r>
      <w:bookmarkEnd w:id="407"/>
    </w:p>
    <w:p w14:paraId="215CDD8A">
      <w:pPr>
        <w:jc w:val="center"/>
        <w:rPr>
          <w:b/>
          <w:color w:val="auto"/>
          <w:sz w:val="32"/>
          <w:highlight w:val="none"/>
        </w:rPr>
      </w:pPr>
      <w:r>
        <w:rPr>
          <w:rFonts w:hint="eastAsia"/>
          <w:b/>
          <w:color w:val="auto"/>
          <w:sz w:val="32"/>
          <w:highlight w:val="none"/>
        </w:rPr>
        <w:t>（另附）</w:t>
      </w:r>
    </w:p>
    <w:p w14:paraId="01774F7D">
      <w:pPr>
        <w:widowControl/>
        <w:jc w:val="left"/>
        <w:rPr>
          <w:color w:val="auto"/>
          <w:sz w:val="18"/>
          <w:highlight w:val="none"/>
        </w:rPr>
      </w:pPr>
    </w:p>
    <w:p w14:paraId="5C285A5B">
      <w:pPr>
        <w:widowControl/>
        <w:jc w:val="left"/>
        <w:rPr>
          <w:color w:val="auto"/>
          <w:sz w:val="18"/>
          <w:highlight w:val="none"/>
        </w:rPr>
        <w:sectPr>
          <w:pgSz w:w="11907" w:h="16839"/>
          <w:pgMar w:top="1440" w:right="1440" w:bottom="1417" w:left="1440" w:header="0" w:footer="748" w:gutter="0"/>
          <w:pgBorders>
            <w:top w:val="none" w:sz="0" w:space="0"/>
            <w:left w:val="none" w:sz="0" w:space="0"/>
            <w:bottom w:val="none" w:sz="0" w:space="0"/>
            <w:right w:val="none" w:sz="0" w:space="0"/>
          </w:pgBorders>
          <w:cols w:space="720" w:num="1"/>
          <w:rtlGutter w:val="1"/>
          <w:docGrid w:type="linesAndChars" w:linePitch="1" w:charSpace="0"/>
        </w:sectPr>
      </w:pPr>
    </w:p>
    <w:p w14:paraId="4300CB89">
      <w:pPr>
        <w:jc w:val="center"/>
        <w:outlineLvl w:val="0"/>
        <w:rPr>
          <w:b/>
          <w:color w:val="auto"/>
          <w:sz w:val="44"/>
          <w:highlight w:val="none"/>
        </w:rPr>
      </w:pPr>
      <w:bookmarkStart w:id="408" w:name="_Toc63769817"/>
      <w:bookmarkStart w:id="409" w:name="_Toc246997081"/>
      <w:bookmarkStart w:id="410" w:name="_Toc247085853"/>
      <w:bookmarkStart w:id="411" w:name="_Toc246996338"/>
      <w:bookmarkStart w:id="412" w:name="_Toc179632787"/>
      <w:bookmarkStart w:id="413" w:name="_Toc152042388"/>
      <w:bookmarkStart w:id="414" w:name="_Toc300835199"/>
      <w:bookmarkStart w:id="415" w:name="_Toc247527798"/>
      <w:bookmarkStart w:id="416" w:name="_Toc144974829"/>
      <w:bookmarkStart w:id="417" w:name="_Toc144974578"/>
      <w:bookmarkStart w:id="418" w:name="_Toc247514197"/>
      <w:bookmarkStart w:id="419" w:name="_Toc152045610"/>
      <w:bookmarkStart w:id="420" w:name="_Toc152042549"/>
      <w:bookmarkStart w:id="421" w:name="_Toc184635122"/>
      <w:r>
        <w:rPr>
          <w:rFonts w:hint="eastAsia"/>
          <w:b/>
          <w:color w:val="auto"/>
          <w:sz w:val="44"/>
          <w:highlight w:val="none"/>
        </w:rPr>
        <w:t>第二卷</w:t>
      </w:r>
      <w:bookmarkEnd w:id="408"/>
    </w:p>
    <w:p w14:paraId="5AFD1F36">
      <w:pPr>
        <w:pStyle w:val="4"/>
        <w:spacing w:line="360" w:lineRule="auto"/>
        <w:jc w:val="center"/>
        <w:rPr>
          <w:rFonts w:ascii="宋体" w:hAnsi="宋体"/>
          <w:color w:val="auto"/>
          <w:szCs w:val="36"/>
          <w:highlight w:val="none"/>
        </w:rPr>
      </w:pPr>
      <w:bookmarkStart w:id="422" w:name="_Toc63769818"/>
      <w:r>
        <w:rPr>
          <w:rFonts w:hint="eastAsia" w:ascii="宋体" w:hAnsi="宋体"/>
          <w:color w:val="auto"/>
          <w:szCs w:val="36"/>
          <w:highlight w:val="none"/>
        </w:rPr>
        <w:t>第五章 委托人要求</w:t>
      </w:r>
      <w:bookmarkEnd w:id="409"/>
      <w:bookmarkEnd w:id="410"/>
      <w:bookmarkEnd w:id="411"/>
      <w:bookmarkEnd w:id="412"/>
      <w:bookmarkEnd w:id="422"/>
      <w:bookmarkStart w:id="423" w:name="_Toc386995907"/>
      <w:bookmarkStart w:id="424" w:name="_Toc497745189"/>
      <w:bookmarkStart w:id="425" w:name="_Toc530470634"/>
      <w:bookmarkStart w:id="426" w:name="_Toc525828225"/>
      <w:bookmarkStart w:id="427" w:name="_Toc535938725"/>
      <w:bookmarkStart w:id="428" w:name="_Toc529196595"/>
      <w:bookmarkStart w:id="429" w:name="_Toc525827491"/>
    </w:p>
    <w:bookmarkEnd w:id="423"/>
    <w:bookmarkEnd w:id="424"/>
    <w:p w14:paraId="27D65D39">
      <w:pPr>
        <w:spacing w:line="360" w:lineRule="auto"/>
        <w:ind w:firstLine="420" w:firstLineChars="200"/>
        <w:rPr>
          <w:color w:val="auto"/>
          <w:szCs w:val="21"/>
          <w:highlight w:val="none"/>
        </w:rPr>
      </w:pPr>
      <w:r>
        <w:rPr>
          <w:rFonts w:hint="eastAsia"/>
          <w:color w:val="auto"/>
          <w:szCs w:val="21"/>
          <w:highlight w:val="none"/>
        </w:rPr>
        <w:t>1.项目概况</w:t>
      </w:r>
    </w:p>
    <w:p w14:paraId="18A98B3B">
      <w:pPr>
        <w:tabs>
          <w:tab w:val="left" w:pos="7513"/>
        </w:tabs>
        <w:spacing w:line="360" w:lineRule="auto"/>
        <w:ind w:firstLine="420" w:firstLineChars="200"/>
        <w:rPr>
          <w:rFonts w:ascii="宋体" w:hAnsi="宋体" w:cs="宋体"/>
          <w:color w:val="auto"/>
          <w:sz w:val="21"/>
          <w:szCs w:val="21"/>
          <w:highlight w:val="none"/>
          <w:u w:val="none"/>
        </w:rPr>
      </w:pPr>
      <w:r>
        <w:rPr>
          <w:rFonts w:hint="eastAsia"/>
          <w:color w:val="auto"/>
          <w:szCs w:val="21"/>
          <w:highlight w:val="none"/>
        </w:rPr>
        <w:t>1.1项目名称：</w:t>
      </w:r>
      <w:r>
        <w:rPr>
          <w:rFonts w:hint="eastAsia" w:ascii="宋体" w:hAnsi="宋体" w:cs="宋体"/>
          <w:color w:val="auto"/>
          <w:sz w:val="21"/>
          <w:szCs w:val="21"/>
          <w:highlight w:val="none"/>
          <w:u w:val="none"/>
          <w:shd w:val="clear" w:color="auto" w:fill="FFFFFF"/>
          <w:lang w:val="en-US" w:eastAsia="zh-CN"/>
        </w:rPr>
        <w:t>鹤洞小学</w:t>
      </w:r>
      <w:r>
        <w:rPr>
          <w:rFonts w:hint="eastAsia" w:ascii="宋体" w:hAnsi="宋体" w:cs="宋体"/>
          <w:color w:val="auto"/>
          <w:sz w:val="21"/>
          <w:szCs w:val="21"/>
          <w:highlight w:val="none"/>
          <w:u w:val="none"/>
          <w:shd w:val="clear" w:color="auto" w:fill="FFFFFF"/>
          <w:lang w:eastAsia="zh-CN"/>
        </w:rPr>
        <w:t>建设工程</w:t>
      </w:r>
      <w:r>
        <w:rPr>
          <w:rFonts w:hint="eastAsia" w:ascii="宋体" w:hAnsi="宋体" w:cs="宋体"/>
          <w:color w:val="auto"/>
          <w:sz w:val="21"/>
          <w:szCs w:val="21"/>
          <w:highlight w:val="none"/>
          <w:u w:val="none"/>
          <w:lang w:val="en-US" w:eastAsia="zh-CN"/>
        </w:rPr>
        <w:t>施工</w:t>
      </w:r>
      <w:r>
        <w:rPr>
          <w:rFonts w:hint="eastAsia" w:ascii="宋体" w:hAnsi="宋体" w:cs="宋体"/>
          <w:color w:val="auto"/>
          <w:sz w:val="21"/>
          <w:szCs w:val="21"/>
          <w:highlight w:val="none"/>
          <w:u w:val="none"/>
        </w:rPr>
        <w:t>监理</w:t>
      </w:r>
    </w:p>
    <w:p w14:paraId="3C1B6F2F">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1.2建设单位：</w:t>
      </w:r>
      <w:r>
        <w:rPr>
          <w:rFonts w:hint="eastAsia"/>
          <w:color w:val="auto"/>
          <w:szCs w:val="21"/>
          <w:highlight w:val="none"/>
          <w:lang w:eastAsia="zh-CN"/>
        </w:rPr>
        <w:t>广州市荔湾区建设工程项目代建中心</w:t>
      </w:r>
    </w:p>
    <w:p w14:paraId="22607BFB">
      <w:pPr>
        <w:widowControl/>
        <w:spacing w:line="360" w:lineRule="auto"/>
        <w:ind w:firstLine="420" w:firstLineChars="200"/>
        <w:jc w:val="left"/>
        <w:textAlignment w:val="auto"/>
        <w:rPr>
          <w:rFonts w:ascii="宋体" w:hAnsi="宋体"/>
          <w:color w:val="auto"/>
          <w:sz w:val="21"/>
          <w:szCs w:val="21"/>
          <w:highlight w:val="none"/>
          <w:u w:val="none"/>
        </w:rPr>
      </w:pPr>
      <w:r>
        <w:rPr>
          <w:rFonts w:hint="eastAsia"/>
          <w:color w:val="auto"/>
          <w:szCs w:val="21"/>
          <w:highlight w:val="none"/>
        </w:rPr>
        <w:t>1.3建设规模：</w:t>
      </w:r>
      <w:r>
        <w:rPr>
          <w:rFonts w:hint="eastAsia" w:ascii="宋体" w:hAnsi="宋体" w:eastAsia="宋体" w:cs="宋体"/>
          <w:color w:val="auto"/>
          <w:sz w:val="21"/>
          <w:szCs w:val="21"/>
          <w:highlight w:val="none"/>
          <w:u w:val="none"/>
          <w:shd w:val="clear" w:color="auto" w:fill="FFFFFF"/>
          <w:lang w:val="en-US" w:eastAsia="zh-CN"/>
        </w:rPr>
        <w:t>鹤洞小学建设工程项目</w:t>
      </w:r>
      <w:r>
        <w:rPr>
          <w:rFonts w:hint="eastAsia" w:ascii="宋体" w:hAnsi="宋体" w:eastAsia="宋体" w:cs="宋体"/>
          <w:color w:val="auto"/>
          <w:kern w:val="0"/>
          <w:sz w:val="21"/>
          <w:szCs w:val="21"/>
          <w:highlight w:val="none"/>
          <w:u w:val="none"/>
          <w:lang w:val="en-US" w:eastAsia="zh-CN" w:bidi="ar"/>
        </w:rPr>
        <w:t>项目位于广州市荔湾区芳村大道南以西，鹤洞路以南，鹤洞村 AF040115 地块小学原址。主要建设内容包含建筑工程，装修工程、电气工程、给排水工程、消防工程、通风空调工程、电梯工程等，以及校园文化布置及教学设备设施配置等有关内容。其中新建建筑面积约 17361.69 平方米，</w:t>
      </w:r>
      <w:r>
        <w:rPr>
          <w:rFonts w:hint="eastAsia" w:ascii="宋体" w:hAnsi="宋体" w:cs="宋体"/>
          <w:color w:val="auto"/>
          <w:kern w:val="0"/>
          <w:sz w:val="21"/>
          <w:szCs w:val="21"/>
          <w:highlight w:val="none"/>
          <w:u w:val="none"/>
          <w:lang w:val="en-US" w:eastAsia="zh-CN" w:bidi="ar"/>
        </w:rPr>
        <w:t>地下1层，</w:t>
      </w:r>
      <w:r>
        <w:rPr>
          <w:rFonts w:hint="eastAsia" w:ascii="宋体" w:hAnsi="宋体" w:eastAsia="宋体" w:cs="宋体"/>
          <w:color w:val="auto"/>
          <w:kern w:val="0"/>
          <w:sz w:val="21"/>
          <w:szCs w:val="21"/>
          <w:highlight w:val="none"/>
          <w:u w:val="none"/>
          <w:lang w:val="en-US" w:eastAsia="zh-CN" w:bidi="ar"/>
        </w:rPr>
        <w:t>建筑面积3707.75平方米；地上五层，建筑面积13653.94平方米</w:t>
      </w:r>
      <w:r>
        <w:rPr>
          <w:rFonts w:hint="eastAsia" w:ascii="宋体" w:hAnsi="宋体" w:eastAsia="宋体" w:cs="宋体"/>
          <w:color w:val="auto"/>
          <w:sz w:val="21"/>
          <w:szCs w:val="21"/>
          <w:highlight w:val="none"/>
          <w:lang w:val="en-US" w:eastAsia="zh-CN"/>
        </w:rPr>
        <w:t>。</w:t>
      </w:r>
    </w:p>
    <w:p w14:paraId="2E7B1011">
      <w:pPr>
        <w:numPr>
          <w:ilvl w:val="0"/>
          <w:numId w:val="1"/>
        </w:numPr>
        <w:spacing w:line="360" w:lineRule="auto"/>
        <w:ind w:firstLine="420" w:firstLineChars="200"/>
        <w:rPr>
          <w:rFonts w:hint="eastAsia"/>
          <w:color w:val="auto"/>
          <w:szCs w:val="21"/>
          <w:highlight w:val="none"/>
        </w:rPr>
      </w:pPr>
      <w:r>
        <w:rPr>
          <w:rFonts w:hint="eastAsia"/>
          <w:color w:val="auto"/>
          <w:szCs w:val="21"/>
          <w:highlight w:val="none"/>
        </w:rPr>
        <w:t>监理范围及内容：</w:t>
      </w:r>
    </w:p>
    <w:p w14:paraId="5F306399">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（1）</w:t>
      </w:r>
      <w:r>
        <w:rPr>
          <w:rFonts w:hint="eastAsia" w:ascii="宋体" w:hAnsi="宋体" w:cs="宋体"/>
          <w:color w:val="auto"/>
          <w:sz w:val="21"/>
          <w:szCs w:val="21"/>
          <w:highlight w:val="none"/>
          <w:u w:val="none"/>
          <w:lang w:eastAsia="zh-TW"/>
        </w:rPr>
        <w:t>监理内容包括但不限于以下内容：本工程项目施工准备阶段（</w:t>
      </w:r>
      <w:r>
        <w:rPr>
          <w:rFonts w:hint="eastAsia" w:ascii="宋体" w:hAnsi="宋体" w:cs="宋体"/>
          <w:color w:val="auto"/>
          <w:sz w:val="21"/>
          <w:szCs w:val="21"/>
          <w:highlight w:val="none"/>
          <w:u w:val="none"/>
          <w:lang w:val="en-US" w:eastAsia="zh-CN"/>
        </w:rPr>
        <w:t>包括</w:t>
      </w:r>
      <w:r>
        <w:rPr>
          <w:rFonts w:hint="eastAsia" w:ascii="宋体" w:hAnsi="宋体" w:cs="宋体"/>
          <w:color w:val="auto"/>
          <w:sz w:val="21"/>
          <w:szCs w:val="21"/>
          <w:highlight w:val="none"/>
          <w:u w:val="none"/>
          <w:lang w:eastAsia="zh-TW"/>
        </w:rPr>
        <w:t>管线迁改、建构筑物拆除、绿化迁移</w:t>
      </w:r>
      <w:r>
        <w:rPr>
          <w:rFonts w:hint="eastAsia" w:ascii="宋体" w:hAnsi="宋体" w:cs="宋体"/>
          <w:color w:val="auto"/>
          <w:sz w:val="21"/>
          <w:szCs w:val="21"/>
          <w:highlight w:val="none"/>
          <w:u w:val="none"/>
          <w:lang w:val="en-US" w:eastAsia="zh-CN"/>
        </w:rPr>
        <w:t>工程量确认，</w:t>
      </w:r>
      <w:r>
        <w:rPr>
          <w:rFonts w:hint="eastAsia" w:ascii="宋体" w:hAnsi="宋体" w:cs="宋体"/>
          <w:color w:val="auto"/>
          <w:sz w:val="21"/>
          <w:szCs w:val="21"/>
          <w:highlight w:val="none"/>
          <w:u w:val="none"/>
          <w:lang w:eastAsia="zh-TW"/>
        </w:rPr>
        <w:t>场地围蔽</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eastAsia="zh-TW"/>
        </w:rPr>
        <w:t>场地平整</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eastAsia="zh-TW"/>
        </w:rPr>
        <w:t>临水</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eastAsia="zh-TW"/>
        </w:rPr>
        <w:t>临电等）、施工阶段、竣工结算阶段（包括但不限于竣工验收及竣工验收资料移交城建档案、整改、工程移交及实物移交、工程结算、竣工备案等）、保修等各阶段的质量、进度控制、投资控制、安全生产监督管理、合同管理、信息管理及组织协调等监理工作。施工阶段建设内容包括但不限于以下内容：</w:t>
      </w:r>
      <w:r>
        <w:rPr>
          <w:rFonts w:hint="eastAsia" w:ascii="宋体" w:hAnsi="宋体" w:eastAsia="宋体" w:cs="宋体"/>
          <w:color w:val="auto"/>
          <w:kern w:val="0"/>
          <w:sz w:val="21"/>
          <w:szCs w:val="21"/>
          <w:highlight w:val="none"/>
          <w:u w:val="none"/>
          <w:lang w:val="en-US" w:eastAsia="zh-CN" w:bidi="ar"/>
        </w:rPr>
        <w:t>建筑工程，装修工程、电气工程、给排水工程、消防工程、通风空调工程、电梯工程等，以及校园文化布置及教学设备设施配置等有关内容。</w:t>
      </w:r>
    </w:p>
    <w:p w14:paraId="3BF6D688">
      <w:pPr>
        <w:keepNext w:val="0"/>
        <w:keepLines w:val="0"/>
        <w:pageBreakBefore w:val="0"/>
        <w:numPr>
          <w:ilvl w:val="0"/>
          <w:numId w:val="0"/>
        </w:numPr>
        <w:tabs>
          <w:tab w:val="left" w:pos="7513"/>
        </w:tabs>
        <w:kinsoku/>
        <w:overflowPunct/>
        <w:topLinePunct w:val="0"/>
        <w:autoSpaceDE/>
        <w:autoSpaceDN/>
        <w:bidi w:val="0"/>
        <w:adjustRightInd/>
        <w:snapToGrid/>
        <w:spacing w:line="360" w:lineRule="auto"/>
        <w:ind w:leftChars="150"/>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2）</w:t>
      </w:r>
      <w:r>
        <w:rPr>
          <w:rFonts w:hint="eastAsia" w:ascii="宋体" w:hAnsi="宋体" w:cs="宋体"/>
          <w:color w:val="auto"/>
          <w:sz w:val="21"/>
          <w:szCs w:val="21"/>
          <w:highlight w:val="none"/>
          <w:u w:val="none"/>
          <w:lang w:eastAsia="zh-TW"/>
        </w:rPr>
        <w:t>除上述工作范围外，监理人还须按委托人或发包人的要求提前进场参与本工程开工前期的准备和筹划工作，协助委托人或发包人制定本监理工程的工程管理办法、各参建方职责及有关事务性工作等。</w:t>
      </w:r>
    </w:p>
    <w:p w14:paraId="5100AB78">
      <w:pPr>
        <w:spacing w:line="360" w:lineRule="auto"/>
        <w:ind w:firstLine="420" w:firstLineChars="200"/>
        <w:rPr>
          <w:color w:val="auto"/>
          <w:szCs w:val="21"/>
          <w:highlight w:val="none"/>
        </w:rPr>
      </w:pPr>
      <w:r>
        <w:rPr>
          <w:rFonts w:hint="eastAsia"/>
          <w:color w:val="auto"/>
          <w:szCs w:val="21"/>
          <w:highlight w:val="none"/>
        </w:rPr>
        <w:t>3. 监理服务期：</w:t>
      </w:r>
    </w:p>
    <w:p w14:paraId="7B2FB467">
      <w:pPr>
        <w:spacing w:line="360" w:lineRule="auto"/>
        <w:ind w:firstLine="420" w:firstLineChars="200"/>
        <w:rPr>
          <w:color w:val="auto"/>
          <w:szCs w:val="21"/>
          <w:highlight w:val="none"/>
        </w:rPr>
      </w:pPr>
      <w:r>
        <w:rPr>
          <w:rFonts w:hint="eastAsia"/>
          <w:color w:val="auto"/>
          <w:szCs w:val="21"/>
          <w:highlight w:val="none"/>
        </w:rPr>
        <w:t>监理服务期自监理人收到中标通知书或参加由委托人组织的第一次进场动员会之日起算，至本项目工程保修期结束且本合同工程结算金额经有权结算终审部门审定之日止。监理服务期包括项目的施工准备阶段、施工阶段、竣工验收及保修阶段，监理人须实行全过程监理服务。</w:t>
      </w:r>
    </w:p>
    <w:p w14:paraId="4933D1D6">
      <w:pPr>
        <w:spacing w:line="360" w:lineRule="auto"/>
        <w:ind w:firstLine="420" w:firstLineChars="200"/>
        <w:rPr>
          <w:color w:val="auto"/>
          <w:szCs w:val="21"/>
          <w:highlight w:val="none"/>
        </w:rPr>
      </w:pPr>
      <w:r>
        <w:rPr>
          <w:rFonts w:hint="eastAsia"/>
          <w:color w:val="auto"/>
          <w:szCs w:val="21"/>
          <w:highlight w:val="none"/>
        </w:rPr>
        <w:t>4.质量目标、职业健康安全管理目标、环境管理目标</w:t>
      </w:r>
    </w:p>
    <w:p w14:paraId="002B3949">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4.1质量目标：</w:t>
      </w:r>
      <w:r>
        <w:rPr>
          <w:rFonts w:hint="eastAsia" w:cs="Times New Roman"/>
          <w:color w:val="auto"/>
          <w:spacing w:val="0"/>
          <w:kern w:val="2"/>
          <w:sz w:val="21"/>
          <w:szCs w:val="21"/>
          <w:highlight w:val="none"/>
          <w:u w:val="single"/>
          <w:lang w:val="en-US" w:eastAsia="zh-CN"/>
        </w:rPr>
        <w:t>合格</w:t>
      </w:r>
    </w:p>
    <w:p w14:paraId="51939E1B">
      <w:pPr>
        <w:pStyle w:val="79"/>
        <w:ind w:firstLine="496"/>
        <w:rPr>
          <w:rFonts w:hint="eastAsia" w:ascii="宋体" w:hAnsi="宋体" w:eastAsia="宋体" w:cs="宋体"/>
          <w:b w:val="0"/>
          <w:bCs w:val="0"/>
          <w:color w:val="auto"/>
          <w:sz w:val="21"/>
          <w:szCs w:val="21"/>
          <w:highlight w:val="none"/>
        </w:rPr>
      </w:pPr>
      <w:r>
        <w:rPr>
          <w:rFonts w:hint="eastAsia"/>
          <w:color w:val="auto"/>
          <w:sz w:val="21"/>
          <w:szCs w:val="21"/>
          <w:highlight w:val="none"/>
        </w:rPr>
        <w:t>4.2职业健康安全管理及安全文明施工（合同）目标：</w:t>
      </w:r>
      <w:r>
        <w:rPr>
          <w:rFonts w:hint="eastAsia" w:ascii="宋体" w:hAnsi="宋体" w:eastAsia="宋体" w:cs="宋体"/>
          <w:b w:val="0"/>
          <w:bCs w:val="0"/>
          <w:color w:val="auto"/>
          <w:sz w:val="21"/>
          <w:szCs w:val="21"/>
          <w:highlight w:val="none"/>
          <w:u w:val="single"/>
        </w:rPr>
        <w:t>杜绝发生一般事故等级以上的伤亡事故且工伤责任事故死亡人数为零，确保广州市安全文明样板工地，争创广东省安全文明样板工地。</w:t>
      </w:r>
    </w:p>
    <w:p w14:paraId="054C6DA2">
      <w:pPr>
        <w:pStyle w:val="79"/>
        <w:ind w:firstLine="4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4.3环境管理目标：</w:t>
      </w:r>
      <w:r>
        <w:rPr>
          <w:rFonts w:hint="eastAsia" w:ascii="宋体" w:hAnsi="宋体" w:eastAsia="宋体" w:cs="宋体"/>
          <w:b w:val="0"/>
          <w:bCs w:val="0"/>
          <w:color w:val="auto"/>
          <w:sz w:val="21"/>
          <w:szCs w:val="21"/>
          <w:highlight w:val="none"/>
        </w:rPr>
        <w:t>严格执行《广州市住房和城乡建设委员会关于印发建设工程扬尘防治“6个100%”管理标准细化措施的通知》（穗建质〔2018〕1394号）、《广州市城乡建设委员会关于印发广州市加强建筑工地环保管理工作方案的通知》（穗建质〔2014〕754号）、《广州市建设工程绿色施工围蔽指导图集（V1.0 试行版）》、《广州市提升建设工程安全文明施工管理水平的工作指引》（穗建质〔2017〕815号）和市现行管理规定等文件的要求，加强建筑工地文明施工管理，控制施工扬尘、噪声污染，推进生态文明建设；确保噪声污染、扬尘污染等环境污染问题零投诉。</w:t>
      </w:r>
    </w:p>
    <w:p w14:paraId="6FDAE0BB">
      <w:pPr>
        <w:pStyle w:val="79"/>
        <w:ind w:firstLine="496"/>
        <w:rPr>
          <w:rFonts w:hint="eastAsia" w:ascii="Calibri" w:hAnsi="Calibri"/>
          <w:strike w:val="0"/>
          <w:color w:val="auto"/>
          <w:spacing w:val="0"/>
          <w:kern w:val="2"/>
          <w:sz w:val="21"/>
          <w:szCs w:val="21"/>
          <w:highlight w:val="none"/>
        </w:rPr>
      </w:pPr>
      <w:r>
        <w:rPr>
          <w:rFonts w:hint="eastAsia"/>
          <w:color w:val="auto"/>
          <w:sz w:val="21"/>
          <w:szCs w:val="21"/>
          <w:highlight w:val="none"/>
        </w:rPr>
        <w:t>4.4投资控制目标：</w:t>
      </w:r>
      <w:r>
        <w:rPr>
          <w:rFonts w:hint="eastAsia" w:ascii="Calibri" w:hAnsi="Calibri" w:eastAsia="宋体" w:cs="Times New Roman"/>
          <w:color w:val="auto"/>
          <w:spacing w:val="0"/>
          <w:kern w:val="2"/>
          <w:sz w:val="21"/>
          <w:szCs w:val="21"/>
          <w:highlight w:val="none"/>
        </w:rPr>
        <w:t>所监理的建安工程结算不超过合同价，且不超过相应的建安工程费概算批复。</w:t>
      </w:r>
    </w:p>
    <w:p w14:paraId="30397B42">
      <w:pPr>
        <w:spacing w:line="540" w:lineRule="exact"/>
        <w:ind w:firstLine="420" w:firstLineChars="200"/>
        <w:outlineLvl w:val="2"/>
        <w:rPr>
          <w:color w:val="auto"/>
          <w:szCs w:val="21"/>
          <w:highlight w:val="none"/>
        </w:rPr>
      </w:pPr>
      <w:r>
        <w:rPr>
          <w:rFonts w:hint="eastAsia"/>
          <w:color w:val="auto"/>
          <w:szCs w:val="21"/>
          <w:highlight w:val="none"/>
        </w:rPr>
        <w:t>5. 监理人员组成配备的要求</w:t>
      </w:r>
    </w:p>
    <w:p w14:paraId="33507013">
      <w:pPr>
        <w:spacing w:line="540" w:lineRule="exact"/>
        <w:ind w:firstLine="420" w:firstLineChars="200"/>
        <w:rPr>
          <w:color w:val="auto"/>
          <w:szCs w:val="21"/>
          <w:highlight w:val="none"/>
        </w:rPr>
      </w:pPr>
      <w:r>
        <w:rPr>
          <w:rFonts w:hint="eastAsia"/>
          <w:color w:val="auto"/>
          <w:szCs w:val="21"/>
          <w:highlight w:val="none"/>
        </w:rPr>
        <w:t>监理架构及人员的最低基本要求详见下表，要求监理单位根据本项目特点，结合本企业的实力和资源情况，派驻现场的人员必须专业对口，精干、充足。本项目的监理机构要求专业监理，分别负责</w:t>
      </w:r>
      <w:r>
        <w:rPr>
          <w:color w:val="auto"/>
          <w:szCs w:val="21"/>
          <w:highlight w:val="none"/>
        </w:rPr>
        <w:t>装修工程、安装工程、给排水工程等</w:t>
      </w:r>
      <w:r>
        <w:rPr>
          <w:rFonts w:hint="eastAsia"/>
          <w:color w:val="auto"/>
          <w:szCs w:val="21"/>
          <w:highlight w:val="none"/>
        </w:rPr>
        <w:t>。</w:t>
      </w:r>
    </w:p>
    <w:p w14:paraId="0F7E7EA9">
      <w:pPr>
        <w:pStyle w:val="79"/>
        <w:spacing w:line="480" w:lineRule="exact"/>
        <w:ind w:firstLine="420"/>
        <w:rPr>
          <w:color w:val="auto"/>
          <w:spacing w:val="0"/>
          <w:kern w:val="2"/>
          <w:sz w:val="21"/>
          <w:szCs w:val="21"/>
          <w:highlight w:val="none"/>
        </w:rPr>
      </w:pPr>
      <w:r>
        <w:rPr>
          <w:color w:val="auto"/>
          <w:spacing w:val="0"/>
          <w:kern w:val="2"/>
          <w:sz w:val="21"/>
          <w:szCs w:val="21"/>
          <w:highlight w:val="none"/>
        </w:rPr>
        <w:t>项目</w:t>
      </w:r>
      <w:r>
        <w:rPr>
          <w:rFonts w:hint="eastAsia"/>
          <w:color w:val="auto"/>
          <w:spacing w:val="0"/>
          <w:kern w:val="2"/>
          <w:sz w:val="21"/>
          <w:szCs w:val="21"/>
          <w:highlight w:val="none"/>
        </w:rPr>
        <w:t>监理人员组成应满足或优于下表的最低基本要求。</w:t>
      </w:r>
    </w:p>
    <w:p w14:paraId="340F604F">
      <w:pPr>
        <w:spacing w:line="540" w:lineRule="exact"/>
        <w:ind w:firstLine="422" w:firstLineChars="20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项目监理人员组成配备要求表</w:t>
      </w:r>
    </w:p>
    <w:tbl>
      <w:tblPr>
        <w:tblStyle w:val="36"/>
        <w:tblW w:w="5485"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775"/>
        <w:gridCol w:w="606"/>
        <w:gridCol w:w="5052"/>
      </w:tblGrid>
      <w:tr w14:paraId="1775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89" w:type="pct"/>
            <w:vAlign w:val="center"/>
          </w:tcPr>
          <w:p w14:paraId="14F16B7A">
            <w:pPr>
              <w:adjustRightInd w:val="0"/>
              <w:snapToGrid w:val="0"/>
              <w:jc w:val="center"/>
              <w:rPr>
                <w:rFonts w:hint="eastAsia" w:ascii="宋体" w:hAnsi="宋体" w:eastAsia="宋体" w:cs="宋体"/>
                <w:b/>
                <w:color w:val="auto"/>
                <w:kern w:val="44"/>
                <w:sz w:val="18"/>
                <w:highlight w:val="none"/>
              </w:rPr>
            </w:pPr>
            <w:r>
              <w:rPr>
                <w:rFonts w:hint="eastAsia" w:ascii="宋体" w:hAnsi="宋体" w:eastAsia="宋体" w:cs="宋体"/>
                <w:b/>
                <w:color w:val="auto"/>
                <w:kern w:val="44"/>
                <w:sz w:val="18"/>
                <w:highlight w:val="none"/>
              </w:rPr>
              <w:t>序号</w:t>
            </w:r>
          </w:p>
        </w:tc>
        <w:tc>
          <w:tcPr>
            <w:tcW w:w="1484" w:type="pct"/>
            <w:vAlign w:val="center"/>
          </w:tcPr>
          <w:p w14:paraId="08DBEBB1">
            <w:pPr>
              <w:adjustRightInd w:val="0"/>
              <w:snapToGrid w:val="0"/>
              <w:jc w:val="center"/>
              <w:rPr>
                <w:rFonts w:hint="eastAsia" w:ascii="宋体" w:hAnsi="宋体" w:eastAsia="宋体" w:cs="宋体"/>
                <w:bCs/>
                <w:color w:val="auto"/>
                <w:kern w:val="44"/>
                <w:sz w:val="18"/>
                <w:highlight w:val="none"/>
              </w:rPr>
            </w:pPr>
            <w:r>
              <w:rPr>
                <w:rFonts w:hint="eastAsia" w:ascii="宋体" w:hAnsi="宋体" w:eastAsia="宋体" w:cs="宋体"/>
                <w:b/>
                <w:color w:val="auto"/>
                <w:kern w:val="44"/>
                <w:sz w:val="18"/>
                <w:highlight w:val="none"/>
              </w:rPr>
              <w:t>岗位名称</w:t>
            </w:r>
          </w:p>
        </w:tc>
        <w:tc>
          <w:tcPr>
            <w:tcW w:w="324" w:type="pct"/>
            <w:vAlign w:val="center"/>
          </w:tcPr>
          <w:p w14:paraId="75372FE8">
            <w:pPr>
              <w:adjustRightInd w:val="0"/>
              <w:snapToGrid w:val="0"/>
              <w:jc w:val="center"/>
              <w:rPr>
                <w:rFonts w:hint="eastAsia" w:ascii="宋体" w:hAnsi="宋体" w:eastAsia="宋体" w:cs="宋体"/>
                <w:bCs/>
                <w:color w:val="auto"/>
                <w:kern w:val="44"/>
                <w:sz w:val="18"/>
                <w:highlight w:val="none"/>
              </w:rPr>
            </w:pPr>
            <w:r>
              <w:rPr>
                <w:rFonts w:hint="eastAsia" w:ascii="宋体" w:hAnsi="宋体" w:eastAsia="宋体" w:cs="宋体"/>
                <w:b/>
                <w:color w:val="auto"/>
                <w:kern w:val="44"/>
                <w:sz w:val="18"/>
                <w:highlight w:val="none"/>
              </w:rPr>
              <w:t>数量</w:t>
            </w:r>
          </w:p>
        </w:tc>
        <w:tc>
          <w:tcPr>
            <w:tcW w:w="2701" w:type="pct"/>
            <w:vAlign w:val="center"/>
          </w:tcPr>
          <w:p w14:paraId="3BAF4C33">
            <w:pPr>
              <w:adjustRightInd w:val="0"/>
              <w:snapToGrid w:val="0"/>
              <w:jc w:val="center"/>
              <w:rPr>
                <w:rFonts w:hint="eastAsia" w:ascii="宋体" w:hAnsi="宋体" w:eastAsia="宋体" w:cs="宋体"/>
                <w:bCs/>
                <w:color w:val="auto"/>
                <w:kern w:val="44"/>
                <w:sz w:val="18"/>
                <w:highlight w:val="none"/>
              </w:rPr>
            </w:pPr>
            <w:r>
              <w:rPr>
                <w:rFonts w:hint="eastAsia" w:ascii="宋体" w:hAnsi="宋体" w:eastAsia="宋体" w:cs="宋体"/>
                <w:b/>
                <w:color w:val="auto"/>
                <w:kern w:val="44"/>
                <w:sz w:val="18"/>
                <w:highlight w:val="none"/>
              </w:rPr>
              <w:t>基本要求</w:t>
            </w:r>
          </w:p>
        </w:tc>
      </w:tr>
      <w:tr w14:paraId="678F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5F5AC3FB">
            <w:pPr>
              <w:widowControl/>
              <w:adjustRightInd w:val="0"/>
              <w:snapToGrid w:val="0"/>
              <w:ind w:left="-361" w:leftChars="-172" w:firstLine="360" w:firstLineChars="200"/>
              <w:jc w:val="center"/>
              <w:rPr>
                <w:rFonts w:hint="eastAsia" w:ascii="宋体" w:hAnsi="宋体" w:eastAsia="宋体" w:cs="宋体"/>
                <w:color w:val="auto"/>
                <w:kern w:val="0"/>
                <w:sz w:val="18"/>
                <w:szCs w:val="21"/>
                <w:highlight w:val="none"/>
              </w:rPr>
            </w:pPr>
            <w:r>
              <w:rPr>
                <w:rFonts w:hint="eastAsia" w:ascii="宋体" w:hAnsi="宋体" w:eastAsia="宋体" w:cs="宋体"/>
                <w:color w:val="auto"/>
                <w:kern w:val="0"/>
                <w:sz w:val="18"/>
                <w:szCs w:val="21"/>
                <w:highlight w:val="none"/>
              </w:rPr>
              <w:t>1</w:t>
            </w:r>
          </w:p>
        </w:tc>
        <w:tc>
          <w:tcPr>
            <w:tcW w:w="1484" w:type="pct"/>
            <w:vAlign w:val="center"/>
          </w:tcPr>
          <w:p w14:paraId="5BBF0972">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总监理工程师</w:t>
            </w:r>
          </w:p>
        </w:tc>
        <w:tc>
          <w:tcPr>
            <w:tcW w:w="324" w:type="pct"/>
            <w:vAlign w:val="center"/>
          </w:tcPr>
          <w:p w14:paraId="251E9C31">
            <w:pPr>
              <w:adjustRightInd w:val="0"/>
              <w:snapToGrid w:val="0"/>
              <w:jc w:val="center"/>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1</w:t>
            </w:r>
          </w:p>
        </w:tc>
        <w:tc>
          <w:tcPr>
            <w:tcW w:w="2701" w:type="pct"/>
            <w:vAlign w:val="center"/>
          </w:tcPr>
          <w:p w14:paraId="0327E87F">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按招标公告要求。</w:t>
            </w:r>
          </w:p>
        </w:tc>
      </w:tr>
      <w:tr w14:paraId="2C8F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6FB1AF86">
            <w:pPr>
              <w:widowControl/>
              <w:adjustRightInd w:val="0"/>
              <w:snapToGrid w:val="0"/>
              <w:ind w:left="-361" w:leftChars="-172" w:firstLine="360" w:firstLineChars="200"/>
              <w:jc w:val="center"/>
              <w:rPr>
                <w:rFonts w:hint="eastAsia" w:ascii="宋体" w:hAnsi="宋体" w:eastAsia="宋体" w:cs="宋体"/>
                <w:color w:val="auto"/>
                <w:kern w:val="0"/>
                <w:sz w:val="18"/>
                <w:szCs w:val="21"/>
                <w:highlight w:val="none"/>
              </w:rPr>
            </w:pPr>
            <w:r>
              <w:rPr>
                <w:rFonts w:hint="eastAsia" w:ascii="宋体" w:hAnsi="宋体" w:eastAsia="宋体" w:cs="宋体"/>
                <w:color w:val="auto"/>
                <w:kern w:val="0"/>
                <w:sz w:val="18"/>
                <w:szCs w:val="21"/>
                <w:highlight w:val="none"/>
              </w:rPr>
              <w:t>2</w:t>
            </w:r>
          </w:p>
        </w:tc>
        <w:tc>
          <w:tcPr>
            <w:tcW w:w="1484" w:type="pct"/>
            <w:vAlign w:val="center"/>
          </w:tcPr>
          <w:p w14:paraId="5B587C77">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总监代表</w:t>
            </w:r>
          </w:p>
        </w:tc>
        <w:tc>
          <w:tcPr>
            <w:tcW w:w="324" w:type="pct"/>
            <w:vAlign w:val="center"/>
          </w:tcPr>
          <w:p w14:paraId="251FA6F4">
            <w:pPr>
              <w:adjustRightInd w:val="0"/>
              <w:snapToGrid w:val="0"/>
              <w:jc w:val="center"/>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1</w:t>
            </w:r>
          </w:p>
        </w:tc>
        <w:tc>
          <w:tcPr>
            <w:tcW w:w="2701" w:type="pct"/>
            <w:vAlign w:val="center"/>
          </w:tcPr>
          <w:p w14:paraId="14BCF4B2">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必须具有建设部2006年4月1日后颁发的中华人民共和国注册监理工程师注册执业证书，且其注册证书专业为房屋建筑工程，注册执业单位为本公司。</w:t>
            </w:r>
          </w:p>
        </w:tc>
      </w:tr>
      <w:tr w14:paraId="6EDD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6816F45F">
            <w:pPr>
              <w:pStyle w:val="82"/>
              <w:spacing w:line="240" w:lineRule="auto"/>
              <w:jc w:val="center"/>
              <w:rPr>
                <w:rFonts w:hint="eastAsia" w:ascii="宋体" w:hAnsi="宋体" w:eastAsia="宋体" w:cs="宋体"/>
                <w:bCs/>
                <w:color w:val="auto"/>
                <w:kern w:val="44"/>
                <w:sz w:val="18"/>
                <w:szCs w:val="24"/>
                <w:highlight w:val="none"/>
              </w:rPr>
            </w:pPr>
            <w:r>
              <w:rPr>
                <w:rFonts w:hint="eastAsia" w:ascii="宋体" w:hAnsi="宋体" w:eastAsia="宋体" w:cs="宋体"/>
                <w:bCs/>
                <w:color w:val="auto"/>
                <w:kern w:val="44"/>
                <w:sz w:val="18"/>
                <w:szCs w:val="24"/>
                <w:highlight w:val="none"/>
              </w:rPr>
              <w:t>3</w:t>
            </w:r>
          </w:p>
        </w:tc>
        <w:tc>
          <w:tcPr>
            <w:tcW w:w="1484" w:type="pct"/>
            <w:vAlign w:val="center"/>
          </w:tcPr>
          <w:p w14:paraId="16166E0A">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土建</w:t>
            </w:r>
            <w:r>
              <w:rPr>
                <w:rFonts w:hint="eastAsia" w:ascii="宋体" w:hAnsi="宋体" w:eastAsia="宋体" w:cs="宋体"/>
                <w:color w:val="auto"/>
                <w:szCs w:val="21"/>
                <w:highlight w:val="none"/>
                <w:lang w:val="en-US" w:eastAsia="zh-CN" w:bidi="ar"/>
              </w:rPr>
              <w:t>专业</w:t>
            </w:r>
            <w:r>
              <w:rPr>
                <w:rFonts w:hint="eastAsia" w:ascii="宋体" w:hAnsi="宋体" w:eastAsia="宋体" w:cs="宋体"/>
                <w:color w:val="auto"/>
                <w:szCs w:val="21"/>
                <w:highlight w:val="none"/>
                <w:lang w:val="zh-CN" w:bidi="ar"/>
              </w:rPr>
              <w:t>监理工程师</w:t>
            </w:r>
          </w:p>
        </w:tc>
        <w:tc>
          <w:tcPr>
            <w:tcW w:w="324" w:type="pct"/>
            <w:vAlign w:val="center"/>
          </w:tcPr>
          <w:p w14:paraId="71A53FE2">
            <w:pPr>
              <w:widowControl/>
              <w:adjustRightInd w:val="0"/>
              <w:snapToGrid w:val="0"/>
              <w:ind w:left="-361" w:leftChars="-172" w:firstLine="420" w:firstLineChars="200"/>
              <w:jc w:val="center"/>
              <w:rPr>
                <w:rFonts w:hint="eastAsia" w:ascii="宋体" w:hAnsi="宋体" w:eastAsia="宋体" w:cs="宋体"/>
                <w:color w:val="auto"/>
                <w:szCs w:val="21"/>
                <w:highlight w:val="none"/>
                <w:lang w:val="zh-CN" w:eastAsia="zh-CN" w:bidi="ar"/>
              </w:rPr>
            </w:pPr>
            <w:r>
              <w:rPr>
                <w:rFonts w:hint="eastAsia" w:ascii="宋体" w:hAnsi="宋体" w:eastAsia="宋体" w:cs="宋体"/>
                <w:color w:val="auto"/>
                <w:szCs w:val="21"/>
                <w:highlight w:val="none"/>
                <w:lang w:val="en-US" w:eastAsia="zh-CN" w:bidi="ar"/>
              </w:rPr>
              <w:t>1</w:t>
            </w:r>
          </w:p>
        </w:tc>
        <w:tc>
          <w:tcPr>
            <w:tcW w:w="2701" w:type="pct"/>
            <w:vAlign w:val="center"/>
          </w:tcPr>
          <w:p w14:paraId="37922D50">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具有注册监理工程师证或专业监理工程师证，专业以注册监理工程师证或专业监理工程师证或职称证或毕业证中的专业名称（含相近专业）为准。</w:t>
            </w:r>
          </w:p>
        </w:tc>
      </w:tr>
      <w:tr w14:paraId="7371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1E0929AF">
            <w:pPr>
              <w:adjustRightInd w:val="0"/>
              <w:snapToGrid w:val="0"/>
              <w:jc w:val="center"/>
              <w:rPr>
                <w:rFonts w:hint="eastAsia" w:ascii="宋体" w:hAnsi="宋体" w:eastAsia="宋体" w:cs="宋体"/>
                <w:bCs/>
                <w:color w:val="auto"/>
                <w:kern w:val="44"/>
                <w:sz w:val="18"/>
                <w:highlight w:val="none"/>
                <w:lang w:eastAsia="zh-CN"/>
              </w:rPr>
            </w:pPr>
            <w:r>
              <w:rPr>
                <w:rFonts w:hint="eastAsia" w:ascii="宋体" w:hAnsi="宋体" w:eastAsia="宋体" w:cs="宋体"/>
                <w:bCs/>
                <w:color w:val="auto"/>
                <w:kern w:val="44"/>
                <w:sz w:val="18"/>
                <w:highlight w:val="none"/>
                <w:lang w:val="en-US" w:eastAsia="zh-CN"/>
              </w:rPr>
              <w:t>4</w:t>
            </w:r>
          </w:p>
        </w:tc>
        <w:tc>
          <w:tcPr>
            <w:tcW w:w="1484" w:type="pct"/>
            <w:vAlign w:val="center"/>
          </w:tcPr>
          <w:p w14:paraId="398820D2">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给排水专业</w:t>
            </w:r>
            <w:r>
              <w:rPr>
                <w:rFonts w:hint="eastAsia" w:ascii="宋体" w:hAnsi="宋体" w:eastAsia="宋体" w:cs="宋体"/>
                <w:color w:val="auto"/>
                <w:szCs w:val="21"/>
                <w:highlight w:val="none"/>
                <w:lang w:val="en-US" w:eastAsia="zh-CN" w:bidi="ar"/>
              </w:rPr>
              <w:t>监理</w:t>
            </w:r>
            <w:r>
              <w:rPr>
                <w:rFonts w:hint="eastAsia" w:ascii="宋体" w:hAnsi="宋体" w:eastAsia="宋体" w:cs="宋体"/>
                <w:color w:val="auto"/>
                <w:szCs w:val="21"/>
                <w:highlight w:val="none"/>
                <w:lang w:val="zh-CN" w:bidi="ar"/>
              </w:rPr>
              <w:t>工程师</w:t>
            </w:r>
          </w:p>
        </w:tc>
        <w:tc>
          <w:tcPr>
            <w:tcW w:w="324" w:type="pct"/>
            <w:vAlign w:val="center"/>
          </w:tcPr>
          <w:p w14:paraId="027C82AC">
            <w:pPr>
              <w:adjustRightInd w:val="0"/>
              <w:snapToGrid w:val="0"/>
              <w:jc w:val="center"/>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1</w:t>
            </w:r>
          </w:p>
        </w:tc>
        <w:tc>
          <w:tcPr>
            <w:tcW w:w="2701" w:type="pct"/>
            <w:vAlign w:val="center"/>
          </w:tcPr>
          <w:p w14:paraId="042BC823">
            <w:pPr>
              <w:widowControl/>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具有注册监理工程师证或专业监理工程师证，专业以注册监理工程师证或专业监理工程师证或职称证或毕业证中的专业名称（含相近专业）为准。</w:t>
            </w:r>
          </w:p>
        </w:tc>
      </w:tr>
      <w:tr w14:paraId="0215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622F664E">
            <w:pPr>
              <w:adjustRightInd w:val="0"/>
              <w:snapToGrid w:val="0"/>
              <w:jc w:val="center"/>
              <w:rPr>
                <w:rFonts w:hint="eastAsia" w:ascii="宋体" w:hAnsi="宋体" w:eastAsia="宋体" w:cs="宋体"/>
                <w:bCs/>
                <w:color w:val="auto"/>
                <w:kern w:val="44"/>
                <w:sz w:val="18"/>
                <w:highlight w:val="none"/>
                <w:lang w:eastAsia="zh-CN"/>
              </w:rPr>
            </w:pPr>
            <w:r>
              <w:rPr>
                <w:rFonts w:hint="eastAsia" w:ascii="宋体" w:hAnsi="宋体" w:eastAsia="宋体" w:cs="宋体"/>
                <w:bCs/>
                <w:color w:val="auto"/>
                <w:kern w:val="44"/>
                <w:sz w:val="18"/>
                <w:szCs w:val="24"/>
                <w:highlight w:val="none"/>
                <w:lang w:val="en-US" w:eastAsia="zh-CN"/>
              </w:rPr>
              <w:t>5</w:t>
            </w:r>
          </w:p>
        </w:tc>
        <w:tc>
          <w:tcPr>
            <w:tcW w:w="1484" w:type="pct"/>
            <w:vAlign w:val="center"/>
          </w:tcPr>
          <w:p w14:paraId="46721696">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安全员</w:t>
            </w:r>
          </w:p>
        </w:tc>
        <w:tc>
          <w:tcPr>
            <w:tcW w:w="324" w:type="pct"/>
            <w:vAlign w:val="center"/>
          </w:tcPr>
          <w:p w14:paraId="68AE0D00">
            <w:pPr>
              <w:adjustRightInd w:val="0"/>
              <w:snapToGrid w:val="0"/>
              <w:jc w:val="center"/>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1</w:t>
            </w:r>
          </w:p>
        </w:tc>
        <w:tc>
          <w:tcPr>
            <w:tcW w:w="2701" w:type="pct"/>
            <w:vAlign w:val="center"/>
          </w:tcPr>
          <w:p w14:paraId="34EC9B0E">
            <w:pPr>
              <w:widowControl/>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具有安全员培训证书或上岗证。</w:t>
            </w:r>
          </w:p>
        </w:tc>
      </w:tr>
      <w:tr w14:paraId="415B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525C8FBF">
            <w:pPr>
              <w:pStyle w:val="82"/>
              <w:spacing w:line="240" w:lineRule="auto"/>
              <w:jc w:val="center"/>
              <w:rPr>
                <w:rFonts w:hint="eastAsia" w:ascii="宋体" w:hAnsi="宋体" w:eastAsia="宋体" w:cs="宋体"/>
                <w:bCs/>
                <w:color w:val="auto"/>
                <w:kern w:val="44"/>
                <w:sz w:val="18"/>
                <w:szCs w:val="24"/>
                <w:highlight w:val="none"/>
                <w:lang w:eastAsia="zh-CN"/>
              </w:rPr>
            </w:pPr>
            <w:r>
              <w:rPr>
                <w:rFonts w:hint="eastAsia" w:ascii="宋体" w:hAnsi="宋体" w:eastAsia="宋体" w:cs="宋体"/>
                <w:bCs/>
                <w:color w:val="auto"/>
                <w:kern w:val="44"/>
                <w:sz w:val="18"/>
                <w:szCs w:val="24"/>
                <w:highlight w:val="none"/>
                <w:lang w:val="en-US" w:eastAsia="zh-CN"/>
              </w:rPr>
              <w:t>6</w:t>
            </w:r>
          </w:p>
        </w:tc>
        <w:tc>
          <w:tcPr>
            <w:tcW w:w="1484" w:type="pct"/>
            <w:vAlign w:val="center"/>
          </w:tcPr>
          <w:p w14:paraId="16CD7C37">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造价工程师</w:t>
            </w:r>
          </w:p>
        </w:tc>
        <w:tc>
          <w:tcPr>
            <w:tcW w:w="324" w:type="pct"/>
            <w:vAlign w:val="center"/>
          </w:tcPr>
          <w:p w14:paraId="2851C232">
            <w:pPr>
              <w:adjustRightInd w:val="0"/>
              <w:snapToGrid w:val="0"/>
              <w:jc w:val="center"/>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1</w:t>
            </w:r>
          </w:p>
        </w:tc>
        <w:tc>
          <w:tcPr>
            <w:tcW w:w="2701" w:type="pct"/>
            <w:vAlign w:val="center"/>
          </w:tcPr>
          <w:p w14:paraId="4CD9425E">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具有一级注册造价师证书。</w:t>
            </w:r>
          </w:p>
        </w:tc>
      </w:tr>
      <w:tr w14:paraId="0645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6A7B0D7D">
            <w:pPr>
              <w:adjustRightInd w:val="0"/>
              <w:snapToGrid w:val="0"/>
              <w:jc w:val="center"/>
              <w:rPr>
                <w:rFonts w:hint="eastAsia" w:ascii="宋体" w:hAnsi="宋体" w:eastAsia="宋体" w:cs="宋体"/>
                <w:bCs/>
                <w:color w:val="auto"/>
                <w:kern w:val="44"/>
                <w:sz w:val="18"/>
                <w:highlight w:val="none"/>
                <w:lang w:eastAsia="zh-CN"/>
              </w:rPr>
            </w:pPr>
            <w:r>
              <w:rPr>
                <w:rFonts w:hint="eastAsia" w:ascii="宋体" w:hAnsi="宋体" w:eastAsia="宋体" w:cs="宋体"/>
                <w:bCs/>
                <w:color w:val="auto"/>
                <w:kern w:val="44"/>
                <w:sz w:val="18"/>
                <w:highlight w:val="none"/>
                <w:lang w:val="en-US" w:eastAsia="zh-CN"/>
              </w:rPr>
              <w:t>7</w:t>
            </w:r>
          </w:p>
        </w:tc>
        <w:tc>
          <w:tcPr>
            <w:tcW w:w="1484" w:type="pct"/>
            <w:vAlign w:val="center"/>
          </w:tcPr>
          <w:p w14:paraId="3ABA235E">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监理员</w:t>
            </w:r>
          </w:p>
        </w:tc>
        <w:tc>
          <w:tcPr>
            <w:tcW w:w="324" w:type="pct"/>
            <w:vAlign w:val="center"/>
          </w:tcPr>
          <w:p w14:paraId="08849639">
            <w:pPr>
              <w:adjustRightInd w:val="0"/>
              <w:snapToGrid w:val="0"/>
              <w:jc w:val="center"/>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2</w:t>
            </w:r>
          </w:p>
        </w:tc>
        <w:tc>
          <w:tcPr>
            <w:tcW w:w="2701" w:type="pct"/>
            <w:vAlign w:val="center"/>
          </w:tcPr>
          <w:p w14:paraId="52AB2ACA">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具有监理员培训证书或上岗证。</w:t>
            </w:r>
          </w:p>
        </w:tc>
      </w:tr>
      <w:tr w14:paraId="3043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6C9A8DAA">
            <w:pPr>
              <w:adjustRightInd w:val="0"/>
              <w:snapToGrid w:val="0"/>
              <w:jc w:val="center"/>
              <w:rPr>
                <w:rFonts w:hint="eastAsia" w:ascii="宋体" w:hAnsi="宋体" w:eastAsia="宋体" w:cs="宋体"/>
                <w:bCs/>
                <w:color w:val="auto"/>
                <w:kern w:val="44"/>
                <w:sz w:val="18"/>
                <w:highlight w:val="none"/>
              </w:rPr>
            </w:pPr>
          </w:p>
        </w:tc>
        <w:tc>
          <w:tcPr>
            <w:tcW w:w="1484" w:type="pct"/>
            <w:vAlign w:val="center"/>
          </w:tcPr>
          <w:p w14:paraId="49554E30">
            <w:pPr>
              <w:adjustRightInd w:val="0"/>
              <w:snapToGrid w:val="0"/>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合计</w:t>
            </w:r>
          </w:p>
        </w:tc>
        <w:tc>
          <w:tcPr>
            <w:tcW w:w="324" w:type="pct"/>
            <w:vAlign w:val="center"/>
          </w:tcPr>
          <w:p w14:paraId="1B7B0C6E">
            <w:pPr>
              <w:adjustRightInd w:val="0"/>
              <w:snapToGrid w:val="0"/>
              <w:jc w:val="center"/>
              <w:rPr>
                <w:rFonts w:hint="eastAsia" w:ascii="宋体" w:hAnsi="宋体" w:eastAsia="宋体" w:cs="宋体"/>
                <w:color w:val="auto"/>
                <w:szCs w:val="21"/>
                <w:highlight w:val="none"/>
                <w:lang w:val="zh-CN" w:eastAsia="zh-CN" w:bidi="ar"/>
              </w:rPr>
            </w:pPr>
            <w:r>
              <w:rPr>
                <w:rFonts w:hint="eastAsia" w:ascii="宋体" w:hAnsi="宋体" w:cs="宋体"/>
                <w:color w:val="auto"/>
                <w:szCs w:val="21"/>
                <w:highlight w:val="none"/>
                <w:lang w:val="en-US" w:eastAsia="zh-CN" w:bidi="ar"/>
              </w:rPr>
              <w:t>8</w:t>
            </w:r>
          </w:p>
        </w:tc>
        <w:tc>
          <w:tcPr>
            <w:tcW w:w="2701" w:type="pct"/>
            <w:vAlign w:val="center"/>
          </w:tcPr>
          <w:p w14:paraId="75A259F4">
            <w:pPr>
              <w:adjustRightInd w:val="0"/>
              <w:snapToGrid w:val="0"/>
              <w:jc w:val="left"/>
              <w:rPr>
                <w:rFonts w:hint="eastAsia" w:ascii="宋体" w:hAnsi="宋体" w:eastAsia="宋体" w:cs="宋体"/>
                <w:color w:val="auto"/>
                <w:szCs w:val="21"/>
                <w:highlight w:val="none"/>
                <w:lang w:val="zh-CN" w:bidi="ar"/>
              </w:rPr>
            </w:pPr>
          </w:p>
        </w:tc>
      </w:tr>
    </w:tbl>
    <w:p w14:paraId="01F43B1F">
      <w:pPr>
        <w:spacing w:line="540" w:lineRule="exact"/>
        <w:ind w:firstLine="420" w:firstLineChars="200"/>
        <w:jc w:val="left"/>
        <w:rPr>
          <w:color w:val="auto"/>
          <w:szCs w:val="21"/>
          <w:highlight w:val="none"/>
        </w:rPr>
      </w:pPr>
      <w:r>
        <w:rPr>
          <w:rFonts w:hint="eastAsia"/>
          <w:color w:val="auto"/>
          <w:szCs w:val="21"/>
          <w:highlight w:val="none"/>
        </w:rPr>
        <w:t>注：①本表不作为响应性审查依据。</w:t>
      </w:r>
    </w:p>
    <w:p w14:paraId="683AA425">
      <w:pPr>
        <w:spacing w:line="360" w:lineRule="auto"/>
        <w:ind w:firstLine="420" w:firstLineChars="200"/>
        <w:rPr>
          <w:color w:val="auto"/>
          <w:szCs w:val="21"/>
          <w:highlight w:val="none"/>
        </w:rPr>
      </w:pPr>
      <w:r>
        <w:rPr>
          <w:rFonts w:hint="eastAsia"/>
          <w:color w:val="auto"/>
          <w:szCs w:val="21"/>
          <w:highlight w:val="none"/>
        </w:rPr>
        <w:t>②以上项目监理组成人员资历证明材料为满足基本要求的相关证明资料，除学历证复印件、社保</w:t>
      </w:r>
      <w:r>
        <w:rPr>
          <w:rFonts w:hint="eastAsia" w:asciiTheme="minorEastAsia" w:hAnsiTheme="minorEastAsia" w:eastAsiaTheme="minorEastAsia"/>
          <w:color w:val="auto"/>
          <w:szCs w:val="21"/>
          <w:highlight w:val="none"/>
        </w:rPr>
        <w:t>证明资料（202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月）</w:t>
      </w:r>
      <w:r>
        <w:rPr>
          <w:rFonts w:hint="eastAsia"/>
          <w:color w:val="auto"/>
          <w:szCs w:val="21"/>
          <w:highlight w:val="none"/>
        </w:rPr>
        <w:t>、简历表原件外，还应按《项目管理人员组成配备要求表》中备注栏的要求提供相关证明资料。</w:t>
      </w:r>
    </w:p>
    <w:p w14:paraId="282EEB5A">
      <w:pPr>
        <w:spacing w:line="360" w:lineRule="auto"/>
        <w:ind w:firstLine="420" w:firstLineChars="200"/>
        <w:rPr>
          <w:rFonts w:hint="eastAsia"/>
          <w:color w:val="auto"/>
          <w:szCs w:val="21"/>
          <w:highlight w:val="none"/>
        </w:rPr>
      </w:pPr>
      <w:r>
        <w:rPr>
          <w:rFonts w:hint="eastAsia"/>
          <w:color w:val="auto"/>
          <w:szCs w:val="21"/>
          <w:highlight w:val="none"/>
        </w:rPr>
        <w:t>③各岗位人员不得相互兼职。</w:t>
      </w:r>
    </w:p>
    <w:p w14:paraId="5B6E5A17">
      <w:pPr>
        <w:spacing w:line="360" w:lineRule="auto"/>
        <w:ind w:firstLine="420" w:firstLineChars="200"/>
        <w:rPr>
          <w:rFonts w:hint="eastAsia" w:ascii="宋体" w:hAnsi="宋体" w:eastAsia="宋体" w:cs="宋体"/>
          <w:color w:val="auto"/>
          <w:szCs w:val="21"/>
          <w:highlight w:val="none"/>
        </w:rPr>
      </w:pPr>
      <w:r>
        <w:rPr>
          <w:rFonts w:hint="eastAsia"/>
          <w:color w:val="auto"/>
          <w:szCs w:val="21"/>
          <w:highlight w:val="none"/>
        </w:rPr>
        <w:t>④按照《造价工程师职业资格制度规定》的规定，根据原人事部、原建设部发布的《造</w:t>
      </w:r>
      <w:r>
        <w:rPr>
          <w:rFonts w:hint="eastAsia" w:ascii="宋体" w:hAnsi="宋体" w:eastAsia="宋体" w:cs="宋体"/>
          <w:color w:val="auto"/>
          <w:szCs w:val="21"/>
          <w:highlight w:val="none"/>
        </w:rPr>
        <w:t>价工程师执业资格制度暂行规定》（人发〔1996〕77号）取得的造价工程师执业资格，并经注册且在有效期内的，等同于一级注册造价工程师。</w:t>
      </w:r>
    </w:p>
    <w:p w14:paraId="0C4E6C2B">
      <w:pPr>
        <w:spacing w:line="360" w:lineRule="auto"/>
        <w:ind w:firstLine="420" w:firstLineChars="200"/>
        <w:rPr>
          <w:color w:val="auto"/>
          <w:szCs w:val="21"/>
          <w:highlight w:val="none"/>
        </w:rPr>
      </w:pPr>
      <w:r>
        <w:rPr>
          <w:rFonts w:hint="eastAsia"/>
          <w:color w:val="auto"/>
          <w:szCs w:val="21"/>
          <w:highlight w:val="none"/>
        </w:rPr>
        <w:t>6. 投入项目的监理人员驻场要求</w:t>
      </w:r>
    </w:p>
    <w:p w14:paraId="300BDB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监理人员均需驻场办公。监理人根据项目进度情况，每月20日前以书面形式向委托人申报下月驻场人员的数量、名单，经委托人书面确认后作为每月监理人驻场人员出勤考核的依据。项目实施过程中监理人如根据项目进展情况增加人员投入或安排人员加班的（包括公休日、法定节假日、夜间工作等），相关费用含在合同价款中，发包人不再额外支付费用。</w:t>
      </w:r>
    </w:p>
    <w:p w14:paraId="422405BA">
      <w:pPr>
        <w:spacing w:line="360" w:lineRule="auto"/>
        <w:ind w:firstLine="420" w:firstLineChars="200"/>
        <w:rPr>
          <w:color w:val="auto"/>
          <w:szCs w:val="21"/>
          <w:highlight w:val="none"/>
        </w:rPr>
      </w:pPr>
      <w:r>
        <w:rPr>
          <w:rFonts w:hint="eastAsia"/>
          <w:color w:val="auto"/>
          <w:szCs w:val="21"/>
          <w:highlight w:val="none"/>
        </w:rPr>
        <w:t>7. 其他：</w:t>
      </w:r>
    </w:p>
    <w:p w14:paraId="7587E66A">
      <w:pPr>
        <w:spacing w:line="360" w:lineRule="auto"/>
        <w:ind w:firstLine="420" w:firstLineChars="200"/>
        <w:rPr>
          <w:color w:val="auto"/>
          <w:szCs w:val="21"/>
          <w:highlight w:val="none"/>
        </w:rPr>
      </w:pPr>
      <w:r>
        <w:rPr>
          <w:rFonts w:hint="eastAsia"/>
          <w:color w:val="auto"/>
          <w:szCs w:val="21"/>
          <w:highlight w:val="none"/>
        </w:rPr>
        <w:t>7.1建设项目必须严格按照质量控制流程及相关规定对隐蔽工程、关键工序、重点部位进行质量监控,以确保质量目标的实现。</w:t>
      </w:r>
    </w:p>
    <w:p w14:paraId="375ABF3F">
      <w:pPr>
        <w:spacing w:line="360" w:lineRule="auto"/>
        <w:ind w:firstLine="420" w:firstLineChars="200"/>
        <w:rPr>
          <w:color w:val="auto"/>
          <w:szCs w:val="21"/>
          <w:highlight w:val="none"/>
        </w:rPr>
      </w:pPr>
      <w:r>
        <w:rPr>
          <w:rFonts w:hint="eastAsia"/>
          <w:color w:val="auto"/>
          <w:szCs w:val="21"/>
          <w:highlight w:val="none"/>
        </w:rPr>
        <w:t>7.2确保本项目的安全生产、文明施工措施应按相应管理要求贯彻落实到位，实现本项目职业安全、健康与环境及文明施工的目标。</w:t>
      </w:r>
    </w:p>
    <w:p w14:paraId="57D858A5">
      <w:pPr>
        <w:spacing w:line="360" w:lineRule="auto"/>
        <w:ind w:firstLine="420" w:firstLineChars="200"/>
        <w:rPr>
          <w:color w:val="auto"/>
          <w:szCs w:val="21"/>
          <w:highlight w:val="none"/>
        </w:rPr>
      </w:pPr>
      <w:r>
        <w:rPr>
          <w:rFonts w:hint="eastAsia"/>
          <w:color w:val="auto"/>
          <w:szCs w:val="21"/>
          <w:highlight w:val="none"/>
        </w:rPr>
        <w:t>7.3招标人提请投标人详细阅读和全面理解本招标文件和合同条款的内容，准确把握招标人对本建设项目的各项管理制度和要求，结合本企业的资源和实力，对本项目的投标作出最优的监理方案和最合适、最有竞争力的报价。</w:t>
      </w:r>
    </w:p>
    <w:p w14:paraId="36530F00">
      <w:pPr>
        <w:spacing w:line="360" w:lineRule="auto"/>
        <w:ind w:firstLine="420" w:firstLineChars="200"/>
        <w:rPr>
          <w:color w:val="auto"/>
          <w:szCs w:val="21"/>
          <w:highlight w:val="none"/>
        </w:rPr>
      </w:pPr>
      <w:r>
        <w:rPr>
          <w:rFonts w:hint="eastAsia"/>
          <w:color w:val="auto"/>
          <w:szCs w:val="21"/>
          <w:highlight w:val="none"/>
        </w:rPr>
        <w:t>7.4.要求专业监理工程师对承包单位每日在现场投入的人员、材料、机械设备数量及实物工程量完成情况进行统计。</w:t>
      </w:r>
    </w:p>
    <w:p w14:paraId="44CE833C">
      <w:pPr>
        <w:spacing w:line="360" w:lineRule="auto"/>
        <w:ind w:firstLine="420" w:firstLineChars="200"/>
        <w:rPr>
          <w:color w:val="auto"/>
          <w:szCs w:val="21"/>
          <w:highlight w:val="none"/>
        </w:rPr>
      </w:pPr>
      <w:r>
        <w:rPr>
          <w:rFonts w:hint="eastAsia"/>
          <w:color w:val="auto"/>
          <w:szCs w:val="21"/>
          <w:highlight w:val="none"/>
        </w:rPr>
        <w:t>7.5在工程施工监理服务期内，在合同约定的施工监理范围内，当工程量增加、或设计变更、或设计变化、或设计规模变化时，工程监理报酬总额将不会因此而有所调整，相关费用亦已经包含于合同酬金中。</w:t>
      </w:r>
    </w:p>
    <w:p w14:paraId="3770D98A">
      <w:pPr>
        <w:spacing w:line="360" w:lineRule="auto"/>
        <w:ind w:firstLine="420" w:firstLineChars="200"/>
        <w:rPr>
          <w:color w:val="auto"/>
          <w:szCs w:val="21"/>
          <w:highlight w:val="none"/>
        </w:rPr>
      </w:pPr>
      <w:r>
        <w:rPr>
          <w:rFonts w:hint="eastAsia"/>
          <w:color w:val="auto"/>
          <w:szCs w:val="21"/>
          <w:highlight w:val="none"/>
        </w:rPr>
        <w:t>7.6.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14:paraId="07741223">
      <w:pPr>
        <w:spacing w:line="360" w:lineRule="auto"/>
        <w:ind w:firstLine="420" w:firstLineChars="200"/>
        <w:rPr>
          <w:color w:val="auto"/>
          <w:szCs w:val="21"/>
          <w:highlight w:val="none"/>
        </w:rPr>
      </w:pPr>
      <w:r>
        <w:rPr>
          <w:rFonts w:hint="eastAsia"/>
          <w:color w:val="auto"/>
          <w:szCs w:val="21"/>
          <w:highlight w:val="none"/>
        </w:rPr>
        <w:t>7.7.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14:paraId="6BBBC754">
      <w:pPr>
        <w:spacing w:line="360" w:lineRule="auto"/>
        <w:ind w:firstLine="420" w:firstLineChars="200"/>
        <w:rPr>
          <w:color w:val="auto"/>
          <w:szCs w:val="21"/>
          <w:highlight w:val="none"/>
        </w:rPr>
      </w:pPr>
      <w:r>
        <w:rPr>
          <w:rFonts w:hint="eastAsia"/>
          <w:color w:val="auto"/>
          <w:szCs w:val="21"/>
          <w:highlight w:val="none"/>
        </w:rPr>
        <w:t>7.8.本项目招标人将根据监理单位的服务质量情况，严格实行量化考核，结合考核结果，支付监理服务酬金。</w:t>
      </w:r>
    </w:p>
    <w:p w14:paraId="6BB11F64">
      <w:pPr>
        <w:spacing w:line="360" w:lineRule="auto"/>
        <w:ind w:firstLine="420" w:firstLineChars="200"/>
        <w:rPr>
          <w:color w:val="auto"/>
          <w:szCs w:val="21"/>
          <w:highlight w:val="none"/>
        </w:rPr>
      </w:pPr>
      <w:r>
        <w:rPr>
          <w:rFonts w:hint="eastAsia"/>
          <w:color w:val="auto"/>
          <w:szCs w:val="21"/>
          <w:highlight w:val="none"/>
        </w:rPr>
        <w:t>7.8.1中标人应按照合同的约定完成合同监理服务的工作内容且相关的监理服务须达到令招标人满意的程度。</w:t>
      </w:r>
    </w:p>
    <w:p w14:paraId="71977F36">
      <w:pPr>
        <w:spacing w:line="360" w:lineRule="auto"/>
        <w:ind w:firstLine="420" w:firstLineChars="200"/>
        <w:rPr>
          <w:color w:val="auto"/>
          <w:szCs w:val="21"/>
          <w:highlight w:val="none"/>
        </w:rPr>
      </w:pPr>
      <w:r>
        <w:rPr>
          <w:rFonts w:hint="eastAsia"/>
          <w:color w:val="auto"/>
          <w:szCs w:val="21"/>
          <w:highlight w:val="none"/>
        </w:rPr>
        <w:t>7.9.本项目施工单位将向监理单位提供临时设施场地并配备水电接口，但在招标人通知监理单位进场而施工单位尚未进场或未完成上述设施的建设前，监理人须自行解决上述设施，费用已包含在监理费报价总额内。监理临时设施场地的一切办公家具、办公用品、通讯设施由监理人自行配置，费用已包含在监理费报价总额内。</w:t>
      </w:r>
    </w:p>
    <w:p w14:paraId="4E6FB1C9">
      <w:pPr>
        <w:spacing w:line="360" w:lineRule="auto"/>
        <w:ind w:firstLine="420" w:firstLineChars="200"/>
        <w:rPr>
          <w:color w:val="auto"/>
          <w:szCs w:val="21"/>
          <w:highlight w:val="none"/>
        </w:rPr>
      </w:pPr>
      <w:r>
        <w:rPr>
          <w:rFonts w:hint="eastAsia"/>
          <w:color w:val="auto"/>
          <w:szCs w:val="21"/>
          <w:highlight w:val="none"/>
        </w:rPr>
        <w:t>7.10.驻场的监理人员日常生活和用餐应自行独立解决，严禁向施工单位搭食及与施工单位的人员混住。</w:t>
      </w:r>
    </w:p>
    <w:p w14:paraId="48C1C1C4">
      <w:pPr>
        <w:spacing w:line="360" w:lineRule="auto"/>
        <w:ind w:firstLine="420" w:firstLineChars="200"/>
        <w:rPr>
          <w:color w:val="auto"/>
          <w:szCs w:val="21"/>
          <w:highlight w:val="none"/>
        </w:rPr>
      </w:pPr>
      <w:r>
        <w:rPr>
          <w:rFonts w:hint="eastAsia"/>
          <w:color w:val="auto"/>
          <w:szCs w:val="21"/>
          <w:highlight w:val="none"/>
        </w:rPr>
        <w:t>7.11.为了加强招标人与监理人的沟通与协调，招标人另行指定一名专业工程师（招标人监理代表）常驻项目监理机构，监督并协助项目监理机构工作。</w:t>
      </w:r>
    </w:p>
    <w:p w14:paraId="6E959774">
      <w:pPr>
        <w:spacing w:line="360" w:lineRule="auto"/>
        <w:ind w:firstLine="420" w:firstLineChars="200"/>
        <w:rPr>
          <w:color w:val="auto"/>
          <w:szCs w:val="21"/>
          <w:highlight w:val="none"/>
        </w:rPr>
      </w:pPr>
      <w:r>
        <w:rPr>
          <w:rFonts w:hint="eastAsia"/>
          <w:color w:val="auto"/>
          <w:szCs w:val="21"/>
          <w:highlight w:val="none"/>
        </w:rPr>
        <w:t xml:space="preserve">7.12.为了保证专业工程监理的服务水平和质量，监理单位应确保其现场监理人员满足招标人对于人员资历、专业、经验的相关要求，并确保其现场管理人员的稳定。如果监理单位投入的相关专业监理人员的服务水平和质量无法满足工程的实际需要，应根据招标人的指令立即更换。或监理机构的监理人员不到岗位，委托人有权另行聘请符合工作需要的监理人员；所聘请监理人员的工资已包括在本合同监理酬金内，此费用由监理人向所聘监理人员支付。必要时招标人有权从本合同监理酬金中直接支付。 </w:t>
      </w:r>
    </w:p>
    <w:p w14:paraId="4FA45287">
      <w:pPr>
        <w:spacing w:line="360" w:lineRule="auto"/>
        <w:ind w:firstLine="420" w:firstLineChars="200"/>
        <w:rPr>
          <w:color w:val="auto"/>
          <w:szCs w:val="21"/>
          <w:highlight w:val="none"/>
        </w:rPr>
      </w:pPr>
      <w:r>
        <w:rPr>
          <w:rFonts w:hint="eastAsia"/>
          <w:color w:val="auto"/>
          <w:szCs w:val="21"/>
          <w:highlight w:val="none"/>
        </w:rPr>
        <w:t>7.13.为了加强</w:t>
      </w:r>
      <w:r>
        <w:rPr>
          <w:color w:val="auto"/>
          <w:szCs w:val="21"/>
          <w:highlight w:val="none"/>
        </w:rPr>
        <w:t>对</w:t>
      </w:r>
      <w:r>
        <w:rPr>
          <w:rFonts w:hint="eastAsia"/>
          <w:color w:val="auto"/>
          <w:szCs w:val="21"/>
          <w:highlight w:val="none"/>
        </w:rPr>
        <w:t>建设项目的</w:t>
      </w:r>
      <w:r>
        <w:rPr>
          <w:color w:val="auto"/>
          <w:szCs w:val="21"/>
          <w:highlight w:val="none"/>
        </w:rPr>
        <w:t>质量</w:t>
      </w:r>
      <w:r>
        <w:rPr>
          <w:rFonts w:hint="eastAsia"/>
          <w:color w:val="auto"/>
          <w:szCs w:val="21"/>
          <w:highlight w:val="none"/>
        </w:rPr>
        <w:t>、进度</w:t>
      </w:r>
      <w:r>
        <w:rPr>
          <w:color w:val="auto"/>
          <w:szCs w:val="21"/>
          <w:highlight w:val="none"/>
        </w:rPr>
        <w:t>以及安全生产控制</w:t>
      </w:r>
      <w:r>
        <w:rPr>
          <w:rFonts w:hint="eastAsia"/>
          <w:color w:val="auto"/>
          <w:szCs w:val="21"/>
          <w:highlight w:val="none"/>
        </w:rPr>
        <w:t>和信息沟通与管理，招标人建立了一套项目信息管理处理系统，充分利用现代信息及通信技术，以计算机、网络通信、数据库作为技术支撑，对项目全过程所产生的各种信息，及时、准确、高效地进行管理，为项目实施提供高质量的信息服务。为此，监理人应相应建立与招标人的项目信息管理处理系统软、硬件相配套的项目沟通与信息管理系统，制定沟通与信息管理程序和制度，以满足工程监理的需要。项目信息可以数据、表格、文字、图纸、音像、电子文件等载体方式表示，保证项目信息能及时地收集、整理、共享，并具有可追溯性。保证验收资料（含影像）的完整性。</w:t>
      </w:r>
    </w:p>
    <w:p w14:paraId="61F50E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7.14.监理单位必须组织和监督施工单位贯彻落实《关于广州市建筑工地安装视频监控装置的通知》穗建筑[2006]551号和《关于全面启动广州市社会治安视频监控系统建设有关问题的通知》（穗视频建字〔2006〕1号）文件的相关要求，对视频监控系统的反馈信息进行分析、上报、决策、实施，严格按照质量控制流程及相关规定对隐蔽工程、关键工序、重点部位进行质量监控。</w:t>
      </w:r>
    </w:p>
    <w:p w14:paraId="1F2ACF72">
      <w:pPr>
        <w:spacing w:line="360" w:lineRule="auto"/>
        <w:ind w:firstLine="420" w:firstLineChars="200"/>
        <w:rPr>
          <w:color w:val="auto"/>
          <w:szCs w:val="21"/>
          <w:highlight w:val="none"/>
        </w:rPr>
      </w:pPr>
      <w:r>
        <w:rPr>
          <w:rFonts w:hint="eastAsia"/>
          <w:color w:val="auto"/>
          <w:szCs w:val="21"/>
          <w:highlight w:val="none"/>
        </w:rPr>
        <w:t>7.15. 监理人应确保监理纪录资料的真实性、及时性、有效性和完整性，严禁事后补资料的情况发生。</w:t>
      </w:r>
    </w:p>
    <w:p w14:paraId="1316A0CC">
      <w:pPr>
        <w:spacing w:line="360" w:lineRule="auto"/>
        <w:ind w:firstLine="420" w:firstLineChars="200"/>
        <w:rPr>
          <w:color w:val="auto"/>
          <w:szCs w:val="21"/>
          <w:highlight w:val="none"/>
        </w:rPr>
      </w:pPr>
      <w:r>
        <w:rPr>
          <w:rFonts w:hint="eastAsia"/>
          <w:color w:val="auto"/>
          <w:szCs w:val="21"/>
          <w:highlight w:val="none"/>
        </w:rPr>
        <w:t>7.16.监理单位应负责对施工总平面的组织策划进行审核，在施工总平面经招标人审批同意后负责施工总平面的管理协调工作，包括场内排水组织、施工临设布置、场内交通疏解、红线内临时施工道路的调配使用维修。</w:t>
      </w:r>
    </w:p>
    <w:p w14:paraId="3C181787">
      <w:pPr>
        <w:spacing w:line="360" w:lineRule="auto"/>
        <w:ind w:firstLine="420" w:firstLineChars="200"/>
        <w:rPr>
          <w:color w:val="auto"/>
          <w:szCs w:val="21"/>
          <w:highlight w:val="none"/>
        </w:rPr>
      </w:pPr>
      <w:r>
        <w:rPr>
          <w:rFonts w:hint="eastAsia"/>
          <w:color w:val="auto"/>
          <w:szCs w:val="21"/>
          <w:highlight w:val="none"/>
        </w:rPr>
        <w:t>7.17.监理人在监理期内承担协调供水、燃气、供电、通讯工程等各工种交叉施工的工作，相关费用包括在其投标总价内。</w:t>
      </w:r>
    </w:p>
    <w:p w14:paraId="5670BD54">
      <w:pPr>
        <w:spacing w:line="360" w:lineRule="auto"/>
        <w:ind w:firstLine="420" w:firstLineChars="200"/>
        <w:rPr>
          <w:color w:val="auto"/>
          <w:szCs w:val="21"/>
          <w:highlight w:val="none"/>
        </w:rPr>
      </w:pPr>
      <w:r>
        <w:rPr>
          <w:rFonts w:hint="eastAsia"/>
          <w:color w:val="auto"/>
          <w:szCs w:val="21"/>
          <w:highlight w:val="none"/>
        </w:rPr>
        <w:t>7.18.监理单位</w:t>
      </w:r>
      <w:r>
        <w:rPr>
          <w:color w:val="auto"/>
          <w:szCs w:val="21"/>
          <w:highlight w:val="none"/>
        </w:rPr>
        <w:t>施工前应做好周密的准备工作，根据实际情况科学合理地安排施工方案并建立严格的工作制度；坚持每天一般巡视与有目的的检查、工程薄弱环节的抽查相结合，做到眼勤、腿勤、手勤，发现问题要一查到底，并及时、彻底地解决，不留隐患，使工程在有效的控制下顺利进行。</w:t>
      </w:r>
    </w:p>
    <w:p w14:paraId="6FA69C2C">
      <w:pPr>
        <w:spacing w:line="360" w:lineRule="auto"/>
        <w:ind w:firstLine="420" w:firstLineChars="200"/>
        <w:rPr>
          <w:color w:val="auto"/>
          <w:szCs w:val="21"/>
          <w:highlight w:val="none"/>
        </w:rPr>
      </w:pPr>
      <w:r>
        <w:rPr>
          <w:rFonts w:hint="eastAsia"/>
          <w:color w:val="auto"/>
          <w:szCs w:val="21"/>
          <w:highlight w:val="none"/>
        </w:rPr>
        <w:t>7.19.监理单位应严格审核施工单位的安全防护方案，并督促施工单位做好安全防护及成品保护工作。</w:t>
      </w:r>
    </w:p>
    <w:p w14:paraId="76A75A70">
      <w:pPr>
        <w:spacing w:line="360" w:lineRule="auto"/>
        <w:ind w:firstLine="420" w:firstLineChars="200"/>
        <w:rPr>
          <w:color w:val="auto"/>
          <w:szCs w:val="21"/>
          <w:highlight w:val="none"/>
        </w:rPr>
      </w:pPr>
      <w:r>
        <w:rPr>
          <w:rFonts w:hint="eastAsia"/>
          <w:color w:val="auto"/>
          <w:szCs w:val="21"/>
          <w:highlight w:val="none"/>
        </w:rPr>
        <w:t>7.20.监理单位应积极确保安全生产、文明施工措施</w:t>
      </w:r>
      <w:r>
        <w:rPr>
          <w:color w:val="auto"/>
          <w:szCs w:val="21"/>
          <w:highlight w:val="none"/>
        </w:rPr>
        <w:t>的具体内容和标准</w:t>
      </w:r>
      <w:r>
        <w:rPr>
          <w:rFonts w:hint="eastAsia"/>
          <w:color w:val="auto"/>
          <w:szCs w:val="21"/>
          <w:highlight w:val="none"/>
        </w:rPr>
        <w:t>按相应管理要求贯彻落实到位</w:t>
      </w:r>
      <w:r>
        <w:rPr>
          <w:color w:val="auto"/>
          <w:szCs w:val="21"/>
          <w:highlight w:val="none"/>
        </w:rPr>
        <w:t>，加大安全文明施工管理力度</w:t>
      </w:r>
      <w:r>
        <w:rPr>
          <w:rFonts w:hint="eastAsia"/>
          <w:color w:val="auto"/>
          <w:szCs w:val="21"/>
          <w:highlight w:val="none"/>
        </w:rPr>
        <w:t>。实现本项目职业安全、健康与环境及文明施工的目标。</w:t>
      </w:r>
    </w:p>
    <w:p w14:paraId="3AED1690">
      <w:pPr>
        <w:topLinePunct/>
        <w:spacing w:line="360" w:lineRule="auto"/>
        <w:ind w:firstLine="420" w:firstLineChars="200"/>
        <w:rPr>
          <w:color w:val="auto"/>
          <w:sz w:val="24"/>
          <w:highlight w:val="none"/>
        </w:rPr>
      </w:pPr>
      <w:r>
        <w:rPr>
          <w:rFonts w:hint="eastAsia"/>
          <w:color w:val="auto"/>
          <w:szCs w:val="21"/>
          <w:highlight w:val="none"/>
        </w:rPr>
        <w:t>7.21监理单位需对项目所有的检测（监测）事项进行梳理、分类合并，并编制本项目关于具体检测（监测）项目清单及费用估算的工作方案，报招标人审核。</w:t>
      </w:r>
    </w:p>
    <w:p w14:paraId="3EE77003">
      <w:pPr>
        <w:spacing w:line="360" w:lineRule="auto"/>
        <w:ind w:firstLine="420" w:firstLineChars="200"/>
        <w:rPr>
          <w:color w:val="auto"/>
          <w:szCs w:val="21"/>
          <w:highlight w:val="none"/>
        </w:rPr>
      </w:pPr>
    </w:p>
    <w:p w14:paraId="7D48BBB2">
      <w:pPr>
        <w:spacing w:line="360" w:lineRule="auto"/>
        <w:ind w:firstLine="420" w:firstLineChars="200"/>
        <w:rPr>
          <w:color w:val="auto"/>
          <w:szCs w:val="21"/>
          <w:highlight w:val="none"/>
        </w:rPr>
      </w:pPr>
      <w:r>
        <w:rPr>
          <w:rFonts w:hint="eastAsia"/>
          <w:color w:val="auto"/>
          <w:szCs w:val="21"/>
          <w:highlight w:val="none"/>
        </w:rPr>
        <w:t>8、监理人拟投入本项目的试验检测设备要求表</w:t>
      </w:r>
    </w:p>
    <w:p w14:paraId="5EA608CF">
      <w:pPr>
        <w:jc w:val="center"/>
        <w:rPr>
          <w:color w:val="auto"/>
          <w:sz w:val="24"/>
          <w:highlight w:val="none"/>
        </w:rPr>
      </w:pPr>
      <w:r>
        <w:rPr>
          <w:rFonts w:hint="eastAsia"/>
          <w:color w:val="auto"/>
          <w:sz w:val="24"/>
          <w:highlight w:val="none"/>
        </w:rPr>
        <w:t>监理人拟投入本项目的试验检测设备要求表</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4552"/>
        <w:gridCol w:w="2869"/>
      </w:tblGrid>
      <w:tr w14:paraId="2CA96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7F02F9CC">
            <w:pPr>
              <w:jc w:val="center"/>
              <w:rPr>
                <w:rFonts w:ascii="宋体" w:hAnsi="宋体"/>
                <w:b/>
                <w:color w:val="auto"/>
                <w:szCs w:val="21"/>
                <w:highlight w:val="none"/>
              </w:rPr>
            </w:pPr>
            <w:r>
              <w:rPr>
                <w:rFonts w:hint="eastAsia" w:ascii="宋体" w:hAnsi="宋体"/>
                <w:b/>
                <w:color w:val="auto"/>
                <w:szCs w:val="21"/>
                <w:highlight w:val="none"/>
              </w:rPr>
              <w:t>序号</w:t>
            </w:r>
          </w:p>
        </w:tc>
        <w:tc>
          <w:tcPr>
            <w:tcW w:w="4552" w:type="dxa"/>
            <w:tcBorders>
              <w:top w:val="single" w:color="000000" w:sz="4" w:space="0"/>
              <w:left w:val="single" w:color="000000" w:sz="4" w:space="0"/>
              <w:bottom w:val="single" w:color="000000" w:sz="4" w:space="0"/>
              <w:right w:val="single" w:color="000000" w:sz="4" w:space="0"/>
            </w:tcBorders>
            <w:vAlign w:val="center"/>
          </w:tcPr>
          <w:p w14:paraId="186F973D">
            <w:pPr>
              <w:jc w:val="center"/>
              <w:rPr>
                <w:rFonts w:ascii="宋体" w:hAnsi="宋体"/>
                <w:b/>
                <w:color w:val="auto"/>
                <w:szCs w:val="21"/>
                <w:highlight w:val="none"/>
              </w:rPr>
            </w:pPr>
            <w:r>
              <w:rPr>
                <w:rFonts w:hint="eastAsia" w:ascii="宋体" w:hAnsi="宋体"/>
                <w:b/>
                <w:color w:val="auto"/>
                <w:szCs w:val="21"/>
                <w:highlight w:val="none"/>
              </w:rPr>
              <w:t>投入本项目的试验检测设备名称</w:t>
            </w:r>
          </w:p>
        </w:tc>
        <w:tc>
          <w:tcPr>
            <w:tcW w:w="2869" w:type="dxa"/>
            <w:tcBorders>
              <w:top w:val="single" w:color="000000" w:sz="4" w:space="0"/>
              <w:left w:val="single" w:color="000000" w:sz="4" w:space="0"/>
              <w:bottom w:val="single" w:color="000000" w:sz="4" w:space="0"/>
              <w:right w:val="single" w:color="000000" w:sz="4" w:space="0"/>
            </w:tcBorders>
            <w:vAlign w:val="center"/>
          </w:tcPr>
          <w:p w14:paraId="730A1D9D">
            <w:pPr>
              <w:jc w:val="center"/>
              <w:rPr>
                <w:rFonts w:ascii="宋体" w:hAnsi="宋体"/>
                <w:b/>
                <w:color w:val="auto"/>
                <w:szCs w:val="21"/>
                <w:highlight w:val="none"/>
              </w:rPr>
            </w:pPr>
            <w:r>
              <w:rPr>
                <w:rFonts w:hint="eastAsia" w:ascii="宋体" w:hAnsi="宋体"/>
                <w:b/>
                <w:color w:val="auto"/>
                <w:szCs w:val="21"/>
                <w:highlight w:val="none"/>
              </w:rPr>
              <w:t>数量</w:t>
            </w:r>
          </w:p>
        </w:tc>
      </w:tr>
      <w:tr w14:paraId="272FA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6E9F092D">
            <w:pPr>
              <w:jc w:val="center"/>
              <w:rPr>
                <w:rFonts w:ascii="宋体" w:hAnsi="宋体"/>
                <w:color w:val="auto"/>
                <w:szCs w:val="21"/>
                <w:highlight w:val="none"/>
              </w:rPr>
            </w:pPr>
            <w:r>
              <w:rPr>
                <w:rFonts w:hint="eastAsia" w:ascii="宋体" w:hAnsi="宋体"/>
                <w:color w:val="auto"/>
                <w:szCs w:val="21"/>
                <w:highlight w:val="none"/>
              </w:rPr>
              <w:t>1</w:t>
            </w:r>
          </w:p>
        </w:tc>
        <w:tc>
          <w:tcPr>
            <w:tcW w:w="4552" w:type="dxa"/>
            <w:tcBorders>
              <w:top w:val="single" w:color="000000" w:sz="4" w:space="0"/>
              <w:left w:val="single" w:color="000000" w:sz="4" w:space="0"/>
              <w:bottom w:val="single" w:color="000000" w:sz="4" w:space="0"/>
              <w:right w:val="single" w:color="000000" w:sz="4" w:space="0"/>
            </w:tcBorders>
            <w:vAlign w:val="center"/>
          </w:tcPr>
          <w:p w14:paraId="3BE5E431">
            <w:pPr>
              <w:jc w:val="center"/>
              <w:rPr>
                <w:rFonts w:ascii="宋体" w:hAnsi="宋体"/>
                <w:color w:val="auto"/>
                <w:szCs w:val="21"/>
                <w:highlight w:val="none"/>
              </w:rPr>
            </w:pPr>
            <w:r>
              <w:rPr>
                <w:rFonts w:hint="eastAsia" w:ascii="宋体" w:hAnsi="宋体"/>
                <w:color w:val="auto"/>
                <w:szCs w:val="21"/>
                <w:highlight w:val="none"/>
              </w:rPr>
              <w:t>30米钢卷尺</w:t>
            </w:r>
          </w:p>
        </w:tc>
        <w:tc>
          <w:tcPr>
            <w:tcW w:w="2869" w:type="dxa"/>
            <w:tcBorders>
              <w:top w:val="single" w:color="000000" w:sz="4" w:space="0"/>
              <w:left w:val="single" w:color="000000" w:sz="4" w:space="0"/>
              <w:bottom w:val="single" w:color="000000" w:sz="4" w:space="0"/>
              <w:right w:val="single" w:color="000000" w:sz="4" w:space="0"/>
            </w:tcBorders>
            <w:vAlign w:val="center"/>
          </w:tcPr>
          <w:p w14:paraId="21E05924">
            <w:pPr>
              <w:jc w:val="center"/>
              <w:rPr>
                <w:rFonts w:ascii="宋体" w:hAnsi="宋体"/>
                <w:color w:val="auto"/>
                <w:szCs w:val="21"/>
                <w:highlight w:val="none"/>
              </w:rPr>
            </w:pPr>
            <w:r>
              <w:rPr>
                <w:rFonts w:hint="eastAsia" w:ascii="宋体" w:hAnsi="宋体"/>
                <w:color w:val="auto"/>
                <w:szCs w:val="21"/>
                <w:highlight w:val="none"/>
              </w:rPr>
              <w:t>3个</w:t>
            </w:r>
          </w:p>
        </w:tc>
      </w:tr>
      <w:tr w14:paraId="483A5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7041E584">
            <w:pPr>
              <w:jc w:val="center"/>
              <w:rPr>
                <w:rFonts w:ascii="宋体" w:hAnsi="宋体"/>
                <w:color w:val="auto"/>
                <w:szCs w:val="21"/>
                <w:highlight w:val="none"/>
              </w:rPr>
            </w:pPr>
            <w:r>
              <w:rPr>
                <w:rFonts w:hint="eastAsia" w:ascii="宋体" w:hAnsi="宋体"/>
                <w:color w:val="auto"/>
                <w:szCs w:val="21"/>
                <w:highlight w:val="none"/>
              </w:rPr>
              <w:t>2</w:t>
            </w:r>
          </w:p>
        </w:tc>
        <w:tc>
          <w:tcPr>
            <w:tcW w:w="4552" w:type="dxa"/>
            <w:tcBorders>
              <w:top w:val="single" w:color="000000" w:sz="4" w:space="0"/>
              <w:left w:val="single" w:color="000000" w:sz="4" w:space="0"/>
              <w:bottom w:val="single" w:color="000000" w:sz="4" w:space="0"/>
              <w:right w:val="single" w:color="000000" w:sz="4" w:space="0"/>
            </w:tcBorders>
            <w:vAlign w:val="center"/>
          </w:tcPr>
          <w:p w14:paraId="7F868C4F">
            <w:pPr>
              <w:jc w:val="center"/>
              <w:rPr>
                <w:rFonts w:ascii="宋体" w:hAnsi="宋体"/>
                <w:color w:val="auto"/>
                <w:szCs w:val="21"/>
                <w:highlight w:val="none"/>
              </w:rPr>
            </w:pPr>
            <w:r>
              <w:rPr>
                <w:rFonts w:hint="eastAsia" w:ascii="宋体" w:hAnsi="宋体"/>
                <w:color w:val="auto"/>
                <w:szCs w:val="21"/>
                <w:highlight w:val="none"/>
              </w:rPr>
              <w:t>5米钢卷尺</w:t>
            </w:r>
          </w:p>
        </w:tc>
        <w:tc>
          <w:tcPr>
            <w:tcW w:w="2869" w:type="dxa"/>
            <w:tcBorders>
              <w:top w:val="single" w:color="000000" w:sz="4" w:space="0"/>
              <w:left w:val="single" w:color="000000" w:sz="4" w:space="0"/>
              <w:bottom w:val="single" w:color="000000" w:sz="4" w:space="0"/>
              <w:right w:val="single" w:color="000000" w:sz="4" w:space="0"/>
            </w:tcBorders>
            <w:vAlign w:val="center"/>
          </w:tcPr>
          <w:p w14:paraId="7EB3382E">
            <w:pPr>
              <w:jc w:val="center"/>
              <w:rPr>
                <w:rFonts w:ascii="宋体" w:hAnsi="宋体"/>
                <w:color w:val="auto"/>
                <w:szCs w:val="21"/>
                <w:highlight w:val="none"/>
              </w:rPr>
            </w:pPr>
            <w:r>
              <w:rPr>
                <w:rFonts w:hint="eastAsia" w:ascii="宋体" w:hAnsi="宋体"/>
                <w:color w:val="auto"/>
                <w:szCs w:val="21"/>
                <w:highlight w:val="none"/>
              </w:rPr>
              <w:t>5个</w:t>
            </w:r>
          </w:p>
        </w:tc>
      </w:tr>
      <w:tr w14:paraId="408BF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11FCFABB">
            <w:pPr>
              <w:jc w:val="center"/>
              <w:rPr>
                <w:rFonts w:ascii="宋体" w:hAnsi="宋体"/>
                <w:color w:val="auto"/>
                <w:szCs w:val="21"/>
                <w:highlight w:val="none"/>
              </w:rPr>
            </w:pPr>
            <w:r>
              <w:rPr>
                <w:rFonts w:hint="eastAsia" w:ascii="宋体" w:hAnsi="宋体"/>
                <w:color w:val="auto"/>
                <w:szCs w:val="21"/>
                <w:highlight w:val="none"/>
              </w:rPr>
              <w:t>3</w:t>
            </w:r>
          </w:p>
        </w:tc>
        <w:tc>
          <w:tcPr>
            <w:tcW w:w="4552" w:type="dxa"/>
            <w:tcBorders>
              <w:top w:val="single" w:color="000000" w:sz="4" w:space="0"/>
              <w:left w:val="single" w:color="000000" w:sz="4" w:space="0"/>
              <w:bottom w:val="single" w:color="000000" w:sz="4" w:space="0"/>
              <w:right w:val="single" w:color="000000" w:sz="4" w:space="0"/>
            </w:tcBorders>
            <w:vAlign w:val="center"/>
          </w:tcPr>
          <w:p w14:paraId="2B9C05E8">
            <w:pPr>
              <w:jc w:val="center"/>
              <w:rPr>
                <w:rFonts w:ascii="宋体" w:hAnsi="宋体"/>
                <w:color w:val="auto"/>
                <w:szCs w:val="21"/>
                <w:highlight w:val="none"/>
              </w:rPr>
            </w:pPr>
            <w:r>
              <w:rPr>
                <w:rFonts w:hint="eastAsia" w:ascii="宋体" w:hAnsi="宋体"/>
                <w:color w:val="auto"/>
                <w:szCs w:val="21"/>
                <w:highlight w:val="none"/>
              </w:rPr>
              <w:t>激光垂准仪</w:t>
            </w:r>
          </w:p>
        </w:tc>
        <w:tc>
          <w:tcPr>
            <w:tcW w:w="2869" w:type="dxa"/>
            <w:tcBorders>
              <w:top w:val="single" w:color="000000" w:sz="4" w:space="0"/>
              <w:left w:val="single" w:color="000000" w:sz="4" w:space="0"/>
              <w:bottom w:val="single" w:color="000000" w:sz="4" w:space="0"/>
              <w:right w:val="single" w:color="000000" w:sz="4" w:space="0"/>
            </w:tcBorders>
            <w:vAlign w:val="center"/>
          </w:tcPr>
          <w:p w14:paraId="4D2DA21E">
            <w:pPr>
              <w:jc w:val="center"/>
              <w:rPr>
                <w:rFonts w:ascii="宋体" w:hAnsi="宋体"/>
                <w:color w:val="auto"/>
                <w:szCs w:val="21"/>
                <w:highlight w:val="none"/>
              </w:rPr>
            </w:pPr>
            <w:r>
              <w:rPr>
                <w:rFonts w:hint="eastAsia" w:ascii="宋体" w:hAnsi="宋体"/>
                <w:color w:val="auto"/>
                <w:szCs w:val="21"/>
                <w:highlight w:val="none"/>
              </w:rPr>
              <w:t>1台</w:t>
            </w:r>
          </w:p>
        </w:tc>
      </w:tr>
      <w:tr w14:paraId="14D0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7931E4D5">
            <w:pPr>
              <w:jc w:val="center"/>
              <w:rPr>
                <w:rFonts w:ascii="宋体" w:hAnsi="宋体"/>
                <w:color w:val="auto"/>
                <w:szCs w:val="21"/>
                <w:highlight w:val="none"/>
              </w:rPr>
            </w:pPr>
            <w:r>
              <w:rPr>
                <w:rFonts w:hint="eastAsia" w:ascii="宋体" w:hAnsi="宋体"/>
                <w:color w:val="auto"/>
                <w:szCs w:val="21"/>
                <w:highlight w:val="none"/>
              </w:rPr>
              <w:t>4</w:t>
            </w:r>
          </w:p>
        </w:tc>
        <w:tc>
          <w:tcPr>
            <w:tcW w:w="4552" w:type="dxa"/>
            <w:tcBorders>
              <w:top w:val="single" w:color="000000" w:sz="4" w:space="0"/>
              <w:left w:val="single" w:color="000000" w:sz="4" w:space="0"/>
              <w:bottom w:val="single" w:color="000000" w:sz="4" w:space="0"/>
              <w:right w:val="single" w:color="000000" w:sz="4" w:space="0"/>
            </w:tcBorders>
            <w:vAlign w:val="center"/>
          </w:tcPr>
          <w:p w14:paraId="6E89C7F5">
            <w:pPr>
              <w:jc w:val="center"/>
              <w:rPr>
                <w:rFonts w:ascii="宋体" w:hAnsi="宋体"/>
                <w:color w:val="auto"/>
                <w:szCs w:val="21"/>
                <w:highlight w:val="none"/>
              </w:rPr>
            </w:pPr>
            <w:r>
              <w:rPr>
                <w:rFonts w:hint="eastAsia" w:ascii="宋体" w:hAnsi="宋体"/>
                <w:color w:val="auto"/>
                <w:szCs w:val="21"/>
                <w:highlight w:val="none"/>
              </w:rPr>
              <w:t>建筑工程检测尺</w:t>
            </w:r>
          </w:p>
        </w:tc>
        <w:tc>
          <w:tcPr>
            <w:tcW w:w="2869" w:type="dxa"/>
            <w:tcBorders>
              <w:top w:val="single" w:color="000000" w:sz="4" w:space="0"/>
              <w:left w:val="single" w:color="000000" w:sz="4" w:space="0"/>
              <w:bottom w:val="single" w:color="000000" w:sz="4" w:space="0"/>
              <w:right w:val="single" w:color="000000" w:sz="4" w:space="0"/>
            </w:tcBorders>
            <w:vAlign w:val="center"/>
          </w:tcPr>
          <w:p w14:paraId="1A153680">
            <w:pPr>
              <w:jc w:val="center"/>
              <w:rPr>
                <w:rFonts w:ascii="宋体" w:hAnsi="宋体"/>
                <w:color w:val="auto"/>
                <w:szCs w:val="21"/>
                <w:highlight w:val="none"/>
              </w:rPr>
            </w:pPr>
            <w:r>
              <w:rPr>
                <w:rFonts w:hint="eastAsia" w:ascii="宋体" w:hAnsi="宋体"/>
                <w:color w:val="auto"/>
                <w:szCs w:val="21"/>
                <w:highlight w:val="none"/>
              </w:rPr>
              <w:t>1个</w:t>
            </w:r>
          </w:p>
        </w:tc>
      </w:tr>
      <w:tr w14:paraId="63244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0B06A7C9">
            <w:pPr>
              <w:jc w:val="center"/>
              <w:rPr>
                <w:rFonts w:ascii="宋体" w:hAnsi="宋体"/>
                <w:color w:val="auto"/>
                <w:szCs w:val="21"/>
                <w:highlight w:val="none"/>
              </w:rPr>
            </w:pPr>
            <w:r>
              <w:rPr>
                <w:rFonts w:hint="eastAsia" w:ascii="宋体" w:hAnsi="宋体"/>
                <w:color w:val="auto"/>
                <w:szCs w:val="21"/>
                <w:highlight w:val="none"/>
              </w:rPr>
              <w:t>5</w:t>
            </w:r>
          </w:p>
        </w:tc>
        <w:tc>
          <w:tcPr>
            <w:tcW w:w="4552" w:type="dxa"/>
            <w:tcBorders>
              <w:top w:val="single" w:color="000000" w:sz="4" w:space="0"/>
              <w:left w:val="single" w:color="000000" w:sz="4" w:space="0"/>
              <w:bottom w:val="single" w:color="000000" w:sz="4" w:space="0"/>
              <w:right w:val="single" w:color="000000" w:sz="4" w:space="0"/>
            </w:tcBorders>
            <w:vAlign w:val="center"/>
          </w:tcPr>
          <w:p w14:paraId="5A47454F">
            <w:pPr>
              <w:jc w:val="center"/>
              <w:rPr>
                <w:rFonts w:ascii="宋体" w:hAnsi="宋体"/>
                <w:color w:val="auto"/>
                <w:szCs w:val="21"/>
                <w:highlight w:val="none"/>
              </w:rPr>
            </w:pPr>
            <w:r>
              <w:rPr>
                <w:rFonts w:hint="eastAsia" w:ascii="宋体" w:hAnsi="宋体"/>
                <w:color w:val="auto"/>
                <w:szCs w:val="21"/>
                <w:highlight w:val="none"/>
              </w:rPr>
              <w:t>焊接检测尺</w:t>
            </w:r>
          </w:p>
        </w:tc>
        <w:tc>
          <w:tcPr>
            <w:tcW w:w="2869" w:type="dxa"/>
            <w:tcBorders>
              <w:top w:val="single" w:color="000000" w:sz="4" w:space="0"/>
              <w:left w:val="single" w:color="000000" w:sz="4" w:space="0"/>
              <w:bottom w:val="single" w:color="000000" w:sz="4" w:space="0"/>
              <w:right w:val="single" w:color="000000" w:sz="4" w:space="0"/>
            </w:tcBorders>
            <w:vAlign w:val="center"/>
          </w:tcPr>
          <w:p w14:paraId="35B17CF1">
            <w:pPr>
              <w:jc w:val="center"/>
              <w:rPr>
                <w:rFonts w:ascii="宋体" w:hAnsi="宋体"/>
                <w:color w:val="auto"/>
                <w:szCs w:val="21"/>
                <w:highlight w:val="none"/>
              </w:rPr>
            </w:pPr>
            <w:r>
              <w:rPr>
                <w:rFonts w:hint="eastAsia" w:ascii="宋体" w:hAnsi="宋体"/>
                <w:color w:val="auto"/>
                <w:szCs w:val="21"/>
                <w:highlight w:val="none"/>
              </w:rPr>
              <w:t>1个</w:t>
            </w:r>
          </w:p>
        </w:tc>
      </w:tr>
      <w:tr w14:paraId="348E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26B9D0DD">
            <w:pPr>
              <w:jc w:val="center"/>
              <w:rPr>
                <w:rFonts w:ascii="宋体" w:hAnsi="宋体"/>
                <w:color w:val="auto"/>
                <w:szCs w:val="21"/>
                <w:highlight w:val="none"/>
              </w:rPr>
            </w:pPr>
            <w:r>
              <w:rPr>
                <w:rFonts w:hint="eastAsia" w:ascii="宋体" w:hAnsi="宋体"/>
                <w:color w:val="auto"/>
                <w:szCs w:val="21"/>
                <w:highlight w:val="none"/>
              </w:rPr>
              <w:t>6</w:t>
            </w:r>
          </w:p>
        </w:tc>
        <w:tc>
          <w:tcPr>
            <w:tcW w:w="4552" w:type="dxa"/>
            <w:tcBorders>
              <w:top w:val="single" w:color="000000" w:sz="4" w:space="0"/>
              <w:left w:val="single" w:color="000000" w:sz="4" w:space="0"/>
              <w:bottom w:val="single" w:color="000000" w:sz="4" w:space="0"/>
              <w:right w:val="single" w:color="000000" w:sz="4" w:space="0"/>
            </w:tcBorders>
            <w:vAlign w:val="center"/>
          </w:tcPr>
          <w:p w14:paraId="5B944DBD">
            <w:pPr>
              <w:jc w:val="center"/>
              <w:rPr>
                <w:rFonts w:ascii="宋体" w:hAnsi="宋体"/>
                <w:color w:val="auto"/>
                <w:szCs w:val="21"/>
                <w:highlight w:val="none"/>
              </w:rPr>
            </w:pPr>
            <w:r>
              <w:rPr>
                <w:rFonts w:hint="eastAsia" w:ascii="宋体" w:hAnsi="宋体"/>
                <w:color w:val="auto"/>
                <w:szCs w:val="21"/>
                <w:highlight w:val="none"/>
              </w:rPr>
              <w:t>读数显微镜</w:t>
            </w:r>
          </w:p>
        </w:tc>
        <w:tc>
          <w:tcPr>
            <w:tcW w:w="2869" w:type="dxa"/>
            <w:tcBorders>
              <w:top w:val="single" w:color="000000" w:sz="4" w:space="0"/>
              <w:left w:val="single" w:color="000000" w:sz="4" w:space="0"/>
              <w:bottom w:val="single" w:color="000000" w:sz="4" w:space="0"/>
              <w:right w:val="single" w:color="000000" w:sz="4" w:space="0"/>
            </w:tcBorders>
            <w:vAlign w:val="center"/>
          </w:tcPr>
          <w:p w14:paraId="1391C8BA">
            <w:pPr>
              <w:jc w:val="center"/>
              <w:rPr>
                <w:rFonts w:ascii="宋体" w:hAnsi="宋体"/>
                <w:color w:val="auto"/>
                <w:szCs w:val="21"/>
                <w:highlight w:val="none"/>
              </w:rPr>
            </w:pPr>
            <w:r>
              <w:rPr>
                <w:rFonts w:hint="eastAsia" w:ascii="宋体" w:hAnsi="宋体"/>
                <w:color w:val="auto"/>
                <w:szCs w:val="21"/>
                <w:highlight w:val="none"/>
              </w:rPr>
              <w:t>1个</w:t>
            </w:r>
          </w:p>
        </w:tc>
      </w:tr>
      <w:tr w14:paraId="38C5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15A29B01">
            <w:pPr>
              <w:jc w:val="center"/>
              <w:rPr>
                <w:rFonts w:ascii="宋体" w:hAnsi="宋体"/>
                <w:color w:val="auto"/>
                <w:szCs w:val="21"/>
                <w:highlight w:val="none"/>
              </w:rPr>
            </w:pPr>
            <w:r>
              <w:rPr>
                <w:rFonts w:hint="eastAsia" w:ascii="宋体" w:hAnsi="宋体"/>
                <w:color w:val="auto"/>
                <w:szCs w:val="21"/>
                <w:highlight w:val="none"/>
              </w:rPr>
              <w:t>7</w:t>
            </w:r>
          </w:p>
        </w:tc>
        <w:tc>
          <w:tcPr>
            <w:tcW w:w="4552" w:type="dxa"/>
            <w:tcBorders>
              <w:top w:val="single" w:color="000000" w:sz="4" w:space="0"/>
              <w:left w:val="single" w:color="000000" w:sz="4" w:space="0"/>
              <w:bottom w:val="single" w:color="000000" w:sz="4" w:space="0"/>
              <w:right w:val="single" w:color="000000" w:sz="4" w:space="0"/>
            </w:tcBorders>
            <w:vAlign w:val="center"/>
          </w:tcPr>
          <w:p w14:paraId="2578900A">
            <w:pPr>
              <w:jc w:val="center"/>
              <w:rPr>
                <w:rFonts w:ascii="宋体" w:hAnsi="宋体"/>
                <w:color w:val="auto"/>
                <w:szCs w:val="21"/>
                <w:highlight w:val="none"/>
              </w:rPr>
            </w:pPr>
            <w:r>
              <w:rPr>
                <w:rFonts w:hint="eastAsia" w:ascii="宋体" w:hAnsi="宋体"/>
                <w:color w:val="auto"/>
                <w:szCs w:val="21"/>
                <w:highlight w:val="none"/>
              </w:rPr>
              <w:t>涂层测厚仪</w:t>
            </w:r>
          </w:p>
        </w:tc>
        <w:tc>
          <w:tcPr>
            <w:tcW w:w="2869" w:type="dxa"/>
            <w:tcBorders>
              <w:top w:val="single" w:color="000000" w:sz="4" w:space="0"/>
              <w:left w:val="single" w:color="000000" w:sz="4" w:space="0"/>
              <w:bottom w:val="single" w:color="000000" w:sz="4" w:space="0"/>
              <w:right w:val="single" w:color="000000" w:sz="4" w:space="0"/>
            </w:tcBorders>
            <w:vAlign w:val="center"/>
          </w:tcPr>
          <w:p w14:paraId="7A3CC741">
            <w:pPr>
              <w:jc w:val="center"/>
              <w:rPr>
                <w:rFonts w:ascii="宋体" w:hAnsi="宋体"/>
                <w:color w:val="auto"/>
                <w:szCs w:val="21"/>
                <w:highlight w:val="none"/>
              </w:rPr>
            </w:pPr>
            <w:r>
              <w:rPr>
                <w:rFonts w:hint="eastAsia" w:ascii="宋体" w:hAnsi="宋体"/>
                <w:color w:val="auto"/>
                <w:szCs w:val="21"/>
                <w:highlight w:val="none"/>
              </w:rPr>
              <w:t>1个</w:t>
            </w:r>
          </w:p>
        </w:tc>
      </w:tr>
      <w:tr w14:paraId="1471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2BABBADE">
            <w:pPr>
              <w:jc w:val="center"/>
              <w:rPr>
                <w:rFonts w:ascii="宋体" w:hAnsi="宋体"/>
                <w:color w:val="auto"/>
                <w:szCs w:val="21"/>
                <w:highlight w:val="none"/>
              </w:rPr>
            </w:pPr>
            <w:r>
              <w:rPr>
                <w:rFonts w:hint="eastAsia" w:ascii="宋体" w:hAnsi="宋体"/>
                <w:color w:val="auto"/>
                <w:szCs w:val="21"/>
                <w:highlight w:val="none"/>
              </w:rPr>
              <w:t>8</w:t>
            </w:r>
          </w:p>
        </w:tc>
        <w:tc>
          <w:tcPr>
            <w:tcW w:w="4552" w:type="dxa"/>
            <w:tcBorders>
              <w:top w:val="single" w:color="000000" w:sz="4" w:space="0"/>
              <w:left w:val="single" w:color="000000" w:sz="4" w:space="0"/>
              <w:bottom w:val="single" w:color="000000" w:sz="4" w:space="0"/>
              <w:right w:val="single" w:color="000000" w:sz="4" w:space="0"/>
            </w:tcBorders>
            <w:vAlign w:val="center"/>
          </w:tcPr>
          <w:p w14:paraId="558A2412">
            <w:pPr>
              <w:jc w:val="center"/>
              <w:rPr>
                <w:rFonts w:ascii="宋体" w:hAnsi="宋体"/>
                <w:color w:val="auto"/>
                <w:szCs w:val="21"/>
                <w:highlight w:val="none"/>
              </w:rPr>
            </w:pPr>
            <w:r>
              <w:rPr>
                <w:rFonts w:hint="eastAsia" w:ascii="宋体" w:hAnsi="宋体"/>
                <w:color w:val="auto"/>
                <w:szCs w:val="21"/>
                <w:highlight w:val="none"/>
              </w:rPr>
              <w:t>游标卡尺</w:t>
            </w:r>
          </w:p>
        </w:tc>
        <w:tc>
          <w:tcPr>
            <w:tcW w:w="2869" w:type="dxa"/>
            <w:tcBorders>
              <w:top w:val="single" w:color="000000" w:sz="4" w:space="0"/>
              <w:left w:val="single" w:color="000000" w:sz="4" w:space="0"/>
              <w:bottom w:val="single" w:color="000000" w:sz="4" w:space="0"/>
              <w:right w:val="single" w:color="000000" w:sz="4" w:space="0"/>
            </w:tcBorders>
            <w:vAlign w:val="center"/>
          </w:tcPr>
          <w:p w14:paraId="405C16E4">
            <w:pPr>
              <w:jc w:val="center"/>
              <w:rPr>
                <w:rFonts w:ascii="宋体" w:hAnsi="宋体"/>
                <w:color w:val="auto"/>
                <w:szCs w:val="21"/>
                <w:highlight w:val="none"/>
              </w:rPr>
            </w:pPr>
            <w:r>
              <w:rPr>
                <w:rFonts w:hint="eastAsia" w:ascii="宋体" w:hAnsi="宋体"/>
                <w:color w:val="auto"/>
                <w:szCs w:val="21"/>
                <w:highlight w:val="none"/>
              </w:rPr>
              <w:t>1个</w:t>
            </w:r>
          </w:p>
        </w:tc>
      </w:tr>
      <w:tr w14:paraId="7B57F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14:paraId="4B9FD847">
            <w:pPr>
              <w:jc w:val="center"/>
              <w:rPr>
                <w:rFonts w:ascii="宋体" w:hAnsi="宋体"/>
                <w:color w:val="auto"/>
                <w:szCs w:val="21"/>
                <w:highlight w:val="none"/>
              </w:rPr>
            </w:pPr>
            <w:r>
              <w:rPr>
                <w:rFonts w:hint="eastAsia" w:ascii="宋体" w:hAnsi="宋体"/>
                <w:color w:val="auto"/>
                <w:szCs w:val="21"/>
                <w:highlight w:val="none"/>
              </w:rPr>
              <w:t>9</w:t>
            </w:r>
          </w:p>
        </w:tc>
        <w:tc>
          <w:tcPr>
            <w:tcW w:w="4552" w:type="dxa"/>
            <w:tcBorders>
              <w:top w:val="single" w:color="000000" w:sz="4" w:space="0"/>
              <w:left w:val="single" w:color="000000" w:sz="4" w:space="0"/>
              <w:bottom w:val="single" w:color="000000" w:sz="4" w:space="0"/>
              <w:right w:val="single" w:color="000000" w:sz="4" w:space="0"/>
            </w:tcBorders>
            <w:vAlign w:val="center"/>
          </w:tcPr>
          <w:p w14:paraId="675116D0">
            <w:pPr>
              <w:jc w:val="center"/>
              <w:rPr>
                <w:rFonts w:ascii="宋体" w:hAnsi="宋体"/>
                <w:color w:val="auto"/>
                <w:szCs w:val="21"/>
                <w:highlight w:val="none"/>
              </w:rPr>
            </w:pPr>
            <w:r>
              <w:rPr>
                <w:rFonts w:hint="eastAsia" w:ascii="宋体" w:hAnsi="宋体"/>
                <w:color w:val="auto"/>
                <w:szCs w:val="21"/>
                <w:highlight w:val="none"/>
              </w:rPr>
              <w:t>扭矩扳手</w:t>
            </w:r>
          </w:p>
        </w:tc>
        <w:tc>
          <w:tcPr>
            <w:tcW w:w="2869" w:type="dxa"/>
            <w:tcBorders>
              <w:top w:val="single" w:color="000000" w:sz="4" w:space="0"/>
              <w:left w:val="single" w:color="000000" w:sz="4" w:space="0"/>
              <w:bottom w:val="single" w:color="000000" w:sz="4" w:space="0"/>
              <w:right w:val="single" w:color="000000" w:sz="4" w:space="0"/>
            </w:tcBorders>
            <w:vAlign w:val="center"/>
          </w:tcPr>
          <w:p w14:paraId="0F8E8946">
            <w:pPr>
              <w:jc w:val="center"/>
              <w:rPr>
                <w:rFonts w:ascii="宋体" w:hAnsi="宋体"/>
                <w:color w:val="auto"/>
                <w:szCs w:val="21"/>
                <w:highlight w:val="none"/>
              </w:rPr>
            </w:pPr>
            <w:r>
              <w:rPr>
                <w:rFonts w:hint="eastAsia" w:ascii="宋体" w:hAnsi="宋体"/>
                <w:color w:val="auto"/>
                <w:szCs w:val="21"/>
                <w:highlight w:val="none"/>
              </w:rPr>
              <w:t>1个</w:t>
            </w:r>
          </w:p>
        </w:tc>
      </w:tr>
    </w:tbl>
    <w:p w14:paraId="0DCF1E3A">
      <w:pPr>
        <w:tabs>
          <w:tab w:val="left" w:pos="2980"/>
        </w:tabs>
        <w:topLinePunct/>
        <w:spacing w:line="276" w:lineRule="auto"/>
        <w:ind w:firstLine="198" w:firstLineChars="91"/>
        <w:rPr>
          <w:snapToGrid w:val="0"/>
          <w:color w:val="auto"/>
          <w:spacing w:val="4"/>
          <w:szCs w:val="21"/>
          <w:highlight w:val="none"/>
        </w:rPr>
      </w:pPr>
      <w:r>
        <w:rPr>
          <w:snapToGrid w:val="0"/>
          <w:color w:val="auto"/>
          <w:spacing w:val="4"/>
          <w:szCs w:val="21"/>
          <w:highlight w:val="none"/>
        </w:rPr>
        <w:tab/>
      </w:r>
    </w:p>
    <w:p w14:paraId="6DBF14EE">
      <w:pPr>
        <w:spacing w:line="360" w:lineRule="auto"/>
        <w:ind w:firstLine="420" w:firstLineChars="200"/>
        <w:rPr>
          <w:color w:val="auto"/>
          <w:szCs w:val="21"/>
          <w:highlight w:val="none"/>
        </w:rPr>
      </w:pPr>
      <w:r>
        <w:rPr>
          <w:rFonts w:hint="eastAsia"/>
          <w:color w:val="auto"/>
          <w:szCs w:val="21"/>
          <w:highlight w:val="none"/>
        </w:rPr>
        <w:t>注：上表中为投入本项目的试验检测设备的最低要求。</w:t>
      </w:r>
    </w:p>
    <w:p w14:paraId="5A5E923D">
      <w:pPr>
        <w:pStyle w:val="3"/>
        <w:keepNext w:val="0"/>
        <w:keepLines w:val="0"/>
        <w:spacing w:line="360" w:lineRule="auto"/>
        <w:jc w:val="center"/>
        <w:rPr>
          <w:rFonts w:ascii="宋体" w:hAnsi="宋体"/>
          <w:color w:val="auto"/>
          <w:sz w:val="36"/>
          <w:szCs w:val="36"/>
          <w:highlight w:val="none"/>
        </w:rPr>
      </w:pPr>
    </w:p>
    <w:bookmarkEnd w:id="425"/>
    <w:bookmarkEnd w:id="426"/>
    <w:bookmarkEnd w:id="427"/>
    <w:bookmarkEnd w:id="428"/>
    <w:bookmarkEnd w:id="429"/>
    <w:p w14:paraId="73197F01">
      <w:pPr>
        <w:rPr>
          <w:color w:val="auto"/>
          <w:highlight w:val="none"/>
        </w:rPr>
      </w:pPr>
      <w:bookmarkStart w:id="430" w:name="_Toc6575"/>
      <w:bookmarkEnd w:id="430"/>
      <w:bookmarkStart w:id="431" w:name="_Toc63769819"/>
      <w:r>
        <w:rPr>
          <w:color w:val="auto"/>
          <w:highlight w:val="none"/>
        </w:rPr>
        <w:br w:type="page"/>
      </w:r>
    </w:p>
    <w:p w14:paraId="10348B33">
      <w:pPr>
        <w:ind w:firstLine="883" w:firstLineChars="200"/>
        <w:rPr>
          <w:b/>
          <w:color w:val="auto"/>
          <w:sz w:val="44"/>
          <w:highlight w:val="none"/>
        </w:rPr>
      </w:pPr>
    </w:p>
    <w:p w14:paraId="6210A988">
      <w:pPr>
        <w:jc w:val="center"/>
        <w:outlineLvl w:val="0"/>
        <w:rPr>
          <w:b/>
          <w:color w:val="auto"/>
          <w:highlight w:val="none"/>
        </w:rPr>
      </w:pPr>
      <w:r>
        <w:rPr>
          <w:rFonts w:hint="eastAsia"/>
          <w:b/>
          <w:color w:val="auto"/>
          <w:sz w:val="44"/>
          <w:highlight w:val="none"/>
        </w:rPr>
        <w:t>第三卷</w:t>
      </w:r>
      <w:bookmarkEnd w:id="431"/>
    </w:p>
    <w:p w14:paraId="6D5155D7">
      <w:pPr>
        <w:pStyle w:val="3"/>
        <w:keepNext w:val="0"/>
        <w:keepLines w:val="0"/>
        <w:spacing w:line="240" w:lineRule="auto"/>
        <w:jc w:val="center"/>
        <w:rPr>
          <w:rFonts w:ascii="宋体" w:hAnsi="宋体"/>
          <w:color w:val="auto"/>
          <w:highlight w:val="none"/>
        </w:rPr>
      </w:pPr>
      <w:bookmarkStart w:id="432" w:name="_Toc63769820"/>
      <w:r>
        <w:rPr>
          <w:rFonts w:hint="eastAsia" w:ascii="宋体" w:hAnsi="宋体"/>
          <w:color w:val="auto"/>
          <w:highlight w:val="none"/>
        </w:rPr>
        <w:t>第六章 投标文件格式</w:t>
      </w:r>
      <w:bookmarkEnd w:id="432"/>
    </w:p>
    <w:p w14:paraId="430F7AFC">
      <w:pPr>
        <w:spacing w:line="400" w:lineRule="exact"/>
        <w:rPr>
          <w:rFonts w:ascii="宋体" w:hAnsi="宋体"/>
          <w:color w:val="auto"/>
          <w:highlight w:val="none"/>
        </w:rPr>
      </w:pPr>
    </w:p>
    <w:p w14:paraId="1421D68B">
      <w:pPr>
        <w:spacing w:line="400" w:lineRule="exact"/>
        <w:rPr>
          <w:rFonts w:ascii="宋体" w:hAnsi="宋体"/>
          <w:color w:val="auto"/>
          <w:highlight w:val="none"/>
        </w:rPr>
      </w:pPr>
    </w:p>
    <w:p w14:paraId="028550B7">
      <w:pPr>
        <w:spacing w:line="400" w:lineRule="exact"/>
        <w:rPr>
          <w:rFonts w:ascii="宋体" w:hAnsi="宋体"/>
          <w:color w:val="auto"/>
          <w:highlight w:val="none"/>
        </w:rPr>
      </w:pPr>
    </w:p>
    <w:p w14:paraId="095F12EB">
      <w:pPr>
        <w:spacing w:line="400" w:lineRule="exact"/>
        <w:rPr>
          <w:rFonts w:ascii="宋体" w:hAnsi="宋体"/>
          <w:color w:val="auto"/>
          <w:highlight w:val="none"/>
        </w:rPr>
      </w:pPr>
    </w:p>
    <w:p w14:paraId="05753169">
      <w:pPr>
        <w:spacing w:line="400" w:lineRule="exact"/>
        <w:rPr>
          <w:rFonts w:ascii="宋体" w:hAnsi="宋体"/>
          <w:color w:val="auto"/>
          <w:highlight w:val="none"/>
        </w:rPr>
      </w:pPr>
    </w:p>
    <w:p w14:paraId="75C47181">
      <w:pPr>
        <w:spacing w:line="400" w:lineRule="exact"/>
        <w:rPr>
          <w:rFonts w:ascii="宋体" w:hAnsi="宋体"/>
          <w:color w:val="auto"/>
          <w:highlight w:val="none"/>
        </w:rPr>
      </w:pPr>
    </w:p>
    <w:p w14:paraId="62A1364C">
      <w:pPr>
        <w:spacing w:line="400" w:lineRule="exact"/>
        <w:rPr>
          <w:rFonts w:ascii="宋体" w:hAnsi="宋体"/>
          <w:color w:val="auto"/>
          <w:highlight w:val="none"/>
        </w:rPr>
      </w:pPr>
    </w:p>
    <w:p w14:paraId="70478E30">
      <w:pPr>
        <w:spacing w:line="400" w:lineRule="exact"/>
        <w:rPr>
          <w:rFonts w:ascii="宋体" w:hAnsi="宋体"/>
          <w:color w:val="auto"/>
          <w:highlight w:val="none"/>
        </w:rPr>
      </w:pPr>
    </w:p>
    <w:p w14:paraId="34C6DBBD">
      <w:pPr>
        <w:spacing w:line="400" w:lineRule="exact"/>
        <w:rPr>
          <w:rFonts w:ascii="宋体" w:hAnsi="宋体"/>
          <w:color w:val="auto"/>
          <w:highlight w:val="none"/>
        </w:rPr>
      </w:pPr>
    </w:p>
    <w:p w14:paraId="4F2E35D1">
      <w:pPr>
        <w:spacing w:line="400" w:lineRule="exact"/>
        <w:rPr>
          <w:rFonts w:ascii="宋体" w:hAnsi="宋体"/>
          <w:color w:val="auto"/>
          <w:highlight w:val="none"/>
        </w:rPr>
      </w:pPr>
    </w:p>
    <w:p w14:paraId="78BCEBD0">
      <w:pPr>
        <w:spacing w:line="400" w:lineRule="exact"/>
        <w:rPr>
          <w:rFonts w:ascii="宋体" w:hAnsi="宋体"/>
          <w:color w:val="auto"/>
          <w:highlight w:val="none"/>
        </w:rPr>
      </w:pPr>
    </w:p>
    <w:p w14:paraId="13BFE7A8">
      <w:pPr>
        <w:spacing w:line="400" w:lineRule="exact"/>
        <w:rPr>
          <w:rFonts w:ascii="宋体" w:hAnsi="宋体"/>
          <w:color w:val="auto"/>
          <w:highlight w:val="none"/>
        </w:rPr>
      </w:pPr>
    </w:p>
    <w:p w14:paraId="00F763F5">
      <w:pPr>
        <w:spacing w:line="400" w:lineRule="exact"/>
        <w:rPr>
          <w:rFonts w:ascii="宋体" w:hAnsi="宋体"/>
          <w:color w:val="auto"/>
          <w:highlight w:val="none"/>
        </w:rPr>
      </w:pPr>
    </w:p>
    <w:p w14:paraId="7D088BC8">
      <w:pPr>
        <w:spacing w:line="400" w:lineRule="exact"/>
        <w:rPr>
          <w:rFonts w:ascii="宋体" w:hAnsi="宋体"/>
          <w:color w:val="auto"/>
          <w:highlight w:val="none"/>
        </w:rPr>
      </w:pPr>
    </w:p>
    <w:p w14:paraId="7181CDBB">
      <w:pPr>
        <w:spacing w:line="400" w:lineRule="exact"/>
        <w:rPr>
          <w:rFonts w:ascii="宋体" w:hAnsi="宋体"/>
          <w:color w:val="auto"/>
          <w:highlight w:val="none"/>
        </w:rPr>
      </w:pPr>
    </w:p>
    <w:p w14:paraId="47A134C3">
      <w:pPr>
        <w:spacing w:line="400" w:lineRule="exact"/>
        <w:rPr>
          <w:rFonts w:ascii="宋体" w:hAnsi="宋体"/>
          <w:color w:val="auto"/>
          <w:highlight w:val="none"/>
        </w:rPr>
      </w:pPr>
    </w:p>
    <w:p w14:paraId="3E75A4DF">
      <w:pPr>
        <w:spacing w:line="400" w:lineRule="exact"/>
        <w:rPr>
          <w:rFonts w:ascii="宋体" w:hAnsi="宋体"/>
          <w:color w:val="auto"/>
          <w:highlight w:val="none"/>
        </w:rPr>
      </w:pPr>
    </w:p>
    <w:p w14:paraId="460E73C1">
      <w:pPr>
        <w:jc w:val="center"/>
        <w:rPr>
          <w:rFonts w:ascii="宋体" w:hAnsi="宋体"/>
          <w:color w:val="auto"/>
          <w:sz w:val="28"/>
          <w:szCs w:val="28"/>
          <w:highlight w:val="none"/>
          <w:u w:val="single"/>
        </w:rPr>
      </w:pPr>
      <w:r>
        <w:rPr>
          <w:rFonts w:hint="eastAsia" w:ascii="宋体" w:hAnsi="宋体"/>
          <w:color w:val="auto"/>
          <w:sz w:val="28"/>
          <w:szCs w:val="28"/>
          <w:highlight w:val="none"/>
          <w:u w:val="single"/>
        </w:rPr>
        <w:br w:type="page"/>
      </w:r>
    </w:p>
    <w:p w14:paraId="21B3558C">
      <w:pPr>
        <w:pStyle w:val="4"/>
        <w:spacing w:after="240" w:line="360" w:lineRule="auto"/>
        <w:rPr>
          <w:rFonts w:ascii="宋体" w:hAnsi="宋体" w:eastAsia="宋体"/>
          <w:color w:val="auto"/>
          <w:sz w:val="30"/>
          <w:szCs w:val="30"/>
          <w:highlight w:val="none"/>
        </w:rPr>
      </w:pPr>
      <w:bookmarkStart w:id="433" w:name="_Toc529196600"/>
      <w:bookmarkStart w:id="434" w:name="_Toc535938751"/>
      <w:bookmarkStart w:id="435" w:name="_Toc530470642"/>
      <w:r>
        <w:rPr>
          <w:rFonts w:hint="eastAsia" w:ascii="宋体" w:hAnsi="宋体" w:eastAsia="宋体"/>
          <w:color w:val="auto"/>
          <w:sz w:val="30"/>
          <w:szCs w:val="30"/>
          <w:highlight w:val="none"/>
        </w:rPr>
        <w:t>一、投标</w:t>
      </w:r>
      <w:bookmarkStart w:id="436" w:name="_Toc369531692"/>
      <w:bookmarkStart w:id="437" w:name="_Toc6931"/>
      <w:bookmarkStart w:id="438" w:name="_Toc352691656"/>
      <w:r>
        <w:rPr>
          <w:rFonts w:hint="eastAsia" w:ascii="宋体" w:hAnsi="宋体" w:eastAsia="宋体"/>
          <w:color w:val="auto"/>
          <w:sz w:val="30"/>
          <w:szCs w:val="30"/>
          <w:highlight w:val="none"/>
        </w:rPr>
        <w:t>函及投标函附录</w:t>
      </w:r>
      <w:bookmarkEnd w:id="433"/>
      <w:bookmarkEnd w:id="434"/>
      <w:bookmarkEnd w:id="435"/>
    </w:p>
    <w:bookmarkEnd w:id="436"/>
    <w:bookmarkEnd w:id="437"/>
    <w:bookmarkEnd w:id="438"/>
    <w:p w14:paraId="3EC5378D">
      <w:pPr>
        <w:pStyle w:val="5"/>
        <w:rPr>
          <w:rFonts w:ascii="宋体" w:hAnsi="宋体" w:eastAsia="宋体"/>
          <w:color w:val="auto"/>
          <w:szCs w:val="28"/>
          <w:highlight w:val="none"/>
        </w:rPr>
      </w:pPr>
      <w:bookmarkStart w:id="439" w:name="_Toc530470643"/>
      <w:bookmarkStart w:id="440" w:name="_Toc529196601"/>
      <w:bookmarkStart w:id="441" w:name="_Toc535938752"/>
      <w:bookmarkStart w:id="442" w:name="_Toc370676426"/>
      <w:bookmarkStart w:id="443" w:name="_Toc391394111"/>
      <w:bookmarkStart w:id="444" w:name="_Toc385943065"/>
      <w:bookmarkStart w:id="445" w:name="_Toc482188651"/>
      <w:bookmarkStart w:id="446" w:name="_Toc359594235"/>
      <w:r>
        <w:rPr>
          <w:rFonts w:hint="eastAsia" w:ascii="宋体" w:hAnsi="宋体" w:eastAsia="宋体"/>
          <w:color w:val="auto"/>
          <w:szCs w:val="28"/>
          <w:highlight w:val="none"/>
        </w:rPr>
        <w:t>（一）投标函</w:t>
      </w:r>
      <w:bookmarkEnd w:id="439"/>
      <w:bookmarkEnd w:id="440"/>
      <w:bookmarkEnd w:id="441"/>
      <w:bookmarkEnd w:id="442"/>
      <w:bookmarkEnd w:id="443"/>
      <w:bookmarkEnd w:id="444"/>
      <w:bookmarkEnd w:id="445"/>
      <w:bookmarkEnd w:id="446"/>
    </w:p>
    <w:p w14:paraId="255D2EE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（招标人名称）：</w:t>
      </w:r>
    </w:p>
    <w:p w14:paraId="43DC94D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（项目名称）招标文件的全部内容，愿意以《投标函附录》中的投标报价和监理服务期限，按合同约定完成监理工作。</w:t>
      </w:r>
    </w:p>
    <w:p w14:paraId="3FE37733">
      <w:pPr>
        <w:spacing w:line="360" w:lineRule="auto"/>
        <w:ind w:firstLine="480" w:firstLineChars="200"/>
        <w:rPr>
          <w:rFonts w:ascii="宋体" w:hAnsi="宋体"/>
          <w:color w:val="auto"/>
          <w:sz w:val="24"/>
          <w:szCs w:val="24"/>
          <w:highlight w:val="none"/>
        </w:rPr>
      </w:pPr>
      <w:bookmarkStart w:id="447" w:name="_Toc530470644"/>
      <w:r>
        <w:rPr>
          <w:rFonts w:hint="eastAsia" w:ascii="宋体" w:hAnsi="宋体"/>
          <w:color w:val="auto"/>
          <w:sz w:val="24"/>
          <w:szCs w:val="24"/>
          <w:highlight w:val="none"/>
        </w:rPr>
        <w:t>2. 我方的投标文件包括下列内容：</w:t>
      </w:r>
      <w:bookmarkEnd w:id="447"/>
    </w:p>
    <w:p w14:paraId="4952ED2F">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（1）投标函及投标函附录；</w:t>
      </w:r>
    </w:p>
    <w:p w14:paraId="112D4EE1">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（2）法定代表人身份证明或授权委托书；</w:t>
      </w:r>
    </w:p>
    <w:p w14:paraId="33F3EDEC">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）监理报酬清单；</w:t>
      </w:r>
    </w:p>
    <w:p w14:paraId="2185593F">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）资格审查资料；</w:t>
      </w:r>
    </w:p>
    <w:p w14:paraId="0AAD89C8">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）资信业绩评审资料；</w:t>
      </w:r>
    </w:p>
    <w:p w14:paraId="2C812B29">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）监理大纲；</w:t>
      </w:r>
    </w:p>
    <w:p w14:paraId="67ED59CC">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）投标人认为有必要提供的其他资料；</w:t>
      </w:r>
    </w:p>
    <w:p w14:paraId="63B1B68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）投标人须知前附表规定的其他资料；</w:t>
      </w:r>
    </w:p>
    <w:p w14:paraId="0E4F50C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投标文件的上述组成部分如存在内容不一致的，以投标函为准。</w:t>
      </w:r>
    </w:p>
    <w:p w14:paraId="67469D6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3．我方承诺在招标文件规定的投标有效期</w:t>
      </w:r>
      <w:r>
        <w:rPr>
          <w:rFonts w:hint="eastAsia" w:ascii="宋体" w:hAnsi="宋体"/>
          <w:color w:val="auto"/>
          <w:sz w:val="24"/>
          <w:szCs w:val="24"/>
          <w:highlight w:val="none"/>
          <w:u w:val="single"/>
          <w:lang w:val="en-US" w:eastAsia="zh-CN"/>
        </w:rPr>
        <w:t>120</w:t>
      </w:r>
      <w:r>
        <w:rPr>
          <w:rFonts w:hint="eastAsia" w:ascii="宋体" w:hAnsi="宋体"/>
          <w:color w:val="auto"/>
          <w:sz w:val="24"/>
          <w:szCs w:val="24"/>
          <w:highlight w:val="none"/>
        </w:rPr>
        <w:t>日历天内不撤销投标文件。</w:t>
      </w:r>
    </w:p>
    <w:p w14:paraId="2046A14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4．如我方中标，我方承诺：</w:t>
      </w:r>
    </w:p>
    <w:p w14:paraId="2E703A46">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（1）在收到中标通知书后，在中标通知书规定的期限内与你方签订合同；</w:t>
      </w:r>
    </w:p>
    <w:p w14:paraId="08EB85D2">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（2）在签订合同时不向你方提出附加条件；</w:t>
      </w:r>
    </w:p>
    <w:p w14:paraId="76F2CB0E">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（3）按照招标文件要求提交履约保证金；</w:t>
      </w:r>
      <w:bookmarkStart w:id="448" w:name="_Toc1187"/>
      <w:bookmarkStart w:id="449" w:name="_Toc369531694"/>
      <w:bookmarkStart w:id="450" w:name="_Toc352691658"/>
    </w:p>
    <w:p w14:paraId="4F727A62">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（4）在合</w:t>
      </w:r>
      <w:bookmarkEnd w:id="448"/>
      <w:bookmarkEnd w:id="449"/>
      <w:bookmarkEnd w:id="450"/>
      <w:r>
        <w:rPr>
          <w:rFonts w:hint="eastAsia" w:ascii="宋体" w:hAnsi="宋体"/>
          <w:color w:val="auto"/>
          <w:sz w:val="24"/>
          <w:szCs w:val="24"/>
          <w:highlight w:val="none"/>
        </w:rPr>
        <w:t>同约定的期限内完成合同规定的全部义务。</w:t>
      </w:r>
    </w:p>
    <w:p w14:paraId="11F0566D">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（5）除伤亡、吊销监理工程师执业资格等合法原因不能再从事监理工作情形外，如我方更换项目总监、总监代表，接受贵</w:t>
      </w:r>
      <w:r>
        <w:rPr>
          <w:rFonts w:hint="eastAsia" w:ascii="宋体" w:hAnsi="宋体"/>
          <w:color w:val="auto"/>
          <w:spacing w:val="4"/>
          <w:sz w:val="24"/>
          <w:szCs w:val="24"/>
          <w:highlight w:val="none"/>
        </w:rPr>
        <w:t>中心</w:t>
      </w:r>
      <w:r>
        <w:rPr>
          <w:rFonts w:hint="eastAsia" w:ascii="宋体" w:hAnsi="宋体"/>
          <w:color w:val="auto"/>
          <w:sz w:val="24"/>
          <w:szCs w:val="24"/>
          <w:highlight w:val="none"/>
        </w:rPr>
        <w:t>1年内拒绝我方参与贵单位后续工程投标的处理。</w:t>
      </w:r>
    </w:p>
    <w:p w14:paraId="7FCAC1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5．我方在此声明，</w:t>
      </w:r>
      <w:bookmarkStart w:id="451" w:name="_Hlk22686284"/>
      <w:r>
        <w:rPr>
          <w:rFonts w:hint="eastAsia" w:ascii="宋体" w:hAnsi="宋体"/>
          <w:color w:val="auto"/>
          <w:sz w:val="24"/>
          <w:szCs w:val="24"/>
          <w:highlight w:val="none"/>
        </w:rPr>
        <w:t>所递交的投标文件</w:t>
      </w:r>
      <w:bookmarkEnd w:id="451"/>
      <w:r>
        <w:rPr>
          <w:rFonts w:hint="eastAsia" w:ascii="宋体" w:hAnsi="宋体"/>
          <w:color w:val="auto"/>
          <w:sz w:val="24"/>
          <w:szCs w:val="24"/>
          <w:highlight w:val="none"/>
        </w:rPr>
        <w:t>及有关资料内容完整、真实和准确，且不存在第二章“投标人须知”第1.4.3项规定的任何一种情形。</w:t>
      </w:r>
    </w:p>
    <w:p w14:paraId="69A95C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 如我方中标，我方承诺，满足“委托人要求”中的所有内容。</w:t>
      </w:r>
    </w:p>
    <w:p w14:paraId="0A0E06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没收投标保证金、接受行政监督部门的行政处罚等。</w:t>
      </w:r>
    </w:p>
    <w:bookmarkEnd w:id="413"/>
    <w:bookmarkEnd w:id="414"/>
    <w:bookmarkEnd w:id="415"/>
    <w:bookmarkEnd w:id="416"/>
    <w:bookmarkEnd w:id="417"/>
    <w:bookmarkEnd w:id="418"/>
    <w:bookmarkEnd w:id="419"/>
    <w:bookmarkEnd w:id="420"/>
    <w:bookmarkEnd w:id="421"/>
    <w:p w14:paraId="6EAFBAB5">
      <w:pPr>
        <w:spacing w:line="360" w:lineRule="auto"/>
        <w:ind w:firstLine="2880" w:firstLineChars="1200"/>
        <w:jc w:val="left"/>
        <w:rPr>
          <w:rFonts w:ascii="宋体" w:hAnsi="宋体"/>
          <w:color w:val="auto"/>
          <w:sz w:val="24"/>
          <w:szCs w:val="24"/>
          <w:highlight w:val="none"/>
        </w:rPr>
      </w:pPr>
    </w:p>
    <w:p w14:paraId="4E8F598A">
      <w:pPr>
        <w:spacing w:line="360" w:lineRule="auto"/>
        <w:ind w:firstLine="2880" w:firstLineChars="1200"/>
        <w:jc w:val="left"/>
        <w:rPr>
          <w:rFonts w:ascii="宋体" w:hAnsi="宋体"/>
          <w:color w:val="auto"/>
          <w:sz w:val="24"/>
          <w:szCs w:val="24"/>
          <w:highlight w:val="none"/>
        </w:rPr>
      </w:pPr>
    </w:p>
    <w:p w14:paraId="7FDB9100">
      <w:pPr>
        <w:spacing w:line="360" w:lineRule="auto"/>
        <w:ind w:firstLine="3240" w:firstLineChars="1350"/>
        <w:rPr>
          <w:color w:val="auto"/>
          <w:sz w:val="24"/>
          <w:szCs w:val="24"/>
          <w:highlight w:val="none"/>
        </w:rPr>
      </w:pPr>
      <w:bookmarkStart w:id="452" w:name="_Toc385943066"/>
      <w:bookmarkStart w:id="453" w:name="_Toc370676427"/>
      <w:bookmarkStart w:id="454" w:name="_Toc359594236"/>
      <w:bookmarkStart w:id="455" w:name="_Toc535938753"/>
      <w:bookmarkStart w:id="456" w:name="_Toc482188652"/>
      <w:bookmarkStart w:id="457" w:name="_Toc530470645"/>
      <w:bookmarkStart w:id="458" w:name="_Toc391394112"/>
      <w:bookmarkStart w:id="459" w:name="_Toc529196602"/>
      <w:bookmarkStart w:id="460" w:name="_Toc17960"/>
      <w:bookmarkStart w:id="461" w:name="_Toc369531697"/>
      <w:bookmarkStart w:id="462" w:name="_Toc152045787"/>
      <w:bookmarkStart w:id="463" w:name="_Toc152042576"/>
      <w:bookmarkStart w:id="464" w:name="_Toc247527827"/>
      <w:bookmarkStart w:id="465" w:name="_Toc361508752"/>
      <w:bookmarkStart w:id="466" w:name="_Toc300835209"/>
      <w:bookmarkStart w:id="467" w:name="_Toc247514246"/>
      <w:bookmarkStart w:id="468" w:name="_Toc144974856"/>
      <w:bookmarkStart w:id="469" w:name="_Toc352691661"/>
      <w:bookmarkStart w:id="470" w:name="_Toc384308375"/>
      <w:r>
        <w:rPr>
          <w:rFonts w:hint="eastAsia"/>
          <w:color w:val="auto"/>
          <w:sz w:val="24"/>
          <w:szCs w:val="24"/>
          <w:highlight w:val="none"/>
        </w:rPr>
        <w:t>投标人：</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ab/>
      </w:r>
      <w:r>
        <w:rPr>
          <w:rFonts w:hint="eastAsia"/>
          <w:color w:val="auto"/>
          <w:sz w:val="24"/>
          <w:szCs w:val="24"/>
          <w:highlight w:val="none"/>
        </w:rPr>
        <w:t>（盖单位章）</w:t>
      </w:r>
    </w:p>
    <w:p w14:paraId="4672CA56">
      <w:pPr>
        <w:spacing w:line="360" w:lineRule="auto"/>
        <w:ind w:firstLine="3240" w:firstLineChars="1350"/>
        <w:rPr>
          <w:color w:val="auto"/>
          <w:sz w:val="24"/>
          <w:szCs w:val="24"/>
          <w:highlight w:val="none"/>
        </w:rPr>
      </w:pPr>
      <w:r>
        <w:rPr>
          <w:rFonts w:hint="eastAsia"/>
          <w:color w:val="auto"/>
          <w:sz w:val="24"/>
          <w:szCs w:val="24"/>
          <w:highlight w:val="none"/>
        </w:rPr>
        <w:t>法定代表人</w:t>
      </w:r>
      <w:r>
        <w:rPr>
          <w:color w:val="auto"/>
          <w:sz w:val="24"/>
          <w:szCs w:val="24"/>
          <w:highlight w:val="none"/>
        </w:rPr>
        <w:t>(</w:t>
      </w:r>
      <w:r>
        <w:rPr>
          <w:rFonts w:hint="eastAsia"/>
          <w:color w:val="auto"/>
          <w:sz w:val="24"/>
          <w:szCs w:val="24"/>
          <w:highlight w:val="none"/>
        </w:rPr>
        <w:t>或被授权人</w:t>
      </w:r>
      <w:r>
        <w:rPr>
          <w:color w:val="auto"/>
          <w:sz w:val="24"/>
          <w:szCs w:val="24"/>
          <w:highlight w:val="none"/>
        </w:rPr>
        <w:t>)</w:t>
      </w:r>
      <w:r>
        <w:rPr>
          <w:rFonts w:hint="eastAsia"/>
          <w:color w:val="auto"/>
          <w:sz w:val="24"/>
          <w:szCs w:val="24"/>
          <w:highlight w:val="none"/>
        </w:rPr>
        <w:t>（签名或盖章）：</w:t>
      </w:r>
    </w:p>
    <w:p w14:paraId="6159B65B">
      <w:pPr>
        <w:spacing w:line="360" w:lineRule="auto"/>
        <w:ind w:firstLine="3240" w:firstLineChars="1350"/>
        <w:rPr>
          <w:rFonts w:hint="default" w:eastAsia="宋体"/>
          <w:color w:val="auto"/>
          <w:sz w:val="24"/>
          <w:szCs w:val="24"/>
          <w:highlight w:val="none"/>
          <w:lang w:val="en-US" w:eastAsia="zh-CN"/>
        </w:rPr>
      </w:pPr>
      <w:r>
        <w:rPr>
          <w:rFonts w:hint="eastAsia"/>
          <w:color w:val="auto"/>
          <w:sz w:val="24"/>
          <w:szCs w:val="24"/>
          <w:highlight w:val="none"/>
        </w:rPr>
        <w:t>地址：</w:t>
      </w:r>
      <w:r>
        <w:rPr>
          <w:color w:val="auto"/>
          <w:sz w:val="24"/>
          <w:szCs w:val="24"/>
          <w:highlight w:val="none"/>
          <w:u w:val="single"/>
        </w:rPr>
        <w:tab/>
      </w:r>
      <w:r>
        <w:rPr>
          <w:color w:val="auto"/>
          <w:sz w:val="24"/>
          <w:szCs w:val="24"/>
          <w:highlight w:val="none"/>
          <w:u w:val="single"/>
        </w:rPr>
        <w:tab/>
      </w:r>
      <w:r>
        <w:rPr>
          <w:rFonts w:hint="eastAsia"/>
          <w:color w:val="auto"/>
          <w:sz w:val="24"/>
          <w:szCs w:val="24"/>
          <w:highlight w:val="none"/>
          <w:u w:val="single"/>
          <w:lang w:val="en-US" w:eastAsia="zh-CN"/>
        </w:rPr>
        <w:t xml:space="preserve">                        </w:t>
      </w:r>
    </w:p>
    <w:p w14:paraId="7216CA67">
      <w:pPr>
        <w:spacing w:line="360" w:lineRule="auto"/>
        <w:ind w:firstLine="3240" w:firstLineChars="1350"/>
        <w:rPr>
          <w:color w:val="auto"/>
          <w:sz w:val="24"/>
          <w:szCs w:val="24"/>
          <w:highlight w:val="none"/>
        </w:rPr>
      </w:pPr>
      <w:r>
        <w:rPr>
          <w:rFonts w:hint="eastAsia"/>
          <w:color w:val="auto"/>
          <w:sz w:val="24"/>
          <w:szCs w:val="24"/>
          <w:highlight w:val="none"/>
        </w:rPr>
        <w:t>网址：</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u w:val="single"/>
        </w:rPr>
        <w:tab/>
      </w:r>
    </w:p>
    <w:p w14:paraId="42B45D25">
      <w:pPr>
        <w:spacing w:line="360" w:lineRule="auto"/>
        <w:ind w:right="85" w:firstLine="3240" w:firstLineChars="1350"/>
        <w:rPr>
          <w:rFonts w:hint="default" w:eastAsia="宋体"/>
          <w:color w:val="auto"/>
          <w:sz w:val="24"/>
          <w:szCs w:val="24"/>
          <w:highlight w:val="none"/>
          <w:lang w:val="en-US" w:eastAsia="zh-CN"/>
        </w:rPr>
      </w:pPr>
      <w:r>
        <w:rPr>
          <w:rFonts w:hint="eastAsia"/>
          <w:color w:val="auto"/>
          <w:sz w:val="24"/>
          <w:szCs w:val="24"/>
          <w:highlight w:val="none"/>
        </w:rPr>
        <w:t>电话：</w:t>
      </w:r>
      <w:r>
        <w:rPr>
          <w:color w:val="auto"/>
          <w:sz w:val="24"/>
          <w:szCs w:val="24"/>
          <w:highlight w:val="none"/>
          <w:u w:val="single"/>
        </w:rPr>
        <w:tab/>
      </w:r>
      <w:r>
        <w:rPr>
          <w:color w:val="auto"/>
          <w:sz w:val="24"/>
          <w:szCs w:val="24"/>
          <w:highlight w:val="none"/>
          <w:u w:val="single"/>
        </w:rPr>
        <w:tab/>
      </w:r>
      <w:r>
        <w:rPr>
          <w:rFonts w:hint="eastAsia"/>
          <w:color w:val="auto"/>
          <w:sz w:val="24"/>
          <w:szCs w:val="24"/>
          <w:highlight w:val="none"/>
          <w:u w:val="single"/>
          <w:lang w:val="en-US" w:eastAsia="zh-CN"/>
        </w:rPr>
        <w:t xml:space="preserve">                        </w:t>
      </w:r>
    </w:p>
    <w:p w14:paraId="6F808206">
      <w:pPr>
        <w:spacing w:line="360" w:lineRule="auto"/>
        <w:ind w:firstLine="3240" w:firstLineChars="1350"/>
        <w:rPr>
          <w:rFonts w:hint="default" w:eastAsia="宋体"/>
          <w:color w:val="auto"/>
          <w:sz w:val="24"/>
          <w:szCs w:val="24"/>
          <w:highlight w:val="none"/>
          <w:lang w:val="en-US" w:eastAsia="zh-CN"/>
        </w:rPr>
      </w:pPr>
      <w:r>
        <w:rPr>
          <w:rFonts w:hint="eastAsia"/>
          <w:color w:val="auto"/>
          <w:sz w:val="24"/>
          <w:szCs w:val="24"/>
          <w:highlight w:val="none"/>
        </w:rPr>
        <w:t>传真：</w:t>
      </w:r>
      <w:r>
        <w:rPr>
          <w:color w:val="auto"/>
          <w:sz w:val="24"/>
          <w:szCs w:val="24"/>
          <w:highlight w:val="none"/>
          <w:u w:val="single"/>
        </w:rPr>
        <w:tab/>
      </w:r>
      <w:r>
        <w:rPr>
          <w:rFonts w:hint="eastAsia"/>
          <w:color w:val="auto"/>
          <w:sz w:val="24"/>
          <w:szCs w:val="24"/>
          <w:highlight w:val="none"/>
          <w:u w:val="single"/>
          <w:lang w:val="en-US" w:eastAsia="zh-CN"/>
        </w:rPr>
        <w:t xml:space="preserve">                            </w:t>
      </w:r>
    </w:p>
    <w:p w14:paraId="6420D008">
      <w:pPr>
        <w:spacing w:line="360" w:lineRule="auto"/>
        <w:ind w:firstLine="3240" w:firstLineChars="1350"/>
        <w:rPr>
          <w:rFonts w:hint="default" w:eastAsia="宋体"/>
          <w:color w:val="auto"/>
          <w:sz w:val="24"/>
          <w:szCs w:val="24"/>
          <w:highlight w:val="none"/>
          <w:lang w:val="en-US" w:eastAsia="zh-CN"/>
        </w:rPr>
      </w:pPr>
      <w:r>
        <w:rPr>
          <w:rFonts w:hint="eastAsia"/>
          <w:color w:val="auto"/>
          <w:sz w:val="24"/>
          <w:szCs w:val="24"/>
          <w:highlight w:val="none"/>
        </w:rPr>
        <w:t>邮政编码：</w:t>
      </w:r>
      <w:r>
        <w:rPr>
          <w:color w:val="auto"/>
          <w:sz w:val="24"/>
          <w:szCs w:val="24"/>
          <w:highlight w:val="none"/>
          <w:u w:val="single"/>
        </w:rPr>
        <w:tab/>
      </w:r>
      <w:r>
        <w:rPr>
          <w:rFonts w:hint="eastAsia"/>
          <w:color w:val="auto"/>
          <w:sz w:val="24"/>
          <w:szCs w:val="24"/>
          <w:highlight w:val="none"/>
          <w:u w:val="single"/>
          <w:lang w:val="en-US" w:eastAsia="zh-CN"/>
        </w:rPr>
        <w:t xml:space="preserve">                        </w:t>
      </w:r>
    </w:p>
    <w:p w14:paraId="2773B4F4">
      <w:pPr>
        <w:spacing w:line="360" w:lineRule="auto"/>
        <w:ind w:firstLine="5400" w:firstLineChars="2250"/>
        <w:rPr>
          <w:color w:val="auto"/>
          <w:sz w:val="24"/>
          <w:szCs w:val="24"/>
          <w:highlight w:val="none"/>
        </w:rPr>
      </w:pPr>
      <w:r>
        <w:rPr>
          <w:rFonts w:hint="eastAsia"/>
          <w:color w:val="auto"/>
          <w:sz w:val="24"/>
          <w:szCs w:val="24"/>
          <w:highlight w:val="none"/>
        </w:rPr>
        <w:t>年   月  日</w:t>
      </w:r>
    </w:p>
    <w:p w14:paraId="7A83E9BB">
      <w:pPr>
        <w:pStyle w:val="5"/>
        <w:spacing w:line="480" w:lineRule="auto"/>
        <w:rPr>
          <w:rFonts w:ascii="宋体" w:hAnsi="宋体" w:eastAsia="宋体"/>
          <w:color w:val="auto"/>
          <w:highlight w:val="none"/>
        </w:rPr>
      </w:pPr>
      <w:r>
        <w:rPr>
          <w:rFonts w:hint="eastAsia" w:ascii="宋体" w:hAnsi="宋体"/>
          <w:b w:val="0"/>
          <w:bCs w:val="0"/>
          <w:color w:val="auto"/>
          <w:highlight w:val="none"/>
        </w:rPr>
        <w:br w:type="page"/>
      </w:r>
      <w:r>
        <w:rPr>
          <w:rFonts w:hint="eastAsia" w:ascii="宋体" w:hAnsi="宋体" w:eastAsia="宋体"/>
          <w:color w:val="auto"/>
          <w:highlight w:val="none"/>
        </w:rPr>
        <w:t>（二）投标函附录</w:t>
      </w:r>
      <w:bookmarkEnd w:id="452"/>
      <w:bookmarkEnd w:id="453"/>
      <w:bookmarkEnd w:id="454"/>
      <w:bookmarkEnd w:id="455"/>
      <w:bookmarkEnd w:id="456"/>
      <w:bookmarkEnd w:id="457"/>
      <w:bookmarkEnd w:id="458"/>
      <w:bookmarkEnd w:id="459"/>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68"/>
        <w:gridCol w:w="4604"/>
        <w:gridCol w:w="1559"/>
      </w:tblGrid>
      <w:tr w14:paraId="1C48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EC93C38">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79FF03E1">
            <w:pPr>
              <w:jc w:val="center"/>
              <w:rPr>
                <w:rFonts w:ascii="宋体" w:hAnsi="宋体"/>
                <w:b/>
                <w:color w:val="auto"/>
                <w:sz w:val="24"/>
                <w:szCs w:val="24"/>
                <w:highlight w:val="none"/>
              </w:rPr>
            </w:pPr>
            <w:r>
              <w:rPr>
                <w:rFonts w:hint="eastAsia" w:ascii="宋体" w:hAnsi="宋体"/>
                <w:b/>
                <w:color w:val="auto"/>
                <w:sz w:val="24"/>
                <w:szCs w:val="24"/>
                <w:highlight w:val="none"/>
              </w:rPr>
              <w:t>条款名称</w:t>
            </w:r>
          </w:p>
        </w:tc>
        <w:tc>
          <w:tcPr>
            <w:tcW w:w="4604" w:type="dxa"/>
            <w:tcBorders>
              <w:top w:val="single" w:color="auto" w:sz="4" w:space="0"/>
              <w:left w:val="single" w:color="auto" w:sz="4" w:space="0"/>
              <w:bottom w:val="single" w:color="auto" w:sz="4" w:space="0"/>
              <w:right w:val="single" w:color="auto" w:sz="4" w:space="0"/>
            </w:tcBorders>
            <w:noWrap/>
            <w:vAlign w:val="center"/>
          </w:tcPr>
          <w:p w14:paraId="5BEFB924">
            <w:pPr>
              <w:jc w:val="center"/>
              <w:rPr>
                <w:rFonts w:ascii="宋体" w:hAnsi="宋体"/>
                <w:b/>
                <w:color w:val="auto"/>
                <w:sz w:val="24"/>
                <w:szCs w:val="24"/>
                <w:highlight w:val="none"/>
              </w:rPr>
            </w:pPr>
            <w:r>
              <w:rPr>
                <w:rFonts w:hint="eastAsia" w:ascii="宋体" w:hAnsi="宋体"/>
                <w:b/>
                <w:color w:val="auto"/>
                <w:sz w:val="24"/>
                <w:szCs w:val="24"/>
                <w:highlight w:val="none"/>
              </w:rPr>
              <w:t>约定内容</w:t>
            </w:r>
          </w:p>
        </w:tc>
        <w:tc>
          <w:tcPr>
            <w:tcW w:w="1559" w:type="dxa"/>
            <w:tcBorders>
              <w:top w:val="single" w:color="auto" w:sz="4" w:space="0"/>
              <w:left w:val="single" w:color="auto" w:sz="4" w:space="0"/>
              <w:bottom w:val="single" w:color="auto" w:sz="4" w:space="0"/>
              <w:right w:val="single" w:color="auto" w:sz="4" w:space="0"/>
            </w:tcBorders>
            <w:noWrap/>
            <w:vAlign w:val="center"/>
          </w:tcPr>
          <w:p w14:paraId="325B4E9F">
            <w:pPr>
              <w:jc w:val="center"/>
              <w:rPr>
                <w:rFonts w:ascii="宋体" w:hAnsi="宋体"/>
                <w:b/>
                <w:color w:val="auto"/>
                <w:sz w:val="24"/>
                <w:szCs w:val="24"/>
                <w:highlight w:val="none"/>
              </w:rPr>
            </w:pPr>
            <w:r>
              <w:rPr>
                <w:rFonts w:hint="eastAsia" w:ascii="宋体" w:hAnsi="宋体"/>
                <w:b/>
                <w:color w:val="auto"/>
                <w:sz w:val="24"/>
                <w:szCs w:val="24"/>
                <w:highlight w:val="none"/>
              </w:rPr>
              <w:t>备注</w:t>
            </w:r>
          </w:p>
        </w:tc>
      </w:tr>
      <w:tr w14:paraId="5F15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A6B1DD3">
            <w:pPr>
              <w:spacing w:before="100" w:beforeAutospacing="1" w:after="100" w:afterAutospacing="1"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268" w:type="dxa"/>
            <w:tcBorders>
              <w:top w:val="single" w:color="auto" w:sz="4" w:space="0"/>
              <w:left w:val="single" w:color="auto" w:sz="4" w:space="0"/>
              <w:bottom w:val="single" w:color="auto" w:sz="4" w:space="0"/>
              <w:right w:val="single" w:color="auto" w:sz="4" w:space="0"/>
            </w:tcBorders>
            <w:noWrap/>
            <w:vAlign w:val="center"/>
          </w:tcPr>
          <w:p w14:paraId="579AEBF6">
            <w:pPr>
              <w:spacing w:before="100" w:beforeAutospacing="1" w:after="100" w:afterAutospacing="1"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总监理工程师</w:t>
            </w:r>
          </w:p>
        </w:tc>
        <w:tc>
          <w:tcPr>
            <w:tcW w:w="4604" w:type="dxa"/>
            <w:tcBorders>
              <w:top w:val="single" w:color="auto" w:sz="4" w:space="0"/>
              <w:left w:val="single" w:color="auto" w:sz="4" w:space="0"/>
              <w:bottom w:val="single" w:color="auto" w:sz="4" w:space="0"/>
              <w:right w:val="single" w:color="auto" w:sz="4" w:space="0"/>
            </w:tcBorders>
            <w:noWrap/>
            <w:vAlign w:val="center"/>
          </w:tcPr>
          <w:p w14:paraId="38795A3C">
            <w:pPr>
              <w:spacing w:line="400" w:lineRule="exact"/>
              <w:contextualSpacing/>
              <w:rPr>
                <w:rFonts w:ascii="宋体" w:hAnsi="宋体"/>
                <w:color w:val="auto"/>
                <w:sz w:val="24"/>
                <w:highlight w:val="none"/>
              </w:rPr>
            </w:pPr>
            <w:r>
              <w:rPr>
                <w:rFonts w:hint="eastAsia" w:ascii="宋体" w:hAnsi="宋体"/>
                <w:color w:val="auto"/>
                <w:sz w:val="24"/>
                <w:highlight w:val="none"/>
              </w:rPr>
              <w:t>姓名：</w:t>
            </w:r>
          </w:p>
          <w:p w14:paraId="67BEC4A3">
            <w:pPr>
              <w:spacing w:line="400" w:lineRule="exact"/>
              <w:contextualSpacing/>
              <w:rPr>
                <w:rFonts w:ascii="宋体" w:hAnsi="宋体"/>
                <w:color w:val="auto"/>
                <w:sz w:val="24"/>
                <w:highlight w:val="none"/>
              </w:rPr>
            </w:pPr>
            <w:r>
              <w:rPr>
                <w:rFonts w:hint="eastAsia" w:ascii="宋体" w:hAnsi="宋体"/>
                <w:color w:val="auto"/>
                <w:sz w:val="24"/>
                <w:highlight w:val="none"/>
              </w:rPr>
              <w:t>技术职称：</w:t>
            </w:r>
          </w:p>
          <w:p w14:paraId="60C5ADB6">
            <w:pPr>
              <w:pStyle w:val="14"/>
              <w:topLinePunct/>
              <w:spacing w:line="400" w:lineRule="exact"/>
              <w:contextualSpacing/>
              <w:rPr>
                <w:rFonts w:hAnsi="宋体"/>
                <w:color w:val="auto"/>
                <w:kern w:val="2"/>
                <w:szCs w:val="24"/>
                <w:highlight w:val="none"/>
              </w:rPr>
            </w:pPr>
            <w:r>
              <w:rPr>
                <w:rFonts w:hint="eastAsia" w:hAnsi="宋体"/>
                <w:color w:val="auto"/>
                <w:highlight w:val="none"/>
              </w:rPr>
              <w:t>注册证号：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53EA81B5">
            <w:pPr>
              <w:spacing w:line="400" w:lineRule="exact"/>
              <w:ind w:firstLine="820" w:firstLineChars="342"/>
              <w:contextualSpacing/>
              <w:rPr>
                <w:rFonts w:ascii="宋体" w:hAnsi="宋体"/>
                <w:color w:val="auto"/>
                <w:sz w:val="24"/>
                <w:szCs w:val="24"/>
                <w:highlight w:val="none"/>
              </w:rPr>
            </w:pPr>
          </w:p>
        </w:tc>
      </w:tr>
      <w:tr w14:paraId="1AF5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960BFF6">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268" w:type="dxa"/>
            <w:tcBorders>
              <w:top w:val="single" w:color="auto" w:sz="4" w:space="0"/>
              <w:left w:val="single" w:color="auto" w:sz="4" w:space="0"/>
              <w:bottom w:val="single" w:color="auto" w:sz="4" w:space="0"/>
              <w:right w:val="single" w:color="auto" w:sz="4" w:space="0"/>
            </w:tcBorders>
            <w:noWrap/>
            <w:vAlign w:val="center"/>
          </w:tcPr>
          <w:p w14:paraId="2355C11A">
            <w:pPr>
              <w:spacing w:before="100" w:beforeAutospacing="1" w:after="100" w:afterAutospacing="1"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监理服务期限</w:t>
            </w:r>
          </w:p>
        </w:tc>
        <w:tc>
          <w:tcPr>
            <w:tcW w:w="4604" w:type="dxa"/>
            <w:tcBorders>
              <w:top w:val="single" w:color="auto" w:sz="4" w:space="0"/>
              <w:left w:val="single" w:color="auto" w:sz="4" w:space="0"/>
              <w:bottom w:val="single" w:color="auto" w:sz="4" w:space="0"/>
              <w:right w:val="single" w:color="auto" w:sz="4" w:space="0"/>
            </w:tcBorders>
            <w:noWrap/>
            <w:vAlign w:val="center"/>
          </w:tcPr>
          <w:p w14:paraId="377DF25D">
            <w:pPr>
              <w:pStyle w:val="14"/>
              <w:topLinePunct/>
              <w:spacing w:line="400" w:lineRule="exact"/>
              <w:contextualSpacing/>
              <w:rPr>
                <w:rFonts w:hAnsi="宋体"/>
                <w:color w:val="auto"/>
                <w:kern w:val="2"/>
                <w:szCs w:val="24"/>
                <w:highlight w:val="none"/>
              </w:rPr>
            </w:pPr>
            <w:r>
              <w:rPr>
                <w:rFonts w:hint="eastAsia" w:hAnsi="宋体"/>
                <w:color w:val="auto"/>
                <w:kern w:val="2"/>
                <w:szCs w:val="24"/>
                <w:highlight w:val="none"/>
                <w:u w:val="single"/>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308B9FFF">
            <w:pPr>
              <w:spacing w:line="400" w:lineRule="exact"/>
              <w:contextualSpacing/>
              <w:rPr>
                <w:rFonts w:ascii="宋体" w:hAnsi="宋体"/>
                <w:color w:val="auto"/>
                <w:sz w:val="24"/>
                <w:szCs w:val="24"/>
                <w:highlight w:val="none"/>
              </w:rPr>
            </w:pPr>
          </w:p>
        </w:tc>
      </w:tr>
      <w:tr w14:paraId="2B6B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51E3D56F">
            <w:pPr>
              <w:tabs>
                <w:tab w:val="left" w:pos="360"/>
              </w:tabs>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3</w:t>
            </w:r>
          </w:p>
        </w:tc>
        <w:tc>
          <w:tcPr>
            <w:tcW w:w="2268" w:type="dxa"/>
            <w:tcBorders>
              <w:top w:val="single" w:color="auto" w:sz="4" w:space="0"/>
              <w:left w:val="single" w:color="auto" w:sz="4" w:space="0"/>
              <w:bottom w:val="single" w:color="auto" w:sz="4" w:space="0"/>
              <w:right w:val="single" w:color="auto" w:sz="4" w:space="0"/>
            </w:tcBorders>
            <w:noWrap/>
            <w:vAlign w:val="center"/>
          </w:tcPr>
          <w:p w14:paraId="7FF9232D">
            <w:pPr>
              <w:spacing w:before="100" w:beforeAutospacing="1" w:after="100" w:afterAutospacing="1"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合同价款确定方式</w:t>
            </w:r>
          </w:p>
        </w:tc>
        <w:tc>
          <w:tcPr>
            <w:tcW w:w="4604" w:type="dxa"/>
            <w:tcBorders>
              <w:top w:val="single" w:color="auto" w:sz="4" w:space="0"/>
              <w:left w:val="single" w:color="auto" w:sz="4" w:space="0"/>
              <w:bottom w:val="single" w:color="auto" w:sz="4" w:space="0"/>
              <w:right w:val="single" w:color="auto" w:sz="4" w:space="0"/>
            </w:tcBorders>
            <w:noWrap/>
            <w:vAlign w:val="center"/>
          </w:tcPr>
          <w:p w14:paraId="1C78B73E">
            <w:pPr>
              <w:spacing w:line="400" w:lineRule="exact"/>
              <w:contextualSpacing/>
              <w:rPr>
                <w:rFonts w:ascii="宋体" w:hAnsi="宋体"/>
                <w:color w:val="auto"/>
                <w:sz w:val="24"/>
                <w:szCs w:val="24"/>
                <w:highlight w:val="none"/>
              </w:rPr>
            </w:pPr>
            <w:r>
              <w:rPr>
                <w:rFonts w:hint="eastAsia" w:ascii="宋体" w:hAnsi="宋体"/>
                <w:color w:val="auto"/>
                <w:sz w:val="24"/>
                <w:highlight w:val="none"/>
                <w:u w:val="single"/>
              </w:rPr>
              <w:t>按合同约定</w:t>
            </w:r>
          </w:p>
        </w:tc>
        <w:tc>
          <w:tcPr>
            <w:tcW w:w="1559" w:type="dxa"/>
            <w:tcBorders>
              <w:top w:val="single" w:color="auto" w:sz="4" w:space="0"/>
              <w:left w:val="single" w:color="auto" w:sz="4" w:space="0"/>
              <w:bottom w:val="single" w:color="auto" w:sz="4" w:space="0"/>
              <w:right w:val="single" w:color="auto" w:sz="4" w:space="0"/>
            </w:tcBorders>
            <w:noWrap/>
            <w:vAlign w:val="center"/>
          </w:tcPr>
          <w:p w14:paraId="5B2C6981">
            <w:pPr>
              <w:tabs>
                <w:tab w:val="left" w:pos="360"/>
              </w:tabs>
              <w:spacing w:line="400" w:lineRule="exact"/>
              <w:contextualSpacing/>
              <w:jc w:val="center"/>
              <w:rPr>
                <w:rFonts w:ascii="宋体" w:hAnsi="宋体"/>
                <w:color w:val="auto"/>
                <w:sz w:val="24"/>
                <w:szCs w:val="24"/>
                <w:highlight w:val="none"/>
              </w:rPr>
            </w:pPr>
          </w:p>
        </w:tc>
      </w:tr>
      <w:tr w14:paraId="7A78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3A4E1F89">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4</w:t>
            </w:r>
          </w:p>
        </w:tc>
        <w:tc>
          <w:tcPr>
            <w:tcW w:w="2268" w:type="dxa"/>
            <w:tcBorders>
              <w:top w:val="single" w:color="auto" w:sz="4" w:space="0"/>
              <w:left w:val="single" w:color="auto" w:sz="4" w:space="0"/>
              <w:bottom w:val="single" w:color="auto" w:sz="4" w:space="0"/>
              <w:right w:val="single" w:color="auto" w:sz="4" w:space="0"/>
            </w:tcBorders>
            <w:noWrap/>
            <w:vAlign w:val="center"/>
          </w:tcPr>
          <w:p w14:paraId="3F997011">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质量标准</w:t>
            </w:r>
          </w:p>
        </w:tc>
        <w:tc>
          <w:tcPr>
            <w:tcW w:w="4604" w:type="dxa"/>
            <w:tcBorders>
              <w:top w:val="single" w:color="auto" w:sz="4" w:space="0"/>
              <w:left w:val="single" w:color="auto" w:sz="4" w:space="0"/>
              <w:bottom w:val="single" w:color="auto" w:sz="4" w:space="0"/>
              <w:right w:val="single" w:color="auto" w:sz="4" w:space="0"/>
            </w:tcBorders>
            <w:noWrap/>
            <w:vAlign w:val="center"/>
          </w:tcPr>
          <w:p w14:paraId="6DC71BA8">
            <w:pPr>
              <w:spacing w:line="400" w:lineRule="exact"/>
              <w:contextualSpacing/>
              <w:rPr>
                <w:rFonts w:ascii="宋体" w:hAnsi="宋体"/>
                <w:color w:val="auto"/>
                <w:sz w:val="24"/>
                <w:szCs w:val="24"/>
                <w:highlight w:val="none"/>
              </w:rPr>
            </w:pPr>
            <w:r>
              <w:rPr>
                <w:rFonts w:hint="eastAsia" w:ascii="宋体" w:hAnsi="宋体"/>
                <w:color w:val="auto"/>
                <w:sz w:val="24"/>
                <w:szCs w:val="24"/>
                <w:highlight w:val="none"/>
                <w:u w:val="single"/>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3A11AD88">
            <w:pPr>
              <w:tabs>
                <w:tab w:val="left" w:pos="360"/>
              </w:tabs>
              <w:spacing w:line="400" w:lineRule="exact"/>
              <w:contextualSpacing/>
              <w:jc w:val="center"/>
              <w:rPr>
                <w:rFonts w:ascii="宋体" w:hAnsi="宋体"/>
                <w:color w:val="auto"/>
                <w:sz w:val="24"/>
                <w:szCs w:val="24"/>
                <w:highlight w:val="none"/>
              </w:rPr>
            </w:pPr>
          </w:p>
        </w:tc>
      </w:tr>
      <w:tr w14:paraId="5C25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3080EFC9">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5</w:t>
            </w:r>
          </w:p>
        </w:tc>
        <w:tc>
          <w:tcPr>
            <w:tcW w:w="2268" w:type="dxa"/>
            <w:tcBorders>
              <w:top w:val="single" w:color="auto" w:sz="4" w:space="0"/>
              <w:left w:val="single" w:color="auto" w:sz="4" w:space="0"/>
              <w:bottom w:val="single" w:color="auto" w:sz="4" w:space="0"/>
              <w:right w:val="single" w:color="auto" w:sz="4" w:space="0"/>
            </w:tcBorders>
            <w:noWrap/>
            <w:vAlign w:val="center"/>
          </w:tcPr>
          <w:p w14:paraId="2011EE03">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拟投入本项目监理机构人数</w:t>
            </w:r>
          </w:p>
        </w:tc>
        <w:tc>
          <w:tcPr>
            <w:tcW w:w="4604" w:type="dxa"/>
            <w:tcBorders>
              <w:top w:val="single" w:color="auto" w:sz="4" w:space="0"/>
              <w:left w:val="single" w:color="auto" w:sz="4" w:space="0"/>
              <w:bottom w:val="single" w:color="auto" w:sz="4" w:space="0"/>
              <w:right w:val="single" w:color="auto" w:sz="4" w:space="0"/>
            </w:tcBorders>
            <w:noWrap/>
            <w:vAlign w:val="center"/>
          </w:tcPr>
          <w:p w14:paraId="55E7E9DB">
            <w:pPr>
              <w:spacing w:line="400" w:lineRule="exact"/>
              <w:contextualSpacing/>
              <w:rPr>
                <w:rFonts w:ascii="宋体" w:hAnsi="宋体"/>
                <w:color w:val="auto"/>
                <w:sz w:val="24"/>
                <w:szCs w:val="24"/>
                <w:highlight w:val="none"/>
              </w:rPr>
            </w:pPr>
            <w:r>
              <w:rPr>
                <w:rFonts w:hint="eastAsia" w:ascii="宋体" w:hAnsi="宋体"/>
                <w:color w:val="auto"/>
                <w:sz w:val="24"/>
                <w:szCs w:val="24"/>
                <w:highlight w:val="none"/>
              </w:rPr>
              <w:t>人数：</w:t>
            </w:r>
          </w:p>
        </w:tc>
        <w:tc>
          <w:tcPr>
            <w:tcW w:w="1559" w:type="dxa"/>
            <w:tcBorders>
              <w:top w:val="single" w:color="auto" w:sz="4" w:space="0"/>
              <w:left w:val="single" w:color="auto" w:sz="4" w:space="0"/>
              <w:bottom w:val="single" w:color="auto" w:sz="4" w:space="0"/>
              <w:right w:val="single" w:color="auto" w:sz="4" w:space="0"/>
            </w:tcBorders>
            <w:noWrap/>
            <w:vAlign w:val="center"/>
          </w:tcPr>
          <w:p w14:paraId="54D55296">
            <w:pPr>
              <w:tabs>
                <w:tab w:val="left" w:pos="360"/>
              </w:tabs>
              <w:spacing w:line="400" w:lineRule="exact"/>
              <w:contextualSpacing/>
              <w:jc w:val="center"/>
              <w:rPr>
                <w:rFonts w:ascii="宋体" w:hAnsi="宋体"/>
                <w:color w:val="auto"/>
                <w:sz w:val="24"/>
                <w:szCs w:val="24"/>
                <w:highlight w:val="none"/>
              </w:rPr>
            </w:pPr>
          </w:p>
        </w:tc>
      </w:tr>
      <w:tr w14:paraId="7EE7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2FCAEAF1">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6</w:t>
            </w:r>
          </w:p>
        </w:tc>
        <w:tc>
          <w:tcPr>
            <w:tcW w:w="2268" w:type="dxa"/>
            <w:tcBorders>
              <w:top w:val="single" w:color="auto" w:sz="4" w:space="0"/>
              <w:left w:val="single" w:color="auto" w:sz="4" w:space="0"/>
              <w:bottom w:val="single" w:color="auto" w:sz="4" w:space="0"/>
              <w:right w:val="single" w:color="auto" w:sz="4" w:space="0"/>
            </w:tcBorders>
            <w:noWrap/>
            <w:vAlign w:val="center"/>
          </w:tcPr>
          <w:p w14:paraId="757DE588">
            <w:pPr>
              <w:spacing w:line="400" w:lineRule="exact"/>
              <w:contextualSpacing/>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投标总报价</w:t>
            </w:r>
          </w:p>
        </w:tc>
        <w:tc>
          <w:tcPr>
            <w:tcW w:w="4604" w:type="dxa"/>
            <w:tcBorders>
              <w:top w:val="single" w:color="auto" w:sz="4" w:space="0"/>
              <w:left w:val="single" w:color="auto" w:sz="4" w:space="0"/>
              <w:bottom w:val="single" w:color="auto" w:sz="4" w:space="0"/>
              <w:right w:val="single" w:color="auto" w:sz="4" w:space="0"/>
            </w:tcBorders>
            <w:noWrap/>
            <w:vAlign w:val="center"/>
          </w:tcPr>
          <w:p w14:paraId="3060B126">
            <w:pPr>
              <w:spacing w:before="156" w:beforeLines="50" w:after="156" w:afterLines="50" w:line="400" w:lineRule="exact"/>
              <w:contextualSpacing/>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大写：</w:t>
            </w:r>
          </w:p>
          <w:p w14:paraId="7D7D1E0B">
            <w:pPr>
              <w:spacing w:before="156" w:beforeLines="50" w:after="156" w:afterLines="50" w:line="400" w:lineRule="exact"/>
              <w:contextualSpacing/>
              <w:rPr>
                <w:rFonts w:hAnsi="宋体"/>
                <w:color w:val="auto"/>
                <w:highlight w:val="none"/>
                <w:u w:val="single"/>
              </w:rPr>
            </w:pPr>
            <w:r>
              <w:rPr>
                <w:rFonts w:hint="eastAsia" w:ascii="宋体" w:hAnsi="宋体"/>
                <w:color w:val="auto"/>
                <w:sz w:val="24"/>
                <w:szCs w:val="24"/>
                <w:highlight w:val="none"/>
                <w:lang w:val="en-US" w:eastAsia="zh-CN"/>
              </w:rPr>
              <w:t>小写：</w:t>
            </w:r>
          </w:p>
        </w:tc>
        <w:tc>
          <w:tcPr>
            <w:tcW w:w="1559" w:type="dxa"/>
            <w:tcBorders>
              <w:top w:val="single" w:color="auto" w:sz="4" w:space="0"/>
              <w:left w:val="single" w:color="auto" w:sz="4" w:space="0"/>
              <w:bottom w:val="single" w:color="auto" w:sz="4" w:space="0"/>
              <w:right w:val="single" w:color="auto" w:sz="4" w:space="0"/>
            </w:tcBorders>
            <w:noWrap/>
            <w:vAlign w:val="center"/>
          </w:tcPr>
          <w:p w14:paraId="4059ABB7">
            <w:pPr>
              <w:tabs>
                <w:tab w:val="left" w:pos="360"/>
              </w:tabs>
              <w:spacing w:line="400" w:lineRule="exact"/>
              <w:contextualSpacing/>
              <w:jc w:val="center"/>
              <w:rPr>
                <w:rFonts w:ascii="宋体" w:hAnsi="宋体"/>
                <w:b/>
                <w:color w:val="auto"/>
                <w:szCs w:val="21"/>
                <w:highlight w:val="none"/>
              </w:rPr>
            </w:pPr>
          </w:p>
        </w:tc>
      </w:tr>
      <w:tr w14:paraId="7BA2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11E937E7">
            <w:pPr>
              <w:spacing w:line="400" w:lineRule="exact"/>
              <w:contextualSpacing/>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2268" w:type="dxa"/>
            <w:tcBorders>
              <w:top w:val="single" w:color="auto" w:sz="4" w:space="0"/>
              <w:left w:val="single" w:color="auto" w:sz="4" w:space="0"/>
              <w:bottom w:val="single" w:color="auto" w:sz="4" w:space="0"/>
              <w:right w:val="single" w:color="auto" w:sz="4" w:space="0"/>
            </w:tcBorders>
            <w:noWrap/>
            <w:vAlign w:val="center"/>
          </w:tcPr>
          <w:p w14:paraId="1DF68C56">
            <w:pPr>
              <w:spacing w:line="400" w:lineRule="exact"/>
              <w:contextualSpacing/>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报价下浮率（%）</w:t>
            </w:r>
          </w:p>
        </w:tc>
        <w:tc>
          <w:tcPr>
            <w:tcW w:w="4604" w:type="dxa"/>
            <w:tcBorders>
              <w:top w:val="single" w:color="auto" w:sz="4" w:space="0"/>
              <w:left w:val="single" w:color="auto" w:sz="4" w:space="0"/>
              <w:bottom w:val="single" w:color="auto" w:sz="4" w:space="0"/>
              <w:right w:val="single" w:color="auto" w:sz="4" w:space="0"/>
            </w:tcBorders>
            <w:noWrap/>
            <w:vAlign w:val="center"/>
          </w:tcPr>
          <w:p w14:paraId="432A5B2F">
            <w:pPr>
              <w:spacing w:before="156" w:beforeLines="50" w:after="156" w:afterLines="50" w:line="400" w:lineRule="exact"/>
              <w:contextualSpacing/>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02B9DCB">
            <w:pPr>
              <w:tabs>
                <w:tab w:val="left" w:pos="360"/>
              </w:tabs>
              <w:spacing w:line="400" w:lineRule="exact"/>
              <w:contextualSpacing/>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例：如下浮5%则填写“5%”</w:t>
            </w:r>
          </w:p>
        </w:tc>
      </w:tr>
      <w:tr w14:paraId="0989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578C60C9">
            <w:pPr>
              <w:spacing w:line="400" w:lineRule="exact"/>
              <w:contextualSpacing/>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8</w:t>
            </w:r>
          </w:p>
        </w:tc>
        <w:tc>
          <w:tcPr>
            <w:tcW w:w="2268" w:type="dxa"/>
            <w:tcBorders>
              <w:top w:val="single" w:color="auto" w:sz="4" w:space="0"/>
              <w:left w:val="single" w:color="auto" w:sz="4" w:space="0"/>
              <w:bottom w:val="single" w:color="auto" w:sz="4" w:space="0"/>
              <w:right w:val="single" w:color="auto" w:sz="4" w:space="0"/>
            </w:tcBorders>
            <w:noWrap/>
            <w:vAlign w:val="center"/>
          </w:tcPr>
          <w:p w14:paraId="38FC6A4C">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法 人 营 业</w:t>
            </w:r>
          </w:p>
          <w:p w14:paraId="7C891A51">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执 照 证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656AB136">
            <w:pPr>
              <w:spacing w:line="400" w:lineRule="exact"/>
              <w:contextualSpacing/>
              <w:rPr>
                <w:rFonts w:ascii="宋体" w:hAnsi="宋体"/>
                <w:color w:val="auto"/>
                <w:sz w:val="24"/>
                <w:szCs w:val="24"/>
                <w:highlight w:val="none"/>
              </w:rPr>
            </w:pPr>
            <w:r>
              <w:rPr>
                <w:rFonts w:hint="eastAsia" w:ascii="宋体" w:hAnsi="宋体"/>
                <w:color w:val="auto"/>
                <w:sz w:val="24"/>
                <w:szCs w:val="24"/>
                <w:highlight w:val="none"/>
              </w:rPr>
              <w:t>法 人 营 业</w:t>
            </w:r>
          </w:p>
          <w:p w14:paraId="0754FA75">
            <w:pPr>
              <w:spacing w:line="400" w:lineRule="exact"/>
              <w:contextualSpacing/>
              <w:rPr>
                <w:rFonts w:ascii="宋体" w:hAnsi="宋体"/>
                <w:color w:val="auto"/>
                <w:sz w:val="24"/>
                <w:szCs w:val="24"/>
                <w:highlight w:val="none"/>
              </w:rPr>
            </w:pPr>
            <w:r>
              <w:rPr>
                <w:rFonts w:hint="eastAsia" w:ascii="宋体" w:hAnsi="宋体"/>
                <w:color w:val="auto"/>
                <w:sz w:val="24"/>
                <w:szCs w:val="24"/>
                <w:highlight w:val="none"/>
              </w:rPr>
              <w:t>执 照 证 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0262F51C">
            <w:pPr>
              <w:spacing w:line="400" w:lineRule="exact"/>
              <w:contextualSpacing/>
              <w:jc w:val="center"/>
              <w:rPr>
                <w:rFonts w:ascii="宋体" w:hAnsi="宋体"/>
                <w:color w:val="auto"/>
                <w:sz w:val="24"/>
                <w:szCs w:val="24"/>
                <w:highlight w:val="none"/>
              </w:rPr>
            </w:pPr>
          </w:p>
        </w:tc>
      </w:tr>
      <w:tr w14:paraId="2935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3383F1C8">
            <w:pPr>
              <w:spacing w:line="400" w:lineRule="exact"/>
              <w:contextualSpacing/>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9</w:t>
            </w:r>
          </w:p>
        </w:tc>
        <w:tc>
          <w:tcPr>
            <w:tcW w:w="2268" w:type="dxa"/>
            <w:tcBorders>
              <w:top w:val="single" w:color="auto" w:sz="4" w:space="0"/>
              <w:left w:val="single" w:color="auto" w:sz="4" w:space="0"/>
              <w:bottom w:val="single" w:color="auto" w:sz="4" w:space="0"/>
              <w:right w:val="single" w:color="auto" w:sz="4" w:space="0"/>
            </w:tcBorders>
            <w:noWrap/>
            <w:vAlign w:val="center"/>
          </w:tcPr>
          <w:p w14:paraId="0DC24942">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资 质 等 级</w:t>
            </w:r>
          </w:p>
          <w:p w14:paraId="7B93142A">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及 证 书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41FAA3DD">
            <w:pPr>
              <w:spacing w:line="400" w:lineRule="exact"/>
              <w:contextualSpacing/>
              <w:rPr>
                <w:rFonts w:ascii="宋体" w:hAnsi="宋体"/>
                <w:color w:val="auto"/>
                <w:sz w:val="24"/>
                <w:szCs w:val="24"/>
                <w:highlight w:val="none"/>
              </w:rPr>
            </w:pPr>
            <w:r>
              <w:rPr>
                <w:rFonts w:hint="eastAsia" w:ascii="宋体" w:hAnsi="宋体"/>
                <w:color w:val="auto"/>
                <w:sz w:val="24"/>
                <w:szCs w:val="24"/>
                <w:highlight w:val="none"/>
              </w:rPr>
              <w:t>资质等级：</w:t>
            </w:r>
          </w:p>
          <w:p w14:paraId="3A7E5847">
            <w:pPr>
              <w:spacing w:line="400" w:lineRule="exact"/>
              <w:contextualSpacing/>
              <w:rPr>
                <w:rFonts w:ascii="宋体" w:hAnsi="宋体"/>
                <w:color w:val="auto"/>
                <w:sz w:val="24"/>
                <w:szCs w:val="24"/>
                <w:highlight w:val="none"/>
              </w:rPr>
            </w:pPr>
            <w:r>
              <w:rPr>
                <w:rFonts w:hint="eastAsia" w:ascii="宋体" w:hAnsi="宋体"/>
                <w:color w:val="auto"/>
                <w:sz w:val="24"/>
                <w:szCs w:val="24"/>
                <w:highlight w:val="none"/>
              </w:rPr>
              <w:t>资质证书号：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5BC0F987">
            <w:pPr>
              <w:spacing w:line="400" w:lineRule="exact"/>
              <w:contextualSpacing/>
              <w:jc w:val="center"/>
              <w:rPr>
                <w:rFonts w:ascii="宋体" w:hAnsi="宋体"/>
                <w:color w:val="auto"/>
                <w:sz w:val="24"/>
                <w:szCs w:val="24"/>
                <w:highlight w:val="none"/>
              </w:rPr>
            </w:pPr>
          </w:p>
        </w:tc>
      </w:tr>
      <w:tr w14:paraId="7836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7DC4B50">
            <w:pPr>
              <w:spacing w:line="400" w:lineRule="exact"/>
              <w:contextualSpacing/>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2268" w:type="dxa"/>
            <w:tcBorders>
              <w:top w:val="single" w:color="auto" w:sz="4" w:space="0"/>
              <w:left w:val="single" w:color="auto" w:sz="4" w:space="0"/>
              <w:bottom w:val="single" w:color="auto" w:sz="4" w:space="0"/>
              <w:right w:val="single" w:color="auto" w:sz="4" w:space="0"/>
            </w:tcBorders>
            <w:noWrap/>
            <w:vAlign w:val="center"/>
          </w:tcPr>
          <w:p w14:paraId="299E3D25">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需要建设单位提</w:t>
            </w:r>
          </w:p>
          <w:p w14:paraId="01BEE79E">
            <w:pPr>
              <w:spacing w:line="400" w:lineRule="exact"/>
              <w:contextualSpacing/>
              <w:jc w:val="center"/>
              <w:rPr>
                <w:rFonts w:ascii="宋体" w:hAnsi="宋体"/>
                <w:color w:val="auto"/>
                <w:sz w:val="24"/>
                <w:szCs w:val="24"/>
                <w:highlight w:val="none"/>
              </w:rPr>
            </w:pPr>
            <w:r>
              <w:rPr>
                <w:rFonts w:hint="eastAsia" w:ascii="宋体" w:hAnsi="宋体"/>
                <w:color w:val="auto"/>
                <w:sz w:val="24"/>
                <w:szCs w:val="24"/>
                <w:highlight w:val="none"/>
              </w:rPr>
              <w:t xml:space="preserve"> 供的配合条件</w:t>
            </w:r>
          </w:p>
        </w:tc>
        <w:tc>
          <w:tcPr>
            <w:tcW w:w="4604" w:type="dxa"/>
            <w:tcBorders>
              <w:top w:val="single" w:color="auto" w:sz="4" w:space="0"/>
              <w:left w:val="single" w:color="auto" w:sz="4" w:space="0"/>
              <w:bottom w:val="single" w:color="auto" w:sz="4" w:space="0"/>
              <w:right w:val="single" w:color="auto" w:sz="4" w:space="0"/>
            </w:tcBorders>
            <w:noWrap/>
            <w:vAlign w:val="center"/>
          </w:tcPr>
          <w:p w14:paraId="311FB13F">
            <w:pPr>
              <w:spacing w:line="400" w:lineRule="exact"/>
              <w:contextualSpacing/>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DB10863">
            <w:pPr>
              <w:spacing w:line="400" w:lineRule="exact"/>
              <w:contextualSpacing/>
              <w:jc w:val="center"/>
              <w:rPr>
                <w:rFonts w:ascii="宋体" w:hAnsi="宋体"/>
                <w:color w:val="auto"/>
                <w:sz w:val="24"/>
                <w:szCs w:val="24"/>
                <w:highlight w:val="none"/>
              </w:rPr>
            </w:pPr>
          </w:p>
        </w:tc>
      </w:tr>
    </w:tbl>
    <w:p w14:paraId="43E17636">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w:t>
      </w:r>
    </w:p>
    <w:p w14:paraId="4E9620BE">
      <w:pPr>
        <w:spacing w:line="360" w:lineRule="auto"/>
        <w:ind w:firstLine="722" w:firstLineChars="344"/>
        <w:jc w:val="left"/>
        <w:rPr>
          <w:rFonts w:ascii="宋体" w:hAnsi="宋体"/>
          <w:color w:val="auto"/>
          <w:sz w:val="24"/>
          <w:szCs w:val="24"/>
          <w:highlight w:val="none"/>
        </w:rPr>
      </w:pPr>
      <w:r>
        <w:rPr>
          <w:rFonts w:hint="eastAsia" w:ascii="宋体" w:hAnsi="宋体"/>
          <w:color w:val="auto"/>
          <w:szCs w:val="21"/>
          <w:highlight w:val="none"/>
        </w:rPr>
        <w:t>1.</w:t>
      </w:r>
      <w:r>
        <w:rPr>
          <w:rFonts w:hint="eastAsia"/>
          <w:color w:val="auto"/>
          <w:highlight w:val="none"/>
        </w:rPr>
        <w:t>投标人根据企业自身情况进行报价，</w:t>
      </w:r>
      <w:r>
        <w:rPr>
          <w:rFonts w:hint="eastAsia"/>
          <w:bCs/>
          <w:color w:val="auto"/>
          <w:highlight w:val="none"/>
        </w:rPr>
        <w:t>投标报价不得超过最高投标限价。</w:t>
      </w:r>
      <w:r>
        <w:rPr>
          <w:rFonts w:hint="eastAsia" w:ascii="宋体" w:hAnsi="宋体"/>
          <w:color w:val="auto"/>
          <w:szCs w:val="21"/>
          <w:highlight w:val="none"/>
        </w:rPr>
        <w:t>小数点后保留两位小数，第三位小数四舍五入。</w:t>
      </w:r>
    </w:p>
    <w:p w14:paraId="529DC88D">
      <w:pPr>
        <w:spacing w:line="360" w:lineRule="auto"/>
        <w:ind w:firstLine="3120" w:firstLineChars="1300"/>
        <w:jc w:val="left"/>
        <w:rPr>
          <w:rFonts w:ascii="宋体" w:hAnsi="宋体"/>
          <w:color w:val="auto"/>
          <w:sz w:val="24"/>
          <w:szCs w:val="24"/>
          <w:highlight w:val="none"/>
        </w:rPr>
      </w:pPr>
    </w:p>
    <w:p w14:paraId="21206B24">
      <w:pPr>
        <w:spacing w:line="360" w:lineRule="auto"/>
        <w:ind w:firstLine="2880" w:firstLineChars="1200"/>
        <w:jc w:val="lef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ab/>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（盖单位章）</w:t>
      </w:r>
    </w:p>
    <w:p w14:paraId="67D85643">
      <w:pPr>
        <w:spacing w:line="360" w:lineRule="auto"/>
        <w:ind w:firstLine="3120" w:firstLineChars="1300"/>
        <w:jc w:val="left"/>
        <w:rPr>
          <w:rFonts w:ascii="宋体" w:hAnsi="宋体"/>
          <w:color w:val="auto"/>
          <w:sz w:val="24"/>
          <w:highlight w:val="none"/>
        </w:rPr>
      </w:pPr>
      <w:r>
        <w:rPr>
          <w:rFonts w:hint="eastAsia" w:ascii="宋体" w:hAnsi="宋体"/>
          <w:color w:val="auto"/>
          <w:sz w:val="24"/>
          <w:highlight w:val="none"/>
        </w:rPr>
        <w:t xml:space="preserve"> 法定代表人或其委托代理人：（签字或盖章）</w:t>
      </w:r>
    </w:p>
    <w:p w14:paraId="5BD49D8F">
      <w:pPr>
        <w:wordWrap w:val="0"/>
        <w:spacing w:line="360" w:lineRule="auto"/>
        <w:ind w:firstLine="5400" w:firstLineChars="2250"/>
        <w:jc w:val="right"/>
        <w:rPr>
          <w:rFonts w:ascii="宋体" w:hAnsi="宋体"/>
          <w:color w:val="auto"/>
          <w:sz w:val="24"/>
          <w:highlight w:val="none"/>
        </w:rPr>
      </w:pPr>
      <w:r>
        <w:rPr>
          <w:rFonts w:hint="eastAsia" w:ascii="宋体" w:hAnsi="宋体"/>
          <w:color w:val="auto"/>
          <w:sz w:val="24"/>
          <w:highlight w:val="none"/>
        </w:rPr>
        <w:t xml:space="preserve">   年    月    日</w:t>
      </w:r>
    </w:p>
    <w:p w14:paraId="554232F7">
      <w:pPr>
        <w:pStyle w:val="4"/>
        <w:spacing w:line="600" w:lineRule="auto"/>
        <w:rPr>
          <w:rFonts w:ascii="宋体" w:hAnsi="宋体" w:eastAsia="宋体"/>
          <w:color w:val="auto"/>
          <w:sz w:val="30"/>
          <w:szCs w:val="30"/>
          <w:highlight w:val="none"/>
        </w:rPr>
      </w:pPr>
      <w:r>
        <w:rPr>
          <w:rFonts w:hint="eastAsia" w:ascii="宋体" w:hAnsi="宋体"/>
          <w:b w:val="0"/>
          <w:bCs w:val="0"/>
          <w:color w:val="auto"/>
          <w:highlight w:val="none"/>
        </w:rPr>
        <w:br w:type="page"/>
      </w:r>
      <w:bookmarkStart w:id="471" w:name="_Toc529196603"/>
      <w:bookmarkStart w:id="472" w:name="_Toc530470646"/>
      <w:bookmarkStart w:id="473" w:name="_Toc535938754"/>
      <w:r>
        <w:rPr>
          <w:rFonts w:hint="eastAsia" w:ascii="宋体" w:hAnsi="宋体" w:eastAsia="宋体"/>
          <w:color w:val="auto"/>
          <w:sz w:val="30"/>
          <w:szCs w:val="30"/>
          <w:highlight w:val="none"/>
        </w:rPr>
        <w:t>二</w:t>
      </w:r>
      <w:bookmarkEnd w:id="460"/>
      <w:bookmarkEnd w:id="461"/>
      <w:bookmarkEnd w:id="462"/>
      <w:bookmarkEnd w:id="463"/>
      <w:bookmarkEnd w:id="464"/>
      <w:bookmarkEnd w:id="465"/>
      <w:bookmarkEnd w:id="466"/>
      <w:bookmarkEnd w:id="467"/>
      <w:bookmarkEnd w:id="468"/>
      <w:bookmarkEnd w:id="469"/>
      <w:bookmarkEnd w:id="470"/>
      <w:r>
        <w:rPr>
          <w:rFonts w:hint="eastAsia" w:ascii="宋体" w:hAnsi="宋体" w:eastAsia="宋体"/>
          <w:color w:val="auto"/>
          <w:sz w:val="30"/>
          <w:szCs w:val="30"/>
          <w:highlight w:val="none"/>
        </w:rPr>
        <w:t>、法定代表人身份证明或授权委托书（格式可自定）</w:t>
      </w:r>
      <w:bookmarkEnd w:id="471"/>
      <w:bookmarkEnd w:id="472"/>
      <w:bookmarkEnd w:id="473"/>
    </w:p>
    <w:p w14:paraId="25F24B92">
      <w:pPr>
        <w:spacing w:line="360" w:lineRule="auto"/>
        <w:jc w:val="center"/>
        <w:rPr>
          <w:rFonts w:ascii="宋体" w:hAnsi="宋体"/>
          <w:b/>
          <w:color w:val="auto"/>
          <w:sz w:val="24"/>
          <w:szCs w:val="24"/>
          <w:highlight w:val="none"/>
        </w:rPr>
      </w:pPr>
      <w:r>
        <w:rPr>
          <w:rFonts w:hint="eastAsia" w:ascii="宋体" w:hAnsi="宋体"/>
          <w:b/>
          <w:color w:val="auto"/>
          <w:sz w:val="32"/>
          <w:szCs w:val="32"/>
          <w:highlight w:val="none"/>
        </w:rPr>
        <w:t>法定代表人身份证明</w:t>
      </w:r>
    </w:p>
    <w:p w14:paraId="0FA184BA">
      <w:pPr>
        <w:spacing w:line="440" w:lineRule="exact"/>
        <w:rPr>
          <w:rFonts w:ascii="宋体" w:hAnsi="宋体"/>
          <w:color w:val="auto"/>
          <w:sz w:val="24"/>
          <w:highlight w:val="none"/>
        </w:rPr>
      </w:pPr>
      <w:r>
        <w:rPr>
          <w:rFonts w:hint="eastAsia" w:ascii="宋体" w:hAnsi="宋体"/>
          <w:color w:val="auto"/>
          <w:sz w:val="24"/>
          <w:highlight w:val="none"/>
        </w:rPr>
        <w:t>投标人名称：</w:t>
      </w:r>
    </w:p>
    <w:p w14:paraId="6AB26B7F">
      <w:pPr>
        <w:spacing w:line="440" w:lineRule="exact"/>
        <w:rPr>
          <w:rFonts w:ascii="宋体" w:hAnsi="宋体"/>
          <w:color w:val="auto"/>
          <w:sz w:val="24"/>
          <w:highlight w:val="none"/>
        </w:rPr>
      </w:pPr>
      <w:r>
        <w:rPr>
          <w:rFonts w:hint="eastAsia" w:ascii="宋体" w:hAnsi="宋体"/>
          <w:color w:val="auto"/>
          <w:sz w:val="24"/>
          <w:highlight w:val="none"/>
        </w:rPr>
        <w:t>姓名：性别：年龄：职务：</w:t>
      </w:r>
    </w:p>
    <w:p w14:paraId="43BCD104">
      <w:pPr>
        <w:spacing w:line="440" w:lineRule="exact"/>
        <w:rPr>
          <w:rFonts w:ascii="宋体" w:hAnsi="宋体"/>
          <w:color w:val="auto"/>
          <w:sz w:val="24"/>
          <w:highlight w:val="none"/>
        </w:rPr>
      </w:pPr>
      <w:r>
        <w:rPr>
          <w:rFonts w:hint="eastAsia" w:ascii="宋体" w:hAnsi="宋体"/>
          <w:color w:val="auto"/>
          <w:sz w:val="24"/>
          <w:highlight w:val="none"/>
        </w:rPr>
        <w:t>系（投标人名称）的法定代表人。</w:t>
      </w:r>
    </w:p>
    <w:p w14:paraId="4B091D3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14:paraId="6F603343">
      <w:pPr>
        <w:spacing w:line="440" w:lineRule="exact"/>
        <w:rPr>
          <w:rFonts w:ascii="宋体" w:hAnsi="宋体"/>
          <w:color w:val="auto"/>
          <w:sz w:val="24"/>
          <w:szCs w:val="24"/>
          <w:highlight w:val="none"/>
        </w:rPr>
      </w:pPr>
    </w:p>
    <w:p w14:paraId="536EC267">
      <w:pPr>
        <w:spacing w:line="440" w:lineRule="exact"/>
        <w:rPr>
          <w:rFonts w:ascii="宋体" w:hAnsi="宋体"/>
          <w:color w:val="auto"/>
          <w:sz w:val="24"/>
          <w:szCs w:val="24"/>
          <w:highlight w:val="none"/>
        </w:rPr>
      </w:pPr>
      <w:r>
        <w:rPr>
          <w:rFonts w:hint="eastAsia" w:ascii="宋体" w:hAnsi="宋体"/>
          <w:color w:val="auto"/>
          <w:sz w:val="24"/>
          <w:szCs w:val="24"/>
          <w:highlight w:val="none"/>
        </w:rPr>
        <w:t>附：法定代表人身份证复印件。</w:t>
      </w:r>
    </w:p>
    <w:p w14:paraId="42723A14">
      <w:pPr>
        <w:spacing w:line="440" w:lineRule="exact"/>
        <w:ind w:firstLine="480" w:firstLineChars="200"/>
        <w:rPr>
          <w:rFonts w:ascii="宋体" w:hAnsi="宋体"/>
          <w:color w:val="auto"/>
          <w:sz w:val="24"/>
          <w:szCs w:val="24"/>
          <w:highlight w:val="none"/>
        </w:rPr>
      </w:pPr>
    </w:p>
    <w:p w14:paraId="05F62F4D">
      <w:pPr>
        <w:spacing w:line="440" w:lineRule="exact"/>
        <w:rPr>
          <w:rFonts w:ascii="宋体" w:hAnsi="宋体"/>
          <w:color w:val="auto"/>
          <w:sz w:val="24"/>
          <w:szCs w:val="24"/>
          <w:highlight w:val="none"/>
        </w:rPr>
      </w:pPr>
      <w:r>
        <w:rPr>
          <w:rFonts w:hint="eastAsia" w:ascii="宋体" w:hAnsi="宋体"/>
          <w:color w:val="auto"/>
          <w:sz w:val="24"/>
          <w:szCs w:val="24"/>
          <w:highlight w:val="none"/>
        </w:rPr>
        <w:t>注：本身份证明需由投标人加盖单位公章。</w:t>
      </w:r>
    </w:p>
    <w:p w14:paraId="0DB6DC1E">
      <w:pPr>
        <w:spacing w:line="440" w:lineRule="exact"/>
        <w:rPr>
          <w:rFonts w:ascii="宋体" w:hAnsi="宋体"/>
          <w:color w:val="auto"/>
          <w:sz w:val="24"/>
          <w:szCs w:val="24"/>
          <w:highlight w:val="none"/>
        </w:rPr>
      </w:pPr>
    </w:p>
    <w:p w14:paraId="6A17FD17">
      <w:pPr>
        <w:spacing w:line="440" w:lineRule="exact"/>
        <w:rPr>
          <w:rFonts w:ascii="宋体" w:hAnsi="宋体"/>
          <w:color w:val="auto"/>
          <w:sz w:val="24"/>
          <w:szCs w:val="24"/>
          <w:highlight w:val="none"/>
        </w:rPr>
      </w:pPr>
    </w:p>
    <w:p w14:paraId="2B32D970">
      <w:pPr>
        <w:spacing w:line="440" w:lineRule="exact"/>
        <w:jc w:val="center"/>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ab/>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（盖单位章）</w:t>
      </w:r>
    </w:p>
    <w:p w14:paraId="61362B62">
      <w:pPr>
        <w:spacing w:line="440" w:lineRule="exact"/>
        <w:rPr>
          <w:rFonts w:ascii="宋体" w:hAnsi="宋体"/>
          <w:color w:val="auto"/>
          <w:sz w:val="24"/>
          <w:highlight w:val="none"/>
        </w:rPr>
      </w:pPr>
    </w:p>
    <w:p w14:paraId="766C9D17">
      <w:pPr>
        <w:spacing w:line="440" w:lineRule="exact"/>
        <w:ind w:firstLine="5280" w:firstLineChars="2200"/>
        <w:rPr>
          <w:rFonts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3BAF51C5">
      <w:pPr>
        <w:spacing w:line="440" w:lineRule="exact"/>
        <w:jc w:val="center"/>
        <w:rPr>
          <w:rFonts w:ascii="宋体" w:hAnsi="宋体"/>
          <w:color w:val="auto"/>
          <w:sz w:val="24"/>
          <w:szCs w:val="24"/>
          <w:highlight w:val="none"/>
        </w:rPr>
      </w:pPr>
    </w:p>
    <w:p w14:paraId="0D4186C5">
      <w:pPr>
        <w:spacing w:line="360" w:lineRule="auto"/>
        <w:jc w:val="center"/>
        <w:rPr>
          <w:rFonts w:ascii="宋体" w:hAnsi="宋体"/>
          <w:b/>
          <w:color w:val="auto"/>
          <w:sz w:val="32"/>
          <w:szCs w:val="32"/>
          <w:highlight w:val="none"/>
        </w:rPr>
      </w:pPr>
      <w:r>
        <w:rPr>
          <w:rFonts w:hint="eastAsia" w:ascii="宋体" w:hAnsi="宋体"/>
          <w:b/>
          <w:bCs/>
          <w:color w:val="auto"/>
          <w:sz w:val="20"/>
          <w:highlight w:val="none"/>
        </w:rPr>
        <w:br w:type="page"/>
      </w:r>
      <w:bookmarkStart w:id="474" w:name="_Toc535938755"/>
      <w:bookmarkEnd w:id="474"/>
      <w:bookmarkStart w:id="475" w:name="_Toc529196604"/>
      <w:bookmarkEnd w:id="475"/>
      <w:bookmarkStart w:id="476" w:name="_Toc530470647"/>
      <w:bookmarkEnd w:id="476"/>
      <w:r>
        <w:rPr>
          <w:rFonts w:hint="eastAsia" w:ascii="宋体" w:hAnsi="宋体"/>
          <w:b/>
          <w:color w:val="auto"/>
          <w:sz w:val="32"/>
          <w:szCs w:val="32"/>
          <w:highlight w:val="none"/>
        </w:rPr>
        <w:t>授权委托书</w:t>
      </w:r>
    </w:p>
    <w:p w14:paraId="774C7FFA">
      <w:pPr>
        <w:topLinePunct/>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人（姓名）系（投标人名称）的法定代表人，现委托（姓名）为我方代理人。代理人根据授权，以我方名义签署、澄清确认、递交、撤回、修改招标项目投标文件、签订合同和处理有关事宜，其法律后果由我方承担。</w:t>
      </w:r>
    </w:p>
    <w:p w14:paraId="22FD556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委托期限：。</w:t>
      </w:r>
    </w:p>
    <w:p w14:paraId="75E7F83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代理人无转委托权。</w:t>
      </w:r>
    </w:p>
    <w:p w14:paraId="344E0DCE">
      <w:pPr>
        <w:spacing w:line="440" w:lineRule="exact"/>
        <w:ind w:firstLine="480" w:firstLineChars="200"/>
        <w:rPr>
          <w:rFonts w:ascii="宋体" w:hAnsi="宋体"/>
          <w:color w:val="auto"/>
          <w:sz w:val="24"/>
          <w:szCs w:val="24"/>
          <w:highlight w:val="none"/>
        </w:rPr>
      </w:pPr>
    </w:p>
    <w:p w14:paraId="080ADDB3">
      <w:pPr>
        <w:spacing w:line="440" w:lineRule="exact"/>
        <w:rPr>
          <w:rFonts w:ascii="宋体" w:hAnsi="宋体"/>
          <w:color w:val="auto"/>
          <w:sz w:val="24"/>
          <w:szCs w:val="24"/>
          <w:highlight w:val="none"/>
        </w:rPr>
      </w:pPr>
      <w:r>
        <w:rPr>
          <w:rFonts w:hint="eastAsia" w:ascii="宋体" w:hAnsi="宋体"/>
          <w:color w:val="auto"/>
          <w:sz w:val="24"/>
          <w:szCs w:val="24"/>
          <w:highlight w:val="none"/>
        </w:rPr>
        <w:t>附：法定代表人身份证复印件及委托代理人身份证复印件</w:t>
      </w:r>
    </w:p>
    <w:p w14:paraId="6A555564">
      <w:pPr>
        <w:spacing w:line="440" w:lineRule="exact"/>
        <w:rPr>
          <w:rFonts w:ascii="宋体" w:hAnsi="宋体"/>
          <w:color w:val="auto"/>
          <w:sz w:val="24"/>
          <w:szCs w:val="24"/>
          <w:highlight w:val="none"/>
        </w:rPr>
      </w:pPr>
    </w:p>
    <w:p w14:paraId="75CECBE4">
      <w:pPr>
        <w:spacing w:line="440" w:lineRule="exact"/>
        <w:rPr>
          <w:rFonts w:ascii="宋体" w:hAnsi="宋体"/>
          <w:color w:val="auto"/>
          <w:sz w:val="24"/>
          <w:szCs w:val="24"/>
          <w:highlight w:val="none"/>
        </w:rPr>
      </w:pPr>
      <w:r>
        <w:rPr>
          <w:rFonts w:hint="eastAsia" w:ascii="宋体" w:hAnsi="宋体"/>
          <w:color w:val="auto"/>
          <w:sz w:val="24"/>
          <w:szCs w:val="24"/>
          <w:highlight w:val="none"/>
        </w:rPr>
        <w:t>注：本授权委托书需由投标人加盖单位公章并由其法定代表人和委托代理人签字。</w:t>
      </w:r>
    </w:p>
    <w:p w14:paraId="64AFDB0E">
      <w:pPr>
        <w:spacing w:line="440" w:lineRule="exact"/>
        <w:rPr>
          <w:rFonts w:ascii="宋体" w:hAnsi="宋体"/>
          <w:color w:val="auto"/>
          <w:sz w:val="24"/>
          <w:szCs w:val="24"/>
          <w:highlight w:val="none"/>
        </w:rPr>
      </w:pPr>
    </w:p>
    <w:p w14:paraId="17C049C1">
      <w:pPr>
        <w:spacing w:line="440" w:lineRule="exact"/>
        <w:ind w:firstLine="3076" w:firstLineChars="1282"/>
        <w:rPr>
          <w:rFonts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rPr>
        <w:t>（盖单位章）</w:t>
      </w:r>
    </w:p>
    <w:p w14:paraId="1BD6DB59">
      <w:pPr>
        <w:spacing w:line="440" w:lineRule="exact"/>
        <w:ind w:firstLine="3076" w:firstLineChars="1282"/>
        <w:rPr>
          <w:rFonts w:ascii="宋体" w:hAnsi="宋体"/>
          <w:color w:val="auto"/>
          <w:sz w:val="24"/>
          <w:szCs w:val="24"/>
          <w:highlight w:val="none"/>
        </w:rPr>
      </w:pPr>
    </w:p>
    <w:p w14:paraId="355734C3">
      <w:pPr>
        <w:spacing w:line="440" w:lineRule="exact"/>
        <w:ind w:firstLine="3074" w:firstLineChars="1281"/>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rPr>
        <w:t>（签字）</w:t>
      </w:r>
    </w:p>
    <w:p w14:paraId="3D73A8BC">
      <w:pPr>
        <w:spacing w:line="440" w:lineRule="exact"/>
        <w:ind w:firstLine="3076" w:firstLineChars="1282"/>
        <w:rPr>
          <w:rFonts w:ascii="宋体" w:hAnsi="宋体"/>
          <w:color w:val="auto"/>
          <w:sz w:val="24"/>
          <w:szCs w:val="24"/>
          <w:highlight w:val="none"/>
        </w:rPr>
      </w:pPr>
    </w:p>
    <w:p w14:paraId="05430CBA">
      <w:pPr>
        <w:spacing w:line="440" w:lineRule="exact"/>
        <w:ind w:firstLine="3076" w:firstLineChars="1282"/>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2D847620">
      <w:pPr>
        <w:spacing w:line="440" w:lineRule="exact"/>
        <w:ind w:firstLine="3076" w:firstLineChars="1282"/>
        <w:rPr>
          <w:rFonts w:ascii="宋体" w:hAnsi="宋体"/>
          <w:color w:val="auto"/>
          <w:sz w:val="24"/>
          <w:szCs w:val="24"/>
          <w:highlight w:val="none"/>
        </w:rPr>
      </w:pPr>
    </w:p>
    <w:p w14:paraId="1382A234">
      <w:pPr>
        <w:spacing w:line="440" w:lineRule="exact"/>
        <w:ind w:firstLine="3076" w:firstLineChars="1282"/>
        <w:rPr>
          <w:rFonts w:ascii="宋体" w:hAnsi="宋体"/>
          <w:color w:val="auto"/>
          <w:sz w:val="24"/>
          <w:szCs w:val="24"/>
          <w:highlight w:val="none"/>
        </w:rPr>
      </w:pPr>
      <w:r>
        <w:rPr>
          <w:rFonts w:hint="eastAsia" w:ascii="宋体" w:hAnsi="宋体"/>
          <w:color w:val="auto"/>
          <w:sz w:val="24"/>
          <w:szCs w:val="24"/>
          <w:highlight w:val="none"/>
        </w:rPr>
        <w:t>委托代理人：</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rPr>
        <w:t>（签字）</w:t>
      </w:r>
    </w:p>
    <w:p w14:paraId="23330C08">
      <w:pPr>
        <w:spacing w:line="440" w:lineRule="exact"/>
        <w:ind w:firstLine="3076" w:firstLineChars="1282"/>
        <w:rPr>
          <w:rFonts w:ascii="宋体" w:hAnsi="宋体"/>
          <w:color w:val="auto"/>
          <w:sz w:val="24"/>
          <w:szCs w:val="24"/>
          <w:highlight w:val="none"/>
        </w:rPr>
      </w:pPr>
    </w:p>
    <w:p w14:paraId="70D21B56">
      <w:pPr>
        <w:spacing w:line="440" w:lineRule="exact"/>
        <w:ind w:firstLine="3076" w:firstLineChars="1282"/>
        <w:rPr>
          <w:rFonts w:ascii="宋体" w:hAnsi="宋体"/>
          <w:color w:val="auto"/>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637F7B16">
      <w:pPr>
        <w:spacing w:line="440" w:lineRule="exact"/>
        <w:ind w:firstLine="2692" w:firstLineChars="1282"/>
        <w:rPr>
          <w:rFonts w:ascii="宋体" w:hAnsi="宋体"/>
          <w:color w:val="auto"/>
          <w:szCs w:val="24"/>
          <w:highlight w:val="none"/>
        </w:rPr>
      </w:pPr>
    </w:p>
    <w:p w14:paraId="7D647E28">
      <w:pPr>
        <w:spacing w:line="440" w:lineRule="exact"/>
        <w:ind w:firstLine="4636" w:firstLineChars="1932"/>
        <w:jc w:val="center"/>
        <w:rPr>
          <w:rFonts w:ascii="宋体" w:hAnsi="宋体"/>
          <w:color w:val="auto"/>
          <w:sz w:val="24"/>
          <w:szCs w:val="24"/>
          <w:highlight w:val="none"/>
        </w:rPr>
      </w:pP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14:paraId="3A4D6633">
      <w:pPr>
        <w:rPr>
          <w:color w:val="auto"/>
          <w:highlight w:val="none"/>
        </w:rPr>
      </w:pPr>
    </w:p>
    <w:p w14:paraId="06968C1C">
      <w:pPr>
        <w:pStyle w:val="4"/>
        <w:spacing w:line="600" w:lineRule="auto"/>
        <w:rPr>
          <w:rFonts w:ascii="宋体" w:hAnsi="宋体" w:eastAsia="宋体"/>
          <w:color w:val="auto"/>
          <w:sz w:val="30"/>
          <w:szCs w:val="30"/>
          <w:highlight w:val="none"/>
        </w:rPr>
      </w:pPr>
      <w:r>
        <w:rPr>
          <w:rFonts w:hint="eastAsia" w:ascii="宋体" w:hAnsi="宋体"/>
          <w:b w:val="0"/>
          <w:bCs w:val="0"/>
          <w:color w:val="auto"/>
          <w:highlight w:val="none"/>
        </w:rPr>
        <w:br w:type="page"/>
      </w:r>
      <w:bookmarkStart w:id="477" w:name="_Toc529196605"/>
      <w:bookmarkStart w:id="478" w:name="_Toc530470648"/>
      <w:bookmarkStart w:id="479" w:name="_Toc535938756"/>
      <w:r>
        <w:rPr>
          <w:rFonts w:hint="eastAsia" w:ascii="宋体" w:hAnsi="宋体" w:eastAsia="宋体"/>
          <w:color w:val="auto"/>
          <w:sz w:val="30"/>
          <w:szCs w:val="30"/>
          <w:highlight w:val="none"/>
        </w:rPr>
        <w:t>三、投标保证金（</w:t>
      </w:r>
      <w:r>
        <w:rPr>
          <w:rFonts w:hint="eastAsia" w:ascii="宋体" w:hAnsi="宋体" w:eastAsia="宋体"/>
          <w:color w:val="auto"/>
          <w:sz w:val="30"/>
          <w:szCs w:val="30"/>
          <w:highlight w:val="none"/>
          <w:lang w:val="en-US" w:eastAsia="zh-CN"/>
        </w:rPr>
        <w:t>如有，</w:t>
      </w:r>
      <w:r>
        <w:rPr>
          <w:rFonts w:hint="eastAsia" w:ascii="宋体" w:hAnsi="宋体" w:eastAsia="宋体"/>
          <w:color w:val="auto"/>
          <w:sz w:val="30"/>
          <w:szCs w:val="30"/>
          <w:highlight w:val="none"/>
        </w:rPr>
        <w:t>格式可自定）</w:t>
      </w:r>
      <w:bookmarkEnd w:id="477"/>
      <w:bookmarkEnd w:id="478"/>
      <w:bookmarkEnd w:id="479"/>
    </w:p>
    <w:p w14:paraId="6D21A770">
      <w:pPr>
        <w:spacing w:line="1" w:lineRule="exact"/>
        <w:rPr>
          <w:rFonts w:ascii="宋体" w:hAnsi="宋体"/>
          <w:color w:val="auto"/>
          <w:highlight w:val="none"/>
        </w:rPr>
      </w:pPr>
    </w:p>
    <w:p w14:paraId="6EFA90A6">
      <w:pPr>
        <w:ind w:firstLine="480"/>
        <w:rPr>
          <w:rFonts w:ascii="宋体" w:hAnsi="宋体"/>
          <w:color w:val="auto"/>
          <w:highlight w:val="none"/>
        </w:rPr>
      </w:pPr>
    </w:p>
    <w:p w14:paraId="5C7CA86E">
      <w:pPr>
        <w:spacing w:line="360" w:lineRule="auto"/>
        <w:ind w:firstLine="420" w:firstLineChars="200"/>
        <w:rPr>
          <w:color w:val="auto"/>
          <w:highlight w:val="none"/>
        </w:rPr>
      </w:pPr>
      <w:r>
        <w:rPr>
          <w:rFonts w:hint="eastAsia"/>
          <w:color w:val="auto"/>
          <w:highlight w:val="none"/>
        </w:rPr>
        <w:t>（注：投标人采用投标保函或投标保证保险的形式提交投标保证金的，应提交投标保函或投标保证保险文本的复印件并加盖投标人电子印章。）</w:t>
      </w:r>
    </w:p>
    <w:p w14:paraId="693047E2">
      <w:pPr>
        <w:spacing w:line="360" w:lineRule="auto"/>
        <w:jc w:val="center"/>
        <w:rPr>
          <w:rFonts w:ascii="宋体" w:hAnsi="宋体"/>
          <w:b/>
          <w:color w:val="auto"/>
          <w:sz w:val="28"/>
          <w:szCs w:val="28"/>
          <w:highlight w:val="none"/>
        </w:rPr>
      </w:pPr>
    </w:p>
    <w:p w14:paraId="571F0151">
      <w:pPr>
        <w:spacing w:line="240" w:lineRule="auto"/>
        <w:jc w:val="left"/>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3783577">
      <w:pPr>
        <w:tabs>
          <w:tab w:val="left" w:pos="720"/>
        </w:tabs>
        <w:spacing w:line="360" w:lineRule="auto"/>
        <w:outlineLvl w:val="1"/>
        <w:rPr>
          <w:rFonts w:ascii="宋体" w:hAnsi="宋体"/>
          <w:b/>
          <w:color w:val="auto"/>
          <w:highlight w:val="none"/>
        </w:rPr>
      </w:pPr>
      <w:bookmarkStart w:id="480" w:name="_Toc530470649"/>
      <w:bookmarkStart w:id="481" w:name="_Toc535938757"/>
      <w:bookmarkStart w:id="482" w:name="_Toc529196606"/>
      <w:r>
        <w:rPr>
          <w:rFonts w:hint="eastAsia" w:ascii="宋体" w:hAnsi="宋体"/>
          <w:b/>
          <w:color w:val="auto"/>
          <w:sz w:val="30"/>
          <w:szCs w:val="30"/>
          <w:highlight w:val="none"/>
        </w:rPr>
        <w:t>四、监理报酬清单</w:t>
      </w:r>
      <w:bookmarkEnd w:id="480"/>
      <w:bookmarkEnd w:id="481"/>
      <w:bookmarkEnd w:id="482"/>
    </w:p>
    <w:p w14:paraId="4560D08C">
      <w:pPr>
        <w:spacing w:before="240" w:line="360" w:lineRule="auto"/>
        <w:jc w:val="center"/>
        <w:rPr>
          <w:rFonts w:ascii="宋体" w:hAnsi="宋体"/>
          <w:b/>
          <w:color w:val="auto"/>
          <w:sz w:val="28"/>
          <w:szCs w:val="28"/>
          <w:highlight w:val="none"/>
        </w:rPr>
      </w:pPr>
      <w:bookmarkStart w:id="483" w:name="_Toc525828220"/>
      <w:bookmarkStart w:id="484" w:name="_Toc529196608"/>
      <w:bookmarkStart w:id="485" w:name="_Toc525827486"/>
      <w:bookmarkStart w:id="486" w:name="_Toc530470650"/>
      <w:bookmarkStart w:id="487" w:name="_Toc361508760"/>
      <w:r>
        <w:rPr>
          <w:rFonts w:hint="eastAsia" w:ascii="宋体" w:hAnsi="宋体"/>
          <w:b/>
          <w:color w:val="auto"/>
          <w:sz w:val="28"/>
          <w:szCs w:val="28"/>
          <w:highlight w:val="none"/>
        </w:rPr>
        <w:t>监理费用成本明细（格式可自定）</w:t>
      </w:r>
    </w:p>
    <w:tbl>
      <w:tblPr>
        <w:tblStyle w:val="36"/>
        <w:tblW w:w="0" w:type="auto"/>
        <w:tblInd w:w="0" w:type="dxa"/>
        <w:tblLayout w:type="fixed"/>
        <w:tblCellMar>
          <w:top w:w="0" w:type="dxa"/>
          <w:left w:w="108" w:type="dxa"/>
          <w:bottom w:w="0" w:type="dxa"/>
          <w:right w:w="108" w:type="dxa"/>
        </w:tblCellMar>
      </w:tblPr>
      <w:tblGrid>
        <w:gridCol w:w="817"/>
        <w:gridCol w:w="2410"/>
        <w:gridCol w:w="3544"/>
        <w:gridCol w:w="1559"/>
        <w:gridCol w:w="901"/>
      </w:tblGrid>
      <w:tr w14:paraId="50A4542B">
        <w:tblPrEx>
          <w:tblCellMar>
            <w:top w:w="0" w:type="dxa"/>
            <w:left w:w="108" w:type="dxa"/>
            <w:bottom w:w="0" w:type="dxa"/>
            <w:right w:w="108" w:type="dxa"/>
          </w:tblCellMar>
        </w:tblPrEx>
        <w:trPr>
          <w:trHeight w:val="114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4B6ACEC">
            <w:pPr>
              <w:rPr>
                <w:rFonts w:ascii="宋体" w:hAnsi="宋体"/>
                <w:b/>
                <w:bCs/>
                <w:color w:val="auto"/>
                <w:sz w:val="24"/>
                <w:szCs w:val="21"/>
                <w:highlight w:val="none"/>
              </w:rPr>
            </w:pPr>
            <w:r>
              <w:rPr>
                <w:rFonts w:hint="eastAsia" w:ascii="宋体" w:hAnsi="宋体"/>
                <w:b/>
                <w:bCs/>
                <w:color w:val="auto"/>
                <w:sz w:val="24"/>
                <w:szCs w:val="21"/>
                <w:highlight w:val="none"/>
              </w:rPr>
              <w:t>序号</w:t>
            </w:r>
          </w:p>
        </w:tc>
        <w:tc>
          <w:tcPr>
            <w:tcW w:w="2410" w:type="dxa"/>
            <w:tcBorders>
              <w:top w:val="single" w:color="auto" w:sz="4" w:space="0"/>
              <w:left w:val="nil"/>
              <w:bottom w:val="single" w:color="auto" w:sz="4" w:space="0"/>
              <w:right w:val="single" w:color="auto" w:sz="4" w:space="0"/>
            </w:tcBorders>
            <w:noWrap/>
            <w:vAlign w:val="center"/>
          </w:tcPr>
          <w:p w14:paraId="2D188459">
            <w:pPr>
              <w:jc w:val="center"/>
              <w:rPr>
                <w:rFonts w:ascii="宋体" w:hAnsi="宋体"/>
                <w:b/>
                <w:bCs/>
                <w:color w:val="auto"/>
                <w:sz w:val="24"/>
                <w:szCs w:val="21"/>
                <w:highlight w:val="none"/>
              </w:rPr>
            </w:pPr>
            <w:r>
              <w:rPr>
                <w:rFonts w:hint="eastAsia" w:ascii="宋体" w:hAnsi="宋体"/>
                <w:b/>
                <w:bCs/>
                <w:color w:val="auto"/>
                <w:sz w:val="24"/>
                <w:szCs w:val="21"/>
                <w:highlight w:val="none"/>
              </w:rPr>
              <w:t>监理报酬分项名称</w:t>
            </w:r>
          </w:p>
        </w:tc>
        <w:tc>
          <w:tcPr>
            <w:tcW w:w="3544" w:type="dxa"/>
            <w:tcBorders>
              <w:top w:val="single" w:color="auto" w:sz="4" w:space="0"/>
              <w:left w:val="nil"/>
              <w:bottom w:val="single" w:color="auto" w:sz="4" w:space="0"/>
              <w:right w:val="single" w:color="auto" w:sz="4" w:space="0"/>
            </w:tcBorders>
            <w:noWrap/>
            <w:vAlign w:val="center"/>
          </w:tcPr>
          <w:p w14:paraId="068E6489">
            <w:pPr>
              <w:jc w:val="center"/>
              <w:rPr>
                <w:rFonts w:ascii="宋体" w:hAnsi="宋体"/>
                <w:b/>
                <w:bCs/>
                <w:color w:val="auto"/>
                <w:sz w:val="24"/>
                <w:szCs w:val="21"/>
                <w:highlight w:val="none"/>
              </w:rPr>
            </w:pPr>
            <w:r>
              <w:rPr>
                <w:rFonts w:hint="eastAsia" w:ascii="宋体" w:hAnsi="宋体"/>
                <w:b/>
                <w:bCs/>
                <w:color w:val="auto"/>
                <w:sz w:val="24"/>
                <w:szCs w:val="21"/>
                <w:highlight w:val="none"/>
              </w:rPr>
              <w:t>计算依据、过程和公式</w:t>
            </w:r>
          </w:p>
        </w:tc>
        <w:tc>
          <w:tcPr>
            <w:tcW w:w="1559" w:type="dxa"/>
            <w:tcBorders>
              <w:top w:val="single" w:color="auto" w:sz="4" w:space="0"/>
              <w:left w:val="nil"/>
              <w:bottom w:val="single" w:color="auto" w:sz="4" w:space="0"/>
              <w:right w:val="single" w:color="auto" w:sz="4" w:space="0"/>
            </w:tcBorders>
            <w:noWrap/>
            <w:vAlign w:val="center"/>
          </w:tcPr>
          <w:p w14:paraId="55FC175F">
            <w:pPr>
              <w:jc w:val="center"/>
              <w:rPr>
                <w:rFonts w:ascii="宋体" w:hAnsi="宋体"/>
                <w:b/>
                <w:bCs/>
                <w:color w:val="auto"/>
                <w:sz w:val="24"/>
                <w:szCs w:val="21"/>
                <w:highlight w:val="none"/>
              </w:rPr>
            </w:pPr>
            <w:r>
              <w:rPr>
                <w:rFonts w:hint="eastAsia" w:ascii="宋体" w:hAnsi="宋体"/>
                <w:b/>
                <w:bCs/>
                <w:color w:val="auto"/>
                <w:sz w:val="24"/>
                <w:szCs w:val="21"/>
                <w:highlight w:val="none"/>
              </w:rPr>
              <w:t>金额（元）</w:t>
            </w:r>
          </w:p>
        </w:tc>
        <w:tc>
          <w:tcPr>
            <w:tcW w:w="901" w:type="dxa"/>
            <w:tcBorders>
              <w:top w:val="single" w:color="auto" w:sz="4" w:space="0"/>
              <w:left w:val="nil"/>
              <w:bottom w:val="single" w:color="auto" w:sz="4" w:space="0"/>
              <w:right w:val="single" w:color="auto" w:sz="4" w:space="0"/>
            </w:tcBorders>
            <w:noWrap/>
            <w:vAlign w:val="center"/>
          </w:tcPr>
          <w:p w14:paraId="51BC3715">
            <w:pPr>
              <w:jc w:val="center"/>
              <w:rPr>
                <w:rFonts w:ascii="宋体" w:hAnsi="宋体"/>
                <w:b/>
                <w:bCs/>
                <w:color w:val="auto"/>
                <w:sz w:val="24"/>
                <w:szCs w:val="21"/>
                <w:highlight w:val="none"/>
              </w:rPr>
            </w:pPr>
            <w:r>
              <w:rPr>
                <w:rFonts w:hint="eastAsia" w:ascii="宋体" w:hAnsi="宋体"/>
                <w:b/>
                <w:bCs/>
                <w:color w:val="auto"/>
                <w:sz w:val="24"/>
                <w:szCs w:val="21"/>
                <w:highlight w:val="none"/>
              </w:rPr>
              <w:t>备注</w:t>
            </w:r>
          </w:p>
        </w:tc>
      </w:tr>
      <w:tr w14:paraId="4431B3F9">
        <w:tblPrEx>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0385B57A">
            <w:pPr>
              <w:jc w:val="center"/>
              <w:rPr>
                <w:rFonts w:ascii="宋体" w:hAnsi="宋体"/>
                <w:b/>
                <w:bCs/>
                <w:color w:val="auto"/>
                <w:szCs w:val="21"/>
                <w:highlight w:val="none"/>
              </w:rPr>
            </w:pPr>
            <w:r>
              <w:rPr>
                <w:rFonts w:hint="eastAsia" w:ascii="宋体" w:hAnsi="宋体"/>
                <w:b/>
                <w:bCs/>
                <w:color w:val="auto"/>
                <w:szCs w:val="21"/>
                <w:highlight w:val="none"/>
              </w:rPr>
              <w:t>1</w:t>
            </w:r>
          </w:p>
        </w:tc>
        <w:tc>
          <w:tcPr>
            <w:tcW w:w="2410" w:type="dxa"/>
            <w:tcBorders>
              <w:top w:val="single" w:color="auto" w:sz="4" w:space="0"/>
              <w:left w:val="nil"/>
              <w:bottom w:val="single" w:color="auto" w:sz="4" w:space="0"/>
              <w:right w:val="single" w:color="auto" w:sz="4" w:space="0"/>
            </w:tcBorders>
            <w:noWrap/>
            <w:vAlign w:val="center"/>
          </w:tcPr>
          <w:p w14:paraId="4DED6A52">
            <w:pPr>
              <w:rPr>
                <w:rFonts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6E6FB841">
            <w:pPr>
              <w:rPr>
                <w:rFonts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1B40681E">
            <w:pPr>
              <w:rPr>
                <w:rFonts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75504156">
            <w:pPr>
              <w:rPr>
                <w:rFonts w:ascii="宋体" w:hAnsi="宋体"/>
                <w:b/>
                <w:bCs/>
                <w:color w:val="auto"/>
                <w:szCs w:val="21"/>
                <w:highlight w:val="none"/>
              </w:rPr>
            </w:pPr>
          </w:p>
        </w:tc>
      </w:tr>
      <w:tr w14:paraId="1B6FD89C">
        <w:tblPrEx>
          <w:tblCellMar>
            <w:top w:w="0" w:type="dxa"/>
            <w:left w:w="108" w:type="dxa"/>
            <w:bottom w:w="0" w:type="dxa"/>
            <w:right w:w="108" w:type="dxa"/>
          </w:tblCellMar>
        </w:tblPrEx>
        <w:trPr>
          <w:trHeight w:val="556"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29D58B9">
            <w:pPr>
              <w:jc w:val="center"/>
              <w:rPr>
                <w:rFonts w:ascii="宋体" w:hAnsi="宋体"/>
                <w:b/>
                <w:bCs/>
                <w:color w:val="auto"/>
                <w:szCs w:val="21"/>
                <w:highlight w:val="none"/>
              </w:rPr>
            </w:pPr>
            <w:r>
              <w:rPr>
                <w:rFonts w:hint="eastAsia" w:ascii="宋体" w:hAnsi="宋体"/>
                <w:b/>
                <w:bCs/>
                <w:color w:val="auto"/>
                <w:szCs w:val="21"/>
                <w:highlight w:val="none"/>
              </w:rPr>
              <w:t>2</w:t>
            </w:r>
          </w:p>
        </w:tc>
        <w:tc>
          <w:tcPr>
            <w:tcW w:w="2410" w:type="dxa"/>
            <w:tcBorders>
              <w:top w:val="single" w:color="auto" w:sz="4" w:space="0"/>
              <w:left w:val="nil"/>
              <w:bottom w:val="single" w:color="auto" w:sz="4" w:space="0"/>
              <w:right w:val="single" w:color="auto" w:sz="4" w:space="0"/>
            </w:tcBorders>
            <w:noWrap/>
            <w:vAlign w:val="center"/>
          </w:tcPr>
          <w:p w14:paraId="6842234F">
            <w:pPr>
              <w:rPr>
                <w:rFonts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2E34AEFA">
            <w:pPr>
              <w:rPr>
                <w:rFonts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54191F38">
            <w:pPr>
              <w:rPr>
                <w:rFonts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2C106939">
            <w:pPr>
              <w:rPr>
                <w:rFonts w:ascii="宋体" w:hAnsi="宋体"/>
                <w:b/>
                <w:bCs/>
                <w:color w:val="auto"/>
                <w:szCs w:val="21"/>
                <w:highlight w:val="none"/>
              </w:rPr>
            </w:pPr>
          </w:p>
        </w:tc>
      </w:tr>
      <w:tr w14:paraId="1E44C673">
        <w:tblPrEx>
          <w:tblCellMar>
            <w:top w:w="0" w:type="dxa"/>
            <w:left w:w="108" w:type="dxa"/>
            <w:bottom w:w="0" w:type="dxa"/>
            <w:right w:w="108" w:type="dxa"/>
          </w:tblCellMar>
        </w:tblPrEx>
        <w:trPr>
          <w:trHeight w:val="56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A7DFDC4">
            <w:pPr>
              <w:jc w:val="center"/>
              <w:rPr>
                <w:rFonts w:ascii="宋体" w:hAnsi="宋体"/>
                <w:b/>
                <w:bCs/>
                <w:color w:val="auto"/>
                <w:szCs w:val="21"/>
                <w:highlight w:val="none"/>
              </w:rPr>
            </w:pPr>
            <w:r>
              <w:rPr>
                <w:rFonts w:hint="eastAsia" w:ascii="宋体" w:hAnsi="宋体"/>
                <w:b/>
                <w:bCs/>
                <w:color w:val="auto"/>
                <w:szCs w:val="21"/>
                <w:highlight w:val="none"/>
              </w:rPr>
              <w:t>3</w:t>
            </w:r>
          </w:p>
        </w:tc>
        <w:tc>
          <w:tcPr>
            <w:tcW w:w="2410" w:type="dxa"/>
            <w:tcBorders>
              <w:top w:val="single" w:color="auto" w:sz="4" w:space="0"/>
              <w:left w:val="nil"/>
              <w:bottom w:val="single" w:color="auto" w:sz="4" w:space="0"/>
              <w:right w:val="single" w:color="auto" w:sz="4" w:space="0"/>
            </w:tcBorders>
            <w:noWrap/>
            <w:vAlign w:val="center"/>
          </w:tcPr>
          <w:p w14:paraId="1D6AC9AD">
            <w:pPr>
              <w:rPr>
                <w:rFonts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74348317">
            <w:pPr>
              <w:rPr>
                <w:rFonts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6F029E7D">
            <w:pPr>
              <w:rPr>
                <w:rFonts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4425FF0E">
            <w:pPr>
              <w:rPr>
                <w:rFonts w:ascii="宋体" w:hAnsi="宋体"/>
                <w:b/>
                <w:bCs/>
                <w:color w:val="auto"/>
                <w:szCs w:val="21"/>
                <w:highlight w:val="none"/>
              </w:rPr>
            </w:pPr>
          </w:p>
        </w:tc>
      </w:tr>
      <w:tr w14:paraId="201F45FF">
        <w:tblPrEx>
          <w:tblCellMar>
            <w:top w:w="0" w:type="dxa"/>
            <w:left w:w="108" w:type="dxa"/>
            <w:bottom w:w="0" w:type="dxa"/>
            <w:right w:w="108" w:type="dxa"/>
          </w:tblCellMar>
        </w:tblPrEx>
        <w:trPr>
          <w:trHeight w:val="54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71C60A1">
            <w:pPr>
              <w:jc w:val="center"/>
              <w:rPr>
                <w:rFonts w:ascii="宋体" w:hAnsi="宋体"/>
                <w:b/>
                <w:bCs/>
                <w:color w:val="auto"/>
                <w:szCs w:val="21"/>
                <w:highlight w:val="none"/>
              </w:rPr>
            </w:pPr>
            <w:r>
              <w:rPr>
                <w:rFonts w:hint="eastAsia" w:ascii="宋体" w:hAnsi="宋体"/>
                <w:b/>
                <w:bCs/>
                <w:color w:val="auto"/>
                <w:szCs w:val="21"/>
                <w:highlight w:val="none"/>
              </w:rPr>
              <w:t>4</w:t>
            </w:r>
          </w:p>
        </w:tc>
        <w:tc>
          <w:tcPr>
            <w:tcW w:w="2410" w:type="dxa"/>
            <w:tcBorders>
              <w:top w:val="single" w:color="auto" w:sz="4" w:space="0"/>
              <w:left w:val="nil"/>
              <w:bottom w:val="single" w:color="auto" w:sz="4" w:space="0"/>
              <w:right w:val="single" w:color="auto" w:sz="4" w:space="0"/>
            </w:tcBorders>
            <w:noWrap/>
            <w:vAlign w:val="center"/>
          </w:tcPr>
          <w:p w14:paraId="24D0C131">
            <w:pPr>
              <w:rPr>
                <w:rFonts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150438DE">
            <w:pPr>
              <w:rPr>
                <w:rFonts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1B65F96E">
            <w:pPr>
              <w:rPr>
                <w:rFonts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22B182B7">
            <w:pPr>
              <w:rPr>
                <w:rFonts w:ascii="宋体" w:hAnsi="宋体"/>
                <w:b/>
                <w:bCs/>
                <w:color w:val="auto"/>
                <w:szCs w:val="21"/>
                <w:highlight w:val="none"/>
              </w:rPr>
            </w:pPr>
          </w:p>
        </w:tc>
      </w:tr>
      <w:tr w14:paraId="4E29CA41">
        <w:tblPrEx>
          <w:tblCellMar>
            <w:top w:w="0" w:type="dxa"/>
            <w:left w:w="108" w:type="dxa"/>
            <w:bottom w:w="0" w:type="dxa"/>
            <w:right w:w="108" w:type="dxa"/>
          </w:tblCellMar>
        </w:tblPrEx>
        <w:trPr>
          <w:trHeight w:val="70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794EEAA">
            <w:pPr>
              <w:jc w:val="center"/>
              <w:rPr>
                <w:rFonts w:ascii="宋体" w:hAnsi="宋体"/>
                <w:b/>
                <w:bCs/>
                <w:color w:val="auto"/>
                <w:szCs w:val="21"/>
                <w:highlight w:val="none"/>
              </w:rPr>
            </w:pPr>
            <w:r>
              <w:rPr>
                <w:rFonts w:hint="eastAsia" w:ascii="宋体" w:hAnsi="宋体"/>
                <w:b/>
                <w:bCs/>
                <w:color w:val="auto"/>
                <w:szCs w:val="21"/>
                <w:highlight w:val="none"/>
              </w:rPr>
              <w:t>5</w:t>
            </w:r>
          </w:p>
        </w:tc>
        <w:tc>
          <w:tcPr>
            <w:tcW w:w="2410" w:type="dxa"/>
            <w:tcBorders>
              <w:top w:val="single" w:color="auto" w:sz="4" w:space="0"/>
              <w:left w:val="nil"/>
              <w:bottom w:val="single" w:color="auto" w:sz="4" w:space="0"/>
              <w:right w:val="single" w:color="auto" w:sz="4" w:space="0"/>
            </w:tcBorders>
            <w:noWrap/>
            <w:vAlign w:val="center"/>
          </w:tcPr>
          <w:p w14:paraId="4994BB3F">
            <w:pPr>
              <w:rPr>
                <w:rFonts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7082998B">
            <w:pPr>
              <w:rPr>
                <w:rFonts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0516E275">
            <w:pPr>
              <w:rPr>
                <w:rFonts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21FD8EB1">
            <w:pPr>
              <w:rPr>
                <w:rFonts w:ascii="宋体" w:hAnsi="宋体"/>
                <w:b/>
                <w:bCs/>
                <w:color w:val="auto"/>
                <w:szCs w:val="21"/>
                <w:highlight w:val="none"/>
              </w:rPr>
            </w:pPr>
          </w:p>
        </w:tc>
      </w:tr>
      <w:tr w14:paraId="078F7D7A">
        <w:tblPrEx>
          <w:tblCellMar>
            <w:top w:w="0" w:type="dxa"/>
            <w:left w:w="108" w:type="dxa"/>
            <w:bottom w:w="0" w:type="dxa"/>
            <w:right w:w="108" w:type="dxa"/>
          </w:tblCellMar>
        </w:tblPrEx>
        <w:trPr>
          <w:trHeight w:val="70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7FE16A4A">
            <w:pPr>
              <w:jc w:val="center"/>
              <w:rPr>
                <w:rFonts w:ascii="宋体" w:hAnsi="宋体"/>
                <w:b/>
                <w:bCs/>
                <w:color w:val="auto"/>
                <w:szCs w:val="21"/>
                <w:highlight w:val="none"/>
              </w:rPr>
            </w:pPr>
            <w:r>
              <w:rPr>
                <w:rFonts w:hint="eastAsia" w:ascii="宋体" w:hAnsi="宋体"/>
                <w:b/>
                <w:bCs/>
                <w:color w:val="auto"/>
                <w:szCs w:val="21"/>
                <w:highlight w:val="none"/>
              </w:rPr>
              <w:t>……</w:t>
            </w:r>
          </w:p>
        </w:tc>
        <w:tc>
          <w:tcPr>
            <w:tcW w:w="2410" w:type="dxa"/>
            <w:tcBorders>
              <w:top w:val="single" w:color="auto" w:sz="4" w:space="0"/>
              <w:left w:val="nil"/>
              <w:bottom w:val="single" w:color="auto" w:sz="4" w:space="0"/>
              <w:right w:val="single" w:color="auto" w:sz="4" w:space="0"/>
            </w:tcBorders>
            <w:noWrap/>
            <w:vAlign w:val="center"/>
          </w:tcPr>
          <w:p w14:paraId="4B4FA456">
            <w:pPr>
              <w:rPr>
                <w:rFonts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0835A821">
            <w:pPr>
              <w:rPr>
                <w:rFonts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688679DC">
            <w:pPr>
              <w:rPr>
                <w:rFonts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4341197A">
            <w:pPr>
              <w:rPr>
                <w:rFonts w:ascii="宋体" w:hAnsi="宋体"/>
                <w:b/>
                <w:bCs/>
                <w:color w:val="auto"/>
                <w:szCs w:val="21"/>
                <w:highlight w:val="none"/>
              </w:rPr>
            </w:pPr>
          </w:p>
        </w:tc>
      </w:tr>
      <w:tr w14:paraId="6F3C6DF4">
        <w:tblPrEx>
          <w:tblCellMar>
            <w:top w:w="0" w:type="dxa"/>
            <w:left w:w="108" w:type="dxa"/>
            <w:bottom w:w="0" w:type="dxa"/>
            <w:right w:w="108" w:type="dxa"/>
          </w:tblCellMar>
        </w:tblPrEx>
        <w:trPr>
          <w:trHeight w:val="686" w:hRule="atLeast"/>
        </w:trPr>
        <w:tc>
          <w:tcPr>
            <w:tcW w:w="3227" w:type="dxa"/>
            <w:gridSpan w:val="2"/>
            <w:tcBorders>
              <w:top w:val="single" w:color="auto" w:sz="4" w:space="0"/>
              <w:left w:val="single" w:color="auto" w:sz="4" w:space="0"/>
              <w:bottom w:val="single" w:color="auto" w:sz="4" w:space="0"/>
              <w:right w:val="single" w:color="auto" w:sz="4" w:space="0"/>
            </w:tcBorders>
            <w:noWrap/>
            <w:vAlign w:val="center"/>
          </w:tcPr>
          <w:p w14:paraId="4316C7D8">
            <w:pPr>
              <w:rPr>
                <w:rFonts w:ascii="宋体" w:hAnsi="宋体"/>
                <w:b/>
                <w:bCs/>
                <w:color w:val="auto"/>
                <w:szCs w:val="21"/>
                <w:highlight w:val="none"/>
              </w:rPr>
            </w:pPr>
            <w:r>
              <w:rPr>
                <w:rFonts w:hint="eastAsia" w:ascii="宋体" w:hAnsi="宋体"/>
                <w:b/>
                <w:bCs/>
                <w:color w:val="auto"/>
                <w:szCs w:val="21"/>
                <w:highlight w:val="none"/>
              </w:rPr>
              <w:t>合计报价（元）</w:t>
            </w:r>
          </w:p>
        </w:tc>
        <w:tc>
          <w:tcPr>
            <w:tcW w:w="3544" w:type="dxa"/>
            <w:tcBorders>
              <w:top w:val="single" w:color="auto" w:sz="4" w:space="0"/>
              <w:left w:val="nil"/>
              <w:bottom w:val="single" w:color="auto" w:sz="4" w:space="0"/>
              <w:right w:val="single" w:color="auto" w:sz="4" w:space="0"/>
            </w:tcBorders>
            <w:noWrap/>
            <w:vAlign w:val="center"/>
          </w:tcPr>
          <w:p w14:paraId="72A088B4">
            <w:pPr>
              <w:rPr>
                <w:rFonts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6E411E8A">
            <w:pPr>
              <w:rPr>
                <w:rFonts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3A202243">
            <w:pPr>
              <w:rPr>
                <w:rFonts w:ascii="宋体" w:hAnsi="宋体"/>
                <w:b/>
                <w:bCs/>
                <w:color w:val="auto"/>
                <w:szCs w:val="21"/>
                <w:highlight w:val="none"/>
              </w:rPr>
            </w:pPr>
          </w:p>
        </w:tc>
      </w:tr>
    </w:tbl>
    <w:p w14:paraId="0F490724">
      <w:pPr>
        <w:pStyle w:val="79"/>
        <w:ind w:firstLine="496"/>
        <w:rPr>
          <w:rFonts w:ascii="宋体" w:hAnsi="宋体"/>
          <w:color w:val="auto"/>
          <w:highlight w:val="none"/>
        </w:rPr>
      </w:pPr>
      <w:r>
        <w:rPr>
          <w:rFonts w:hint="eastAsia" w:ascii="宋体" w:hAnsi="宋体"/>
          <w:color w:val="auto"/>
          <w:highlight w:val="none"/>
        </w:rPr>
        <w:t>备注： 合计费用应与</w:t>
      </w:r>
      <w:r>
        <w:rPr>
          <w:rFonts w:hint="eastAsia" w:ascii="宋体" w:hAnsi="宋体"/>
          <w:color w:val="auto"/>
          <w:highlight w:val="none"/>
          <w:lang w:val="en-US" w:eastAsia="zh-CN"/>
        </w:rPr>
        <w:t>投标函及投标函附录</w:t>
      </w:r>
      <w:r>
        <w:rPr>
          <w:rFonts w:hint="eastAsia" w:ascii="宋体" w:hAnsi="宋体"/>
          <w:color w:val="auto"/>
          <w:highlight w:val="none"/>
        </w:rPr>
        <w:t>的监理费报价一致。</w:t>
      </w:r>
    </w:p>
    <w:p w14:paraId="0C0BC6ED">
      <w:pPr>
        <w:pStyle w:val="79"/>
        <w:ind w:firstLine="496"/>
        <w:rPr>
          <w:color w:val="auto"/>
          <w:highlight w:val="none"/>
        </w:rPr>
      </w:pPr>
    </w:p>
    <w:p w14:paraId="1C75D2C4">
      <w:pPr>
        <w:pStyle w:val="79"/>
        <w:ind w:firstLine="496"/>
        <w:rPr>
          <w:rFonts w:ascii="宋体" w:hAnsi="宋体"/>
          <w:color w:val="auto"/>
          <w:highlight w:val="none"/>
          <w:u w:val="single"/>
        </w:rPr>
      </w:pPr>
      <w:r>
        <w:rPr>
          <w:rFonts w:hint="eastAsia"/>
          <w:color w:val="auto"/>
          <w:highlight w:val="none"/>
        </w:rPr>
        <w:t>投</w:t>
      </w:r>
      <w:r>
        <w:rPr>
          <w:rFonts w:hint="eastAsia" w:ascii="宋体" w:hAnsi="宋体"/>
          <w:color w:val="auto"/>
          <w:highlight w:val="none"/>
        </w:rPr>
        <w:t xml:space="preserve"> 标 人：(盖公章)</w:t>
      </w:r>
    </w:p>
    <w:p w14:paraId="5865D7C0">
      <w:pPr>
        <w:pStyle w:val="79"/>
        <w:ind w:firstLine="552"/>
        <w:rPr>
          <w:rFonts w:ascii="宋体" w:hAnsi="宋体"/>
          <w:color w:val="auto"/>
          <w:highlight w:val="none"/>
        </w:rPr>
      </w:pPr>
      <w:r>
        <w:rPr>
          <w:rFonts w:hint="eastAsia" w:ascii="宋体" w:hAnsi="宋体"/>
          <w:color w:val="auto"/>
          <w:spacing w:val="18"/>
          <w:highlight w:val="none"/>
        </w:rPr>
        <w:t>法定代表人(或被授权人)（签名或盖章）：</w:t>
      </w:r>
    </w:p>
    <w:p w14:paraId="1B21E797">
      <w:pPr>
        <w:pStyle w:val="79"/>
        <w:ind w:firstLine="496"/>
        <w:rPr>
          <w:rFonts w:ascii="宋体" w:hAnsi="宋体"/>
          <w:color w:val="auto"/>
          <w:highlight w:val="none"/>
        </w:rPr>
      </w:pPr>
      <w:r>
        <w:rPr>
          <w:rFonts w:hint="eastAsia" w:ascii="宋体" w:hAnsi="宋体"/>
          <w:color w:val="auto"/>
          <w:highlight w:val="none"/>
        </w:rPr>
        <w:t>日    期：  年  月  日</w:t>
      </w:r>
    </w:p>
    <w:p w14:paraId="2D4211D1">
      <w:pPr>
        <w:pStyle w:val="79"/>
        <w:ind w:firstLine="496"/>
        <w:rPr>
          <w:color w:val="auto"/>
          <w:highlight w:val="none"/>
          <w:u w:val="single"/>
        </w:rPr>
      </w:pPr>
      <w:r>
        <w:rPr>
          <w:rFonts w:hint="eastAsia"/>
          <w:color w:val="auto"/>
          <w:highlight w:val="none"/>
        </w:rPr>
        <w:t>电话：</w:t>
      </w:r>
    </w:p>
    <w:p w14:paraId="02474E86">
      <w:pPr>
        <w:pStyle w:val="79"/>
        <w:ind w:firstLine="496"/>
        <w:rPr>
          <w:color w:val="auto"/>
          <w:highlight w:val="none"/>
        </w:rPr>
      </w:pPr>
      <w:r>
        <w:rPr>
          <w:rFonts w:hint="eastAsia"/>
          <w:color w:val="auto"/>
          <w:highlight w:val="none"/>
        </w:rPr>
        <w:t>传真：</w:t>
      </w:r>
    </w:p>
    <w:bookmarkEnd w:id="483"/>
    <w:bookmarkEnd w:id="484"/>
    <w:bookmarkEnd w:id="485"/>
    <w:bookmarkEnd w:id="486"/>
    <w:p w14:paraId="535ADDA1">
      <w:pPr>
        <w:spacing w:line="360" w:lineRule="auto"/>
        <w:rPr>
          <w:rFonts w:ascii="宋体" w:hAnsi="宋体"/>
          <w:strike/>
          <w:color w:val="auto"/>
          <w:sz w:val="24"/>
          <w:szCs w:val="24"/>
          <w:highlight w:val="none"/>
        </w:rPr>
      </w:pPr>
    </w:p>
    <w:p w14:paraId="79D5912C">
      <w:pPr>
        <w:ind w:right="105"/>
        <w:rPr>
          <w:rFonts w:ascii="宋体" w:hAnsi="宋体"/>
          <w:color w:val="auto"/>
          <w:szCs w:val="24"/>
          <w:highlight w:val="none"/>
        </w:rPr>
      </w:pPr>
    </w:p>
    <w:p w14:paraId="4F076C7E">
      <w:pPr>
        <w:pStyle w:val="4"/>
        <w:spacing w:line="600" w:lineRule="auto"/>
        <w:rPr>
          <w:rFonts w:ascii="宋体" w:hAnsi="宋体" w:eastAsia="宋体"/>
          <w:color w:val="auto"/>
          <w:sz w:val="30"/>
          <w:szCs w:val="30"/>
          <w:highlight w:val="none"/>
        </w:rPr>
      </w:pPr>
      <w:r>
        <w:rPr>
          <w:rFonts w:hint="eastAsia" w:ascii="宋体" w:hAnsi="宋体"/>
          <w:b w:val="0"/>
          <w:bCs w:val="0"/>
          <w:color w:val="auto"/>
          <w:szCs w:val="24"/>
          <w:highlight w:val="none"/>
        </w:rPr>
        <w:br w:type="page"/>
      </w:r>
      <w:r>
        <w:rPr>
          <w:rFonts w:hint="eastAsia" w:ascii="宋体" w:hAnsi="宋体" w:eastAsia="宋体"/>
          <w:bCs w:val="0"/>
          <w:color w:val="auto"/>
          <w:sz w:val="30"/>
          <w:szCs w:val="30"/>
          <w:highlight w:val="none"/>
        </w:rPr>
        <w:t>五</w:t>
      </w:r>
      <w:r>
        <w:rPr>
          <w:rFonts w:hint="eastAsia" w:ascii="宋体" w:hAnsi="宋体" w:eastAsia="宋体"/>
          <w:color w:val="auto"/>
          <w:sz w:val="30"/>
          <w:szCs w:val="30"/>
          <w:highlight w:val="none"/>
        </w:rPr>
        <w:t>、</w:t>
      </w:r>
      <w:bookmarkStart w:id="488" w:name="_Hlk22686998"/>
      <w:r>
        <w:rPr>
          <w:rFonts w:hint="eastAsia" w:ascii="宋体" w:hAnsi="宋体" w:eastAsia="宋体"/>
          <w:color w:val="auto"/>
          <w:sz w:val="30"/>
          <w:szCs w:val="30"/>
          <w:highlight w:val="none"/>
        </w:rPr>
        <w:t>资格审查资料</w:t>
      </w:r>
      <w:bookmarkEnd w:id="488"/>
    </w:p>
    <w:p w14:paraId="26FA6E25">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按招标公告要求提供相关资格证明资料</w:t>
      </w:r>
      <w:r>
        <w:rPr>
          <w:rFonts w:hint="eastAsia" w:ascii="宋体" w:hAnsi="宋体" w:eastAsia="宋体" w:cs="宋体"/>
          <w:color w:val="auto"/>
          <w:sz w:val="28"/>
          <w:szCs w:val="28"/>
          <w:highlight w:val="none"/>
        </w:rPr>
        <w:t>）</w:t>
      </w:r>
    </w:p>
    <w:p w14:paraId="54A7014D">
      <w:pPr>
        <w:spacing w:before="0" w:line="240" w:lineRule="auto"/>
        <w:ind w:firstLine="0"/>
        <w:outlineLvl w:val="9"/>
        <w:rPr>
          <w:rFonts w:hint="eastAsia" w:ascii="宋体" w:hAnsi="宋体"/>
          <w:b/>
          <w:bCs/>
          <w:color w:val="auto"/>
          <w:sz w:val="28"/>
          <w:szCs w:val="32"/>
          <w:highlight w:val="none"/>
        </w:rPr>
      </w:pPr>
    </w:p>
    <w:p w14:paraId="00DEA22A">
      <w:pPr>
        <w:spacing w:before="0" w:line="240" w:lineRule="auto"/>
        <w:ind w:firstLine="0"/>
        <w:outlineLvl w:val="9"/>
        <w:rPr>
          <w:rFonts w:hint="eastAsia" w:ascii="宋体" w:hAnsi="宋体"/>
          <w:b/>
          <w:bCs/>
          <w:color w:val="auto"/>
          <w:sz w:val="28"/>
          <w:szCs w:val="32"/>
          <w:highlight w:val="none"/>
        </w:rPr>
      </w:pPr>
      <w:r>
        <w:rPr>
          <w:rFonts w:hint="eastAsia" w:ascii="宋体" w:hAnsi="宋体"/>
          <w:b/>
          <w:bCs/>
          <w:color w:val="auto"/>
          <w:sz w:val="28"/>
          <w:szCs w:val="32"/>
          <w:highlight w:val="none"/>
        </w:rPr>
        <w:br w:type="page"/>
      </w:r>
    </w:p>
    <w:bookmarkEnd w:id="487"/>
    <w:p w14:paraId="0E47ED35">
      <w:pPr>
        <w:pStyle w:val="4"/>
        <w:spacing w:line="600" w:lineRule="auto"/>
        <w:rPr>
          <w:rFonts w:hint="default" w:ascii="宋体" w:hAnsi="宋体" w:eastAsia="宋体"/>
          <w:color w:val="auto"/>
          <w:sz w:val="30"/>
          <w:szCs w:val="30"/>
          <w:highlight w:val="none"/>
          <w:lang w:val="en-US" w:eastAsia="zh-CN"/>
        </w:rPr>
      </w:pPr>
      <w:bookmarkStart w:id="489" w:name="_Toc535938758"/>
      <w:bookmarkStart w:id="490" w:name="_Toc529196610"/>
      <w:bookmarkStart w:id="491" w:name="_Toc530470651"/>
      <w:r>
        <w:rPr>
          <w:rFonts w:hint="eastAsia" w:ascii="宋体" w:hAnsi="宋体" w:eastAsia="宋体"/>
          <w:color w:val="auto"/>
          <w:sz w:val="30"/>
          <w:szCs w:val="30"/>
          <w:highlight w:val="none"/>
        </w:rPr>
        <w:t>六、</w:t>
      </w:r>
      <w:r>
        <w:rPr>
          <w:rFonts w:hint="eastAsia" w:ascii="宋体" w:hAnsi="宋体" w:eastAsia="宋体"/>
          <w:color w:val="auto"/>
          <w:sz w:val="30"/>
          <w:szCs w:val="30"/>
          <w:highlight w:val="none"/>
          <w:lang w:val="en-US" w:eastAsia="zh-CN"/>
        </w:rPr>
        <w:t>资信业绩评审资料</w:t>
      </w:r>
    </w:p>
    <w:p w14:paraId="15E74682">
      <w:pPr>
        <w:spacing w:line="40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按招标文件要求提供相关证明材料</w:t>
      </w:r>
      <w:r>
        <w:rPr>
          <w:rFonts w:hint="eastAsia" w:ascii="宋体" w:hAnsi="宋体" w:eastAsia="宋体" w:cs="宋体"/>
          <w:color w:val="auto"/>
          <w:sz w:val="28"/>
          <w:szCs w:val="28"/>
          <w:highlight w:val="none"/>
          <w:lang w:eastAsia="zh-CN"/>
        </w:rPr>
        <w:t>）</w:t>
      </w:r>
    </w:p>
    <w:p w14:paraId="04B48932">
      <w:pPr>
        <w:spacing w:before="20" w:line="412" w:lineRule="auto"/>
        <w:ind w:firstLine="137"/>
        <w:outlineLvl w:val="2"/>
        <w:rPr>
          <w:rFonts w:ascii="宋体" w:hAnsi="宋体"/>
          <w:b/>
          <w:bCs/>
          <w:color w:val="auto"/>
          <w:sz w:val="28"/>
          <w:szCs w:val="32"/>
          <w:highlight w:val="none"/>
        </w:rPr>
      </w:pPr>
      <w:r>
        <w:rPr>
          <w:rFonts w:hint="eastAsia" w:ascii="宋体" w:hAnsi="宋体" w:eastAsia="宋体"/>
          <w:color w:val="auto"/>
          <w:sz w:val="30"/>
          <w:szCs w:val="30"/>
          <w:highlight w:val="none"/>
        </w:rPr>
        <w:br w:type="page"/>
      </w:r>
      <w:r>
        <w:rPr>
          <w:rFonts w:hint="eastAsia" w:ascii="宋体" w:hAnsi="宋体"/>
          <w:b/>
          <w:bCs/>
          <w:color w:val="auto"/>
          <w:sz w:val="28"/>
          <w:szCs w:val="32"/>
          <w:highlight w:val="none"/>
        </w:rPr>
        <w:t>（一）基本情况表（格式可自定）</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102E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B3F8F1B">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投标人名称</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19692C21">
            <w:pPr>
              <w:topLinePunct/>
              <w:spacing w:line="440" w:lineRule="exact"/>
              <w:jc w:val="center"/>
              <w:rPr>
                <w:rFonts w:ascii="宋体" w:hAnsi="宋体"/>
                <w:color w:val="auto"/>
                <w:sz w:val="24"/>
                <w:szCs w:val="24"/>
                <w:highlight w:val="none"/>
              </w:rPr>
            </w:pPr>
          </w:p>
        </w:tc>
      </w:tr>
      <w:tr w14:paraId="20C2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460C8139">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注册地址</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562F32F3">
            <w:pPr>
              <w:topLinePunct/>
              <w:spacing w:line="440" w:lineRule="exact"/>
              <w:jc w:val="center"/>
              <w:rPr>
                <w:rFonts w:ascii="宋体" w:hAnsi="宋体"/>
                <w:color w:val="auto"/>
                <w:sz w:val="24"/>
                <w:szCs w:val="24"/>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05A29550">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邮政编码</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29C59D7B">
            <w:pPr>
              <w:topLinePunct/>
              <w:spacing w:line="440" w:lineRule="exact"/>
              <w:jc w:val="center"/>
              <w:rPr>
                <w:rFonts w:ascii="宋体" w:hAnsi="宋体"/>
                <w:color w:val="auto"/>
                <w:sz w:val="24"/>
                <w:szCs w:val="24"/>
                <w:highlight w:val="none"/>
              </w:rPr>
            </w:pPr>
          </w:p>
        </w:tc>
      </w:tr>
      <w:tr w14:paraId="2A25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tcBorders>
              <w:top w:val="single" w:color="auto" w:sz="4" w:space="0"/>
              <w:left w:val="single" w:color="auto" w:sz="4" w:space="0"/>
              <w:bottom w:val="single" w:color="auto" w:sz="4" w:space="0"/>
              <w:right w:val="single" w:color="auto" w:sz="4" w:space="0"/>
            </w:tcBorders>
            <w:noWrap/>
            <w:vAlign w:val="center"/>
          </w:tcPr>
          <w:p w14:paraId="7D9DD15B">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联系方式</w:t>
            </w:r>
          </w:p>
        </w:tc>
        <w:tc>
          <w:tcPr>
            <w:tcW w:w="991" w:type="dxa"/>
            <w:tcBorders>
              <w:top w:val="single" w:color="auto" w:sz="4" w:space="0"/>
              <w:left w:val="single" w:color="auto" w:sz="4" w:space="0"/>
              <w:bottom w:val="single" w:color="auto" w:sz="4" w:space="0"/>
              <w:right w:val="single" w:color="auto" w:sz="4" w:space="0"/>
            </w:tcBorders>
            <w:noWrap/>
            <w:vAlign w:val="center"/>
          </w:tcPr>
          <w:p w14:paraId="471391CF">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08B150C2">
            <w:pPr>
              <w:topLinePunct/>
              <w:spacing w:line="440" w:lineRule="exact"/>
              <w:jc w:val="center"/>
              <w:rPr>
                <w:rFonts w:ascii="宋体" w:hAnsi="宋体"/>
                <w:color w:val="auto"/>
                <w:sz w:val="24"/>
                <w:szCs w:val="24"/>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2F72A52B">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电 话</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0A1A00D0">
            <w:pPr>
              <w:topLinePunct/>
              <w:spacing w:line="440" w:lineRule="exact"/>
              <w:jc w:val="center"/>
              <w:rPr>
                <w:rFonts w:ascii="宋体" w:hAnsi="宋体"/>
                <w:color w:val="auto"/>
                <w:sz w:val="24"/>
                <w:szCs w:val="24"/>
                <w:highlight w:val="none"/>
              </w:rPr>
            </w:pPr>
          </w:p>
        </w:tc>
      </w:tr>
      <w:tr w14:paraId="22DB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tcBorders>
              <w:top w:val="single" w:color="auto" w:sz="4" w:space="0"/>
              <w:left w:val="single" w:color="auto" w:sz="4" w:space="0"/>
              <w:bottom w:val="single" w:color="auto" w:sz="4" w:space="0"/>
              <w:right w:val="single" w:color="auto" w:sz="4" w:space="0"/>
            </w:tcBorders>
            <w:noWrap/>
            <w:vAlign w:val="center"/>
          </w:tcPr>
          <w:p w14:paraId="1DE6994C">
            <w:pPr>
              <w:widowControl/>
              <w:jc w:val="left"/>
              <w:rPr>
                <w:rFonts w:ascii="宋体" w:hAnsi="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19D9412A">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传  真</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03DD5031">
            <w:pPr>
              <w:topLinePunct/>
              <w:spacing w:line="440" w:lineRule="exact"/>
              <w:jc w:val="center"/>
              <w:rPr>
                <w:rFonts w:ascii="宋体" w:hAnsi="宋体"/>
                <w:color w:val="auto"/>
                <w:sz w:val="24"/>
                <w:szCs w:val="24"/>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2A4F4AF2">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网 址</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7B8AEFCC">
            <w:pPr>
              <w:topLinePunct/>
              <w:spacing w:line="440" w:lineRule="exact"/>
              <w:jc w:val="center"/>
              <w:rPr>
                <w:rFonts w:ascii="宋体" w:hAnsi="宋体"/>
                <w:color w:val="auto"/>
                <w:sz w:val="24"/>
                <w:szCs w:val="24"/>
                <w:highlight w:val="none"/>
              </w:rPr>
            </w:pPr>
          </w:p>
        </w:tc>
      </w:tr>
      <w:tr w14:paraId="0F60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BF77A6F">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法定代表人</w:t>
            </w:r>
          </w:p>
        </w:tc>
        <w:tc>
          <w:tcPr>
            <w:tcW w:w="991" w:type="dxa"/>
            <w:tcBorders>
              <w:top w:val="single" w:color="auto" w:sz="4" w:space="0"/>
              <w:left w:val="single" w:color="auto" w:sz="4" w:space="0"/>
              <w:bottom w:val="single" w:color="auto" w:sz="4" w:space="0"/>
              <w:right w:val="single" w:color="auto" w:sz="4" w:space="0"/>
            </w:tcBorders>
            <w:noWrap/>
            <w:vAlign w:val="center"/>
          </w:tcPr>
          <w:p w14:paraId="377228E3">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76A0758C">
            <w:pPr>
              <w:topLinePunct/>
              <w:spacing w:line="440" w:lineRule="exact"/>
              <w:jc w:val="center"/>
              <w:rPr>
                <w:rFonts w:ascii="宋体" w:hAnsi="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42860C48">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6E91CD92">
            <w:pPr>
              <w:topLinePunct/>
              <w:spacing w:line="440" w:lineRule="exact"/>
              <w:jc w:val="center"/>
              <w:rPr>
                <w:rFonts w:ascii="宋体" w:hAnsi="宋体"/>
                <w:color w:val="auto"/>
                <w:sz w:val="24"/>
                <w:szCs w:val="24"/>
                <w:highlight w:val="none"/>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1886089B">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760224BB">
            <w:pPr>
              <w:topLinePunct/>
              <w:spacing w:line="440" w:lineRule="exact"/>
              <w:jc w:val="center"/>
              <w:rPr>
                <w:rFonts w:ascii="宋体" w:hAnsi="宋体"/>
                <w:color w:val="auto"/>
                <w:sz w:val="24"/>
                <w:szCs w:val="24"/>
                <w:highlight w:val="none"/>
              </w:rPr>
            </w:pPr>
          </w:p>
        </w:tc>
      </w:tr>
      <w:tr w14:paraId="7CFA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6B3750E">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技术负责人</w:t>
            </w:r>
          </w:p>
        </w:tc>
        <w:tc>
          <w:tcPr>
            <w:tcW w:w="991" w:type="dxa"/>
            <w:tcBorders>
              <w:top w:val="single" w:color="auto" w:sz="4" w:space="0"/>
              <w:left w:val="single" w:color="auto" w:sz="4" w:space="0"/>
              <w:bottom w:val="single" w:color="auto" w:sz="4" w:space="0"/>
              <w:right w:val="single" w:color="auto" w:sz="4" w:space="0"/>
            </w:tcBorders>
            <w:noWrap/>
            <w:vAlign w:val="center"/>
          </w:tcPr>
          <w:p w14:paraId="00A394F5">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31BC1A21">
            <w:pPr>
              <w:topLinePunct/>
              <w:spacing w:line="440" w:lineRule="exact"/>
              <w:jc w:val="center"/>
              <w:rPr>
                <w:rFonts w:ascii="宋体" w:hAnsi="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0AAD77D9">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10330BEB">
            <w:pPr>
              <w:topLinePunct/>
              <w:spacing w:line="440" w:lineRule="exact"/>
              <w:jc w:val="center"/>
              <w:rPr>
                <w:rFonts w:ascii="宋体" w:hAnsi="宋体"/>
                <w:color w:val="auto"/>
                <w:sz w:val="24"/>
                <w:szCs w:val="24"/>
                <w:highlight w:val="none"/>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01AC6BF9">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7977B443">
            <w:pPr>
              <w:topLinePunct/>
              <w:spacing w:line="440" w:lineRule="exact"/>
              <w:jc w:val="center"/>
              <w:rPr>
                <w:rFonts w:ascii="宋体" w:hAnsi="宋体"/>
                <w:color w:val="auto"/>
                <w:sz w:val="24"/>
                <w:szCs w:val="24"/>
                <w:highlight w:val="none"/>
              </w:rPr>
            </w:pPr>
          </w:p>
        </w:tc>
      </w:tr>
      <w:tr w14:paraId="6A54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FF354C0">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企业监理资质证书</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4B81D778">
            <w:pPr>
              <w:topLinePunct/>
              <w:spacing w:before="100" w:beforeAutospacing="1" w:after="100" w:afterAutospacing="1" w:line="440" w:lineRule="exact"/>
              <w:ind w:firstLine="120" w:firstLineChars="50"/>
              <w:rPr>
                <w:rFonts w:ascii="宋体" w:hAnsi="宋体"/>
                <w:color w:val="auto"/>
                <w:sz w:val="24"/>
                <w:szCs w:val="24"/>
                <w:highlight w:val="none"/>
              </w:rPr>
            </w:pPr>
            <w:r>
              <w:rPr>
                <w:rFonts w:hint="eastAsia" w:ascii="宋体" w:hAnsi="宋体"/>
                <w:color w:val="auto"/>
                <w:sz w:val="24"/>
                <w:szCs w:val="24"/>
                <w:highlight w:val="none"/>
              </w:rPr>
              <w:t>类型：                    等级：      证书号：</w:t>
            </w:r>
          </w:p>
        </w:tc>
      </w:tr>
      <w:tr w14:paraId="51C1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B24C6FB">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质量管理体系证书（如有）</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3431B62">
            <w:pPr>
              <w:topLinePunct/>
              <w:spacing w:before="100" w:beforeAutospacing="1" w:after="100" w:afterAutospacing="1" w:line="440" w:lineRule="exact"/>
              <w:ind w:firstLine="120" w:firstLineChars="50"/>
              <w:rPr>
                <w:rFonts w:ascii="宋体" w:hAnsi="宋体"/>
                <w:color w:val="auto"/>
                <w:sz w:val="24"/>
                <w:szCs w:val="24"/>
                <w:highlight w:val="none"/>
              </w:rPr>
            </w:pPr>
            <w:r>
              <w:rPr>
                <w:rFonts w:hint="eastAsia" w:ascii="宋体" w:hAnsi="宋体"/>
                <w:color w:val="auto"/>
                <w:sz w:val="24"/>
                <w:szCs w:val="24"/>
                <w:highlight w:val="none"/>
              </w:rPr>
              <w:t>类型：                    等级：      证书号：</w:t>
            </w:r>
          </w:p>
        </w:tc>
      </w:tr>
      <w:tr w14:paraId="7515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BC4E6D4">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营业执照号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6393E2B2">
            <w:pPr>
              <w:topLinePunct/>
              <w:spacing w:line="440" w:lineRule="exact"/>
              <w:jc w:val="center"/>
              <w:rPr>
                <w:rFonts w:ascii="宋体" w:hAnsi="宋体"/>
                <w:color w:val="auto"/>
                <w:sz w:val="24"/>
                <w:szCs w:val="24"/>
                <w:highlight w:val="none"/>
              </w:rPr>
            </w:pPr>
          </w:p>
        </w:tc>
        <w:tc>
          <w:tcPr>
            <w:tcW w:w="3786" w:type="dxa"/>
            <w:gridSpan w:val="5"/>
            <w:tcBorders>
              <w:top w:val="single" w:color="auto" w:sz="4" w:space="0"/>
              <w:left w:val="single" w:color="auto" w:sz="4" w:space="0"/>
              <w:bottom w:val="single" w:color="auto" w:sz="4" w:space="0"/>
              <w:right w:val="single" w:color="auto" w:sz="4" w:space="0"/>
            </w:tcBorders>
            <w:noWrap/>
            <w:vAlign w:val="center"/>
          </w:tcPr>
          <w:p w14:paraId="7EABB3AF">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员工总人数：</w:t>
            </w:r>
          </w:p>
        </w:tc>
      </w:tr>
      <w:tr w14:paraId="4385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0B37D0E">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注册资本</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00958688">
            <w:pPr>
              <w:topLinePunct/>
              <w:spacing w:line="440" w:lineRule="exact"/>
              <w:jc w:val="center"/>
              <w:rPr>
                <w:rFonts w:ascii="宋体" w:hAnsi="宋体"/>
                <w:color w:val="auto"/>
                <w:sz w:val="24"/>
                <w:szCs w:val="24"/>
                <w:highlight w:val="none"/>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38280941">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其中</w:t>
            </w: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68024593">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高级职称人员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639EF89D">
            <w:pPr>
              <w:topLinePunct/>
              <w:spacing w:line="440" w:lineRule="exact"/>
              <w:jc w:val="center"/>
              <w:rPr>
                <w:rFonts w:ascii="宋体" w:hAnsi="宋体"/>
                <w:color w:val="auto"/>
                <w:sz w:val="24"/>
                <w:szCs w:val="24"/>
                <w:highlight w:val="none"/>
              </w:rPr>
            </w:pPr>
          </w:p>
        </w:tc>
      </w:tr>
      <w:tr w14:paraId="389D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5E36629">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成立日期</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50E7BC2B">
            <w:pPr>
              <w:topLinePunct/>
              <w:spacing w:line="440" w:lineRule="exact"/>
              <w:jc w:val="center"/>
              <w:rPr>
                <w:rFonts w:ascii="宋体" w:hAnsi="宋体"/>
                <w:color w:val="auto"/>
                <w:sz w:val="24"/>
                <w:szCs w:val="24"/>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B0C7568">
            <w:pPr>
              <w:widowControl/>
              <w:jc w:val="left"/>
              <w:rPr>
                <w:rFonts w:ascii="宋体" w:hAnsi="宋体"/>
                <w:color w:val="auto"/>
                <w:sz w:val="24"/>
                <w:szCs w:val="24"/>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0D708D4F">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中级职称人员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1986DCAA">
            <w:pPr>
              <w:topLinePunct/>
              <w:spacing w:line="440" w:lineRule="exact"/>
              <w:jc w:val="center"/>
              <w:rPr>
                <w:rFonts w:ascii="宋体" w:hAnsi="宋体"/>
                <w:color w:val="auto"/>
                <w:sz w:val="24"/>
                <w:szCs w:val="24"/>
                <w:highlight w:val="none"/>
              </w:rPr>
            </w:pPr>
          </w:p>
        </w:tc>
      </w:tr>
      <w:tr w14:paraId="1A27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0565269">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基本账户开户银行</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6093251B">
            <w:pPr>
              <w:topLinePunct/>
              <w:spacing w:line="440" w:lineRule="exact"/>
              <w:jc w:val="center"/>
              <w:rPr>
                <w:rFonts w:ascii="宋体" w:hAnsi="宋体"/>
                <w:color w:val="auto"/>
                <w:sz w:val="24"/>
                <w:szCs w:val="24"/>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BC2476B">
            <w:pPr>
              <w:widowControl/>
              <w:jc w:val="left"/>
              <w:rPr>
                <w:rFonts w:ascii="宋体" w:hAnsi="宋体"/>
                <w:color w:val="auto"/>
                <w:sz w:val="24"/>
                <w:szCs w:val="24"/>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456A5BF4">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技术人员数量</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64B6DFE1">
            <w:pPr>
              <w:topLinePunct/>
              <w:spacing w:line="440" w:lineRule="exact"/>
              <w:jc w:val="center"/>
              <w:rPr>
                <w:rFonts w:ascii="宋体" w:hAnsi="宋体"/>
                <w:color w:val="auto"/>
                <w:sz w:val="24"/>
                <w:szCs w:val="24"/>
                <w:highlight w:val="none"/>
              </w:rPr>
            </w:pPr>
          </w:p>
        </w:tc>
      </w:tr>
      <w:tr w14:paraId="3C3F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80194B3">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基本账户银行账号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06BD6F37">
            <w:pPr>
              <w:topLinePunct/>
              <w:spacing w:line="440" w:lineRule="exact"/>
              <w:jc w:val="center"/>
              <w:rPr>
                <w:rFonts w:ascii="宋体" w:hAnsi="宋体"/>
                <w:color w:val="auto"/>
                <w:sz w:val="24"/>
                <w:szCs w:val="24"/>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591FAAF">
            <w:pPr>
              <w:widowControl/>
              <w:jc w:val="left"/>
              <w:rPr>
                <w:rFonts w:ascii="宋体" w:hAnsi="宋体"/>
                <w:color w:val="auto"/>
                <w:sz w:val="24"/>
                <w:szCs w:val="24"/>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54ECE08D">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各类注册人员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10D76DD4">
            <w:pPr>
              <w:topLinePunct/>
              <w:spacing w:line="440" w:lineRule="exact"/>
              <w:jc w:val="center"/>
              <w:rPr>
                <w:rFonts w:ascii="宋体" w:hAnsi="宋体"/>
                <w:color w:val="auto"/>
                <w:sz w:val="24"/>
                <w:szCs w:val="24"/>
                <w:highlight w:val="none"/>
              </w:rPr>
            </w:pPr>
          </w:p>
        </w:tc>
      </w:tr>
      <w:tr w14:paraId="6F41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EC4F889">
            <w:pPr>
              <w:topLinePunct/>
              <w:spacing w:before="100" w:beforeAutospacing="1" w:after="100" w:afterAutospacing="1" w:line="440" w:lineRule="exact"/>
              <w:ind w:firstLine="240" w:firstLineChars="100"/>
              <w:jc w:val="center"/>
              <w:rPr>
                <w:rFonts w:ascii="宋体" w:hAnsi="宋体"/>
                <w:color w:val="auto"/>
                <w:sz w:val="24"/>
                <w:szCs w:val="24"/>
                <w:highlight w:val="none"/>
              </w:rPr>
            </w:pPr>
            <w:r>
              <w:rPr>
                <w:rFonts w:hint="eastAsia" w:ascii="宋体" w:hAnsi="宋体"/>
                <w:color w:val="auto"/>
                <w:sz w:val="24"/>
                <w:szCs w:val="24"/>
                <w:highlight w:val="none"/>
              </w:rPr>
              <w:t>经营范围</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332B6A29">
            <w:pPr>
              <w:topLinePunct/>
              <w:spacing w:line="440" w:lineRule="exact"/>
              <w:jc w:val="center"/>
              <w:rPr>
                <w:rFonts w:ascii="宋体" w:hAnsi="宋体"/>
                <w:color w:val="auto"/>
                <w:sz w:val="24"/>
                <w:szCs w:val="24"/>
                <w:highlight w:val="none"/>
              </w:rPr>
            </w:pPr>
          </w:p>
        </w:tc>
      </w:tr>
      <w:tr w14:paraId="0ECF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CA0EF73">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投标人关联企业情况（包括但不限于与投标人法定代表人为同一人或者存在控股、管理关系的不同单位）</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6F19294B">
            <w:pPr>
              <w:topLinePunct/>
              <w:spacing w:line="440" w:lineRule="exact"/>
              <w:jc w:val="center"/>
              <w:rPr>
                <w:rFonts w:ascii="宋体" w:hAnsi="宋体"/>
                <w:color w:val="auto"/>
                <w:sz w:val="24"/>
                <w:szCs w:val="24"/>
                <w:highlight w:val="none"/>
              </w:rPr>
            </w:pPr>
          </w:p>
        </w:tc>
      </w:tr>
      <w:tr w14:paraId="3466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9820CE1">
            <w:pPr>
              <w:topLinePunct/>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1DCD0316">
            <w:pPr>
              <w:topLinePunct/>
              <w:spacing w:line="440" w:lineRule="exact"/>
              <w:jc w:val="center"/>
              <w:rPr>
                <w:rFonts w:ascii="宋体" w:hAnsi="宋体"/>
                <w:color w:val="auto"/>
                <w:sz w:val="24"/>
                <w:szCs w:val="24"/>
                <w:highlight w:val="none"/>
              </w:rPr>
            </w:pPr>
          </w:p>
        </w:tc>
      </w:tr>
    </w:tbl>
    <w:p w14:paraId="7637613F">
      <w:pPr>
        <w:rPr>
          <w:rFonts w:ascii="宋体" w:hAnsi="宋体"/>
          <w:color w:val="auto"/>
          <w:highlight w:val="none"/>
        </w:rPr>
      </w:pPr>
    </w:p>
    <w:p w14:paraId="344EFAF7">
      <w:pPr>
        <w:rPr>
          <w:rFonts w:ascii="宋体" w:hAnsi="宋体"/>
          <w:color w:val="auto"/>
          <w:highlight w:val="none"/>
        </w:rPr>
      </w:pPr>
    </w:p>
    <w:p w14:paraId="615BECAD">
      <w:pPr>
        <w:spacing w:before="20" w:line="412" w:lineRule="auto"/>
        <w:ind w:firstLine="137"/>
        <w:outlineLvl w:val="2"/>
        <w:rPr>
          <w:rFonts w:ascii="宋体" w:hAnsi="宋体"/>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b/>
          <w:bCs/>
          <w:color w:val="auto"/>
          <w:sz w:val="28"/>
          <w:szCs w:val="32"/>
          <w:highlight w:val="none"/>
        </w:rPr>
        <w:t>（二）近年完成的类似项目情况表（格式可自定）</w:t>
      </w:r>
    </w:p>
    <w:tbl>
      <w:tblPr>
        <w:tblStyle w:val="36"/>
        <w:tblW w:w="0" w:type="auto"/>
        <w:jc w:val="center"/>
        <w:tblLayout w:type="fixed"/>
        <w:tblCellMar>
          <w:top w:w="0" w:type="dxa"/>
          <w:left w:w="108" w:type="dxa"/>
          <w:bottom w:w="0" w:type="dxa"/>
          <w:right w:w="108" w:type="dxa"/>
        </w:tblCellMar>
      </w:tblPr>
      <w:tblGrid>
        <w:gridCol w:w="2269"/>
        <w:gridCol w:w="6253"/>
      </w:tblGrid>
      <w:tr w14:paraId="325D8CD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C5B6F88">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6253" w:type="dxa"/>
            <w:tcBorders>
              <w:top w:val="single" w:color="auto" w:sz="4" w:space="0"/>
              <w:left w:val="nil"/>
              <w:bottom w:val="single" w:color="auto" w:sz="4" w:space="0"/>
              <w:right w:val="single" w:color="auto" w:sz="4" w:space="0"/>
            </w:tcBorders>
            <w:noWrap/>
          </w:tcPr>
          <w:p w14:paraId="5DB74E0F">
            <w:pPr>
              <w:topLinePunct/>
              <w:spacing w:line="440" w:lineRule="exact"/>
              <w:rPr>
                <w:rFonts w:ascii="宋体" w:hAnsi="宋体"/>
                <w:color w:val="auto"/>
                <w:sz w:val="24"/>
                <w:szCs w:val="24"/>
                <w:highlight w:val="none"/>
              </w:rPr>
            </w:pPr>
          </w:p>
        </w:tc>
      </w:tr>
      <w:tr w14:paraId="3DA714F1">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2FF9F0E">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项目所在地</w:t>
            </w:r>
          </w:p>
        </w:tc>
        <w:tc>
          <w:tcPr>
            <w:tcW w:w="6253" w:type="dxa"/>
            <w:tcBorders>
              <w:top w:val="single" w:color="auto" w:sz="4" w:space="0"/>
              <w:left w:val="nil"/>
              <w:bottom w:val="single" w:color="auto" w:sz="4" w:space="0"/>
              <w:right w:val="single" w:color="auto" w:sz="4" w:space="0"/>
            </w:tcBorders>
            <w:noWrap/>
          </w:tcPr>
          <w:p w14:paraId="182DB4B5">
            <w:pPr>
              <w:topLinePunct/>
              <w:spacing w:line="440" w:lineRule="exact"/>
              <w:rPr>
                <w:rFonts w:ascii="宋体" w:hAnsi="宋体"/>
                <w:color w:val="auto"/>
                <w:sz w:val="24"/>
                <w:szCs w:val="24"/>
                <w:highlight w:val="none"/>
              </w:rPr>
            </w:pPr>
          </w:p>
        </w:tc>
      </w:tr>
      <w:tr w14:paraId="43677E04">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CF088E3">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委托人名称</w:t>
            </w:r>
          </w:p>
        </w:tc>
        <w:tc>
          <w:tcPr>
            <w:tcW w:w="6253" w:type="dxa"/>
            <w:tcBorders>
              <w:top w:val="single" w:color="auto" w:sz="4" w:space="0"/>
              <w:left w:val="nil"/>
              <w:bottom w:val="single" w:color="auto" w:sz="4" w:space="0"/>
              <w:right w:val="single" w:color="auto" w:sz="4" w:space="0"/>
            </w:tcBorders>
            <w:noWrap/>
          </w:tcPr>
          <w:p w14:paraId="2B4963CC">
            <w:pPr>
              <w:topLinePunct/>
              <w:spacing w:line="440" w:lineRule="exact"/>
              <w:rPr>
                <w:rFonts w:ascii="宋体" w:hAnsi="宋体"/>
                <w:color w:val="auto"/>
                <w:sz w:val="24"/>
                <w:szCs w:val="24"/>
                <w:highlight w:val="none"/>
              </w:rPr>
            </w:pPr>
          </w:p>
        </w:tc>
      </w:tr>
      <w:tr w14:paraId="66398A2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03D6BDD">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委托人地址</w:t>
            </w:r>
          </w:p>
        </w:tc>
        <w:tc>
          <w:tcPr>
            <w:tcW w:w="6253" w:type="dxa"/>
            <w:tcBorders>
              <w:top w:val="single" w:color="auto" w:sz="4" w:space="0"/>
              <w:left w:val="nil"/>
              <w:bottom w:val="single" w:color="auto" w:sz="4" w:space="0"/>
              <w:right w:val="single" w:color="auto" w:sz="4" w:space="0"/>
            </w:tcBorders>
            <w:noWrap/>
          </w:tcPr>
          <w:p w14:paraId="2536954B">
            <w:pPr>
              <w:topLinePunct/>
              <w:spacing w:line="440" w:lineRule="exact"/>
              <w:rPr>
                <w:rFonts w:ascii="宋体" w:hAnsi="宋体"/>
                <w:color w:val="auto"/>
                <w:sz w:val="24"/>
                <w:szCs w:val="24"/>
                <w:highlight w:val="none"/>
              </w:rPr>
            </w:pPr>
          </w:p>
        </w:tc>
      </w:tr>
      <w:tr w14:paraId="0754CB5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4FDD5D0">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委托人电话</w:t>
            </w:r>
          </w:p>
        </w:tc>
        <w:tc>
          <w:tcPr>
            <w:tcW w:w="6253" w:type="dxa"/>
            <w:tcBorders>
              <w:top w:val="single" w:color="auto" w:sz="4" w:space="0"/>
              <w:left w:val="nil"/>
              <w:bottom w:val="single" w:color="auto" w:sz="4" w:space="0"/>
              <w:right w:val="single" w:color="auto" w:sz="4" w:space="0"/>
            </w:tcBorders>
            <w:noWrap/>
          </w:tcPr>
          <w:p w14:paraId="0F2C489D">
            <w:pPr>
              <w:topLinePunct/>
              <w:spacing w:line="440" w:lineRule="exact"/>
              <w:rPr>
                <w:rFonts w:ascii="宋体" w:hAnsi="宋体"/>
                <w:color w:val="auto"/>
                <w:sz w:val="24"/>
                <w:szCs w:val="24"/>
                <w:highlight w:val="none"/>
              </w:rPr>
            </w:pPr>
          </w:p>
        </w:tc>
      </w:tr>
      <w:tr w14:paraId="58B8C4E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DE75577">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合同价格</w:t>
            </w:r>
          </w:p>
        </w:tc>
        <w:tc>
          <w:tcPr>
            <w:tcW w:w="6253" w:type="dxa"/>
            <w:tcBorders>
              <w:top w:val="single" w:color="auto" w:sz="4" w:space="0"/>
              <w:left w:val="nil"/>
              <w:bottom w:val="single" w:color="auto" w:sz="4" w:space="0"/>
              <w:right w:val="single" w:color="auto" w:sz="4" w:space="0"/>
            </w:tcBorders>
            <w:noWrap/>
          </w:tcPr>
          <w:p w14:paraId="3136A58D">
            <w:pPr>
              <w:topLinePunct/>
              <w:spacing w:line="440" w:lineRule="exact"/>
              <w:rPr>
                <w:rFonts w:ascii="宋体" w:hAnsi="宋体"/>
                <w:color w:val="auto"/>
                <w:sz w:val="24"/>
                <w:szCs w:val="24"/>
                <w:highlight w:val="none"/>
              </w:rPr>
            </w:pPr>
          </w:p>
        </w:tc>
      </w:tr>
      <w:tr w14:paraId="5C152761">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8BC6392">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监理服务期限</w:t>
            </w:r>
          </w:p>
        </w:tc>
        <w:tc>
          <w:tcPr>
            <w:tcW w:w="6253" w:type="dxa"/>
            <w:tcBorders>
              <w:top w:val="single" w:color="auto" w:sz="4" w:space="0"/>
              <w:left w:val="nil"/>
              <w:bottom w:val="single" w:color="auto" w:sz="4" w:space="0"/>
              <w:right w:val="single" w:color="auto" w:sz="4" w:space="0"/>
            </w:tcBorders>
            <w:noWrap/>
          </w:tcPr>
          <w:p w14:paraId="2113CFBC">
            <w:pPr>
              <w:topLinePunct/>
              <w:spacing w:line="440" w:lineRule="exact"/>
              <w:rPr>
                <w:rFonts w:ascii="宋体" w:hAnsi="宋体"/>
                <w:color w:val="auto"/>
                <w:sz w:val="24"/>
                <w:szCs w:val="24"/>
                <w:highlight w:val="none"/>
              </w:rPr>
            </w:pPr>
          </w:p>
        </w:tc>
      </w:tr>
      <w:tr w14:paraId="401F8B99">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7C3F8AA">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监理内容</w:t>
            </w:r>
          </w:p>
        </w:tc>
        <w:tc>
          <w:tcPr>
            <w:tcW w:w="6253" w:type="dxa"/>
            <w:tcBorders>
              <w:top w:val="single" w:color="auto" w:sz="4" w:space="0"/>
              <w:left w:val="nil"/>
              <w:bottom w:val="single" w:color="auto" w:sz="4" w:space="0"/>
              <w:right w:val="single" w:color="auto" w:sz="4" w:space="0"/>
            </w:tcBorders>
            <w:noWrap/>
          </w:tcPr>
          <w:p w14:paraId="1CF43293">
            <w:pPr>
              <w:topLinePunct/>
              <w:spacing w:line="440" w:lineRule="exact"/>
              <w:rPr>
                <w:rFonts w:ascii="宋体" w:hAnsi="宋体"/>
                <w:color w:val="auto"/>
                <w:sz w:val="24"/>
                <w:szCs w:val="24"/>
                <w:highlight w:val="none"/>
              </w:rPr>
            </w:pPr>
          </w:p>
        </w:tc>
      </w:tr>
      <w:tr w14:paraId="097362A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40432E9">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总监理工程师</w:t>
            </w:r>
          </w:p>
        </w:tc>
        <w:tc>
          <w:tcPr>
            <w:tcW w:w="6253" w:type="dxa"/>
            <w:tcBorders>
              <w:top w:val="single" w:color="auto" w:sz="4" w:space="0"/>
              <w:left w:val="nil"/>
              <w:bottom w:val="single" w:color="auto" w:sz="4" w:space="0"/>
              <w:right w:val="single" w:color="auto" w:sz="4" w:space="0"/>
            </w:tcBorders>
            <w:noWrap/>
          </w:tcPr>
          <w:p w14:paraId="1EAF1E74">
            <w:pPr>
              <w:topLinePunct/>
              <w:spacing w:line="440" w:lineRule="exact"/>
              <w:rPr>
                <w:rFonts w:ascii="宋体" w:hAnsi="宋体"/>
                <w:color w:val="auto"/>
                <w:sz w:val="24"/>
                <w:szCs w:val="24"/>
                <w:highlight w:val="none"/>
              </w:rPr>
            </w:pPr>
          </w:p>
        </w:tc>
      </w:tr>
      <w:tr w14:paraId="78BCDD0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2BA82D3">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项目描述</w:t>
            </w:r>
          </w:p>
        </w:tc>
        <w:tc>
          <w:tcPr>
            <w:tcW w:w="6253" w:type="dxa"/>
            <w:tcBorders>
              <w:top w:val="single" w:color="auto" w:sz="4" w:space="0"/>
              <w:left w:val="nil"/>
              <w:bottom w:val="single" w:color="auto" w:sz="4" w:space="0"/>
              <w:right w:val="single" w:color="auto" w:sz="4" w:space="0"/>
            </w:tcBorders>
            <w:noWrap/>
          </w:tcPr>
          <w:p w14:paraId="7B84BD0C">
            <w:pPr>
              <w:topLinePunct/>
              <w:spacing w:line="440" w:lineRule="exact"/>
              <w:rPr>
                <w:rFonts w:ascii="宋体" w:hAnsi="宋体"/>
                <w:color w:val="auto"/>
                <w:sz w:val="24"/>
                <w:szCs w:val="24"/>
                <w:highlight w:val="none"/>
              </w:rPr>
            </w:pPr>
          </w:p>
          <w:p w14:paraId="37026463">
            <w:pPr>
              <w:topLinePunct/>
              <w:spacing w:line="440" w:lineRule="exact"/>
              <w:rPr>
                <w:rFonts w:ascii="宋体" w:hAnsi="宋体"/>
                <w:color w:val="auto"/>
                <w:sz w:val="24"/>
                <w:szCs w:val="24"/>
                <w:highlight w:val="none"/>
              </w:rPr>
            </w:pPr>
          </w:p>
          <w:p w14:paraId="6B1CCFB2">
            <w:pPr>
              <w:topLinePunct/>
              <w:spacing w:line="440" w:lineRule="exact"/>
              <w:rPr>
                <w:rFonts w:ascii="宋体" w:hAnsi="宋体"/>
                <w:color w:val="auto"/>
                <w:sz w:val="24"/>
                <w:szCs w:val="24"/>
                <w:highlight w:val="none"/>
              </w:rPr>
            </w:pPr>
          </w:p>
          <w:p w14:paraId="2883E2DD">
            <w:pPr>
              <w:topLinePunct/>
              <w:spacing w:line="440" w:lineRule="exact"/>
              <w:rPr>
                <w:rFonts w:ascii="宋体" w:hAnsi="宋体"/>
                <w:color w:val="auto"/>
                <w:sz w:val="24"/>
                <w:szCs w:val="24"/>
                <w:highlight w:val="none"/>
              </w:rPr>
            </w:pPr>
          </w:p>
          <w:p w14:paraId="746E9F35">
            <w:pPr>
              <w:topLinePunct/>
              <w:spacing w:line="440" w:lineRule="exact"/>
              <w:rPr>
                <w:rFonts w:ascii="宋体" w:hAnsi="宋体"/>
                <w:color w:val="auto"/>
                <w:sz w:val="24"/>
                <w:szCs w:val="24"/>
                <w:highlight w:val="none"/>
              </w:rPr>
            </w:pPr>
          </w:p>
          <w:p w14:paraId="7ACBDB93">
            <w:pPr>
              <w:topLinePunct/>
              <w:spacing w:line="440" w:lineRule="exact"/>
              <w:rPr>
                <w:rFonts w:ascii="宋体" w:hAnsi="宋体"/>
                <w:color w:val="auto"/>
                <w:sz w:val="24"/>
                <w:szCs w:val="24"/>
                <w:highlight w:val="none"/>
              </w:rPr>
            </w:pPr>
          </w:p>
          <w:p w14:paraId="1BC3E4F5">
            <w:pPr>
              <w:topLinePunct/>
              <w:spacing w:line="440" w:lineRule="exact"/>
              <w:rPr>
                <w:rFonts w:ascii="宋体" w:hAnsi="宋体"/>
                <w:color w:val="auto"/>
                <w:sz w:val="24"/>
                <w:szCs w:val="24"/>
                <w:highlight w:val="none"/>
              </w:rPr>
            </w:pPr>
          </w:p>
        </w:tc>
      </w:tr>
      <w:tr w14:paraId="70B6C64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F5FC9CF">
            <w:pPr>
              <w:topLinePunct/>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c>
          <w:tcPr>
            <w:tcW w:w="6253" w:type="dxa"/>
            <w:tcBorders>
              <w:top w:val="single" w:color="auto" w:sz="4" w:space="0"/>
              <w:left w:val="nil"/>
              <w:bottom w:val="single" w:color="auto" w:sz="4" w:space="0"/>
              <w:right w:val="single" w:color="auto" w:sz="4" w:space="0"/>
            </w:tcBorders>
            <w:noWrap/>
          </w:tcPr>
          <w:p w14:paraId="6BDAF10F">
            <w:pPr>
              <w:topLinePunct/>
              <w:spacing w:line="440" w:lineRule="exact"/>
              <w:rPr>
                <w:rFonts w:ascii="宋体" w:hAnsi="宋体"/>
                <w:color w:val="auto"/>
                <w:sz w:val="24"/>
                <w:szCs w:val="24"/>
                <w:highlight w:val="none"/>
              </w:rPr>
            </w:pPr>
          </w:p>
        </w:tc>
      </w:tr>
    </w:tbl>
    <w:p w14:paraId="769FD18D">
      <w:pPr>
        <w:spacing w:line="440" w:lineRule="exact"/>
        <w:rPr>
          <w:rFonts w:ascii="宋体" w:hAnsi="宋体"/>
          <w:color w:val="auto"/>
          <w:szCs w:val="24"/>
          <w:highlight w:val="none"/>
        </w:rPr>
      </w:pPr>
    </w:p>
    <w:p w14:paraId="58EA5964">
      <w:pPr>
        <w:spacing w:line="440" w:lineRule="exact"/>
        <w:rPr>
          <w:rFonts w:ascii="宋体" w:hAnsi="宋体"/>
          <w:color w:val="auto"/>
          <w:szCs w:val="24"/>
          <w:highlight w:val="none"/>
        </w:rPr>
      </w:pPr>
    </w:p>
    <w:p w14:paraId="59E303D1">
      <w:pPr>
        <w:spacing w:before="20" w:line="412" w:lineRule="auto"/>
        <w:ind w:firstLine="137"/>
        <w:outlineLvl w:val="2"/>
        <w:rPr>
          <w:rFonts w:ascii="宋体" w:hAnsi="宋体"/>
          <w:b/>
          <w:bCs/>
          <w:color w:val="auto"/>
          <w:sz w:val="28"/>
          <w:szCs w:val="32"/>
          <w:highlight w:val="none"/>
        </w:rPr>
      </w:pPr>
      <w:r>
        <w:rPr>
          <w:rFonts w:hint="eastAsia" w:ascii="宋体" w:hAnsi="宋体"/>
          <w:b/>
          <w:bCs/>
          <w:color w:val="auto"/>
          <w:sz w:val="32"/>
          <w:szCs w:val="32"/>
          <w:highlight w:val="none"/>
        </w:rPr>
        <w:br w:type="page"/>
      </w:r>
      <w:r>
        <w:rPr>
          <w:rFonts w:hint="eastAsia" w:ascii="宋体" w:hAnsi="宋体"/>
          <w:b/>
          <w:bCs/>
          <w:color w:val="auto"/>
          <w:sz w:val="28"/>
          <w:szCs w:val="32"/>
          <w:highlight w:val="none"/>
        </w:rPr>
        <w:t>（</w:t>
      </w:r>
      <w:r>
        <w:rPr>
          <w:rFonts w:hint="eastAsia" w:ascii="宋体" w:hAnsi="宋体"/>
          <w:b/>
          <w:bCs/>
          <w:color w:val="auto"/>
          <w:sz w:val="28"/>
          <w:szCs w:val="32"/>
          <w:highlight w:val="none"/>
          <w:lang w:val="en-US" w:eastAsia="zh-CN"/>
        </w:rPr>
        <w:t>三</w:t>
      </w:r>
      <w:r>
        <w:rPr>
          <w:rFonts w:hint="eastAsia" w:ascii="宋体" w:hAnsi="宋体"/>
          <w:b/>
          <w:bCs/>
          <w:color w:val="auto"/>
          <w:sz w:val="28"/>
          <w:szCs w:val="32"/>
          <w:highlight w:val="none"/>
        </w:rPr>
        <w:t>）拟委任的主要人员汇总表（格式可自定）</w:t>
      </w:r>
    </w:p>
    <w:tbl>
      <w:tblPr>
        <w:tblStyle w:val="36"/>
        <w:tblW w:w="0" w:type="auto"/>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011F2D02">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noWrap/>
            <w:vAlign w:val="center"/>
          </w:tcPr>
          <w:p w14:paraId="386CB7EA">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468" w:type="dxa"/>
            <w:vMerge w:val="restart"/>
            <w:tcBorders>
              <w:top w:val="single" w:color="auto" w:sz="4" w:space="0"/>
              <w:left w:val="nil"/>
              <w:bottom w:val="single" w:color="auto" w:sz="4" w:space="0"/>
              <w:right w:val="single" w:color="auto" w:sz="4" w:space="0"/>
            </w:tcBorders>
            <w:noWrap/>
            <w:vAlign w:val="center"/>
          </w:tcPr>
          <w:p w14:paraId="790E2900">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本项目任职</w:t>
            </w:r>
          </w:p>
        </w:tc>
        <w:tc>
          <w:tcPr>
            <w:tcW w:w="818" w:type="dxa"/>
            <w:vMerge w:val="restart"/>
            <w:tcBorders>
              <w:top w:val="single" w:color="auto" w:sz="4" w:space="0"/>
              <w:left w:val="nil"/>
              <w:bottom w:val="single" w:color="auto" w:sz="4" w:space="0"/>
              <w:right w:val="single" w:color="auto" w:sz="4" w:space="0"/>
            </w:tcBorders>
            <w:noWrap/>
            <w:vAlign w:val="center"/>
          </w:tcPr>
          <w:p w14:paraId="591FB077">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707" w:type="dxa"/>
            <w:vMerge w:val="restart"/>
            <w:tcBorders>
              <w:top w:val="single" w:color="auto" w:sz="4" w:space="0"/>
              <w:left w:val="nil"/>
              <w:bottom w:val="single" w:color="auto" w:sz="4" w:space="0"/>
              <w:right w:val="single" w:color="auto" w:sz="4" w:space="0"/>
            </w:tcBorders>
            <w:noWrap/>
            <w:vAlign w:val="center"/>
          </w:tcPr>
          <w:p w14:paraId="68CA9744">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职称</w:t>
            </w:r>
          </w:p>
        </w:tc>
        <w:tc>
          <w:tcPr>
            <w:tcW w:w="870" w:type="dxa"/>
            <w:vMerge w:val="restart"/>
            <w:tcBorders>
              <w:top w:val="single" w:color="auto" w:sz="4" w:space="0"/>
              <w:left w:val="nil"/>
              <w:bottom w:val="single" w:color="auto" w:sz="4" w:space="0"/>
              <w:right w:val="single" w:color="auto" w:sz="4" w:space="0"/>
            </w:tcBorders>
            <w:noWrap/>
            <w:vAlign w:val="center"/>
          </w:tcPr>
          <w:p w14:paraId="6B55CC95">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专业</w:t>
            </w:r>
          </w:p>
        </w:tc>
        <w:tc>
          <w:tcPr>
            <w:tcW w:w="3123" w:type="dxa"/>
            <w:gridSpan w:val="3"/>
            <w:tcBorders>
              <w:top w:val="single" w:color="auto" w:sz="4" w:space="0"/>
              <w:left w:val="nil"/>
              <w:bottom w:val="single" w:color="auto" w:sz="4" w:space="0"/>
              <w:right w:val="single" w:color="auto" w:sz="4" w:space="0"/>
            </w:tcBorders>
            <w:noWrap/>
            <w:vAlign w:val="center"/>
          </w:tcPr>
          <w:p w14:paraId="6CC47E51">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执业或职业资格证明</w:t>
            </w:r>
          </w:p>
        </w:tc>
        <w:tc>
          <w:tcPr>
            <w:tcW w:w="1302" w:type="dxa"/>
            <w:tcBorders>
              <w:top w:val="single" w:color="auto" w:sz="4" w:space="0"/>
              <w:left w:val="nil"/>
              <w:bottom w:val="single" w:color="auto" w:sz="4" w:space="0"/>
              <w:right w:val="single" w:color="auto" w:sz="4" w:space="0"/>
            </w:tcBorders>
            <w:noWrap/>
            <w:vAlign w:val="center"/>
          </w:tcPr>
          <w:p w14:paraId="5A80CEB2">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0347BC35">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noWrap/>
            <w:vAlign w:val="center"/>
          </w:tcPr>
          <w:p w14:paraId="2E6AE1BC">
            <w:pPr>
              <w:widowControl/>
              <w:jc w:val="left"/>
              <w:rPr>
                <w:rFonts w:ascii="宋体" w:hAnsi="宋体"/>
                <w:color w:val="auto"/>
                <w:sz w:val="24"/>
                <w:szCs w:val="24"/>
                <w:highlight w:val="none"/>
              </w:rPr>
            </w:pPr>
          </w:p>
        </w:tc>
        <w:tc>
          <w:tcPr>
            <w:tcW w:w="1468" w:type="dxa"/>
            <w:vMerge w:val="continue"/>
            <w:tcBorders>
              <w:top w:val="single" w:color="auto" w:sz="4" w:space="0"/>
              <w:left w:val="nil"/>
              <w:bottom w:val="single" w:color="auto" w:sz="4" w:space="0"/>
              <w:right w:val="single" w:color="auto" w:sz="4" w:space="0"/>
            </w:tcBorders>
            <w:noWrap/>
            <w:vAlign w:val="center"/>
          </w:tcPr>
          <w:p w14:paraId="3FA8AFC2">
            <w:pPr>
              <w:widowControl/>
              <w:jc w:val="left"/>
              <w:rPr>
                <w:rFonts w:ascii="宋体" w:hAnsi="宋体"/>
                <w:color w:val="auto"/>
                <w:sz w:val="24"/>
                <w:szCs w:val="24"/>
                <w:highlight w:val="none"/>
              </w:rPr>
            </w:pPr>
          </w:p>
        </w:tc>
        <w:tc>
          <w:tcPr>
            <w:tcW w:w="818" w:type="dxa"/>
            <w:vMerge w:val="continue"/>
            <w:tcBorders>
              <w:top w:val="single" w:color="auto" w:sz="4" w:space="0"/>
              <w:left w:val="nil"/>
              <w:bottom w:val="single" w:color="auto" w:sz="4" w:space="0"/>
              <w:right w:val="single" w:color="auto" w:sz="4" w:space="0"/>
            </w:tcBorders>
            <w:noWrap/>
            <w:vAlign w:val="center"/>
          </w:tcPr>
          <w:p w14:paraId="4853E52F">
            <w:pPr>
              <w:widowControl/>
              <w:jc w:val="left"/>
              <w:rPr>
                <w:rFonts w:ascii="宋体" w:hAnsi="宋体"/>
                <w:color w:val="auto"/>
                <w:sz w:val="24"/>
                <w:szCs w:val="24"/>
                <w:highlight w:val="none"/>
              </w:rPr>
            </w:pPr>
          </w:p>
        </w:tc>
        <w:tc>
          <w:tcPr>
            <w:tcW w:w="707" w:type="dxa"/>
            <w:vMerge w:val="continue"/>
            <w:tcBorders>
              <w:top w:val="single" w:color="auto" w:sz="4" w:space="0"/>
              <w:left w:val="nil"/>
              <w:bottom w:val="single" w:color="auto" w:sz="4" w:space="0"/>
              <w:right w:val="single" w:color="auto" w:sz="4" w:space="0"/>
            </w:tcBorders>
            <w:noWrap/>
            <w:vAlign w:val="center"/>
          </w:tcPr>
          <w:p w14:paraId="68CD64A1">
            <w:pPr>
              <w:widowControl/>
              <w:jc w:val="left"/>
              <w:rPr>
                <w:rFonts w:ascii="宋体" w:hAnsi="宋体"/>
                <w:color w:val="auto"/>
                <w:sz w:val="24"/>
                <w:szCs w:val="24"/>
                <w:highlight w:val="none"/>
              </w:rPr>
            </w:pPr>
          </w:p>
        </w:tc>
        <w:tc>
          <w:tcPr>
            <w:tcW w:w="870" w:type="dxa"/>
            <w:vMerge w:val="continue"/>
            <w:tcBorders>
              <w:top w:val="single" w:color="auto" w:sz="4" w:space="0"/>
              <w:left w:val="nil"/>
              <w:bottom w:val="single" w:color="auto" w:sz="4" w:space="0"/>
              <w:right w:val="single" w:color="auto" w:sz="4" w:space="0"/>
            </w:tcBorders>
            <w:noWrap/>
            <w:vAlign w:val="center"/>
          </w:tcPr>
          <w:p w14:paraId="20C03E75">
            <w:pPr>
              <w:widowControl/>
              <w:jc w:val="left"/>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center"/>
          </w:tcPr>
          <w:p w14:paraId="55F3C671">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证书名称</w:t>
            </w:r>
          </w:p>
        </w:tc>
        <w:tc>
          <w:tcPr>
            <w:tcW w:w="816" w:type="dxa"/>
            <w:tcBorders>
              <w:top w:val="single" w:color="auto" w:sz="4" w:space="0"/>
              <w:left w:val="nil"/>
              <w:bottom w:val="single" w:color="auto" w:sz="4" w:space="0"/>
              <w:right w:val="single" w:color="auto" w:sz="4" w:space="0"/>
            </w:tcBorders>
            <w:noWrap/>
            <w:vAlign w:val="center"/>
          </w:tcPr>
          <w:p w14:paraId="3D10B4D3">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级别</w:t>
            </w:r>
          </w:p>
        </w:tc>
        <w:tc>
          <w:tcPr>
            <w:tcW w:w="1002" w:type="dxa"/>
            <w:tcBorders>
              <w:top w:val="single" w:color="auto" w:sz="4" w:space="0"/>
              <w:left w:val="nil"/>
              <w:bottom w:val="single" w:color="auto" w:sz="4" w:space="0"/>
              <w:right w:val="single" w:color="auto" w:sz="4" w:space="0"/>
            </w:tcBorders>
            <w:noWrap/>
            <w:vAlign w:val="center"/>
          </w:tcPr>
          <w:p w14:paraId="7A53AFC2">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证号</w:t>
            </w:r>
          </w:p>
        </w:tc>
        <w:tc>
          <w:tcPr>
            <w:tcW w:w="1302" w:type="dxa"/>
            <w:tcBorders>
              <w:top w:val="single" w:color="auto" w:sz="4" w:space="0"/>
              <w:left w:val="nil"/>
              <w:bottom w:val="single" w:color="auto" w:sz="4" w:space="0"/>
              <w:right w:val="single" w:color="auto" w:sz="4" w:space="0"/>
            </w:tcBorders>
            <w:noWrap/>
            <w:vAlign w:val="center"/>
          </w:tcPr>
          <w:p w14:paraId="220B9BAF">
            <w:pPr>
              <w:spacing w:line="440" w:lineRule="exact"/>
              <w:jc w:val="center"/>
              <w:rPr>
                <w:rFonts w:ascii="宋体" w:hAnsi="宋体"/>
                <w:color w:val="auto"/>
                <w:sz w:val="24"/>
                <w:szCs w:val="24"/>
                <w:highlight w:val="none"/>
              </w:rPr>
            </w:pPr>
          </w:p>
        </w:tc>
      </w:tr>
      <w:tr w14:paraId="44CB102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center"/>
          </w:tcPr>
          <w:p w14:paraId="5EDBAACE">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08CA249A">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center"/>
          </w:tcPr>
          <w:p w14:paraId="201C1F0A">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center"/>
          </w:tcPr>
          <w:p w14:paraId="69919F01">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center"/>
          </w:tcPr>
          <w:p w14:paraId="18AA584F">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center"/>
          </w:tcPr>
          <w:p w14:paraId="627EF0B7">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center"/>
          </w:tcPr>
          <w:p w14:paraId="7EDCB04A">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center"/>
          </w:tcPr>
          <w:p w14:paraId="0FBBBFCB">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center"/>
          </w:tcPr>
          <w:p w14:paraId="6E97FB2D">
            <w:pPr>
              <w:spacing w:line="440" w:lineRule="exact"/>
              <w:jc w:val="center"/>
              <w:rPr>
                <w:rFonts w:ascii="宋体" w:hAnsi="宋体"/>
                <w:color w:val="auto"/>
                <w:sz w:val="24"/>
                <w:szCs w:val="24"/>
                <w:highlight w:val="none"/>
              </w:rPr>
            </w:pPr>
          </w:p>
        </w:tc>
      </w:tr>
      <w:tr w14:paraId="63714D4B">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1B75020">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07E9CAB1">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275D6CD4">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69F7FA19">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64D16231">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25F282AC">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38AD360A">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00D9F322">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670E25C0">
            <w:pPr>
              <w:spacing w:line="440" w:lineRule="exact"/>
              <w:jc w:val="center"/>
              <w:rPr>
                <w:rFonts w:ascii="宋体" w:hAnsi="宋体"/>
                <w:color w:val="auto"/>
                <w:sz w:val="24"/>
                <w:szCs w:val="24"/>
                <w:highlight w:val="none"/>
              </w:rPr>
            </w:pPr>
          </w:p>
        </w:tc>
      </w:tr>
      <w:tr w14:paraId="63FA45F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4B38E006">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3068C5D0">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4153A3B0">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19D19B00">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67EAC5BE">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7D8AD7FE">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3CBC3F2A">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613EE383">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3E255706">
            <w:pPr>
              <w:spacing w:line="440" w:lineRule="exact"/>
              <w:jc w:val="center"/>
              <w:rPr>
                <w:rFonts w:ascii="宋体" w:hAnsi="宋体"/>
                <w:color w:val="auto"/>
                <w:sz w:val="24"/>
                <w:szCs w:val="24"/>
                <w:highlight w:val="none"/>
              </w:rPr>
            </w:pPr>
          </w:p>
        </w:tc>
      </w:tr>
      <w:tr w14:paraId="4F54946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463DB696">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55E01E64">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76D5B613">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1EB43D13">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1FAA3BE7">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0924439D">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6AE5EA4C">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6C5EA5B7">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3420DCFD">
            <w:pPr>
              <w:spacing w:line="440" w:lineRule="exact"/>
              <w:jc w:val="center"/>
              <w:rPr>
                <w:rFonts w:ascii="宋体" w:hAnsi="宋体"/>
                <w:color w:val="auto"/>
                <w:sz w:val="24"/>
                <w:szCs w:val="24"/>
                <w:highlight w:val="none"/>
              </w:rPr>
            </w:pPr>
          </w:p>
        </w:tc>
      </w:tr>
      <w:tr w14:paraId="2292358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57A3A3D1">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34A17E24">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2D863185">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4773EDD2">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4C58A2AD">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7800E11E">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2AE2962E">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44344416">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54AE0070">
            <w:pPr>
              <w:spacing w:line="440" w:lineRule="exact"/>
              <w:jc w:val="center"/>
              <w:rPr>
                <w:rFonts w:ascii="宋体" w:hAnsi="宋体"/>
                <w:color w:val="auto"/>
                <w:sz w:val="24"/>
                <w:szCs w:val="24"/>
                <w:highlight w:val="none"/>
              </w:rPr>
            </w:pPr>
          </w:p>
        </w:tc>
      </w:tr>
      <w:tr w14:paraId="5D62BEB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7EC8B51B">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28066892">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3EC7FA4C">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554B0B2C">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7383C196">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519DB826">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4F9B89B7">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7B86D33B">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6CF38481">
            <w:pPr>
              <w:spacing w:line="440" w:lineRule="exact"/>
              <w:jc w:val="center"/>
              <w:rPr>
                <w:rFonts w:ascii="宋体" w:hAnsi="宋体"/>
                <w:color w:val="auto"/>
                <w:sz w:val="24"/>
                <w:szCs w:val="24"/>
                <w:highlight w:val="none"/>
              </w:rPr>
            </w:pPr>
          </w:p>
        </w:tc>
      </w:tr>
      <w:tr w14:paraId="477AFEE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5E18FB38">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1544E2CA">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30D27D5E">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38D81E51">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2567D7A6">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2EE96E66">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7D5A56F8">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630E1717">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2E265A5F">
            <w:pPr>
              <w:spacing w:line="440" w:lineRule="exact"/>
              <w:jc w:val="center"/>
              <w:rPr>
                <w:rFonts w:ascii="宋体" w:hAnsi="宋体"/>
                <w:color w:val="auto"/>
                <w:sz w:val="24"/>
                <w:szCs w:val="24"/>
                <w:highlight w:val="none"/>
              </w:rPr>
            </w:pPr>
          </w:p>
        </w:tc>
      </w:tr>
      <w:tr w14:paraId="3BB73B3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6183DBB">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69F15211">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007CFA2D">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0FB23678">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524AC7AA">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119F7B33">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63DCDE79">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36AD80EB">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5B75FA0C">
            <w:pPr>
              <w:spacing w:line="440" w:lineRule="exact"/>
              <w:jc w:val="center"/>
              <w:rPr>
                <w:rFonts w:ascii="宋体" w:hAnsi="宋体"/>
                <w:color w:val="auto"/>
                <w:sz w:val="24"/>
                <w:szCs w:val="24"/>
                <w:highlight w:val="none"/>
              </w:rPr>
            </w:pPr>
          </w:p>
        </w:tc>
      </w:tr>
      <w:tr w14:paraId="133C97D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B08B10A">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054B0415">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3343C904">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067AA91A">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35D1E406">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530DE400">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0F5F5982">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6141BDA2">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756F6746">
            <w:pPr>
              <w:spacing w:line="440" w:lineRule="exact"/>
              <w:jc w:val="center"/>
              <w:rPr>
                <w:rFonts w:ascii="宋体" w:hAnsi="宋体"/>
                <w:color w:val="auto"/>
                <w:sz w:val="24"/>
                <w:szCs w:val="24"/>
                <w:highlight w:val="none"/>
              </w:rPr>
            </w:pPr>
          </w:p>
        </w:tc>
      </w:tr>
      <w:tr w14:paraId="0732167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32E9C812">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7B62EF87">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3E889CB7">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0FA770E6">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40E51F05">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151D6594">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42A987EA">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04B4E1A4">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620A4602">
            <w:pPr>
              <w:spacing w:line="440" w:lineRule="exact"/>
              <w:jc w:val="center"/>
              <w:rPr>
                <w:rFonts w:ascii="宋体" w:hAnsi="宋体"/>
                <w:color w:val="auto"/>
                <w:sz w:val="24"/>
                <w:szCs w:val="24"/>
                <w:highlight w:val="none"/>
              </w:rPr>
            </w:pPr>
          </w:p>
        </w:tc>
      </w:tr>
      <w:tr w14:paraId="6135EBD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6CBB78C9">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7BA48579">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57FDC0D3">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03A281AB">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44156A64">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2B22600B">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493B16F2">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088026E8">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3371022B">
            <w:pPr>
              <w:spacing w:line="440" w:lineRule="exact"/>
              <w:jc w:val="center"/>
              <w:rPr>
                <w:rFonts w:ascii="宋体" w:hAnsi="宋体"/>
                <w:color w:val="auto"/>
                <w:sz w:val="24"/>
                <w:szCs w:val="24"/>
                <w:highlight w:val="none"/>
              </w:rPr>
            </w:pPr>
          </w:p>
        </w:tc>
      </w:tr>
      <w:tr w14:paraId="1D349DEA">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680E62F1">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2032B8A7">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4891B52C">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3BF59DC6">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749ED027">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45F9E334">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718A2709">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09EE0ACC">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6A0A72F2">
            <w:pPr>
              <w:spacing w:line="440" w:lineRule="exact"/>
              <w:jc w:val="center"/>
              <w:rPr>
                <w:rFonts w:ascii="宋体" w:hAnsi="宋体"/>
                <w:color w:val="auto"/>
                <w:sz w:val="24"/>
                <w:szCs w:val="24"/>
                <w:highlight w:val="none"/>
              </w:rPr>
            </w:pPr>
          </w:p>
        </w:tc>
      </w:tr>
      <w:tr w14:paraId="0A8BBB5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C2A7CAC">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4434BB13">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591061C1">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19275D47">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10E301DA">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152301EF">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3D89DC59">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166CB1DA">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7DAD0D06">
            <w:pPr>
              <w:spacing w:line="440" w:lineRule="exact"/>
              <w:jc w:val="center"/>
              <w:rPr>
                <w:rFonts w:ascii="宋体" w:hAnsi="宋体"/>
                <w:color w:val="auto"/>
                <w:sz w:val="24"/>
                <w:szCs w:val="24"/>
                <w:highlight w:val="none"/>
              </w:rPr>
            </w:pPr>
          </w:p>
        </w:tc>
      </w:tr>
      <w:tr w14:paraId="77FA5B8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08C7FC76">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51D82C51">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720A29ED">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0FEC6085">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2A9DFCFE">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3261A4D2">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5D449B7D">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16D2C476">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55FC2251">
            <w:pPr>
              <w:spacing w:line="440" w:lineRule="exact"/>
              <w:jc w:val="center"/>
              <w:rPr>
                <w:rFonts w:ascii="宋体" w:hAnsi="宋体"/>
                <w:color w:val="auto"/>
                <w:sz w:val="24"/>
                <w:szCs w:val="24"/>
                <w:highlight w:val="none"/>
              </w:rPr>
            </w:pPr>
          </w:p>
        </w:tc>
      </w:tr>
      <w:tr w14:paraId="393D40F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6190AB5">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19356B6F">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07295264">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62A721DA">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00ABCAD5">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23B8A3A5">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2DF3ABDB">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77550CA9">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148A1B25">
            <w:pPr>
              <w:spacing w:line="440" w:lineRule="exact"/>
              <w:jc w:val="center"/>
              <w:rPr>
                <w:rFonts w:ascii="宋体" w:hAnsi="宋体"/>
                <w:color w:val="auto"/>
                <w:sz w:val="24"/>
                <w:szCs w:val="24"/>
                <w:highlight w:val="none"/>
              </w:rPr>
            </w:pPr>
          </w:p>
        </w:tc>
      </w:tr>
      <w:tr w14:paraId="26B67CE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321D70FC">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5630CA5E">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26490DAE">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7843C846">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65019A19">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266098F5">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0DDE6CE0">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4E6BA2C8">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1CA63164">
            <w:pPr>
              <w:spacing w:line="440" w:lineRule="exact"/>
              <w:jc w:val="center"/>
              <w:rPr>
                <w:rFonts w:ascii="宋体" w:hAnsi="宋体"/>
                <w:color w:val="auto"/>
                <w:sz w:val="24"/>
                <w:szCs w:val="24"/>
                <w:highlight w:val="none"/>
              </w:rPr>
            </w:pPr>
          </w:p>
        </w:tc>
      </w:tr>
      <w:tr w14:paraId="2463EF4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1A3A13A3">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161B74EC">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1E1C9979">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403F3295">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6D253C48">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3F11CFEB">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6D636E94">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12A0D317">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01BB821C">
            <w:pPr>
              <w:spacing w:line="440" w:lineRule="exact"/>
              <w:jc w:val="center"/>
              <w:rPr>
                <w:rFonts w:ascii="宋体" w:hAnsi="宋体"/>
                <w:color w:val="auto"/>
                <w:sz w:val="24"/>
                <w:szCs w:val="24"/>
                <w:highlight w:val="none"/>
              </w:rPr>
            </w:pPr>
          </w:p>
        </w:tc>
      </w:tr>
      <w:tr w14:paraId="32F63C8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18B32C6F">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2B4B5CC9">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008A456B">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4ACC098C">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331B6C8D">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3CACFC90">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15D7D6AA">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67E6192D">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7DA10401">
            <w:pPr>
              <w:spacing w:line="440" w:lineRule="exact"/>
              <w:jc w:val="center"/>
              <w:rPr>
                <w:rFonts w:ascii="宋体" w:hAnsi="宋体"/>
                <w:color w:val="auto"/>
                <w:sz w:val="24"/>
                <w:szCs w:val="24"/>
                <w:highlight w:val="none"/>
              </w:rPr>
            </w:pPr>
          </w:p>
        </w:tc>
      </w:tr>
      <w:tr w14:paraId="6924B7E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72F6057F">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3AF6E5ED">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012C73F1">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5547C8CA">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41E2816D">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264EA00A">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4116319D">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7B583307">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64061E6F">
            <w:pPr>
              <w:spacing w:line="440" w:lineRule="exact"/>
              <w:jc w:val="center"/>
              <w:rPr>
                <w:rFonts w:ascii="宋体" w:hAnsi="宋体"/>
                <w:color w:val="auto"/>
                <w:sz w:val="24"/>
                <w:szCs w:val="24"/>
                <w:highlight w:val="none"/>
              </w:rPr>
            </w:pPr>
          </w:p>
        </w:tc>
      </w:tr>
      <w:tr w14:paraId="3244C31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1BB8FF35">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6CA22D05">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03713B04">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2CC773CD">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2DB6FF1E">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01104E14">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61B77755">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31CF82F9">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65E18F6E">
            <w:pPr>
              <w:spacing w:line="440" w:lineRule="exact"/>
              <w:jc w:val="center"/>
              <w:rPr>
                <w:rFonts w:ascii="宋体" w:hAnsi="宋体"/>
                <w:color w:val="auto"/>
                <w:sz w:val="24"/>
                <w:szCs w:val="24"/>
                <w:highlight w:val="none"/>
              </w:rPr>
            </w:pPr>
          </w:p>
        </w:tc>
      </w:tr>
      <w:tr w14:paraId="327C6C6B">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34BE5C10">
            <w:pPr>
              <w:spacing w:line="440" w:lineRule="exact"/>
              <w:jc w:val="center"/>
              <w:rPr>
                <w:rFonts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tcPr>
          <w:p w14:paraId="0A757819">
            <w:pPr>
              <w:spacing w:line="440" w:lineRule="exact"/>
              <w:jc w:val="center"/>
              <w:rPr>
                <w:rFonts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tcPr>
          <w:p w14:paraId="268527E0">
            <w:pPr>
              <w:spacing w:line="440" w:lineRule="exact"/>
              <w:jc w:val="center"/>
              <w:rPr>
                <w:rFonts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tcPr>
          <w:p w14:paraId="3DB2E315">
            <w:pPr>
              <w:spacing w:line="440" w:lineRule="exact"/>
              <w:jc w:val="center"/>
              <w:rPr>
                <w:rFonts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tcPr>
          <w:p w14:paraId="616821AC">
            <w:pPr>
              <w:spacing w:line="440" w:lineRule="exact"/>
              <w:jc w:val="center"/>
              <w:rPr>
                <w:rFonts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tcPr>
          <w:p w14:paraId="797F05BA">
            <w:pPr>
              <w:spacing w:line="440" w:lineRule="exact"/>
              <w:jc w:val="center"/>
              <w:rPr>
                <w:rFonts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tcPr>
          <w:p w14:paraId="0EF9E4AB">
            <w:pPr>
              <w:spacing w:line="440" w:lineRule="exact"/>
              <w:jc w:val="center"/>
              <w:rPr>
                <w:rFonts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tcPr>
          <w:p w14:paraId="13BF31C3">
            <w:pPr>
              <w:spacing w:line="440" w:lineRule="exact"/>
              <w:jc w:val="center"/>
              <w:rPr>
                <w:rFonts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tcPr>
          <w:p w14:paraId="1F7C6A67">
            <w:pPr>
              <w:spacing w:line="440" w:lineRule="exact"/>
              <w:jc w:val="center"/>
              <w:rPr>
                <w:rFonts w:ascii="宋体" w:hAnsi="宋体"/>
                <w:color w:val="auto"/>
                <w:sz w:val="24"/>
                <w:szCs w:val="24"/>
                <w:highlight w:val="none"/>
              </w:rPr>
            </w:pPr>
          </w:p>
        </w:tc>
      </w:tr>
    </w:tbl>
    <w:p w14:paraId="7FB85E03">
      <w:pPr>
        <w:spacing w:line="440" w:lineRule="exact"/>
        <w:rPr>
          <w:rFonts w:ascii="宋体" w:hAnsi="宋体"/>
          <w:color w:val="auto"/>
          <w:szCs w:val="24"/>
          <w:highlight w:val="none"/>
        </w:rPr>
      </w:pPr>
    </w:p>
    <w:p w14:paraId="2F6AF48C">
      <w:pPr>
        <w:spacing w:line="440" w:lineRule="exact"/>
        <w:rPr>
          <w:rFonts w:ascii="宋体" w:hAnsi="宋体"/>
          <w:color w:val="auto"/>
          <w:szCs w:val="24"/>
          <w:highlight w:val="none"/>
        </w:rPr>
      </w:pPr>
    </w:p>
    <w:p w14:paraId="60409D98">
      <w:pPr>
        <w:spacing w:line="440" w:lineRule="exact"/>
        <w:rPr>
          <w:rFonts w:ascii="宋体" w:hAnsi="宋体"/>
          <w:color w:val="auto"/>
          <w:szCs w:val="24"/>
          <w:highlight w:val="none"/>
        </w:rPr>
      </w:pPr>
    </w:p>
    <w:p w14:paraId="15AFA5DD">
      <w:pPr>
        <w:spacing w:line="440" w:lineRule="exact"/>
        <w:rPr>
          <w:rFonts w:ascii="宋体" w:hAnsi="宋体"/>
          <w:color w:val="auto"/>
          <w:szCs w:val="24"/>
          <w:highlight w:val="none"/>
        </w:rPr>
      </w:pPr>
    </w:p>
    <w:p w14:paraId="61764692">
      <w:pPr>
        <w:spacing w:line="440" w:lineRule="exact"/>
        <w:rPr>
          <w:rFonts w:ascii="宋体" w:hAnsi="宋体"/>
          <w:color w:val="auto"/>
          <w:szCs w:val="24"/>
          <w:highlight w:val="none"/>
        </w:rPr>
      </w:pPr>
    </w:p>
    <w:p w14:paraId="68DD48E1">
      <w:pPr>
        <w:widowControl/>
        <w:jc w:val="left"/>
        <w:rPr>
          <w:rFonts w:ascii="宋体" w:hAnsi="宋体"/>
          <w:b/>
          <w:bCs/>
          <w:color w:val="auto"/>
          <w:sz w:val="28"/>
          <w:szCs w:val="32"/>
          <w:highlight w:val="none"/>
        </w:rPr>
      </w:pPr>
      <w:r>
        <w:rPr>
          <w:rFonts w:ascii="宋体" w:hAnsi="宋体"/>
          <w:b/>
          <w:bCs/>
          <w:color w:val="auto"/>
          <w:sz w:val="28"/>
          <w:szCs w:val="32"/>
          <w:highlight w:val="none"/>
        </w:rPr>
        <w:br w:type="page"/>
      </w:r>
    </w:p>
    <w:p w14:paraId="3370C820">
      <w:pPr>
        <w:spacing w:before="20" w:line="412" w:lineRule="auto"/>
        <w:ind w:firstLine="137"/>
        <w:outlineLvl w:val="2"/>
        <w:rPr>
          <w:rFonts w:ascii="宋体" w:hAnsi="宋体"/>
          <w:b/>
          <w:bCs/>
          <w:color w:val="auto"/>
          <w:sz w:val="28"/>
          <w:szCs w:val="32"/>
          <w:highlight w:val="none"/>
        </w:rPr>
      </w:pPr>
      <w:r>
        <w:rPr>
          <w:rFonts w:hint="eastAsia" w:ascii="宋体" w:hAnsi="宋体"/>
          <w:b/>
          <w:bCs/>
          <w:color w:val="auto"/>
          <w:sz w:val="28"/>
          <w:szCs w:val="32"/>
          <w:highlight w:val="none"/>
        </w:rPr>
        <w:t>（</w:t>
      </w:r>
      <w:r>
        <w:rPr>
          <w:rFonts w:hint="eastAsia" w:ascii="宋体" w:hAnsi="宋体"/>
          <w:b/>
          <w:bCs/>
          <w:color w:val="auto"/>
          <w:sz w:val="28"/>
          <w:szCs w:val="32"/>
          <w:highlight w:val="none"/>
          <w:lang w:val="en-US" w:eastAsia="zh-CN"/>
        </w:rPr>
        <w:t>四</w:t>
      </w:r>
      <w:r>
        <w:rPr>
          <w:rFonts w:hint="eastAsia" w:ascii="宋体" w:hAnsi="宋体"/>
          <w:b/>
          <w:bCs/>
          <w:color w:val="auto"/>
          <w:sz w:val="28"/>
          <w:szCs w:val="32"/>
          <w:highlight w:val="none"/>
        </w:rPr>
        <w:t>）主要人员简历表（格式可自定）</w:t>
      </w:r>
    </w:p>
    <w:tbl>
      <w:tblPr>
        <w:tblStyle w:val="36"/>
        <w:tblW w:w="0" w:type="auto"/>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7766EF0B">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59ED7813">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姓  名</w:t>
            </w:r>
          </w:p>
        </w:tc>
        <w:tc>
          <w:tcPr>
            <w:tcW w:w="1048" w:type="dxa"/>
            <w:gridSpan w:val="2"/>
            <w:tcBorders>
              <w:top w:val="single" w:color="auto" w:sz="4" w:space="0"/>
              <w:left w:val="nil"/>
              <w:bottom w:val="single" w:color="auto" w:sz="4" w:space="0"/>
              <w:right w:val="single" w:color="auto" w:sz="4" w:space="0"/>
            </w:tcBorders>
            <w:noWrap/>
            <w:vAlign w:val="center"/>
          </w:tcPr>
          <w:p w14:paraId="3F063463">
            <w:pPr>
              <w:spacing w:line="440" w:lineRule="exact"/>
              <w:jc w:val="center"/>
              <w:rPr>
                <w:rFonts w:ascii="宋体" w:hAnsi="宋体"/>
                <w:color w:val="auto"/>
                <w:sz w:val="24"/>
                <w:szCs w:val="24"/>
                <w:highlight w:val="none"/>
              </w:rPr>
            </w:pPr>
          </w:p>
        </w:tc>
        <w:tc>
          <w:tcPr>
            <w:tcW w:w="958" w:type="dxa"/>
            <w:tcBorders>
              <w:top w:val="single" w:color="auto" w:sz="4" w:space="0"/>
              <w:left w:val="nil"/>
              <w:bottom w:val="single" w:color="auto" w:sz="4" w:space="0"/>
              <w:right w:val="single" w:color="auto" w:sz="4" w:space="0"/>
            </w:tcBorders>
            <w:noWrap/>
            <w:vAlign w:val="center"/>
          </w:tcPr>
          <w:p w14:paraId="18F93B02">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年龄</w:t>
            </w:r>
          </w:p>
        </w:tc>
        <w:tc>
          <w:tcPr>
            <w:tcW w:w="1065" w:type="dxa"/>
            <w:tcBorders>
              <w:top w:val="single" w:color="auto" w:sz="4" w:space="0"/>
              <w:left w:val="nil"/>
              <w:bottom w:val="single" w:color="auto" w:sz="4" w:space="0"/>
              <w:right w:val="single" w:color="auto" w:sz="4" w:space="0"/>
            </w:tcBorders>
            <w:noWrap/>
            <w:vAlign w:val="center"/>
          </w:tcPr>
          <w:p w14:paraId="184940A3">
            <w:pPr>
              <w:spacing w:line="440" w:lineRule="exact"/>
              <w:jc w:val="center"/>
              <w:rPr>
                <w:rFonts w:ascii="宋体" w:hAnsi="宋体"/>
                <w:color w:val="auto"/>
                <w:sz w:val="24"/>
                <w:szCs w:val="24"/>
                <w:highlight w:val="none"/>
              </w:rPr>
            </w:pPr>
          </w:p>
        </w:tc>
        <w:tc>
          <w:tcPr>
            <w:tcW w:w="2368" w:type="dxa"/>
            <w:gridSpan w:val="3"/>
            <w:tcBorders>
              <w:top w:val="single" w:color="auto" w:sz="4" w:space="0"/>
              <w:left w:val="nil"/>
              <w:bottom w:val="single" w:color="auto" w:sz="4" w:space="0"/>
              <w:right w:val="single" w:color="auto" w:sz="4" w:space="0"/>
            </w:tcBorders>
            <w:noWrap/>
            <w:vAlign w:val="center"/>
          </w:tcPr>
          <w:p w14:paraId="2D47518C">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执业资格证书（或上岗证书）名称</w:t>
            </w:r>
          </w:p>
        </w:tc>
        <w:tc>
          <w:tcPr>
            <w:tcW w:w="1896" w:type="dxa"/>
            <w:tcBorders>
              <w:top w:val="single" w:color="auto" w:sz="4" w:space="0"/>
              <w:left w:val="nil"/>
              <w:bottom w:val="single" w:color="auto" w:sz="4" w:space="0"/>
              <w:right w:val="single" w:color="auto" w:sz="4" w:space="0"/>
            </w:tcBorders>
            <w:noWrap/>
            <w:vAlign w:val="center"/>
          </w:tcPr>
          <w:p w14:paraId="1D4D4DDE">
            <w:pPr>
              <w:spacing w:line="440" w:lineRule="exact"/>
              <w:jc w:val="center"/>
              <w:rPr>
                <w:rFonts w:ascii="宋体" w:hAnsi="宋体"/>
                <w:color w:val="auto"/>
                <w:sz w:val="24"/>
                <w:szCs w:val="24"/>
                <w:highlight w:val="none"/>
              </w:rPr>
            </w:pPr>
          </w:p>
        </w:tc>
      </w:tr>
      <w:tr w14:paraId="087A1F10">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72F124F7">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职  称</w:t>
            </w:r>
          </w:p>
        </w:tc>
        <w:tc>
          <w:tcPr>
            <w:tcW w:w="1048" w:type="dxa"/>
            <w:gridSpan w:val="2"/>
            <w:tcBorders>
              <w:top w:val="single" w:color="auto" w:sz="4" w:space="0"/>
              <w:left w:val="nil"/>
              <w:bottom w:val="single" w:color="auto" w:sz="4" w:space="0"/>
              <w:right w:val="single" w:color="auto" w:sz="4" w:space="0"/>
            </w:tcBorders>
            <w:noWrap/>
            <w:vAlign w:val="center"/>
          </w:tcPr>
          <w:p w14:paraId="0015548C">
            <w:pPr>
              <w:spacing w:line="440" w:lineRule="exact"/>
              <w:jc w:val="center"/>
              <w:rPr>
                <w:rFonts w:ascii="宋体" w:hAnsi="宋体"/>
                <w:color w:val="auto"/>
                <w:sz w:val="24"/>
                <w:szCs w:val="24"/>
                <w:highlight w:val="none"/>
              </w:rPr>
            </w:pPr>
          </w:p>
        </w:tc>
        <w:tc>
          <w:tcPr>
            <w:tcW w:w="958" w:type="dxa"/>
            <w:tcBorders>
              <w:top w:val="single" w:color="auto" w:sz="4" w:space="0"/>
              <w:left w:val="nil"/>
              <w:bottom w:val="single" w:color="auto" w:sz="4" w:space="0"/>
              <w:right w:val="single" w:color="auto" w:sz="4" w:space="0"/>
            </w:tcBorders>
            <w:noWrap/>
            <w:vAlign w:val="center"/>
          </w:tcPr>
          <w:p w14:paraId="2A8026F3">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学历</w:t>
            </w:r>
          </w:p>
        </w:tc>
        <w:tc>
          <w:tcPr>
            <w:tcW w:w="1065" w:type="dxa"/>
            <w:tcBorders>
              <w:top w:val="single" w:color="auto" w:sz="4" w:space="0"/>
              <w:left w:val="nil"/>
              <w:bottom w:val="single" w:color="auto" w:sz="4" w:space="0"/>
              <w:right w:val="single" w:color="auto" w:sz="4" w:space="0"/>
            </w:tcBorders>
            <w:noWrap/>
            <w:vAlign w:val="center"/>
          </w:tcPr>
          <w:p w14:paraId="22A8589F">
            <w:pPr>
              <w:spacing w:line="440" w:lineRule="exact"/>
              <w:jc w:val="center"/>
              <w:rPr>
                <w:rFonts w:ascii="宋体" w:hAnsi="宋体"/>
                <w:color w:val="auto"/>
                <w:sz w:val="24"/>
                <w:szCs w:val="24"/>
                <w:highlight w:val="none"/>
              </w:rPr>
            </w:pPr>
          </w:p>
        </w:tc>
        <w:tc>
          <w:tcPr>
            <w:tcW w:w="2368" w:type="dxa"/>
            <w:gridSpan w:val="3"/>
            <w:tcBorders>
              <w:top w:val="single" w:color="auto" w:sz="4" w:space="0"/>
              <w:left w:val="nil"/>
              <w:bottom w:val="single" w:color="auto" w:sz="4" w:space="0"/>
              <w:right w:val="single" w:color="auto" w:sz="4" w:space="0"/>
            </w:tcBorders>
            <w:noWrap/>
            <w:vAlign w:val="center"/>
          </w:tcPr>
          <w:p w14:paraId="39D69B85">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拟在本项目任职</w:t>
            </w:r>
          </w:p>
        </w:tc>
        <w:tc>
          <w:tcPr>
            <w:tcW w:w="1896" w:type="dxa"/>
            <w:tcBorders>
              <w:top w:val="single" w:color="auto" w:sz="4" w:space="0"/>
              <w:left w:val="nil"/>
              <w:bottom w:val="single" w:color="auto" w:sz="4" w:space="0"/>
              <w:right w:val="single" w:color="auto" w:sz="4" w:space="0"/>
            </w:tcBorders>
            <w:noWrap/>
            <w:vAlign w:val="center"/>
          </w:tcPr>
          <w:p w14:paraId="53B0F84F">
            <w:pPr>
              <w:spacing w:line="440" w:lineRule="exact"/>
              <w:jc w:val="center"/>
              <w:rPr>
                <w:rFonts w:ascii="宋体" w:hAnsi="宋体"/>
                <w:color w:val="auto"/>
                <w:sz w:val="24"/>
                <w:szCs w:val="24"/>
                <w:highlight w:val="none"/>
              </w:rPr>
            </w:pPr>
          </w:p>
        </w:tc>
      </w:tr>
      <w:tr w14:paraId="4A59939D">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606A4204">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工作年限</w:t>
            </w:r>
          </w:p>
        </w:tc>
        <w:tc>
          <w:tcPr>
            <w:tcW w:w="3071" w:type="dxa"/>
            <w:gridSpan w:val="4"/>
            <w:tcBorders>
              <w:top w:val="single" w:color="auto" w:sz="4" w:space="0"/>
              <w:left w:val="nil"/>
              <w:bottom w:val="single" w:color="auto" w:sz="4" w:space="0"/>
              <w:right w:val="single" w:color="auto" w:sz="4" w:space="0"/>
            </w:tcBorders>
            <w:noWrap/>
            <w:vAlign w:val="center"/>
          </w:tcPr>
          <w:p w14:paraId="110A6567">
            <w:pPr>
              <w:spacing w:line="440" w:lineRule="exact"/>
              <w:jc w:val="center"/>
              <w:rPr>
                <w:rFonts w:ascii="宋体" w:hAnsi="宋体"/>
                <w:color w:val="auto"/>
                <w:sz w:val="24"/>
                <w:szCs w:val="24"/>
                <w:highlight w:val="none"/>
              </w:rPr>
            </w:pPr>
          </w:p>
        </w:tc>
        <w:tc>
          <w:tcPr>
            <w:tcW w:w="2368" w:type="dxa"/>
            <w:gridSpan w:val="3"/>
            <w:tcBorders>
              <w:top w:val="single" w:color="auto" w:sz="4" w:space="0"/>
              <w:left w:val="nil"/>
              <w:bottom w:val="single" w:color="auto" w:sz="4" w:space="0"/>
              <w:right w:val="single" w:color="auto" w:sz="4" w:space="0"/>
            </w:tcBorders>
            <w:noWrap/>
            <w:vAlign w:val="center"/>
          </w:tcPr>
          <w:p w14:paraId="763AAA0D">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从事监理工作年限</w:t>
            </w:r>
          </w:p>
        </w:tc>
        <w:tc>
          <w:tcPr>
            <w:tcW w:w="1896" w:type="dxa"/>
            <w:tcBorders>
              <w:top w:val="single" w:color="auto" w:sz="4" w:space="0"/>
              <w:left w:val="nil"/>
              <w:bottom w:val="single" w:color="auto" w:sz="4" w:space="0"/>
              <w:right w:val="single" w:color="auto" w:sz="4" w:space="0"/>
            </w:tcBorders>
            <w:noWrap/>
            <w:vAlign w:val="center"/>
          </w:tcPr>
          <w:p w14:paraId="7D04AD7C">
            <w:pPr>
              <w:spacing w:line="440" w:lineRule="exact"/>
              <w:jc w:val="center"/>
              <w:rPr>
                <w:rFonts w:ascii="宋体" w:hAnsi="宋体"/>
                <w:color w:val="auto"/>
                <w:sz w:val="24"/>
                <w:szCs w:val="24"/>
                <w:highlight w:val="none"/>
              </w:rPr>
            </w:pPr>
          </w:p>
        </w:tc>
      </w:tr>
      <w:tr w14:paraId="7A7EFB92">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1D0A2472">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毕业学校</w:t>
            </w:r>
          </w:p>
        </w:tc>
        <w:tc>
          <w:tcPr>
            <w:tcW w:w="7335" w:type="dxa"/>
            <w:gridSpan w:val="8"/>
            <w:tcBorders>
              <w:top w:val="single" w:color="auto" w:sz="4" w:space="0"/>
              <w:left w:val="nil"/>
              <w:bottom w:val="single" w:color="auto" w:sz="4" w:space="0"/>
              <w:right w:val="single" w:color="auto" w:sz="4" w:space="0"/>
            </w:tcBorders>
            <w:noWrap/>
            <w:vAlign w:val="center"/>
          </w:tcPr>
          <w:p w14:paraId="25F0AAF8">
            <w:pPr>
              <w:spacing w:before="100" w:beforeAutospacing="1" w:after="100" w:afterAutospacing="1" w:line="440" w:lineRule="exact"/>
              <w:ind w:firstLine="1320" w:firstLineChars="550"/>
              <w:rPr>
                <w:rFonts w:ascii="宋体" w:hAnsi="宋体"/>
                <w:color w:val="auto"/>
                <w:sz w:val="24"/>
                <w:szCs w:val="24"/>
                <w:highlight w:val="none"/>
              </w:rPr>
            </w:pPr>
            <w:r>
              <w:rPr>
                <w:rFonts w:hint="eastAsia" w:ascii="宋体" w:hAnsi="宋体"/>
                <w:color w:val="auto"/>
                <w:sz w:val="24"/>
                <w:szCs w:val="24"/>
                <w:highlight w:val="none"/>
              </w:rPr>
              <w:t>年毕业于            学校        专业</w:t>
            </w:r>
          </w:p>
        </w:tc>
      </w:tr>
      <w:tr w14:paraId="5D65F338">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ign w:val="center"/>
          </w:tcPr>
          <w:p w14:paraId="23544FB1">
            <w:pPr>
              <w:spacing w:before="100" w:beforeAutospacing="1" w:after="100" w:afterAutospacing="1" w:line="440" w:lineRule="exact"/>
              <w:rPr>
                <w:rFonts w:ascii="宋体" w:hAnsi="宋体"/>
                <w:color w:val="auto"/>
                <w:sz w:val="24"/>
                <w:szCs w:val="24"/>
                <w:highlight w:val="none"/>
              </w:rPr>
            </w:pPr>
            <w:r>
              <w:rPr>
                <w:rFonts w:hint="eastAsia" w:ascii="宋体" w:hAnsi="宋体"/>
                <w:color w:val="auto"/>
                <w:sz w:val="24"/>
                <w:szCs w:val="24"/>
                <w:highlight w:val="none"/>
              </w:rPr>
              <w:t>主要工作经历</w:t>
            </w:r>
          </w:p>
        </w:tc>
      </w:tr>
      <w:tr w14:paraId="4D8BFFBE">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76619915">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时  间</w:t>
            </w:r>
          </w:p>
        </w:tc>
        <w:tc>
          <w:tcPr>
            <w:tcW w:w="3420" w:type="dxa"/>
            <w:gridSpan w:val="4"/>
            <w:tcBorders>
              <w:top w:val="single" w:color="auto" w:sz="4" w:space="0"/>
              <w:left w:val="nil"/>
              <w:bottom w:val="single" w:color="auto" w:sz="4" w:space="0"/>
              <w:right w:val="single" w:color="auto" w:sz="4" w:space="0"/>
            </w:tcBorders>
            <w:noWrap/>
            <w:vAlign w:val="center"/>
          </w:tcPr>
          <w:p w14:paraId="2A13BA1F">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参加过的类似项目</w:t>
            </w:r>
          </w:p>
        </w:tc>
        <w:tc>
          <w:tcPr>
            <w:tcW w:w="1261" w:type="dxa"/>
            <w:tcBorders>
              <w:top w:val="single" w:color="auto" w:sz="4" w:space="0"/>
              <w:left w:val="nil"/>
              <w:bottom w:val="single" w:color="auto" w:sz="4" w:space="0"/>
              <w:right w:val="single" w:color="auto" w:sz="4" w:space="0"/>
            </w:tcBorders>
            <w:noWrap/>
            <w:vAlign w:val="center"/>
          </w:tcPr>
          <w:p w14:paraId="3A7997A2">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担任职务</w:t>
            </w:r>
          </w:p>
        </w:tc>
        <w:tc>
          <w:tcPr>
            <w:tcW w:w="2297" w:type="dxa"/>
            <w:gridSpan w:val="2"/>
            <w:tcBorders>
              <w:top w:val="single" w:color="auto" w:sz="4" w:space="0"/>
              <w:left w:val="nil"/>
              <w:bottom w:val="single" w:color="auto" w:sz="4" w:space="0"/>
              <w:right w:val="single" w:color="auto" w:sz="4" w:space="0"/>
            </w:tcBorders>
            <w:noWrap/>
            <w:vAlign w:val="center"/>
          </w:tcPr>
          <w:p w14:paraId="0074E984">
            <w:pPr>
              <w:spacing w:before="100" w:beforeAutospacing="1" w:after="100" w:afterAutospacing="1" w:line="440" w:lineRule="exact"/>
              <w:jc w:val="center"/>
              <w:rPr>
                <w:rFonts w:ascii="宋体" w:hAnsi="宋体"/>
                <w:color w:val="auto"/>
                <w:sz w:val="24"/>
                <w:szCs w:val="24"/>
                <w:highlight w:val="none"/>
              </w:rPr>
            </w:pPr>
            <w:r>
              <w:rPr>
                <w:rFonts w:hint="eastAsia" w:ascii="宋体" w:hAnsi="宋体"/>
                <w:color w:val="auto"/>
                <w:sz w:val="24"/>
                <w:szCs w:val="24"/>
                <w:highlight w:val="none"/>
              </w:rPr>
              <w:t>委托人及联系电话</w:t>
            </w:r>
          </w:p>
        </w:tc>
      </w:tr>
      <w:tr w14:paraId="621A0E50">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tcPr>
          <w:p w14:paraId="49C1E6A4">
            <w:pPr>
              <w:spacing w:line="440" w:lineRule="exact"/>
              <w:rPr>
                <w:rFonts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tcPr>
          <w:p w14:paraId="6D1EDBE6">
            <w:pPr>
              <w:spacing w:line="440" w:lineRule="exact"/>
              <w:rPr>
                <w:rFonts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tcPr>
          <w:p w14:paraId="1ECABAF6">
            <w:pPr>
              <w:spacing w:line="440" w:lineRule="exact"/>
              <w:rPr>
                <w:rFonts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tcPr>
          <w:p w14:paraId="32C893E5">
            <w:pPr>
              <w:spacing w:line="440" w:lineRule="exact"/>
              <w:rPr>
                <w:rFonts w:ascii="宋体" w:hAnsi="宋体"/>
                <w:color w:val="auto"/>
                <w:sz w:val="24"/>
                <w:szCs w:val="24"/>
                <w:highlight w:val="none"/>
              </w:rPr>
            </w:pPr>
          </w:p>
        </w:tc>
      </w:tr>
      <w:tr w14:paraId="31656225">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tcPr>
          <w:p w14:paraId="76F74802">
            <w:pPr>
              <w:spacing w:line="440" w:lineRule="exact"/>
              <w:rPr>
                <w:rFonts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tcPr>
          <w:p w14:paraId="3CC6E0F3">
            <w:pPr>
              <w:spacing w:line="440" w:lineRule="exact"/>
              <w:rPr>
                <w:rFonts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tcPr>
          <w:p w14:paraId="2AC82D2A">
            <w:pPr>
              <w:spacing w:line="440" w:lineRule="exact"/>
              <w:rPr>
                <w:rFonts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tcPr>
          <w:p w14:paraId="1C3CF347">
            <w:pPr>
              <w:spacing w:line="440" w:lineRule="exact"/>
              <w:rPr>
                <w:rFonts w:ascii="宋体" w:hAnsi="宋体"/>
                <w:color w:val="auto"/>
                <w:sz w:val="24"/>
                <w:szCs w:val="24"/>
                <w:highlight w:val="none"/>
              </w:rPr>
            </w:pPr>
          </w:p>
        </w:tc>
      </w:tr>
      <w:tr w14:paraId="55B01F1B">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tcPr>
          <w:p w14:paraId="17DBE9B9">
            <w:pPr>
              <w:spacing w:line="440" w:lineRule="exact"/>
              <w:rPr>
                <w:rFonts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tcPr>
          <w:p w14:paraId="58C68C7E">
            <w:pPr>
              <w:spacing w:line="440" w:lineRule="exact"/>
              <w:rPr>
                <w:rFonts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tcPr>
          <w:p w14:paraId="0B1FC9FB">
            <w:pPr>
              <w:spacing w:line="440" w:lineRule="exact"/>
              <w:rPr>
                <w:rFonts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tcPr>
          <w:p w14:paraId="55E3D5E4">
            <w:pPr>
              <w:spacing w:line="440" w:lineRule="exact"/>
              <w:rPr>
                <w:rFonts w:ascii="宋体" w:hAnsi="宋体"/>
                <w:color w:val="auto"/>
                <w:sz w:val="24"/>
                <w:szCs w:val="24"/>
                <w:highlight w:val="none"/>
              </w:rPr>
            </w:pPr>
          </w:p>
        </w:tc>
      </w:tr>
      <w:tr w14:paraId="2D92DA14">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2A0404CC">
            <w:pPr>
              <w:spacing w:line="440" w:lineRule="exact"/>
              <w:rPr>
                <w:rFonts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center"/>
          </w:tcPr>
          <w:p w14:paraId="6653AD7B">
            <w:pPr>
              <w:spacing w:line="440" w:lineRule="exact"/>
              <w:rPr>
                <w:rFonts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center"/>
          </w:tcPr>
          <w:p w14:paraId="0E8018C7">
            <w:pPr>
              <w:spacing w:line="440" w:lineRule="exact"/>
              <w:rPr>
                <w:rFonts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center"/>
          </w:tcPr>
          <w:p w14:paraId="25EDAEED">
            <w:pPr>
              <w:spacing w:line="440" w:lineRule="exact"/>
              <w:rPr>
                <w:rFonts w:ascii="宋体" w:hAnsi="宋体"/>
                <w:color w:val="auto"/>
                <w:sz w:val="24"/>
                <w:szCs w:val="24"/>
                <w:highlight w:val="none"/>
              </w:rPr>
            </w:pPr>
          </w:p>
        </w:tc>
      </w:tr>
      <w:tr w14:paraId="5632E4C1">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1964EB08">
            <w:pPr>
              <w:spacing w:line="440" w:lineRule="exact"/>
              <w:rPr>
                <w:rFonts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center"/>
          </w:tcPr>
          <w:p w14:paraId="087001F1">
            <w:pPr>
              <w:spacing w:line="440" w:lineRule="exact"/>
              <w:rPr>
                <w:rFonts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center"/>
          </w:tcPr>
          <w:p w14:paraId="072D1D99">
            <w:pPr>
              <w:spacing w:line="440" w:lineRule="exact"/>
              <w:rPr>
                <w:rFonts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center"/>
          </w:tcPr>
          <w:p w14:paraId="4D46E052">
            <w:pPr>
              <w:spacing w:line="440" w:lineRule="exact"/>
              <w:rPr>
                <w:rFonts w:ascii="宋体" w:hAnsi="宋体"/>
                <w:color w:val="auto"/>
                <w:sz w:val="24"/>
                <w:szCs w:val="24"/>
                <w:highlight w:val="none"/>
              </w:rPr>
            </w:pPr>
          </w:p>
        </w:tc>
      </w:tr>
      <w:tr w14:paraId="1F5E041F">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65272896">
            <w:pPr>
              <w:spacing w:line="440" w:lineRule="exact"/>
              <w:rPr>
                <w:rFonts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center"/>
          </w:tcPr>
          <w:p w14:paraId="35341D6C">
            <w:pPr>
              <w:spacing w:line="440" w:lineRule="exact"/>
              <w:rPr>
                <w:rFonts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center"/>
          </w:tcPr>
          <w:p w14:paraId="0B812F86">
            <w:pPr>
              <w:spacing w:line="440" w:lineRule="exact"/>
              <w:rPr>
                <w:rFonts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center"/>
          </w:tcPr>
          <w:p w14:paraId="5F8E701C">
            <w:pPr>
              <w:spacing w:line="440" w:lineRule="exact"/>
              <w:rPr>
                <w:rFonts w:ascii="宋体" w:hAnsi="宋体"/>
                <w:color w:val="auto"/>
                <w:sz w:val="24"/>
                <w:szCs w:val="24"/>
                <w:highlight w:val="none"/>
              </w:rPr>
            </w:pPr>
          </w:p>
        </w:tc>
      </w:tr>
      <w:tr w14:paraId="1387283A">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6D505D1D">
            <w:pPr>
              <w:spacing w:line="440" w:lineRule="exact"/>
              <w:rPr>
                <w:rFonts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center"/>
          </w:tcPr>
          <w:p w14:paraId="70F6E8B0">
            <w:pPr>
              <w:spacing w:line="440" w:lineRule="exact"/>
              <w:rPr>
                <w:rFonts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center"/>
          </w:tcPr>
          <w:p w14:paraId="32CAD14E">
            <w:pPr>
              <w:spacing w:line="440" w:lineRule="exact"/>
              <w:rPr>
                <w:rFonts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center"/>
          </w:tcPr>
          <w:p w14:paraId="7FCAEC0C">
            <w:pPr>
              <w:spacing w:line="440" w:lineRule="exact"/>
              <w:rPr>
                <w:rFonts w:ascii="宋体" w:hAnsi="宋体"/>
                <w:color w:val="auto"/>
                <w:sz w:val="24"/>
                <w:szCs w:val="24"/>
                <w:highlight w:val="none"/>
              </w:rPr>
            </w:pPr>
          </w:p>
        </w:tc>
      </w:tr>
    </w:tbl>
    <w:p w14:paraId="7DFE050A">
      <w:pPr>
        <w:spacing w:line="440" w:lineRule="exact"/>
        <w:rPr>
          <w:rFonts w:ascii="宋体" w:hAnsi="宋体"/>
          <w:color w:val="auto"/>
          <w:szCs w:val="24"/>
          <w:highlight w:val="none"/>
        </w:rPr>
      </w:pPr>
    </w:p>
    <w:p w14:paraId="6BE0329E">
      <w:pPr>
        <w:spacing w:before="20" w:line="412" w:lineRule="auto"/>
        <w:outlineLvl w:val="2"/>
        <w:rPr>
          <w:rFonts w:ascii="宋体" w:hAnsi="宋体"/>
          <w:b/>
          <w:bCs/>
          <w:color w:val="auto"/>
          <w:sz w:val="28"/>
          <w:szCs w:val="32"/>
          <w:highlight w:val="none"/>
        </w:rPr>
      </w:pPr>
      <w:r>
        <w:rPr>
          <w:rFonts w:hint="eastAsia" w:ascii="宋体" w:hAnsi="宋体"/>
          <w:b/>
          <w:bCs/>
          <w:color w:val="auto"/>
          <w:szCs w:val="24"/>
          <w:highlight w:val="none"/>
        </w:rPr>
        <w:br w:type="page"/>
      </w:r>
      <w:r>
        <w:rPr>
          <w:rFonts w:hint="eastAsia" w:ascii="宋体" w:hAnsi="宋体"/>
          <w:b/>
          <w:bCs/>
          <w:color w:val="auto"/>
          <w:sz w:val="28"/>
          <w:szCs w:val="32"/>
          <w:highlight w:val="none"/>
        </w:rPr>
        <w:t>（</w:t>
      </w:r>
      <w:r>
        <w:rPr>
          <w:rFonts w:hint="eastAsia" w:ascii="宋体" w:hAnsi="宋体"/>
          <w:b/>
          <w:bCs/>
          <w:color w:val="auto"/>
          <w:sz w:val="28"/>
          <w:szCs w:val="32"/>
          <w:highlight w:val="none"/>
          <w:lang w:val="en-US" w:eastAsia="zh-CN"/>
        </w:rPr>
        <w:t>五</w:t>
      </w:r>
      <w:r>
        <w:rPr>
          <w:rFonts w:hint="eastAsia" w:ascii="宋体" w:hAnsi="宋体"/>
          <w:b/>
          <w:bCs/>
          <w:color w:val="auto"/>
          <w:sz w:val="28"/>
          <w:szCs w:val="32"/>
          <w:highlight w:val="none"/>
        </w:rPr>
        <w:t>）拟投入本项目的主要试验检测仪器设备表（格式可自定）</w:t>
      </w:r>
    </w:p>
    <w:p w14:paraId="462BF5F0">
      <w:pPr>
        <w:spacing w:line="440" w:lineRule="exact"/>
        <w:jc w:val="center"/>
        <w:rPr>
          <w:rFonts w:ascii="宋体" w:hAnsi="宋体"/>
          <w:color w:val="auto"/>
          <w:sz w:val="32"/>
          <w:szCs w:val="32"/>
          <w:highlight w:val="none"/>
        </w:rPr>
      </w:pPr>
      <w:r>
        <w:rPr>
          <w:rFonts w:hint="eastAsia" w:ascii="宋体" w:hAnsi="宋体"/>
          <w:color w:val="auto"/>
          <w:position w:val="-1"/>
          <w:sz w:val="28"/>
          <w:szCs w:val="28"/>
          <w:highlight w:val="none"/>
        </w:rPr>
        <w:t>拟投入本项目的通讯、办公、检测设备清单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43"/>
        <w:gridCol w:w="1852"/>
        <w:gridCol w:w="1749"/>
        <w:gridCol w:w="1573"/>
        <w:gridCol w:w="1558"/>
      </w:tblGrid>
      <w:tr w14:paraId="346A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499"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32843A0">
            <w:pPr>
              <w:jc w:val="center"/>
              <w:rPr>
                <w:rFonts w:ascii="宋体" w:hAnsi="宋体"/>
                <w:color w:val="auto"/>
                <w:sz w:val="24"/>
                <w:szCs w:val="24"/>
                <w:highlight w:val="none"/>
              </w:rPr>
            </w:pPr>
            <w:r>
              <w:rPr>
                <w:rFonts w:hint="eastAsia" w:ascii="宋体" w:hAnsi="宋体"/>
                <w:color w:val="auto"/>
                <w:sz w:val="24"/>
                <w:szCs w:val="24"/>
                <w:highlight w:val="none"/>
              </w:rPr>
              <w:t>名称及型号</w:t>
            </w:r>
          </w:p>
        </w:tc>
        <w:tc>
          <w:tcPr>
            <w:tcW w:w="6732" w:type="dxa"/>
            <w:gridSpan w:val="4"/>
            <w:tcBorders>
              <w:top w:val="single" w:color="auto" w:sz="4" w:space="0"/>
              <w:left w:val="single" w:color="auto" w:sz="4" w:space="0"/>
              <w:bottom w:val="single" w:color="auto" w:sz="4" w:space="0"/>
              <w:right w:val="single" w:color="auto" w:sz="4" w:space="0"/>
            </w:tcBorders>
            <w:noWrap/>
            <w:vAlign w:val="center"/>
          </w:tcPr>
          <w:p w14:paraId="0C4957F1">
            <w:pPr>
              <w:jc w:val="center"/>
              <w:rPr>
                <w:rFonts w:ascii="宋体" w:hAnsi="宋体"/>
                <w:color w:val="auto"/>
                <w:sz w:val="24"/>
                <w:szCs w:val="24"/>
                <w:highlight w:val="none"/>
              </w:rPr>
            </w:pPr>
            <w:r>
              <w:rPr>
                <w:rFonts w:hint="eastAsia" w:ascii="宋体" w:hAnsi="宋体"/>
                <w:color w:val="auto"/>
                <w:sz w:val="24"/>
                <w:szCs w:val="24"/>
                <w:highlight w:val="none"/>
              </w:rPr>
              <w:t>申请单位能达到的程度简述（由申请单位填写）</w:t>
            </w:r>
          </w:p>
        </w:tc>
      </w:tr>
      <w:tr w14:paraId="3D01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0D1502D">
            <w:pPr>
              <w:widowControl/>
              <w:jc w:val="left"/>
              <w:rPr>
                <w:rFonts w:ascii="宋体" w:hAnsi="宋体"/>
                <w:color w:val="auto"/>
                <w:sz w:val="24"/>
                <w:szCs w:val="24"/>
                <w:highlight w:val="none"/>
              </w:rPr>
            </w:pPr>
          </w:p>
        </w:tc>
        <w:tc>
          <w:tcPr>
            <w:tcW w:w="1852" w:type="dxa"/>
            <w:vMerge w:val="restart"/>
            <w:tcBorders>
              <w:top w:val="single" w:color="auto" w:sz="4" w:space="0"/>
              <w:left w:val="single" w:color="auto" w:sz="4" w:space="0"/>
              <w:bottom w:val="single" w:color="auto" w:sz="4" w:space="0"/>
              <w:right w:val="single" w:color="auto" w:sz="4" w:space="0"/>
            </w:tcBorders>
            <w:noWrap/>
            <w:vAlign w:val="center"/>
          </w:tcPr>
          <w:p w14:paraId="71E450C4">
            <w:pPr>
              <w:jc w:val="center"/>
              <w:rPr>
                <w:rFonts w:ascii="宋体" w:hAnsi="宋体"/>
                <w:color w:val="auto"/>
                <w:sz w:val="24"/>
                <w:szCs w:val="24"/>
                <w:highlight w:val="none"/>
              </w:rPr>
            </w:pPr>
            <w:r>
              <w:rPr>
                <w:rFonts w:hint="eastAsia" w:ascii="宋体" w:hAnsi="宋体"/>
                <w:color w:val="auto"/>
                <w:sz w:val="24"/>
                <w:szCs w:val="24"/>
                <w:highlight w:val="none"/>
              </w:rPr>
              <w:t>数量（台套）</w:t>
            </w:r>
          </w:p>
        </w:tc>
        <w:tc>
          <w:tcPr>
            <w:tcW w:w="4880" w:type="dxa"/>
            <w:gridSpan w:val="3"/>
            <w:tcBorders>
              <w:top w:val="single" w:color="auto" w:sz="4" w:space="0"/>
              <w:left w:val="single" w:color="auto" w:sz="4" w:space="0"/>
              <w:bottom w:val="single" w:color="auto" w:sz="4" w:space="0"/>
              <w:right w:val="single" w:color="auto" w:sz="4" w:space="0"/>
            </w:tcBorders>
            <w:noWrap/>
            <w:vAlign w:val="center"/>
          </w:tcPr>
          <w:p w14:paraId="6AA5D4BB">
            <w:pPr>
              <w:jc w:val="center"/>
              <w:rPr>
                <w:rFonts w:ascii="宋体" w:hAnsi="宋体"/>
                <w:color w:val="auto"/>
                <w:sz w:val="24"/>
                <w:szCs w:val="24"/>
                <w:highlight w:val="none"/>
              </w:rPr>
            </w:pPr>
            <w:r>
              <w:rPr>
                <w:rFonts w:hint="eastAsia" w:ascii="宋体" w:hAnsi="宋体"/>
                <w:color w:val="auto"/>
                <w:sz w:val="24"/>
                <w:szCs w:val="24"/>
                <w:highlight w:val="none"/>
              </w:rPr>
              <w:t>拟投入本项目情况（台套）</w:t>
            </w:r>
          </w:p>
        </w:tc>
      </w:tr>
      <w:tr w14:paraId="4B40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2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D52C7B4">
            <w:pPr>
              <w:widowControl/>
              <w:jc w:val="left"/>
              <w:rPr>
                <w:rFonts w:ascii="宋体" w:hAnsi="宋体"/>
                <w:color w:val="auto"/>
                <w:sz w:val="24"/>
                <w:szCs w:val="24"/>
                <w:highlight w:val="none"/>
              </w:rPr>
            </w:pPr>
          </w:p>
        </w:tc>
        <w:tc>
          <w:tcPr>
            <w:tcW w:w="1852" w:type="dxa"/>
            <w:vMerge w:val="continue"/>
            <w:tcBorders>
              <w:top w:val="single" w:color="auto" w:sz="4" w:space="0"/>
              <w:left w:val="single" w:color="auto" w:sz="4" w:space="0"/>
              <w:bottom w:val="single" w:color="auto" w:sz="4" w:space="0"/>
              <w:right w:val="single" w:color="auto" w:sz="4" w:space="0"/>
            </w:tcBorders>
            <w:noWrap/>
            <w:vAlign w:val="center"/>
          </w:tcPr>
          <w:p w14:paraId="68845B9F">
            <w:pPr>
              <w:widowControl/>
              <w:jc w:val="left"/>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20F3EE4D">
            <w:pPr>
              <w:jc w:val="center"/>
              <w:rPr>
                <w:rFonts w:ascii="宋体" w:hAnsi="宋体"/>
                <w:color w:val="auto"/>
                <w:sz w:val="24"/>
                <w:szCs w:val="24"/>
                <w:highlight w:val="none"/>
              </w:rPr>
            </w:pPr>
            <w:r>
              <w:rPr>
                <w:rFonts w:hint="eastAsia" w:ascii="宋体" w:hAnsi="宋体"/>
                <w:color w:val="auto"/>
                <w:sz w:val="24"/>
                <w:szCs w:val="24"/>
                <w:highlight w:val="none"/>
              </w:rPr>
              <w:t>新购</w:t>
            </w:r>
          </w:p>
        </w:tc>
        <w:tc>
          <w:tcPr>
            <w:tcW w:w="1573" w:type="dxa"/>
            <w:tcBorders>
              <w:top w:val="single" w:color="auto" w:sz="4" w:space="0"/>
              <w:left w:val="single" w:color="auto" w:sz="4" w:space="0"/>
              <w:bottom w:val="single" w:color="auto" w:sz="4" w:space="0"/>
              <w:right w:val="single" w:color="auto" w:sz="4" w:space="0"/>
            </w:tcBorders>
            <w:noWrap/>
            <w:vAlign w:val="center"/>
          </w:tcPr>
          <w:p w14:paraId="58ACA548">
            <w:pPr>
              <w:jc w:val="center"/>
              <w:rPr>
                <w:rFonts w:ascii="宋体" w:hAnsi="宋体"/>
                <w:color w:val="auto"/>
                <w:sz w:val="24"/>
                <w:szCs w:val="24"/>
                <w:highlight w:val="none"/>
              </w:rPr>
            </w:pPr>
            <w:r>
              <w:rPr>
                <w:rFonts w:hint="eastAsia" w:ascii="宋体" w:hAnsi="宋体"/>
                <w:color w:val="auto"/>
                <w:sz w:val="24"/>
                <w:szCs w:val="24"/>
                <w:highlight w:val="none"/>
              </w:rPr>
              <w:t>自有</w:t>
            </w:r>
          </w:p>
        </w:tc>
        <w:tc>
          <w:tcPr>
            <w:tcW w:w="1558" w:type="dxa"/>
            <w:tcBorders>
              <w:top w:val="single" w:color="auto" w:sz="4" w:space="0"/>
              <w:left w:val="single" w:color="auto" w:sz="4" w:space="0"/>
              <w:bottom w:val="single" w:color="auto" w:sz="4" w:space="0"/>
              <w:right w:val="single" w:color="auto" w:sz="4" w:space="0"/>
            </w:tcBorders>
            <w:noWrap/>
            <w:vAlign w:val="center"/>
          </w:tcPr>
          <w:p w14:paraId="097828BD">
            <w:pPr>
              <w:jc w:val="center"/>
              <w:rPr>
                <w:rFonts w:ascii="宋体" w:hAnsi="宋体"/>
                <w:color w:val="auto"/>
                <w:sz w:val="24"/>
                <w:szCs w:val="24"/>
                <w:highlight w:val="none"/>
              </w:rPr>
            </w:pPr>
            <w:r>
              <w:rPr>
                <w:rFonts w:hint="eastAsia" w:ascii="宋体" w:hAnsi="宋体"/>
                <w:color w:val="auto"/>
                <w:sz w:val="24"/>
                <w:szCs w:val="24"/>
                <w:highlight w:val="none"/>
              </w:rPr>
              <w:t>租赁</w:t>
            </w:r>
          </w:p>
        </w:tc>
      </w:tr>
      <w:tr w14:paraId="1FE8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7E4AA815">
            <w:pPr>
              <w:jc w:val="center"/>
              <w:rPr>
                <w:rFonts w:ascii="宋体" w:hAnsi="宋体"/>
                <w:color w:val="auto"/>
                <w:sz w:val="24"/>
                <w:szCs w:val="24"/>
                <w:highlight w:val="none"/>
              </w:rPr>
            </w:pPr>
            <w:r>
              <w:rPr>
                <w:rFonts w:hint="eastAsia" w:ascii="宋体" w:hAnsi="宋体"/>
                <w:color w:val="auto"/>
                <w:sz w:val="24"/>
                <w:szCs w:val="24"/>
                <w:highlight w:val="none"/>
              </w:rPr>
              <w:t>通讯设备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65313C00">
            <w:pPr>
              <w:jc w:val="center"/>
              <w:rPr>
                <w:rFonts w:ascii="宋体" w:hAnsi="宋体"/>
                <w:color w:val="auto"/>
                <w:sz w:val="24"/>
                <w:szCs w:val="24"/>
                <w:highlight w:val="none"/>
              </w:rPr>
            </w:pPr>
            <w:r>
              <w:rPr>
                <w:rFonts w:hint="eastAsia" w:ascii="宋体" w:hAnsi="宋体"/>
                <w:color w:val="auto"/>
                <w:sz w:val="24"/>
                <w:szCs w:val="24"/>
                <w:highlight w:val="none"/>
              </w:rPr>
              <w:t>有线电话</w:t>
            </w:r>
          </w:p>
        </w:tc>
        <w:tc>
          <w:tcPr>
            <w:tcW w:w="1852" w:type="dxa"/>
            <w:tcBorders>
              <w:top w:val="single" w:color="auto" w:sz="4" w:space="0"/>
              <w:left w:val="single" w:color="auto" w:sz="4" w:space="0"/>
              <w:bottom w:val="single" w:color="auto" w:sz="4" w:space="0"/>
              <w:right w:val="single" w:color="auto" w:sz="4" w:space="0"/>
            </w:tcBorders>
            <w:noWrap/>
            <w:vAlign w:val="center"/>
          </w:tcPr>
          <w:p w14:paraId="212B63FA">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26BD69A">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023440E">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8F61ABA">
            <w:pPr>
              <w:rPr>
                <w:rFonts w:ascii="宋体" w:hAnsi="宋体"/>
                <w:color w:val="auto"/>
                <w:sz w:val="24"/>
                <w:szCs w:val="24"/>
                <w:highlight w:val="none"/>
              </w:rPr>
            </w:pPr>
          </w:p>
        </w:tc>
      </w:tr>
      <w:tr w14:paraId="2F89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1C07BED">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5118F49">
            <w:pPr>
              <w:jc w:val="center"/>
              <w:rPr>
                <w:rFonts w:ascii="宋体" w:hAnsi="宋体"/>
                <w:color w:val="auto"/>
                <w:sz w:val="24"/>
                <w:szCs w:val="24"/>
                <w:highlight w:val="none"/>
              </w:rPr>
            </w:pPr>
            <w:r>
              <w:rPr>
                <w:rFonts w:hint="eastAsia" w:ascii="宋体" w:hAnsi="宋体"/>
                <w:color w:val="auto"/>
                <w:sz w:val="24"/>
                <w:szCs w:val="24"/>
                <w:highlight w:val="none"/>
              </w:rPr>
              <w:t>传真机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4E0912C5">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5A0F5E4">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4280538">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C804E74">
            <w:pPr>
              <w:rPr>
                <w:rFonts w:ascii="宋体" w:hAnsi="宋体"/>
                <w:color w:val="auto"/>
                <w:sz w:val="24"/>
                <w:szCs w:val="24"/>
                <w:highlight w:val="none"/>
              </w:rPr>
            </w:pPr>
          </w:p>
        </w:tc>
      </w:tr>
      <w:tr w14:paraId="263A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D20FF40">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0E01E2C">
            <w:pPr>
              <w:jc w:val="center"/>
              <w:rPr>
                <w:rFonts w:ascii="宋体" w:hAnsi="宋体"/>
                <w:color w:val="auto"/>
                <w:sz w:val="24"/>
                <w:szCs w:val="24"/>
                <w:highlight w:val="none"/>
              </w:rPr>
            </w:pPr>
            <w:r>
              <w:rPr>
                <w:rFonts w:hint="eastAsia" w:ascii="宋体" w:hAnsi="宋体"/>
                <w:color w:val="auto"/>
                <w:sz w:val="24"/>
                <w:szCs w:val="24"/>
                <w:highlight w:val="none"/>
              </w:rPr>
              <w:t>打印机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53C1CF50">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854A457">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077A2A0">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B05F110">
            <w:pPr>
              <w:rPr>
                <w:rFonts w:ascii="宋体" w:hAnsi="宋体"/>
                <w:color w:val="auto"/>
                <w:sz w:val="24"/>
                <w:szCs w:val="24"/>
                <w:highlight w:val="none"/>
              </w:rPr>
            </w:pPr>
          </w:p>
        </w:tc>
      </w:tr>
      <w:tr w14:paraId="4B8B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275E0A2">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D679BE5">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7D470795">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0783F436">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526BFA5">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1933F82">
            <w:pPr>
              <w:rPr>
                <w:rFonts w:ascii="宋体" w:hAnsi="宋体"/>
                <w:color w:val="auto"/>
                <w:sz w:val="24"/>
                <w:szCs w:val="24"/>
                <w:highlight w:val="none"/>
              </w:rPr>
            </w:pPr>
          </w:p>
        </w:tc>
      </w:tr>
      <w:tr w14:paraId="5ADF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4344616E">
            <w:pPr>
              <w:jc w:val="center"/>
              <w:rPr>
                <w:rFonts w:ascii="宋体" w:hAnsi="宋体"/>
                <w:color w:val="auto"/>
                <w:sz w:val="24"/>
                <w:szCs w:val="24"/>
                <w:highlight w:val="none"/>
              </w:rPr>
            </w:pPr>
            <w:r>
              <w:rPr>
                <w:rFonts w:hint="eastAsia" w:ascii="宋体" w:hAnsi="宋体"/>
                <w:color w:val="auto"/>
                <w:sz w:val="24"/>
                <w:szCs w:val="24"/>
                <w:highlight w:val="none"/>
              </w:rPr>
              <w:t>办公设备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212BBD93">
            <w:pPr>
              <w:jc w:val="center"/>
              <w:rPr>
                <w:rFonts w:ascii="宋体" w:hAnsi="宋体"/>
                <w:color w:val="auto"/>
                <w:sz w:val="24"/>
                <w:szCs w:val="24"/>
                <w:highlight w:val="none"/>
              </w:rPr>
            </w:pPr>
            <w:r>
              <w:rPr>
                <w:rFonts w:hint="eastAsia" w:ascii="宋体" w:hAnsi="宋体"/>
                <w:color w:val="auto"/>
                <w:sz w:val="24"/>
                <w:szCs w:val="24"/>
                <w:highlight w:val="none"/>
              </w:rPr>
              <w:t>复印机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711C19B6">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9CDC7E3">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080362D">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3B798E3">
            <w:pPr>
              <w:rPr>
                <w:rFonts w:ascii="宋体" w:hAnsi="宋体"/>
                <w:color w:val="auto"/>
                <w:sz w:val="24"/>
                <w:szCs w:val="24"/>
                <w:highlight w:val="none"/>
              </w:rPr>
            </w:pPr>
          </w:p>
        </w:tc>
      </w:tr>
      <w:tr w14:paraId="1522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EA462D0">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1CB54CC">
            <w:pPr>
              <w:jc w:val="center"/>
              <w:rPr>
                <w:rFonts w:ascii="宋体" w:hAnsi="宋体"/>
                <w:color w:val="auto"/>
                <w:sz w:val="24"/>
                <w:szCs w:val="24"/>
                <w:highlight w:val="none"/>
              </w:rPr>
            </w:pPr>
            <w:r>
              <w:rPr>
                <w:rFonts w:hint="eastAsia" w:ascii="宋体" w:hAnsi="宋体"/>
                <w:color w:val="auto"/>
                <w:sz w:val="24"/>
                <w:szCs w:val="24"/>
                <w:highlight w:val="none"/>
              </w:rPr>
              <w:t>数码相机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254F10C1">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8B6CAF4">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E1EF65A">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72B8877">
            <w:pPr>
              <w:rPr>
                <w:rFonts w:ascii="宋体" w:hAnsi="宋体"/>
                <w:color w:val="auto"/>
                <w:sz w:val="24"/>
                <w:szCs w:val="24"/>
                <w:highlight w:val="none"/>
              </w:rPr>
            </w:pPr>
          </w:p>
        </w:tc>
      </w:tr>
      <w:tr w14:paraId="386B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843CCB2">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A3A3A81">
            <w:pPr>
              <w:jc w:val="center"/>
              <w:rPr>
                <w:rFonts w:ascii="宋体" w:hAnsi="宋体"/>
                <w:color w:val="auto"/>
                <w:sz w:val="24"/>
                <w:szCs w:val="24"/>
                <w:highlight w:val="none"/>
              </w:rPr>
            </w:pPr>
            <w:r>
              <w:rPr>
                <w:rFonts w:hint="eastAsia" w:ascii="宋体" w:hAnsi="宋体"/>
                <w:color w:val="auto"/>
                <w:sz w:val="24"/>
                <w:szCs w:val="24"/>
                <w:highlight w:val="none"/>
              </w:rPr>
              <w:t>摄像机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44F89896">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145E455">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45CC602">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9455BAC">
            <w:pPr>
              <w:rPr>
                <w:rFonts w:ascii="宋体" w:hAnsi="宋体"/>
                <w:color w:val="auto"/>
                <w:sz w:val="24"/>
                <w:szCs w:val="24"/>
                <w:highlight w:val="none"/>
              </w:rPr>
            </w:pPr>
          </w:p>
        </w:tc>
      </w:tr>
      <w:tr w14:paraId="24DB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7A04089">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117E46C">
            <w:pPr>
              <w:jc w:val="center"/>
              <w:rPr>
                <w:rFonts w:ascii="宋体" w:hAnsi="宋体"/>
                <w:color w:val="auto"/>
                <w:sz w:val="24"/>
                <w:szCs w:val="24"/>
                <w:highlight w:val="none"/>
              </w:rPr>
            </w:pPr>
            <w:r>
              <w:rPr>
                <w:rFonts w:hint="eastAsia" w:ascii="宋体" w:hAnsi="宋体"/>
                <w:color w:val="auto"/>
                <w:sz w:val="24"/>
                <w:szCs w:val="24"/>
                <w:highlight w:val="none"/>
              </w:rPr>
              <w:t>电  脑</w:t>
            </w:r>
          </w:p>
        </w:tc>
        <w:tc>
          <w:tcPr>
            <w:tcW w:w="1852" w:type="dxa"/>
            <w:tcBorders>
              <w:top w:val="single" w:color="auto" w:sz="4" w:space="0"/>
              <w:left w:val="single" w:color="auto" w:sz="4" w:space="0"/>
              <w:bottom w:val="single" w:color="auto" w:sz="4" w:space="0"/>
              <w:right w:val="single" w:color="auto" w:sz="4" w:space="0"/>
            </w:tcBorders>
            <w:noWrap/>
            <w:vAlign w:val="center"/>
          </w:tcPr>
          <w:p w14:paraId="2A8DFB89">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615C81E">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40D86618">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468FDAB">
            <w:pPr>
              <w:rPr>
                <w:rFonts w:ascii="宋体" w:hAnsi="宋体"/>
                <w:color w:val="auto"/>
                <w:sz w:val="24"/>
                <w:szCs w:val="24"/>
                <w:highlight w:val="none"/>
              </w:rPr>
            </w:pPr>
          </w:p>
        </w:tc>
      </w:tr>
      <w:tr w14:paraId="1870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690A4638">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935F684">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09320BCE">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35B949B2">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B2B5FDC">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D1692F9">
            <w:pPr>
              <w:rPr>
                <w:rFonts w:ascii="宋体" w:hAnsi="宋体"/>
                <w:color w:val="auto"/>
                <w:sz w:val="24"/>
                <w:szCs w:val="24"/>
                <w:highlight w:val="none"/>
              </w:rPr>
            </w:pPr>
          </w:p>
        </w:tc>
      </w:tr>
      <w:tr w14:paraId="4033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0C1BE0CD">
            <w:pPr>
              <w:jc w:val="center"/>
              <w:rPr>
                <w:rFonts w:ascii="宋体" w:hAnsi="宋体"/>
                <w:color w:val="auto"/>
                <w:sz w:val="24"/>
                <w:szCs w:val="24"/>
                <w:highlight w:val="none"/>
              </w:rPr>
            </w:pPr>
            <w:r>
              <w:rPr>
                <w:rFonts w:hint="eastAsia" w:ascii="宋体" w:hAnsi="宋体"/>
                <w:color w:val="auto"/>
                <w:sz w:val="24"/>
                <w:szCs w:val="24"/>
                <w:highlight w:val="none"/>
              </w:rPr>
              <w:t>检测设备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0E38CB7E">
            <w:pPr>
              <w:jc w:val="center"/>
              <w:rPr>
                <w:rFonts w:ascii="宋体" w:hAnsi="宋体"/>
                <w:color w:val="auto"/>
                <w:sz w:val="24"/>
                <w:szCs w:val="24"/>
                <w:highlight w:val="none"/>
              </w:rPr>
            </w:pPr>
            <w:r>
              <w:rPr>
                <w:rFonts w:hint="eastAsia" w:ascii="宋体" w:hAnsi="宋体"/>
                <w:color w:val="auto"/>
                <w:sz w:val="24"/>
                <w:szCs w:val="24"/>
                <w:highlight w:val="none"/>
              </w:rPr>
              <w:t>30米钢卷尺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4866206B">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36433E4">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32334B2">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F8E8A5A">
            <w:pPr>
              <w:rPr>
                <w:rFonts w:ascii="宋体" w:hAnsi="宋体"/>
                <w:color w:val="auto"/>
                <w:sz w:val="24"/>
                <w:szCs w:val="24"/>
                <w:highlight w:val="none"/>
              </w:rPr>
            </w:pPr>
          </w:p>
        </w:tc>
      </w:tr>
      <w:tr w14:paraId="2C6D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6162539A">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5A05B27">
            <w:pPr>
              <w:jc w:val="center"/>
              <w:rPr>
                <w:rFonts w:ascii="宋体" w:hAnsi="宋体"/>
                <w:color w:val="auto"/>
                <w:sz w:val="24"/>
                <w:szCs w:val="24"/>
                <w:highlight w:val="none"/>
              </w:rPr>
            </w:pPr>
            <w:r>
              <w:rPr>
                <w:rFonts w:hint="eastAsia" w:ascii="宋体" w:hAnsi="宋体"/>
                <w:color w:val="auto"/>
                <w:sz w:val="24"/>
                <w:szCs w:val="24"/>
                <w:highlight w:val="none"/>
              </w:rPr>
              <w:t>5米钢卷尺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10158A41">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3EE2B52">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393BFA7">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A13AD06">
            <w:pPr>
              <w:rPr>
                <w:rFonts w:ascii="宋体" w:hAnsi="宋体"/>
                <w:color w:val="auto"/>
                <w:sz w:val="24"/>
                <w:szCs w:val="24"/>
                <w:highlight w:val="none"/>
              </w:rPr>
            </w:pPr>
          </w:p>
        </w:tc>
      </w:tr>
      <w:tr w14:paraId="69FF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8B3BFF0">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A98AB10">
            <w:pPr>
              <w:jc w:val="center"/>
              <w:rPr>
                <w:rFonts w:ascii="宋体" w:hAnsi="宋体"/>
                <w:color w:val="auto"/>
                <w:sz w:val="24"/>
                <w:szCs w:val="24"/>
                <w:highlight w:val="none"/>
              </w:rPr>
            </w:pPr>
            <w:r>
              <w:rPr>
                <w:rFonts w:hint="eastAsia" w:ascii="宋体" w:hAnsi="宋体"/>
                <w:color w:val="auto"/>
                <w:sz w:val="24"/>
                <w:szCs w:val="24"/>
                <w:highlight w:val="none"/>
              </w:rPr>
              <w:t>激光垂准仪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5F024830">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5C899C3">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EAB0E2E">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044031C">
            <w:pPr>
              <w:rPr>
                <w:rFonts w:ascii="宋体" w:hAnsi="宋体"/>
                <w:color w:val="auto"/>
                <w:sz w:val="24"/>
                <w:szCs w:val="24"/>
                <w:highlight w:val="none"/>
              </w:rPr>
            </w:pPr>
          </w:p>
        </w:tc>
      </w:tr>
      <w:tr w14:paraId="0CAE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8576BD1">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D76D376">
            <w:pPr>
              <w:jc w:val="center"/>
              <w:rPr>
                <w:rFonts w:ascii="宋体" w:hAnsi="宋体"/>
                <w:color w:val="auto"/>
                <w:sz w:val="24"/>
                <w:szCs w:val="24"/>
                <w:highlight w:val="none"/>
              </w:rPr>
            </w:pPr>
            <w:r>
              <w:rPr>
                <w:rFonts w:hint="eastAsia" w:ascii="宋体" w:hAnsi="宋体"/>
                <w:color w:val="auto"/>
                <w:sz w:val="24"/>
                <w:szCs w:val="24"/>
                <w:highlight w:val="none"/>
              </w:rPr>
              <w:t>建筑工程检测尺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7FB3EA04">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A7F676B">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A395DD3">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82BEE6C">
            <w:pPr>
              <w:rPr>
                <w:rFonts w:ascii="宋体" w:hAnsi="宋体"/>
                <w:color w:val="auto"/>
                <w:sz w:val="24"/>
                <w:szCs w:val="24"/>
                <w:highlight w:val="none"/>
              </w:rPr>
            </w:pPr>
          </w:p>
        </w:tc>
      </w:tr>
      <w:tr w14:paraId="5D40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A00CF9B">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DA8AD43">
            <w:pPr>
              <w:jc w:val="center"/>
              <w:rPr>
                <w:rFonts w:ascii="宋体" w:hAnsi="宋体"/>
                <w:color w:val="auto"/>
                <w:sz w:val="24"/>
                <w:szCs w:val="24"/>
                <w:highlight w:val="none"/>
              </w:rPr>
            </w:pPr>
            <w:r>
              <w:rPr>
                <w:rFonts w:hint="eastAsia" w:ascii="宋体" w:hAnsi="宋体"/>
                <w:color w:val="auto"/>
                <w:sz w:val="24"/>
                <w:szCs w:val="24"/>
                <w:highlight w:val="none"/>
              </w:rPr>
              <w:t>焊接检测尺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3F81ACD1">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22815CCA">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1DE5EEF">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FD366D3">
            <w:pPr>
              <w:rPr>
                <w:rFonts w:ascii="宋体" w:hAnsi="宋体"/>
                <w:color w:val="auto"/>
                <w:sz w:val="24"/>
                <w:szCs w:val="24"/>
                <w:highlight w:val="none"/>
              </w:rPr>
            </w:pPr>
          </w:p>
        </w:tc>
      </w:tr>
      <w:tr w14:paraId="2B0D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E125706">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143B3B0">
            <w:pPr>
              <w:jc w:val="center"/>
              <w:rPr>
                <w:rFonts w:ascii="宋体" w:hAnsi="宋体"/>
                <w:color w:val="auto"/>
                <w:sz w:val="24"/>
                <w:szCs w:val="24"/>
                <w:highlight w:val="none"/>
              </w:rPr>
            </w:pPr>
            <w:r>
              <w:rPr>
                <w:rFonts w:hint="eastAsia" w:ascii="宋体" w:hAnsi="宋体"/>
                <w:color w:val="auto"/>
                <w:sz w:val="24"/>
                <w:szCs w:val="24"/>
                <w:highlight w:val="none"/>
              </w:rPr>
              <w:t>读数显微镜</w:t>
            </w:r>
          </w:p>
        </w:tc>
        <w:tc>
          <w:tcPr>
            <w:tcW w:w="1852" w:type="dxa"/>
            <w:tcBorders>
              <w:top w:val="single" w:color="auto" w:sz="4" w:space="0"/>
              <w:left w:val="single" w:color="auto" w:sz="4" w:space="0"/>
              <w:bottom w:val="single" w:color="auto" w:sz="4" w:space="0"/>
              <w:right w:val="single" w:color="auto" w:sz="4" w:space="0"/>
            </w:tcBorders>
            <w:noWrap/>
            <w:vAlign w:val="center"/>
          </w:tcPr>
          <w:p w14:paraId="0DED0419">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2A79220A">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A0DB707">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DE565DD">
            <w:pPr>
              <w:rPr>
                <w:rFonts w:ascii="宋体" w:hAnsi="宋体"/>
                <w:color w:val="auto"/>
                <w:sz w:val="24"/>
                <w:szCs w:val="24"/>
                <w:highlight w:val="none"/>
              </w:rPr>
            </w:pPr>
          </w:p>
        </w:tc>
      </w:tr>
      <w:tr w14:paraId="1718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64A0B9A8">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633EDDE1">
            <w:pPr>
              <w:jc w:val="center"/>
              <w:rPr>
                <w:rFonts w:ascii="宋体" w:hAnsi="宋体"/>
                <w:color w:val="auto"/>
                <w:sz w:val="24"/>
                <w:szCs w:val="24"/>
                <w:highlight w:val="none"/>
              </w:rPr>
            </w:pPr>
            <w:r>
              <w:rPr>
                <w:rFonts w:hint="eastAsia" w:ascii="宋体" w:hAnsi="宋体"/>
                <w:color w:val="auto"/>
                <w:sz w:val="24"/>
                <w:szCs w:val="24"/>
                <w:highlight w:val="none"/>
              </w:rPr>
              <w:t>涂层测厚仪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3C211536">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7279342">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F9F9AD0">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0B6C336">
            <w:pPr>
              <w:rPr>
                <w:rFonts w:ascii="宋体" w:hAnsi="宋体"/>
                <w:color w:val="auto"/>
                <w:sz w:val="24"/>
                <w:szCs w:val="24"/>
                <w:highlight w:val="none"/>
              </w:rPr>
            </w:pPr>
          </w:p>
        </w:tc>
      </w:tr>
      <w:tr w14:paraId="06E0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7C9BD8E">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61CDCE7">
            <w:pPr>
              <w:jc w:val="center"/>
              <w:rPr>
                <w:rFonts w:ascii="宋体" w:hAnsi="宋体"/>
                <w:color w:val="auto"/>
                <w:sz w:val="24"/>
                <w:szCs w:val="24"/>
                <w:highlight w:val="none"/>
              </w:rPr>
            </w:pPr>
            <w:r>
              <w:rPr>
                <w:rFonts w:hint="eastAsia" w:ascii="宋体" w:hAnsi="宋体"/>
                <w:color w:val="auto"/>
                <w:sz w:val="24"/>
                <w:szCs w:val="24"/>
                <w:highlight w:val="none"/>
              </w:rPr>
              <w:t>游标卡尺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552AF039">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3A46CBE6">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2DFB741">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5E85B79">
            <w:pPr>
              <w:rPr>
                <w:rFonts w:ascii="宋体" w:hAnsi="宋体"/>
                <w:color w:val="auto"/>
                <w:sz w:val="24"/>
                <w:szCs w:val="24"/>
                <w:highlight w:val="none"/>
              </w:rPr>
            </w:pPr>
          </w:p>
        </w:tc>
      </w:tr>
      <w:tr w14:paraId="003E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161CD55">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576230D">
            <w:pPr>
              <w:jc w:val="center"/>
              <w:rPr>
                <w:rFonts w:ascii="宋体" w:hAnsi="宋体"/>
                <w:color w:val="auto"/>
                <w:sz w:val="24"/>
                <w:szCs w:val="24"/>
                <w:highlight w:val="none"/>
              </w:rPr>
            </w:pPr>
            <w:r>
              <w:rPr>
                <w:rFonts w:hint="eastAsia" w:ascii="宋体" w:hAnsi="宋体"/>
                <w:color w:val="auto"/>
                <w:sz w:val="24"/>
                <w:szCs w:val="24"/>
                <w:highlight w:val="none"/>
              </w:rPr>
              <w:t>扭矩扳手</w:t>
            </w:r>
          </w:p>
        </w:tc>
        <w:tc>
          <w:tcPr>
            <w:tcW w:w="1852" w:type="dxa"/>
            <w:tcBorders>
              <w:top w:val="single" w:color="auto" w:sz="4" w:space="0"/>
              <w:left w:val="single" w:color="auto" w:sz="4" w:space="0"/>
              <w:bottom w:val="single" w:color="auto" w:sz="4" w:space="0"/>
              <w:right w:val="single" w:color="auto" w:sz="4" w:space="0"/>
            </w:tcBorders>
            <w:noWrap/>
            <w:vAlign w:val="center"/>
          </w:tcPr>
          <w:p w14:paraId="3FDD27CD">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4F3521A">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74D1B2A">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315FB25">
            <w:pPr>
              <w:rPr>
                <w:rFonts w:ascii="宋体" w:hAnsi="宋体"/>
                <w:color w:val="auto"/>
                <w:sz w:val="24"/>
                <w:szCs w:val="24"/>
                <w:highlight w:val="none"/>
              </w:rPr>
            </w:pPr>
          </w:p>
        </w:tc>
      </w:tr>
      <w:tr w14:paraId="02BB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5287570">
            <w:pPr>
              <w:widowControl/>
              <w:jc w:val="left"/>
              <w:rPr>
                <w:rFonts w:ascii="宋体" w:hAnsi="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E9333AD">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47D442FD">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1F14021">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42C9C8D">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5CBB366">
            <w:pPr>
              <w:rPr>
                <w:rFonts w:ascii="宋体" w:hAnsi="宋体"/>
                <w:color w:val="auto"/>
                <w:sz w:val="24"/>
                <w:szCs w:val="24"/>
                <w:highlight w:val="none"/>
              </w:rPr>
            </w:pPr>
          </w:p>
        </w:tc>
      </w:tr>
      <w:tr w14:paraId="1C6D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noWrap/>
            <w:vAlign w:val="center"/>
          </w:tcPr>
          <w:p w14:paraId="77A46E92">
            <w:pPr>
              <w:jc w:val="center"/>
              <w:rPr>
                <w:rFonts w:ascii="宋体" w:hAnsi="宋体"/>
                <w:color w:val="auto"/>
                <w:sz w:val="24"/>
                <w:szCs w:val="24"/>
                <w:highlight w:val="none"/>
              </w:rPr>
            </w:pPr>
            <w:r>
              <w:rPr>
                <w:rFonts w:hint="eastAsia" w:ascii="宋体" w:hAnsi="宋体"/>
                <w:color w:val="auto"/>
                <w:sz w:val="24"/>
                <w:szCs w:val="24"/>
                <w:highlight w:val="none"/>
              </w:rPr>
              <w:t>交通工具</w:t>
            </w:r>
          </w:p>
        </w:tc>
        <w:tc>
          <w:tcPr>
            <w:tcW w:w="1852" w:type="dxa"/>
            <w:tcBorders>
              <w:top w:val="single" w:color="auto" w:sz="4" w:space="0"/>
              <w:left w:val="single" w:color="auto" w:sz="4" w:space="0"/>
              <w:bottom w:val="single" w:color="auto" w:sz="4" w:space="0"/>
              <w:right w:val="single" w:color="auto" w:sz="4" w:space="0"/>
            </w:tcBorders>
            <w:noWrap/>
            <w:vAlign w:val="center"/>
          </w:tcPr>
          <w:p w14:paraId="51BC061D">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59301D3">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C4BC76C">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32D1317">
            <w:pPr>
              <w:rPr>
                <w:rFonts w:ascii="宋体" w:hAnsi="宋体"/>
                <w:color w:val="auto"/>
                <w:sz w:val="24"/>
                <w:szCs w:val="24"/>
                <w:highlight w:val="none"/>
              </w:rPr>
            </w:pPr>
          </w:p>
        </w:tc>
      </w:tr>
      <w:tr w14:paraId="1277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noWrap/>
            <w:vAlign w:val="center"/>
          </w:tcPr>
          <w:p w14:paraId="520263CD">
            <w:pPr>
              <w:jc w:val="center"/>
              <w:rPr>
                <w:rFonts w:ascii="宋体" w:hAnsi="宋体"/>
                <w:color w:val="auto"/>
                <w:sz w:val="24"/>
                <w:szCs w:val="24"/>
                <w:highlight w:val="none"/>
              </w:rPr>
            </w:pPr>
            <w:r>
              <w:rPr>
                <w:rFonts w:hint="eastAsia" w:ascii="宋体" w:hAnsi="宋体"/>
                <w:color w:val="auto"/>
                <w:sz w:val="24"/>
                <w:szCs w:val="24"/>
                <w:highlight w:val="none"/>
              </w:rPr>
              <w:t>其他</w:t>
            </w:r>
          </w:p>
        </w:tc>
        <w:tc>
          <w:tcPr>
            <w:tcW w:w="1852" w:type="dxa"/>
            <w:tcBorders>
              <w:top w:val="single" w:color="auto" w:sz="4" w:space="0"/>
              <w:left w:val="single" w:color="auto" w:sz="4" w:space="0"/>
              <w:bottom w:val="single" w:color="auto" w:sz="4" w:space="0"/>
              <w:right w:val="single" w:color="auto" w:sz="4" w:space="0"/>
            </w:tcBorders>
            <w:noWrap/>
          </w:tcPr>
          <w:p w14:paraId="3EECC320">
            <w:pPr>
              <w:rPr>
                <w:rFonts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3678B929">
            <w:pPr>
              <w:rPr>
                <w:rFonts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A85A458">
            <w:pPr>
              <w:rPr>
                <w:rFonts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F1E1030">
            <w:pPr>
              <w:rPr>
                <w:rFonts w:ascii="宋体" w:hAnsi="宋体"/>
                <w:color w:val="auto"/>
                <w:sz w:val="24"/>
                <w:szCs w:val="24"/>
                <w:highlight w:val="none"/>
              </w:rPr>
            </w:pPr>
          </w:p>
        </w:tc>
      </w:tr>
    </w:tbl>
    <w:p w14:paraId="0E83143D">
      <w:pPr>
        <w:topLinePunct/>
        <w:spacing w:line="271" w:lineRule="auto"/>
        <w:ind w:firstLine="496" w:firstLineChars="200"/>
        <w:rPr>
          <w:rFonts w:ascii="宋体" w:hAnsi="宋体"/>
          <w:color w:val="auto"/>
          <w:spacing w:val="4"/>
          <w:sz w:val="24"/>
          <w:szCs w:val="24"/>
          <w:highlight w:val="none"/>
        </w:rPr>
      </w:pPr>
      <w:r>
        <w:rPr>
          <w:rFonts w:hint="eastAsia" w:ascii="宋体" w:hAnsi="宋体"/>
          <w:color w:val="auto"/>
          <w:spacing w:val="4"/>
          <w:sz w:val="24"/>
          <w:szCs w:val="24"/>
          <w:highlight w:val="none"/>
        </w:rPr>
        <w:t>备注：1、如投标人中标，招标人将据此清单与中标的监理单位核查进场的监理设施。</w:t>
      </w:r>
    </w:p>
    <w:p w14:paraId="25D977BE">
      <w:pPr>
        <w:topLinePunct/>
        <w:spacing w:line="271" w:lineRule="auto"/>
        <w:ind w:firstLine="620" w:firstLineChars="250"/>
        <w:rPr>
          <w:rFonts w:ascii="宋体" w:hAnsi="宋体"/>
          <w:color w:val="auto"/>
          <w:spacing w:val="4"/>
          <w:sz w:val="24"/>
          <w:szCs w:val="24"/>
          <w:highlight w:val="none"/>
        </w:rPr>
      </w:pPr>
      <w:r>
        <w:rPr>
          <w:rFonts w:hint="eastAsia" w:ascii="宋体" w:hAnsi="宋体"/>
          <w:color w:val="auto"/>
          <w:spacing w:val="4"/>
          <w:sz w:val="24"/>
          <w:szCs w:val="24"/>
          <w:highlight w:val="none"/>
        </w:rPr>
        <w:t>2、投标人可自行补充其他拟投入本项目的监理设施，以及委托有关单位进行检测的协议。</w:t>
      </w:r>
    </w:p>
    <w:p w14:paraId="6E59E62E">
      <w:pPr>
        <w:topLinePunct/>
        <w:spacing w:line="360" w:lineRule="auto"/>
        <w:ind w:firstLine="496" w:firstLineChars="200"/>
        <w:rPr>
          <w:rFonts w:ascii="宋体" w:hAnsi="宋体"/>
          <w:color w:val="auto"/>
          <w:spacing w:val="4"/>
          <w:sz w:val="24"/>
          <w:szCs w:val="24"/>
          <w:highlight w:val="none"/>
        </w:rPr>
      </w:pPr>
    </w:p>
    <w:p w14:paraId="41ADEDD7">
      <w:pPr>
        <w:topLinePunct/>
        <w:spacing w:line="360" w:lineRule="auto"/>
        <w:rPr>
          <w:rFonts w:ascii="宋体" w:hAnsi="宋体"/>
          <w:color w:val="auto"/>
          <w:spacing w:val="4"/>
          <w:sz w:val="24"/>
          <w:szCs w:val="24"/>
          <w:highlight w:val="none"/>
        </w:rPr>
      </w:pPr>
      <w:r>
        <w:rPr>
          <w:rFonts w:hint="eastAsia" w:ascii="宋体" w:hAnsi="宋体"/>
          <w:color w:val="auto"/>
          <w:spacing w:val="4"/>
          <w:sz w:val="24"/>
          <w:szCs w:val="24"/>
          <w:highlight w:val="none"/>
        </w:rPr>
        <w:t>投  标  单  位（盖章）：</w:t>
      </w:r>
    </w:p>
    <w:p w14:paraId="363B21F1">
      <w:pPr>
        <w:topLinePunct/>
        <w:spacing w:line="360" w:lineRule="auto"/>
        <w:rPr>
          <w:rFonts w:ascii="宋体" w:hAnsi="宋体"/>
          <w:color w:val="auto"/>
          <w:spacing w:val="18"/>
          <w:sz w:val="24"/>
          <w:szCs w:val="24"/>
          <w:highlight w:val="none"/>
        </w:rPr>
      </w:pPr>
      <w:r>
        <w:rPr>
          <w:rFonts w:hint="eastAsia" w:ascii="宋体" w:hAnsi="宋体"/>
          <w:color w:val="auto"/>
          <w:spacing w:val="4"/>
          <w:sz w:val="24"/>
          <w:szCs w:val="24"/>
          <w:highlight w:val="none"/>
        </w:rPr>
        <w:t>法定代表人或授权委托人（签名或盖章）</w:t>
      </w:r>
      <w:r>
        <w:rPr>
          <w:rFonts w:hint="eastAsia" w:ascii="宋体" w:hAnsi="宋体"/>
          <w:color w:val="auto"/>
          <w:spacing w:val="18"/>
          <w:sz w:val="24"/>
          <w:szCs w:val="24"/>
          <w:highlight w:val="none"/>
        </w:rPr>
        <w:t xml:space="preserve">：            </w:t>
      </w:r>
    </w:p>
    <w:p w14:paraId="4ACCD1F1">
      <w:pPr>
        <w:topLinePunct/>
        <w:spacing w:line="360" w:lineRule="auto"/>
        <w:rPr>
          <w:rFonts w:ascii="宋体" w:hAnsi="宋体"/>
          <w:color w:val="auto"/>
          <w:spacing w:val="18"/>
          <w:sz w:val="24"/>
          <w:szCs w:val="24"/>
          <w:highlight w:val="none"/>
        </w:rPr>
      </w:pPr>
      <w:r>
        <w:rPr>
          <w:rFonts w:hint="eastAsia" w:ascii="宋体" w:hAnsi="宋体"/>
          <w:color w:val="auto"/>
          <w:spacing w:val="18"/>
          <w:sz w:val="24"/>
          <w:szCs w:val="24"/>
          <w:highlight w:val="none"/>
        </w:rPr>
        <w:t>日期：   年  月  日</w:t>
      </w:r>
    </w:p>
    <w:p w14:paraId="382ADA39">
      <w:pPr>
        <w:rPr>
          <w:rFonts w:hint="eastAsia" w:ascii="宋体" w:hAnsi="宋体" w:eastAsia="宋体"/>
          <w:color w:val="auto"/>
          <w:sz w:val="30"/>
          <w:szCs w:val="30"/>
          <w:highlight w:val="none"/>
        </w:rPr>
      </w:pPr>
      <w:r>
        <w:rPr>
          <w:rFonts w:hint="eastAsia" w:ascii="宋体" w:hAnsi="宋体"/>
          <w:color w:val="auto"/>
          <w:spacing w:val="18"/>
          <w:sz w:val="24"/>
          <w:szCs w:val="24"/>
          <w:highlight w:val="none"/>
        </w:rPr>
        <w:br w:type="page"/>
      </w:r>
    </w:p>
    <w:p w14:paraId="34387EA1">
      <w:pPr>
        <w:pStyle w:val="4"/>
        <w:spacing w:line="600" w:lineRule="auto"/>
        <w:rPr>
          <w:rFonts w:ascii="宋体" w:hAnsi="宋体" w:eastAsia="宋体"/>
          <w:color w:val="auto"/>
          <w:sz w:val="30"/>
          <w:szCs w:val="30"/>
          <w:highlight w:val="none"/>
        </w:rPr>
      </w:pPr>
      <w:r>
        <w:rPr>
          <w:rFonts w:hint="eastAsia" w:ascii="宋体" w:hAnsi="宋体" w:eastAsia="宋体"/>
          <w:color w:val="auto"/>
          <w:sz w:val="30"/>
          <w:szCs w:val="30"/>
          <w:highlight w:val="none"/>
          <w:lang w:val="en-US" w:eastAsia="zh-CN"/>
        </w:rPr>
        <w:t>七</w:t>
      </w:r>
      <w:r>
        <w:rPr>
          <w:rFonts w:hint="eastAsia" w:ascii="宋体" w:hAnsi="宋体" w:eastAsia="宋体"/>
          <w:color w:val="auto"/>
          <w:sz w:val="30"/>
          <w:szCs w:val="30"/>
          <w:highlight w:val="none"/>
        </w:rPr>
        <w:t>、监理大纲</w:t>
      </w:r>
      <w:bookmarkEnd w:id="489"/>
      <w:bookmarkEnd w:id="490"/>
      <w:bookmarkEnd w:id="491"/>
    </w:p>
    <w:p w14:paraId="376C49E3">
      <w:pPr>
        <w:spacing w:line="360" w:lineRule="auto"/>
        <w:jc w:val="center"/>
        <w:rPr>
          <w:rFonts w:ascii="宋体" w:hAnsi="宋体"/>
          <w:b/>
          <w:color w:val="auto"/>
          <w:sz w:val="28"/>
          <w:szCs w:val="32"/>
          <w:highlight w:val="none"/>
        </w:rPr>
      </w:pPr>
      <w:r>
        <w:rPr>
          <w:rFonts w:hint="eastAsia" w:ascii="宋体" w:hAnsi="宋体"/>
          <w:b/>
          <w:color w:val="auto"/>
          <w:sz w:val="28"/>
          <w:szCs w:val="32"/>
          <w:highlight w:val="none"/>
        </w:rPr>
        <w:t>监理大纲</w:t>
      </w:r>
    </w:p>
    <w:p w14:paraId="65BF52BA">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监理大纲应包括（但不限于）下列内容：</w:t>
      </w:r>
    </w:p>
    <w:p w14:paraId="5D2DF740">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eastAsia="宋体" w:cs="Times New Roman"/>
          <w:color w:val="auto"/>
          <w:kern w:val="2"/>
          <w:sz w:val="24"/>
          <w:szCs w:val="24"/>
          <w:highlight w:val="none"/>
          <w:lang w:val="en-US" w:eastAsia="zh-CN" w:bidi="ar"/>
        </w:rPr>
        <w:t>监理工作程序、方法和制度</w:t>
      </w:r>
      <w:r>
        <w:rPr>
          <w:rFonts w:hint="eastAsia" w:ascii="宋体" w:hAnsi="宋体"/>
          <w:color w:val="auto"/>
          <w:sz w:val="24"/>
          <w:szCs w:val="24"/>
          <w:highlight w:val="none"/>
        </w:rPr>
        <w:t>；</w:t>
      </w:r>
    </w:p>
    <w:p w14:paraId="484A5BD4">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eastAsia="宋体" w:cs="Times New Roman"/>
          <w:color w:val="auto"/>
          <w:kern w:val="2"/>
          <w:sz w:val="24"/>
          <w:szCs w:val="24"/>
          <w:highlight w:val="none"/>
          <w:lang w:val="en-US" w:eastAsia="zh-CN" w:bidi="ar"/>
        </w:rPr>
        <w:t>质量控制措施</w:t>
      </w:r>
      <w:r>
        <w:rPr>
          <w:rFonts w:hint="eastAsia" w:ascii="宋体" w:hAnsi="宋体"/>
          <w:color w:val="auto"/>
          <w:sz w:val="24"/>
          <w:szCs w:val="24"/>
          <w:highlight w:val="none"/>
        </w:rPr>
        <w:t>；</w:t>
      </w:r>
    </w:p>
    <w:p w14:paraId="15820DAB">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三、</w:t>
      </w:r>
      <w:r>
        <w:rPr>
          <w:rFonts w:hint="eastAsia" w:ascii="宋体" w:hAnsi="宋体" w:eastAsia="宋体" w:cs="Times New Roman"/>
          <w:color w:val="auto"/>
          <w:kern w:val="2"/>
          <w:sz w:val="24"/>
          <w:szCs w:val="24"/>
          <w:highlight w:val="none"/>
          <w:lang w:val="en-US" w:eastAsia="zh-CN" w:bidi="ar"/>
        </w:rPr>
        <w:t>进度控制措施</w:t>
      </w:r>
      <w:r>
        <w:rPr>
          <w:rFonts w:hint="eastAsia" w:ascii="宋体" w:hAnsi="宋体"/>
          <w:color w:val="auto"/>
          <w:sz w:val="24"/>
          <w:szCs w:val="24"/>
          <w:highlight w:val="none"/>
        </w:rPr>
        <w:t>；</w:t>
      </w:r>
    </w:p>
    <w:p w14:paraId="7475239F">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四、</w:t>
      </w:r>
      <w:r>
        <w:rPr>
          <w:rFonts w:hint="eastAsia" w:ascii="宋体" w:hAnsi="宋体" w:eastAsia="宋体" w:cs="Times New Roman"/>
          <w:color w:val="auto"/>
          <w:kern w:val="2"/>
          <w:sz w:val="24"/>
          <w:szCs w:val="24"/>
          <w:highlight w:val="none"/>
          <w:lang w:val="en-US" w:eastAsia="zh-CN" w:bidi="ar"/>
        </w:rPr>
        <w:t>造价控制措施</w:t>
      </w:r>
      <w:r>
        <w:rPr>
          <w:rFonts w:hint="eastAsia" w:ascii="宋体" w:hAnsi="宋体"/>
          <w:color w:val="auto"/>
          <w:sz w:val="24"/>
          <w:szCs w:val="24"/>
          <w:highlight w:val="none"/>
        </w:rPr>
        <w:t>；</w:t>
      </w:r>
    </w:p>
    <w:p w14:paraId="46BC6AE6">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五、</w:t>
      </w:r>
      <w:r>
        <w:rPr>
          <w:rFonts w:hint="eastAsia" w:ascii="宋体" w:hAnsi="宋体" w:eastAsia="宋体" w:cs="Times New Roman"/>
          <w:color w:val="auto"/>
          <w:kern w:val="2"/>
          <w:sz w:val="24"/>
          <w:szCs w:val="24"/>
          <w:highlight w:val="none"/>
          <w:lang w:val="en-US" w:eastAsia="zh-CN" w:bidi="ar"/>
        </w:rPr>
        <w:t>安全、环保控制措施</w:t>
      </w:r>
      <w:r>
        <w:rPr>
          <w:rFonts w:hint="eastAsia" w:ascii="宋体" w:hAnsi="宋体"/>
          <w:color w:val="auto"/>
          <w:sz w:val="24"/>
          <w:szCs w:val="24"/>
          <w:highlight w:val="none"/>
        </w:rPr>
        <w:t>；</w:t>
      </w:r>
    </w:p>
    <w:p w14:paraId="57235D07">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六、</w:t>
      </w:r>
      <w:r>
        <w:rPr>
          <w:rFonts w:hint="eastAsia" w:ascii="宋体" w:hAnsi="宋体" w:eastAsia="宋体" w:cs="Times New Roman"/>
          <w:color w:val="auto"/>
          <w:kern w:val="2"/>
          <w:sz w:val="24"/>
          <w:szCs w:val="24"/>
          <w:highlight w:val="none"/>
          <w:lang w:val="en-US" w:eastAsia="zh-CN" w:bidi="ar"/>
        </w:rPr>
        <w:t>合同、信息管理方案</w:t>
      </w:r>
      <w:r>
        <w:rPr>
          <w:rFonts w:hint="eastAsia" w:ascii="宋体" w:hAnsi="宋体"/>
          <w:color w:val="auto"/>
          <w:sz w:val="24"/>
          <w:szCs w:val="24"/>
          <w:highlight w:val="none"/>
        </w:rPr>
        <w:t>；</w:t>
      </w:r>
    </w:p>
    <w:p w14:paraId="357A7D9E">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七、</w:t>
      </w:r>
      <w:r>
        <w:rPr>
          <w:rFonts w:hint="eastAsia" w:ascii="宋体" w:hAnsi="宋体" w:eastAsia="宋体" w:cs="Times New Roman"/>
          <w:color w:val="auto"/>
          <w:kern w:val="2"/>
          <w:sz w:val="24"/>
          <w:szCs w:val="24"/>
          <w:highlight w:val="none"/>
          <w:lang w:val="en-US" w:eastAsia="zh-CN" w:bidi="ar"/>
        </w:rPr>
        <w:t>组织协调内容及措施</w:t>
      </w:r>
      <w:r>
        <w:rPr>
          <w:rFonts w:hint="eastAsia" w:ascii="宋体" w:hAnsi="宋体"/>
          <w:color w:val="auto"/>
          <w:sz w:val="24"/>
          <w:szCs w:val="24"/>
          <w:highlight w:val="none"/>
        </w:rPr>
        <w:t>；</w:t>
      </w:r>
    </w:p>
    <w:p w14:paraId="1EA82FD8">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八、</w:t>
      </w:r>
      <w:r>
        <w:rPr>
          <w:rFonts w:hint="eastAsia" w:ascii="宋体" w:hAnsi="宋体" w:eastAsia="宋体" w:cs="Times New Roman"/>
          <w:color w:val="auto"/>
          <w:kern w:val="2"/>
          <w:sz w:val="24"/>
          <w:szCs w:val="24"/>
          <w:highlight w:val="none"/>
          <w:lang w:val="en-US" w:eastAsia="zh-CN" w:bidi="ar"/>
        </w:rPr>
        <w:t>重点难点监控措施</w:t>
      </w:r>
      <w:r>
        <w:rPr>
          <w:rFonts w:hint="eastAsia" w:ascii="宋体" w:hAnsi="宋体"/>
          <w:color w:val="auto"/>
          <w:sz w:val="24"/>
          <w:szCs w:val="24"/>
          <w:highlight w:val="none"/>
        </w:rPr>
        <w:t>；</w:t>
      </w:r>
    </w:p>
    <w:p w14:paraId="00AD03E6">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九、</w:t>
      </w:r>
      <w:r>
        <w:rPr>
          <w:rFonts w:hint="eastAsia" w:ascii="宋体" w:hAnsi="宋体" w:eastAsia="宋体" w:cs="Times New Roman"/>
          <w:color w:val="auto"/>
          <w:kern w:val="2"/>
          <w:sz w:val="24"/>
          <w:szCs w:val="24"/>
          <w:highlight w:val="none"/>
          <w:lang w:val="en-US" w:eastAsia="zh-CN" w:bidi="ar"/>
        </w:rPr>
        <w:t>合理化建议</w:t>
      </w:r>
      <w:r>
        <w:rPr>
          <w:rFonts w:hint="eastAsia" w:ascii="宋体" w:hAnsi="宋体"/>
          <w:color w:val="auto"/>
          <w:sz w:val="24"/>
          <w:szCs w:val="24"/>
          <w:highlight w:val="none"/>
        </w:rPr>
        <w:t>；</w:t>
      </w:r>
    </w:p>
    <w:p w14:paraId="5C69642E">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eastAsia="宋体" w:cs="Times New Roman"/>
          <w:color w:val="auto"/>
          <w:kern w:val="2"/>
          <w:sz w:val="24"/>
          <w:szCs w:val="24"/>
          <w:highlight w:val="none"/>
          <w:lang w:val="en-US" w:eastAsia="zh-CN" w:bidi="ar"/>
        </w:rPr>
        <w:t>工程验收、移交、保修的管理</w:t>
      </w:r>
      <w:r>
        <w:rPr>
          <w:rFonts w:hint="eastAsia" w:ascii="宋体" w:hAnsi="宋体"/>
          <w:color w:val="auto"/>
          <w:sz w:val="24"/>
          <w:szCs w:val="24"/>
          <w:highlight w:val="none"/>
        </w:rPr>
        <w:t>；</w:t>
      </w:r>
    </w:p>
    <w:p w14:paraId="052BD2E8">
      <w:pPr>
        <w:spacing w:line="360" w:lineRule="auto"/>
        <w:ind w:firstLine="542" w:firstLineChars="226"/>
        <w:rPr>
          <w:rFonts w:hint="eastAsia" w:ascii="宋体" w:hAnsi="宋体"/>
          <w:color w:val="auto"/>
          <w:sz w:val="24"/>
          <w:szCs w:val="24"/>
          <w:highlight w:val="none"/>
          <w:lang w:eastAsia="zh-CN"/>
        </w:rPr>
      </w:pPr>
      <w:r>
        <w:rPr>
          <w:rFonts w:hint="eastAsia" w:ascii="宋体" w:hAnsi="宋体"/>
          <w:color w:val="auto"/>
          <w:sz w:val="24"/>
          <w:szCs w:val="24"/>
          <w:highlight w:val="none"/>
        </w:rPr>
        <w:t>十一、</w:t>
      </w:r>
      <w:r>
        <w:rPr>
          <w:rFonts w:hint="eastAsia" w:ascii="宋体" w:hAnsi="宋体" w:eastAsia="宋体" w:cs="Times New Roman"/>
          <w:color w:val="auto"/>
          <w:kern w:val="2"/>
          <w:sz w:val="24"/>
          <w:szCs w:val="24"/>
          <w:highlight w:val="none"/>
          <w:lang w:val="en-US" w:eastAsia="zh-CN" w:bidi="ar"/>
        </w:rPr>
        <w:t>工程进度款、工程结算的管理</w:t>
      </w:r>
      <w:r>
        <w:rPr>
          <w:rFonts w:hint="eastAsia" w:ascii="宋体" w:hAnsi="宋体"/>
          <w:color w:val="auto"/>
          <w:sz w:val="24"/>
          <w:szCs w:val="24"/>
          <w:highlight w:val="none"/>
          <w:lang w:eastAsia="zh-CN"/>
        </w:rPr>
        <w:t>；</w:t>
      </w:r>
    </w:p>
    <w:p w14:paraId="15BDB95E">
      <w:pPr>
        <w:spacing w:line="360" w:lineRule="auto"/>
        <w:ind w:firstLine="542" w:firstLineChars="226"/>
        <w:rPr>
          <w:rFonts w:hint="eastAsia" w:ascii="宋体" w:hAnsi="宋体"/>
          <w:color w:val="auto"/>
          <w:sz w:val="24"/>
          <w:szCs w:val="24"/>
          <w:highlight w:val="none"/>
          <w:lang w:eastAsia="zh-CN"/>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w:t>
      </w:r>
      <w:r>
        <w:rPr>
          <w:rFonts w:hint="eastAsia" w:ascii="宋体" w:hAnsi="宋体" w:eastAsia="宋体" w:cs="Times New Roman"/>
          <w:color w:val="auto"/>
          <w:kern w:val="2"/>
          <w:sz w:val="24"/>
          <w:szCs w:val="24"/>
          <w:highlight w:val="none"/>
          <w:lang w:val="en-US" w:eastAsia="zh-CN" w:bidi="ar"/>
        </w:rPr>
        <w:t>会议制度</w:t>
      </w:r>
      <w:r>
        <w:rPr>
          <w:rFonts w:hint="eastAsia" w:ascii="宋体" w:hAnsi="宋体"/>
          <w:color w:val="auto"/>
          <w:sz w:val="24"/>
          <w:szCs w:val="24"/>
          <w:highlight w:val="none"/>
          <w:lang w:eastAsia="zh-CN"/>
        </w:rPr>
        <w:t>。</w:t>
      </w:r>
    </w:p>
    <w:p w14:paraId="46F803CA">
      <w:pPr>
        <w:spacing w:line="360" w:lineRule="auto"/>
        <w:ind w:firstLine="542" w:firstLineChars="226"/>
        <w:rPr>
          <w:rFonts w:hint="eastAsia" w:ascii="宋体" w:hAnsi="宋体"/>
          <w:color w:val="auto"/>
          <w:sz w:val="24"/>
          <w:szCs w:val="24"/>
          <w:highlight w:val="none"/>
          <w:lang w:eastAsia="zh-CN"/>
        </w:rPr>
      </w:pPr>
    </w:p>
    <w:p w14:paraId="65341E77">
      <w:pPr>
        <w:pStyle w:val="19"/>
        <w:rPr>
          <w:rFonts w:hint="eastAsia"/>
          <w:color w:val="auto"/>
          <w:highlight w:val="none"/>
          <w:lang w:eastAsia="zh-CN"/>
        </w:rPr>
      </w:pPr>
    </w:p>
    <w:p w14:paraId="64020577">
      <w:pPr>
        <w:rPr>
          <w:rFonts w:ascii="宋体" w:hAnsi="宋体"/>
          <w:color w:val="auto"/>
          <w:highlight w:val="none"/>
        </w:rPr>
      </w:pPr>
    </w:p>
    <w:p w14:paraId="129A16FB">
      <w:pPr>
        <w:rPr>
          <w:rFonts w:ascii="宋体" w:hAnsi="宋体"/>
          <w:color w:val="auto"/>
          <w:highlight w:val="none"/>
        </w:rPr>
      </w:pPr>
    </w:p>
    <w:p w14:paraId="42DB483C">
      <w:pPr>
        <w:rPr>
          <w:rFonts w:ascii="宋体" w:hAnsi="宋体"/>
          <w:color w:val="auto"/>
          <w:highlight w:val="none"/>
        </w:rPr>
      </w:pPr>
    </w:p>
    <w:p w14:paraId="56D8F4C7">
      <w:pPr>
        <w:rPr>
          <w:rFonts w:ascii="宋体" w:hAnsi="宋体"/>
          <w:color w:val="auto"/>
          <w:highlight w:val="none"/>
        </w:rPr>
      </w:pPr>
    </w:p>
    <w:p w14:paraId="3FB9FAEB">
      <w:pPr>
        <w:rPr>
          <w:color w:val="auto"/>
          <w:highlight w:val="none"/>
        </w:rPr>
      </w:pPr>
    </w:p>
    <w:p w14:paraId="17DC117E">
      <w:pPr>
        <w:rPr>
          <w:color w:val="auto"/>
          <w:highlight w:val="none"/>
        </w:rPr>
      </w:pPr>
    </w:p>
    <w:sectPr>
      <w:headerReference r:id="rId5" w:type="first"/>
      <w:footerReference r:id="rId8" w:type="first"/>
      <w:headerReference r:id="rId4"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E9FC">
    <w:pPr>
      <w:pStyle w:val="23"/>
      <w:jc w:val="center"/>
    </w:pPr>
    <w:r>
      <w:fldChar w:fldCharType="begin"/>
    </w:r>
    <w:r>
      <w:instrText xml:space="preserve">PAGE   \* MERGEFORMAT</w:instrText>
    </w:r>
    <w:r>
      <w:fldChar w:fldCharType="separate"/>
    </w:r>
    <w:r>
      <w:rPr>
        <w:lang w:val="zh-CN"/>
      </w:rPr>
      <w:t>31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9E11">
    <w:pPr>
      <w:pStyle w:val="23"/>
      <w:framePr w:wrap="around" w:vAnchor="text" w:hAnchor="margin" w:xAlign="right" w:yAlign="top"/>
      <w:jc w:val="center"/>
    </w:pPr>
    <w:r>
      <w:fldChar w:fldCharType="begin"/>
    </w:r>
    <w:r>
      <w:instrText xml:space="preserve"> PAGE   \* MERGEFORMAT </w:instrText>
    </w:r>
    <w:r>
      <w:fldChar w:fldCharType="separate"/>
    </w:r>
    <w:r>
      <w:rPr>
        <w:lang w:val="zh-CN"/>
      </w:rPr>
      <w:t>36</w:t>
    </w:r>
    <w:r>
      <w:fldChar w:fldCharType="end"/>
    </w:r>
  </w:p>
  <w:p w14:paraId="40080C36">
    <w:pPr>
      <w:pStyle w:val="23"/>
      <w:framePr w:wrap="around" w:vAnchor="text" w:hAnchor="margin" w:xAlign="right" w:yAlign="top"/>
      <w:rPr>
        <w:rStyle w:val="3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E830">
    <w:pPr>
      <w:pStyle w:val="23"/>
      <w:jc w:val="center"/>
    </w:pPr>
    <w:r>
      <w:t xml:space="preserve"> PAGE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9566">
    <w:pPr>
      <w:pStyle w:val="23"/>
    </w:pPr>
    <w:r>
      <w:pict>
        <v:shape id="文本框 4" o:spid="_x0000_s4097" o:spt="202" type="#_x0000_t202" style="position:absolute;left:0pt;margin-top:0pt;height:11pt;width:8.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">
          <v:path/>
          <v:fill on="f" focussize="0,0"/>
          <v:stroke on="f" joinstyle="miter"/>
          <v:imagedata o:title=""/>
          <o:lock v:ext="edit"/>
          <v:textbox inset="0mm,0mm,0mm,0mm" style="mso-fit-shape-to-text:t;">
            <w:txbxContent>
              <w:p w14:paraId="3B23E456">
                <w:pPr>
                  <w:pStyle w:val="23"/>
                </w:pPr>
              </w:p>
            </w:txbxContent>
          </v:textbox>
        </v:shape>
      </w:pict>
    </w:r>
  </w:p>
  <w:p w14:paraId="3B91C16E">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85F40">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44CA">
    <w:pPr>
      <w:pStyle w:val="23"/>
      <w:framePr w:wrap="around" w:vAnchor="text" w:hAnchor="margin" w:xAlign="right" w:yAlign="top"/>
      <w:rPr>
        <w:rStyle w:val="3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167DDF"/>
    <w:multiLevelType w:val="singleLevel"/>
    <w:tmpl w:val="76167D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wNjAwOTczYzEzZGEzZDgwZWE1ZWM5Mzg2ODc5NWUifQ=="/>
  </w:docVars>
  <w:rsids>
    <w:rsidRoot w:val="00F76633"/>
    <w:rsid w:val="00005751"/>
    <w:rsid w:val="000150B4"/>
    <w:rsid w:val="00015891"/>
    <w:rsid w:val="000510DC"/>
    <w:rsid w:val="00321FDF"/>
    <w:rsid w:val="0035477D"/>
    <w:rsid w:val="00365A2A"/>
    <w:rsid w:val="003F34D6"/>
    <w:rsid w:val="00432A61"/>
    <w:rsid w:val="004547E8"/>
    <w:rsid w:val="004560B2"/>
    <w:rsid w:val="004E1840"/>
    <w:rsid w:val="00560F39"/>
    <w:rsid w:val="0058201B"/>
    <w:rsid w:val="00610060"/>
    <w:rsid w:val="00661660"/>
    <w:rsid w:val="00783F63"/>
    <w:rsid w:val="007921C0"/>
    <w:rsid w:val="008779C0"/>
    <w:rsid w:val="008B0F43"/>
    <w:rsid w:val="008D222E"/>
    <w:rsid w:val="008D41A8"/>
    <w:rsid w:val="00943C6A"/>
    <w:rsid w:val="00982286"/>
    <w:rsid w:val="009A05EF"/>
    <w:rsid w:val="00A15DF1"/>
    <w:rsid w:val="00A87D41"/>
    <w:rsid w:val="00A90CD7"/>
    <w:rsid w:val="00AC684C"/>
    <w:rsid w:val="00B03DEB"/>
    <w:rsid w:val="00B202BA"/>
    <w:rsid w:val="00B67771"/>
    <w:rsid w:val="00B8708A"/>
    <w:rsid w:val="00C215FF"/>
    <w:rsid w:val="00C42509"/>
    <w:rsid w:val="00C84F61"/>
    <w:rsid w:val="00CE79F8"/>
    <w:rsid w:val="00D77B3D"/>
    <w:rsid w:val="00E15D86"/>
    <w:rsid w:val="00E47543"/>
    <w:rsid w:val="00F66D05"/>
    <w:rsid w:val="00F76633"/>
    <w:rsid w:val="00FA1920"/>
    <w:rsid w:val="010A157C"/>
    <w:rsid w:val="016043AA"/>
    <w:rsid w:val="01FB40D3"/>
    <w:rsid w:val="02182ED7"/>
    <w:rsid w:val="04785EAF"/>
    <w:rsid w:val="04B36EE7"/>
    <w:rsid w:val="05805EF7"/>
    <w:rsid w:val="07DC0503"/>
    <w:rsid w:val="08222D85"/>
    <w:rsid w:val="092F2C95"/>
    <w:rsid w:val="0BAB2F52"/>
    <w:rsid w:val="0DC91529"/>
    <w:rsid w:val="0DF85EEE"/>
    <w:rsid w:val="0E6A37C0"/>
    <w:rsid w:val="0EE712A9"/>
    <w:rsid w:val="0EF24A59"/>
    <w:rsid w:val="0FCE2E27"/>
    <w:rsid w:val="129846FD"/>
    <w:rsid w:val="165A75EF"/>
    <w:rsid w:val="168A2F23"/>
    <w:rsid w:val="174A7237"/>
    <w:rsid w:val="17C55DB9"/>
    <w:rsid w:val="17F80217"/>
    <w:rsid w:val="18072A27"/>
    <w:rsid w:val="182F19CA"/>
    <w:rsid w:val="184A37E9"/>
    <w:rsid w:val="19330C38"/>
    <w:rsid w:val="19801636"/>
    <w:rsid w:val="1B6F223C"/>
    <w:rsid w:val="1D067018"/>
    <w:rsid w:val="1F4B7FF0"/>
    <w:rsid w:val="200839AF"/>
    <w:rsid w:val="206550E2"/>
    <w:rsid w:val="20E15318"/>
    <w:rsid w:val="21115152"/>
    <w:rsid w:val="22124F2F"/>
    <w:rsid w:val="252E3097"/>
    <w:rsid w:val="253140F8"/>
    <w:rsid w:val="25675865"/>
    <w:rsid w:val="26451217"/>
    <w:rsid w:val="26976383"/>
    <w:rsid w:val="26D20FF7"/>
    <w:rsid w:val="26EB4B0A"/>
    <w:rsid w:val="27174BCD"/>
    <w:rsid w:val="2733104D"/>
    <w:rsid w:val="28BB61E6"/>
    <w:rsid w:val="293A62C7"/>
    <w:rsid w:val="2A3C5105"/>
    <w:rsid w:val="2AD74711"/>
    <w:rsid w:val="2B514BE0"/>
    <w:rsid w:val="2C47567B"/>
    <w:rsid w:val="2C932FD6"/>
    <w:rsid w:val="2CA156F3"/>
    <w:rsid w:val="2D866E6C"/>
    <w:rsid w:val="2DC93154"/>
    <w:rsid w:val="2E143FD2"/>
    <w:rsid w:val="2EF05ECE"/>
    <w:rsid w:val="2FC4591D"/>
    <w:rsid w:val="309442B7"/>
    <w:rsid w:val="31802041"/>
    <w:rsid w:val="32290DAF"/>
    <w:rsid w:val="32EC5E34"/>
    <w:rsid w:val="33790BAB"/>
    <w:rsid w:val="33B828D3"/>
    <w:rsid w:val="34515C51"/>
    <w:rsid w:val="34645984"/>
    <w:rsid w:val="35257FBB"/>
    <w:rsid w:val="360E3794"/>
    <w:rsid w:val="36203B2D"/>
    <w:rsid w:val="378974B0"/>
    <w:rsid w:val="3802129D"/>
    <w:rsid w:val="384E71DB"/>
    <w:rsid w:val="385B7B31"/>
    <w:rsid w:val="3894610C"/>
    <w:rsid w:val="39B162DD"/>
    <w:rsid w:val="3A926F9A"/>
    <w:rsid w:val="3A946897"/>
    <w:rsid w:val="3AA147B0"/>
    <w:rsid w:val="3AAA5780"/>
    <w:rsid w:val="3AD46C94"/>
    <w:rsid w:val="3B6C2FE7"/>
    <w:rsid w:val="3B9D02FB"/>
    <w:rsid w:val="3BE455FD"/>
    <w:rsid w:val="3C357C06"/>
    <w:rsid w:val="3C8838AA"/>
    <w:rsid w:val="3D0D3E60"/>
    <w:rsid w:val="3DA14A11"/>
    <w:rsid w:val="3F94362D"/>
    <w:rsid w:val="3FF92C57"/>
    <w:rsid w:val="40FC3FD9"/>
    <w:rsid w:val="41E770F2"/>
    <w:rsid w:val="41F03DF4"/>
    <w:rsid w:val="42452A6D"/>
    <w:rsid w:val="44100C32"/>
    <w:rsid w:val="442E1043"/>
    <w:rsid w:val="449B3ED0"/>
    <w:rsid w:val="44A82426"/>
    <w:rsid w:val="44E4666D"/>
    <w:rsid w:val="451E1B7F"/>
    <w:rsid w:val="45430D6A"/>
    <w:rsid w:val="45B918A8"/>
    <w:rsid w:val="46356F68"/>
    <w:rsid w:val="467807B7"/>
    <w:rsid w:val="469F4C71"/>
    <w:rsid w:val="470703F1"/>
    <w:rsid w:val="470879FF"/>
    <w:rsid w:val="484216E1"/>
    <w:rsid w:val="49474DFF"/>
    <w:rsid w:val="49591C7C"/>
    <w:rsid w:val="4A4F39B1"/>
    <w:rsid w:val="4AC72BE3"/>
    <w:rsid w:val="4D152842"/>
    <w:rsid w:val="4E0B6A5B"/>
    <w:rsid w:val="4F343D07"/>
    <w:rsid w:val="4F5E2212"/>
    <w:rsid w:val="500E2BF9"/>
    <w:rsid w:val="508B21F9"/>
    <w:rsid w:val="50DC7759"/>
    <w:rsid w:val="51131A4D"/>
    <w:rsid w:val="51532BB1"/>
    <w:rsid w:val="519263FE"/>
    <w:rsid w:val="51DC2BA6"/>
    <w:rsid w:val="523F4D00"/>
    <w:rsid w:val="52F059B5"/>
    <w:rsid w:val="54C76262"/>
    <w:rsid w:val="54FC530D"/>
    <w:rsid w:val="55164621"/>
    <w:rsid w:val="56020701"/>
    <w:rsid w:val="56024E9F"/>
    <w:rsid w:val="5649092B"/>
    <w:rsid w:val="57503C71"/>
    <w:rsid w:val="58A65258"/>
    <w:rsid w:val="58CC01A5"/>
    <w:rsid w:val="59FA7A02"/>
    <w:rsid w:val="5A9842ED"/>
    <w:rsid w:val="5AA03537"/>
    <w:rsid w:val="5B294982"/>
    <w:rsid w:val="5B746A30"/>
    <w:rsid w:val="5C1F025F"/>
    <w:rsid w:val="5CC350C2"/>
    <w:rsid w:val="5CD54B93"/>
    <w:rsid w:val="5DF02504"/>
    <w:rsid w:val="5E070FAB"/>
    <w:rsid w:val="5F117C07"/>
    <w:rsid w:val="5F812FDF"/>
    <w:rsid w:val="601F7CFA"/>
    <w:rsid w:val="605204D7"/>
    <w:rsid w:val="62A76860"/>
    <w:rsid w:val="62CD073C"/>
    <w:rsid w:val="630D5A0C"/>
    <w:rsid w:val="63A216A3"/>
    <w:rsid w:val="65F600A5"/>
    <w:rsid w:val="662F407B"/>
    <w:rsid w:val="664A0C83"/>
    <w:rsid w:val="66BB7524"/>
    <w:rsid w:val="672B1428"/>
    <w:rsid w:val="679909C4"/>
    <w:rsid w:val="68A15827"/>
    <w:rsid w:val="68C106DF"/>
    <w:rsid w:val="69447652"/>
    <w:rsid w:val="699145EA"/>
    <w:rsid w:val="69FB573C"/>
    <w:rsid w:val="6A3A44B6"/>
    <w:rsid w:val="6B081A9A"/>
    <w:rsid w:val="6B182C60"/>
    <w:rsid w:val="6B8E7A7A"/>
    <w:rsid w:val="6BCE135A"/>
    <w:rsid w:val="6BD40592"/>
    <w:rsid w:val="6C1238A1"/>
    <w:rsid w:val="6D997F70"/>
    <w:rsid w:val="6DAC2BCC"/>
    <w:rsid w:val="6E3F653F"/>
    <w:rsid w:val="6E620E7D"/>
    <w:rsid w:val="6FA50FE9"/>
    <w:rsid w:val="70052E70"/>
    <w:rsid w:val="70E5292F"/>
    <w:rsid w:val="719E789D"/>
    <w:rsid w:val="73AD5CF9"/>
    <w:rsid w:val="73F82AD7"/>
    <w:rsid w:val="73FC086F"/>
    <w:rsid w:val="74C94DB4"/>
    <w:rsid w:val="75781644"/>
    <w:rsid w:val="76E527AD"/>
    <w:rsid w:val="7780328C"/>
    <w:rsid w:val="78487EFF"/>
    <w:rsid w:val="78DB3308"/>
    <w:rsid w:val="790740FD"/>
    <w:rsid w:val="7A2B747B"/>
    <w:rsid w:val="7A3945A5"/>
    <w:rsid w:val="7BC65BA9"/>
    <w:rsid w:val="7BD844D4"/>
    <w:rsid w:val="7C2A2D77"/>
    <w:rsid w:val="7D472D1A"/>
    <w:rsid w:val="7D6562CD"/>
    <w:rsid w:val="7E5F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nhideWhenUsed="0" w:uiPriority="39" w:semiHidden="0"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50"/>
    <w:qFormat/>
    <w:uiPriority w:val="0"/>
    <w:pPr>
      <w:jc w:val="left"/>
      <w:outlineLvl w:val="1"/>
    </w:pPr>
    <w:rPr>
      <w:rFonts w:ascii="Arial" w:hAnsi="Arial" w:eastAsia="黑体"/>
      <w:b/>
      <w:bCs/>
      <w:color w:val="000000"/>
      <w:kern w:val="0"/>
      <w:sz w:val="36"/>
      <w:szCs w:val="32"/>
    </w:rPr>
  </w:style>
  <w:style w:type="paragraph" w:styleId="5">
    <w:name w:val="heading 3"/>
    <w:basedOn w:val="1"/>
    <w:next w:val="1"/>
    <w:link w:val="51"/>
    <w:qFormat/>
    <w:uiPriority w:val="0"/>
    <w:pPr>
      <w:spacing w:line="360" w:lineRule="auto"/>
      <w:ind w:left="118"/>
      <w:jc w:val="center"/>
      <w:outlineLvl w:val="2"/>
    </w:pPr>
    <w:rPr>
      <w:rFonts w:ascii="Times New Roman" w:hAnsi="Times New Roman" w:eastAsia="黑体"/>
      <w:b/>
      <w:bCs/>
      <w:color w:val="800000"/>
      <w:kern w:val="0"/>
      <w:sz w:val="32"/>
      <w:szCs w:val="32"/>
    </w:rPr>
  </w:style>
  <w:style w:type="paragraph" w:styleId="6">
    <w:name w:val="heading 4"/>
    <w:basedOn w:val="5"/>
    <w:next w:val="1"/>
    <w:link w:val="52"/>
    <w:qFormat/>
    <w:uiPriority w:val="0"/>
    <w:pPr>
      <w:keepNext/>
      <w:keepLines/>
      <w:spacing w:beforeLines="50" w:afterLines="50"/>
      <w:ind w:left="284" w:hanging="284"/>
      <w:outlineLvl w:val="3"/>
    </w:pPr>
    <w:rPr>
      <w:rFonts w:ascii="Arial" w:hAnsi="Arial" w:eastAsia="宋体"/>
      <w:b w:val="0"/>
      <w:bCs w:val="0"/>
      <w:color w:val="auto"/>
      <w:sz w:val="24"/>
      <w:szCs w:val="24"/>
    </w:rPr>
  </w:style>
  <w:style w:type="paragraph" w:styleId="7">
    <w:name w:val="heading 5"/>
    <w:basedOn w:val="6"/>
    <w:next w:val="1"/>
    <w:link w:val="53"/>
    <w:qFormat/>
    <w:uiPriority w:val="0"/>
    <w:pPr>
      <w:spacing w:line="240" w:lineRule="exact"/>
      <w:outlineLvl w:val="4"/>
    </w:pPr>
  </w:style>
  <w:style w:type="paragraph" w:styleId="8">
    <w:name w:val="heading 6"/>
    <w:basedOn w:val="1"/>
    <w:next w:val="1"/>
    <w:link w:val="54"/>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55"/>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1"/>
    <w:link w:val="56"/>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1"/>
    <w:link w:val="57"/>
    <w:qFormat/>
    <w:uiPriority w:val="0"/>
    <w:pPr>
      <w:keepNext/>
      <w:keepLines/>
      <w:spacing w:before="240" w:after="64" w:line="320" w:lineRule="auto"/>
      <w:outlineLvl w:val="8"/>
    </w:pPr>
    <w:rPr>
      <w:rFonts w:ascii="Arial" w:hAnsi="Arial" w:eastAsia="黑体"/>
      <w:kern w:val="0"/>
      <w:sz w:val="20"/>
      <w:szCs w:val="20"/>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next w:val="1"/>
    <w:qFormat/>
    <w:uiPriority w:val="0"/>
    <w:pPr>
      <w:ind w:firstLine="420"/>
    </w:pPr>
    <w:rPr>
      <w:szCs w:val="20"/>
    </w:rPr>
  </w:style>
  <w:style w:type="paragraph" w:styleId="12">
    <w:name w:val="Document Map"/>
    <w:basedOn w:val="1"/>
    <w:link w:val="58"/>
    <w:qFormat/>
    <w:uiPriority w:val="0"/>
    <w:pPr>
      <w:shd w:val="clear" w:color="auto" w:fill="000080"/>
    </w:pPr>
    <w:rPr>
      <w:rFonts w:ascii="Times New Roman" w:hAnsi="Times New Roman"/>
      <w:kern w:val="0"/>
      <w:sz w:val="20"/>
      <w:szCs w:val="24"/>
    </w:rPr>
  </w:style>
  <w:style w:type="paragraph" w:styleId="13">
    <w:name w:val="annotation text"/>
    <w:basedOn w:val="1"/>
    <w:link w:val="60"/>
    <w:qFormat/>
    <w:uiPriority w:val="0"/>
    <w:pPr>
      <w:jc w:val="left"/>
    </w:pPr>
    <w:rPr>
      <w:rFonts w:ascii="Times New Roman" w:hAnsi="Times New Roman"/>
      <w:kern w:val="0"/>
      <w:sz w:val="20"/>
      <w:szCs w:val="24"/>
    </w:rPr>
  </w:style>
  <w:style w:type="paragraph" w:styleId="14">
    <w:name w:val="Body Text 3"/>
    <w:basedOn w:val="1"/>
    <w:link w:val="61"/>
    <w:unhideWhenUsed/>
    <w:qFormat/>
    <w:uiPriority w:val="0"/>
    <w:rPr>
      <w:rFonts w:ascii="宋体" w:hAnsi="Times New Roman"/>
      <w:kern w:val="0"/>
      <w:sz w:val="24"/>
      <w:szCs w:val="20"/>
    </w:rPr>
  </w:style>
  <w:style w:type="paragraph" w:styleId="15">
    <w:name w:val="Body Text"/>
    <w:basedOn w:val="1"/>
    <w:next w:val="1"/>
    <w:link w:val="62"/>
    <w:qFormat/>
    <w:uiPriority w:val="0"/>
    <w:pPr>
      <w:spacing w:after="120"/>
    </w:pPr>
    <w:rPr>
      <w:rFonts w:ascii="等线" w:hAnsi="等线"/>
      <w:kern w:val="0"/>
      <w:sz w:val="20"/>
      <w:szCs w:val="24"/>
    </w:rPr>
  </w:style>
  <w:style w:type="paragraph" w:styleId="16">
    <w:name w:val="Body Text Indent"/>
    <w:basedOn w:val="1"/>
    <w:next w:val="17"/>
    <w:link w:val="63"/>
    <w:qFormat/>
    <w:uiPriority w:val="0"/>
    <w:pPr>
      <w:ind w:firstLine="560" w:firstLineChars="200"/>
    </w:pPr>
    <w:rPr>
      <w:rFonts w:ascii="Times New Roman" w:hAnsi="Times New Roman"/>
      <w:kern w:val="0"/>
      <w:sz w:val="28"/>
      <w:szCs w:val="24"/>
    </w:rPr>
  </w:style>
  <w:style w:type="paragraph" w:styleId="17">
    <w:name w:val="envelope return"/>
    <w:basedOn w:val="1"/>
    <w:qFormat/>
    <w:uiPriority w:val="99"/>
    <w:pPr>
      <w:snapToGrid w:val="0"/>
    </w:pPr>
    <w:rPr>
      <w:rFonts w:ascii="Arial" w:hAnsi="Arial" w:cs="Arial"/>
    </w:rPr>
  </w:style>
  <w:style w:type="paragraph" w:styleId="18">
    <w:name w:val="toc 3"/>
    <w:basedOn w:val="1"/>
    <w:next w:val="1"/>
    <w:qFormat/>
    <w:uiPriority w:val="39"/>
    <w:pPr>
      <w:ind w:left="840" w:leftChars="400"/>
    </w:pPr>
    <w:rPr>
      <w:rFonts w:ascii="Times New Roman" w:hAnsi="Times New Roman"/>
      <w:szCs w:val="24"/>
    </w:rPr>
  </w:style>
  <w:style w:type="paragraph" w:styleId="19">
    <w:name w:val="Plain Text"/>
    <w:basedOn w:val="1"/>
    <w:link w:val="64"/>
    <w:qFormat/>
    <w:uiPriority w:val="0"/>
    <w:rPr>
      <w:rFonts w:ascii="宋体" w:hAnsi="Courier New"/>
      <w:kern w:val="0"/>
      <w:sz w:val="20"/>
      <w:szCs w:val="21"/>
    </w:rPr>
  </w:style>
  <w:style w:type="paragraph" w:styleId="20">
    <w:name w:val="toc 8"/>
    <w:basedOn w:val="1"/>
    <w:next w:val="1"/>
    <w:qFormat/>
    <w:uiPriority w:val="39"/>
    <w:pPr>
      <w:ind w:left="1400" w:leftChars="1400"/>
    </w:pPr>
  </w:style>
  <w:style w:type="paragraph" w:styleId="21">
    <w:name w:val="Date"/>
    <w:basedOn w:val="1"/>
    <w:next w:val="1"/>
    <w:link w:val="65"/>
    <w:qFormat/>
    <w:uiPriority w:val="0"/>
    <w:pPr>
      <w:ind w:left="100" w:leftChars="2500"/>
    </w:pPr>
    <w:rPr>
      <w:rFonts w:ascii="Times New Roman" w:hAnsi="Times New Roman" w:eastAsia="仿宋_GB2312"/>
      <w:kern w:val="0"/>
      <w:sz w:val="32"/>
      <w:szCs w:val="24"/>
    </w:rPr>
  </w:style>
  <w:style w:type="paragraph" w:styleId="22">
    <w:name w:val="Balloon Text"/>
    <w:basedOn w:val="1"/>
    <w:link w:val="66"/>
    <w:unhideWhenUsed/>
    <w:qFormat/>
    <w:uiPriority w:val="0"/>
    <w:rPr>
      <w:kern w:val="0"/>
      <w:sz w:val="18"/>
      <w:szCs w:val="18"/>
    </w:rPr>
  </w:style>
  <w:style w:type="paragraph" w:styleId="23">
    <w:name w:val="footer"/>
    <w:basedOn w:val="1"/>
    <w:link w:val="67"/>
    <w:unhideWhenUsed/>
    <w:qFormat/>
    <w:uiPriority w:val="99"/>
    <w:pPr>
      <w:tabs>
        <w:tab w:val="center" w:pos="4153"/>
        <w:tab w:val="right" w:pos="8306"/>
      </w:tabs>
      <w:snapToGrid w:val="0"/>
      <w:jc w:val="left"/>
    </w:pPr>
    <w:rPr>
      <w:kern w:val="0"/>
      <w:sz w:val="18"/>
      <w:szCs w:val="18"/>
    </w:rPr>
  </w:style>
  <w:style w:type="paragraph" w:styleId="24">
    <w:name w:val="header"/>
    <w:basedOn w:val="1"/>
    <w:link w:val="6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rPr>
      <w:rFonts w:ascii="Times New Roman" w:hAnsi="Times New Roman" w:cs="Calibri"/>
    </w:rPr>
  </w:style>
  <w:style w:type="paragraph" w:styleId="26">
    <w:name w:val="Body Text Indent 3"/>
    <w:basedOn w:val="1"/>
    <w:link w:val="69"/>
    <w:qFormat/>
    <w:uiPriority w:val="0"/>
    <w:pPr>
      <w:spacing w:after="120"/>
      <w:ind w:left="200" w:leftChars="200"/>
    </w:pPr>
    <w:rPr>
      <w:rFonts w:ascii="Times New Roman" w:hAnsi="Times New Roman"/>
      <w:kern w:val="0"/>
      <w:sz w:val="16"/>
      <w:szCs w:val="16"/>
    </w:rPr>
  </w:style>
  <w:style w:type="paragraph" w:styleId="27">
    <w:name w:val="table of figures"/>
    <w:basedOn w:val="1"/>
    <w:next w:val="1"/>
    <w:qFormat/>
    <w:uiPriority w:val="0"/>
    <w:pPr>
      <w:ind w:left="200" w:leftChars="200" w:hanging="200" w:hangingChars="200"/>
    </w:pPr>
    <w:rPr>
      <w:rFonts w:ascii="Times New Roman" w:hAnsi="Times New Roman"/>
      <w:szCs w:val="20"/>
    </w:rPr>
  </w:style>
  <w:style w:type="paragraph" w:styleId="28">
    <w:name w:val="toc 2"/>
    <w:basedOn w:val="1"/>
    <w:next w:val="1"/>
    <w:qFormat/>
    <w:uiPriority w:val="39"/>
    <w:pPr>
      <w:ind w:left="200" w:leftChars="200"/>
    </w:pPr>
    <w:rPr>
      <w:rFonts w:ascii="Times New Roman" w:hAnsi="Times New Roman"/>
    </w:rPr>
  </w:style>
  <w:style w:type="paragraph" w:styleId="29">
    <w:name w:val="Body Text 2"/>
    <w:basedOn w:val="1"/>
    <w:link w:val="71"/>
    <w:qFormat/>
    <w:uiPriority w:val="99"/>
    <w:rPr>
      <w:kern w:val="0"/>
      <w:sz w:val="20"/>
      <w:szCs w:val="20"/>
    </w:rPr>
  </w:style>
  <w:style w:type="paragraph" w:styleId="30">
    <w:name w:val="Normal (Web)"/>
    <w:basedOn w:val="1"/>
    <w:qFormat/>
    <w:uiPriority w:val="0"/>
    <w:pPr>
      <w:jc w:val="left"/>
    </w:pPr>
    <w:rPr>
      <w:rFonts w:ascii="微软雅黑" w:hAnsi="微软雅黑" w:eastAsia="微软雅黑"/>
      <w:kern w:val="0"/>
      <w:sz w:val="20"/>
      <w:szCs w:val="20"/>
    </w:rPr>
  </w:style>
  <w:style w:type="paragraph" w:styleId="31">
    <w:name w:val="index 1"/>
    <w:basedOn w:val="1"/>
    <w:next w:val="1"/>
    <w:qFormat/>
    <w:uiPriority w:val="0"/>
    <w:pPr>
      <w:spacing w:line="220" w:lineRule="exact"/>
      <w:jc w:val="center"/>
    </w:pPr>
    <w:rPr>
      <w:rFonts w:ascii="仿宋_GB2312" w:hAnsi="Times New Roman" w:eastAsia="仿宋_GB2312"/>
      <w:szCs w:val="21"/>
    </w:rPr>
  </w:style>
  <w:style w:type="paragraph" w:styleId="32">
    <w:name w:val="Title"/>
    <w:basedOn w:val="1"/>
    <w:link w:val="73"/>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33">
    <w:name w:val="annotation subject"/>
    <w:basedOn w:val="13"/>
    <w:next w:val="13"/>
    <w:link w:val="74"/>
    <w:qFormat/>
    <w:uiPriority w:val="0"/>
    <w:rPr>
      <w:b/>
      <w:bCs/>
    </w:rPr>
  </w:style>
  <w:style w:type="paragraph" w:styleId="34">
    <w:name w:val="Body Text First Indent"/>
    <w:basedOn w:val="15"/>
    <w:next w:val="35"/>
    <w:link w:val="75"/>
    <w:qFormat/>
    <w:uiPriority w:val="0"/>
    <w:pPr>
      <w:ind w:firstLine="420" w:firstLineChars="100"/>
    </w:pPr>
    <w:rPr>
      <w:rFonts w:ascii="Calibri" w:hAnsi="Calibri"/>
    </w:rPr>
  </w:style>
  <w:style w:type="paragraph" w:styleId="35">
    <w:name w:val="Body Text First Indent 2"/>
    <w:basedOn w:val="16"/>
    <w:link w:val="76"/>
    <w:qFormat/>
    <w:uiPriority w:val="0"/>
    <w:pPr>
      <w:spacing w:line="420" w:lineRule="exact"/>
      <w:ind w:firstLine="420"/>
      <w:jc w:val="left"/>
    </w:pPr>
    <w:rPr>
      <w:rFonts w:ascii="宋体" w:hAnsi="宋体"/>
      <w:color w:val="000000"/>
      <w:sz w:val="24"/>
      <w:szCs w:val="18"/>
    </w:rPr>
  </w:style>
  <w:style w:type="character" w:styleId="38">
    <w:name w:val="Strong"/>
    <w:qFormat/>
    <w:uiPriority w:val="0"/>
    <w:rPr>
      <w:b/>
      <w:bCs/>
    </w:rPr>
  </w:style>
  <w:style w:type="character" w:styleId="39">
    <w:name w:val="page number"/>
    <w:unhideWhenUsed/>
    <w:qFormat/>
    <w:uiPriority w:val="0"/>
    <w:rPr>
      <w:rFonts w:hint="default" w:ascii="Calibri" w:hAnsi="Calibri" w:eastAsia="宋体" w:cs="Calibri"/>
    </w:rPr>
  </w:style>
  <w:style w:type="character" w:styleId="40">
    <w:name w:val="FollowedHyperlink"/>
    <w:semiHidden/>
    <w:unhideWhenUsed/>
    <w:qFormat/>
    <w:uiPriority w:val="99"/>
    <w:rPr>
      <w:color w:val="800080"/>
      <w:u w:val="single"/>
    </w:rPr>
  </w:style>
  <w:style w:type="character" w:styleId="41">
    <w:name w:val="HTML Definition"/>
    <w:semiHidden/>
    <w:unhideWhenUsed/>
    <w:qFormat/>
    <w:uiPriority w:val="99"/>
    <w:rPr>
      <w:rFonts w:hint="default" w:ascii="Calibri" w:hAnsi="Calibri" w:eastAsia="宋体" w:cs="Times New Roman"/>
      <w:i/>
    </w:rPr>
  </w:style>
  <w:style w:type="character" w:styleId="42">
    <w:name w:val="Hyperlink"/>
    <w:unhideWhenUsed/>
    <w:qFormat/>
    <w:uiPriority w:val="99"/>
    <w:rPr>
      <w:rFonts w:hint="default" w:ascii="Calibri" w:hAnsi="Calibri" w:eastAsia="宋体" w:cs="Calibri"/>
      <w:color w:val="0000FF"/>
      <w:u w:val="single"/>
    </w:rPr>
  </w:style>
  <w:style w:type="character" w:styleId="43">
    <w:name w:val="HTML Code"/>
    <w:semiHidden/>
    <w:unhideWhenUsed/>
    <w:qFormat/>
    <w:uiPriority w:val="99"/>
    <w:rPr>
      <w:rFonts w:hint="default" w:ascii="Consolas" w:hAnsi="Consolas" w:eastAsia="Consolas" w:cs="Consolas"/>
      <w:color w:val="C7254E"/>
      <w:sz w:val="21"/>
      <w:szCs w:val="21"/>
      <w:bdr w:val="single" w:color="E1E1E1" w:sz="4" w:space="0"/>
      <w:shd w:val="clear" w:color="auto" w:fill="F9F2F4"/>
    </w:rPr>
  </w:style>
  <w:style w:type="character" w:styleId="44">
    <w:name w:val="annotation reference"/>
    <w:qFormat/>
    <w:uiPriority w:val="99"/>
    <w:rPr>
      <w:sz w:val="21"/>
      <w:szCs w:val="21"/>
    </w:rPr>
  </w:style>
  <w:style w:type="character" w:styleId="45">
    <w:name w:val="footnote reference"/>
    <w:qFormat/>
    <w:uiPriority w:val="0"/>
    <w:rPr>
      <w:vertAlign w:val="superscript"/>
    </w:rPr>
  </w:style>
  <w:style w:type="character" w:styleId="46">
    <w:name w:val="HTML Keyboard"/>
    <w:semiHidden/>
    <w:unhideWhenUsed/>
    <w:qFormat/>
    <w:uiPriority w:val="99"/>
    <w:rPr>
      <w:rFonts w:hint="default" w:ascii="Consolas" w:hAnsi="Consolas" w:eastAsia="Consolas" w:cs="Consolas"/>
      <w:color w:val="FFFFFF"/>
      <w:sz w:val="21"/>
      <w:szCs w:val="21"/>
      <w:shd w:val="clear" w:color="auto" w:fill="333333"/>
    </w:rPr>
  </w:style>
  <w:style w:type="character" w:styleId="47">
    <w:name w:val="HTML Sample"/>
    <w:semiHidden/>
    <w:unhideWhenUsed/>
    <w:qFormat/>
    <w:uiPriority w:val="99"/>
    <w:rPr>
      <w:rFonts w:hint="default" w:ascii="Consolas" w:hAnsi="Consolas" w:eastAsia="Consolas" w:cs="Consolas"/>
      <w:sz w:val="21"/>
      <w:szCs w:val="21"/>
    </w:rPr>
  </w:style>
  <w:style w:type="paragraph" w:customStyle="1" w:styleId="48">
    <w:name w:val="Normal Indent1"/>
    <w:basedOn w:val="1"/>
    <w:qFormat/>
    <w:uiPriority w:val="0"/>
    <w:pPr>
      <w:ind w:firstLine="420"/>
    </w:pPr>
    <w:rPr>
      <w:szCs w:val="24"/>
    </w:rPr>
  </w:style>
  <w:style w:type="character" w:customStyle="1" w:styleId="49">
    <w:name w:val="标题 1 Char"/>
    <w:basedOn w:val="37"/>
    <w:link w:val="3"/>
    <w:qFormat/>
    <w:uiPriority w:val="0"/>
    <w:rPr>
      <w:rFonts w:ascii="Times New Roman" w:hAnsi="Times New Roman" w:eastAsia="宋体" w:cs="Times New Roman"/>
      <w:b/>
      <w:kern w:val="44"/>
      <w:sz w:val="44"/>
      <w:szCs w:val="20"/>
    </w:rPr>
  </w:style>
  <w:style w:type="character" w:customStyle="1" w:styleId="50">
    <w:name w:val="标题 2 Char"/>
    <w:basedOn w:val="37"/>
    <w:link w:val="4"/>
    <w:qFormat/>
    <w:uiPriority w:val="0"/>
    <w:rPr>
      <w:rFonts w:ascii="Arial" w:hAnsi="Arial" w:eastAsia="黑体" w:cs="Times New Roman"/>
      <w:b/>
      <w:bCs/>
      <w:color w:val="000000"/>
      <w:kern w:val="0"/>
      <w:sz w:val="36"/>
      <w:szCs w:val="32"/>
    </w:rPr>
  </w:style>
  <w:style w:type="character" w:customStyle="1" w:styleId="51">
    <w:name w:val="标题 3 Char"/>
    <w:basedOn w:val="37"/>
    <w:link w:val="5"/>
    <w:qFormat/>
    <w:uiPriority w:val="0"/>
    <w:rPr>
      <w:rFonts w:ascii="Times New Roman" w:hAnsi="Times New Roman" w:eastAsia="黑体" w:cs="Times New Roman"/>
      <w:b/>
      <w:bCs/>
      <w:color w:val="800000"/>
      <w:kern w:val="0"/>
      <w:sz w:val="32"/>
      <w:szCs w:val="32"/>
    </w:rPr>
  </w:style>
  <w:style w:type="character" w:customStyle="1" w:styleId="52">
    <w:name w:val="标题 4 Char"/>
    <w:basedOn w:val="37"/>
    <w:link w:val="6"/>
    <w:qFormat/>
    <w:uiPriority w:val="0"/>
    <w:rPr>
      <w:rFonts w:ascii="Arial" w:hAnsi="Arial" w:eastAsia="宋体" w:cs="Times New Roman"/>
      <w:kern w:val="0"/>
      <w:sz w:val="24"/>
      <w:szCs w:val="24"/>
    </w:rPr>
  </w:style>
  <w:style w:type="character" w:customStyle="1" w:styleId="53">
    <w:name w:val="标题 5 Char"/>
    <w:basedOn w:val="37"/>
    <w:link w:val="7"/>
    <w:qFormat/>
    <w:uiPriority w:val="0"/>
    <w:rPr>
      <w:rFonts w:ascii="Arial" w:hAnsi="Arial" w:eastAsia="宋体" w:cs="Times New Roman"/>
      <w:kern w:val="0"/>
      <w:sz w:val="24"/>
      <w:szCs w:val="24"/>
    </w:rPr>
  </w:style>
  <w:style w:type="character" w:customStyle="1" w:styleId="54">
    <w:name w:val="标题 6 Char"/>
    <w:basedOn w:val="37"/>
    <w:link w:val="8"/>
    <w:qFormat/>
    <w:uiPriority w:val="9"/>
    <w:rPr>
      <w:rFonts w:ascii="Arial" w:hAnsi="Arial" w:eastAsia="黑体" w:cs="Times New Roman"/>
      <w:b/>
      <w:bCs/>
      <w:kern w:val="0"/>
      <w:sz w:val="24"/>
      <w:szCs w:val="20"/>
    </w:rPr>
  </w:style>
  <w:style w:type="character" w:customStyle="1" w:styleId="55">
    <w:name w:val="标题 7 Char"/>
    <w:basedOn w:val="37"/>
    <w:link w:val="9"/>
    <w:qFormat/>
    <w:uiPriority w:val="0"/>
    <w:rPr>
      <w:rFonts w:ascii="Times New Roman" w:hAnsi="Times New Roman" w:eastAsia="宋体" w:cs="Times New Roman"/>
      <w:b/>
      <w:kern w:val="0"/>
      <w:sz w:val="24"/>
      <w:szCs w:val="20"/>
    </w:rPr>
  </w:style>
  <w:style w:type="character" w:customStyle="1" w:styleId="56">
    <w:name w:val="标题 8 Char"/>
    <w:basedOn w:val="37"/>
    <w:link w:val="10"/>
    <w:qFormat/>
    <w:uiPriority w:val="0"/>
    <w:rPr>
      <w:rFonts w:ascii="Arial" w:hAnsi="Arial" w:eastAsia="黑体" w:cs="Times New Roman"/>
      <w:kern w:val="0"/>
      <w:sz w:val="24"/>
      <w:szCs w:val="20"/>
    </w:rPr>
  </w:style>
  <w:style w:type="character" w:customStyle="1" w:styleId="57">
    <w:name w:val="标题 9 Char"/>
    <w:basedOn w:val="37"/>
    <w:link w:val="11"/>
    <w:qFormat/>
    <w:uiPriority w:val="0"/>
    <w:rPr>
      <w:rFonts w:ascii="Arial" w:hAnsi="Arial" w:eastAsia="黑体" w:cs="Times New Roman"/>
      <w:kern w:val="0"/>
      <w:sz w:val="20"/>
      <w:szCs w:val="20"/>
    </w:rPr>
  </w:style>
  <w:style w:type="character" w:customStyle="1" w:styleId="58">
    <w:name w:val="文档结构图 Char"/>
    <w:basedOn w:val="37"/>
    <w:link w:val="12"/>
    <w:qFormat/>
    <w:uiPriority w:val="0"/>
    <w:rPr>
      <w:rFonts w:ascii="Times New Roman" w:hAnsi="Times New Roman" w:eastAsia="宋体" w:cs="Times New Roman"/>
      <w:kern w:val="0"/>
      <w:sz w:val="20"/>
      <w:szCs w:val="24"/>
      <w:shd w:val="clear" w:color="auto" w:fill="000080"/>
    </w:rPr>
  </w:style>
  <w:style w:type="character" w:customStyle="1" w:styleId="59">
    <w:name w:val="批注文字 Char"/>
    <w:basedOn w:val="37"/>
    <w:qFormat/>
    <w:uiPriority w:val="99"/>
    <w:rPr>
      <w:rFonts w:ascii="Calibri" w:hAnsi="Calibri" w:eastAsia="宋体" w:cs="Times New Roman"/>
    </w:rPr>
  </w:style>
  <w:style w:type="character" w:customStyle="1" w:styleId="60">
    <w:name w:val="批注文字 Char1"/>
    <w:link w:val="13"/>
    <w:qFormat/>
    <w:uiPriority w:val="0"/>
    <w:rPr>
      <w:rFonts w:ascii="Times New Roman" w:hAnsi="Times New Roman" w:eastAsia="宋体" w:cs="Times New Roman"/>
      <w:kern w:val="0"/>
      <w:sz w:val="20"/>
      <w:szCs w:val="24"/>
    </w:rPr>
  </w:style>
  <w:style w:type="character" w:customStyle="1" w:styleId="61">
    <w:name w:val="正文文本 3 Char"/>
    <w:basedOn w:val="37"/>
    <w:link w:val="14"/>
    <w:qFormat/>
    <w:uiPriority w:val="0"/>
    <w:rPr>
      <w:rFonts w:ascii="宋体" w:hAnsi="Times New Roman" w:eastAsia="宋体" w:cs="Times New Roman"/>
      <w:kern w:val="0"/>
      <w:sz w:val="24"/>
      <w:szCs w:val="20"/>
    </w:rPr>
  </w:style>
  <w:style w:type="character" w:customStyle="1" w:styleId="62">
    <w:name w:val="正文文本 Char"/>
    <w:basedOn w:val="37"/>
    <w:link w:val="15"/>
    <w:qFormat/>
    <w:uiPriority w:val="0"/>
    <w:rPr>
      <w:rFonts w:ascii="等线" w:hAnsi="等线" w:eastAsia="宋体" w:cs="Times New Roman"/>
      <w:kern w:val="0"/>
      <w:sz w:val="20"/>
      <w:szCs w:val="24"/>
    </w:rPr>
  </w:style>
  <w:style w:type="character" w:customStyle="1" w:styleId="63">
    <w:name w:val="正文文本缩进 Char"/>
    <w:basedOn w:val="37"/>
    <w:link w:val="16"/>
    <w:qFormat/>
    <w:uiPriority w:val="0"/>
    <w:rPr>
      <w:rFonts w:ascii="Times New Roman" w:hAnsi="Times New Roman" w:eastAsia="宋体" w:cs="Times New Roman"/>
      <w:kern w:val="0"/>
      <w:sz w:val="28"/>
      <w:szCs w:val="24"/>
    </w:rPr>
  </w:style>
  <w:style w:type="character" w:customStyle="1" w:styleId="64">
    <w:name w:val="纯文本 Char"/>
    <w:basedOn w:val="37"/>
    <w:link w:val="19"/>
    <w:qFormat/>
    <w:uiPriority w:val="0"/>
    <w:rPr>
      <w:rFonts w:ascii="宋体" w:hAnsi="Courier New" w:eastAsia="宋体" w:cs="Times New Roman"/>
      <w:kern w:val="0"/>
      <w:sz w:val="20"/>
      <w:szCs w:val="21"/>
    </w:rPr>
  </w:style>
  <w:style w:type="character" w:customStyle="1" w:styleId="65">
    <w:name w:val="日期 Char"/>
    <w:basedOn w:val="37"/>
    <w:link w:val="21"/>
    <w:qFormat/>
    <w:uiPriority w:val="0"/>
    <w:rPr>
      <w:rFonts w:ascii="Times New Roman" w:hAnsi="Times New Roman" w:eastAsia="仿宋_GB2312" w:cs="Times New Roman"/>
      <w:kern w:val="0"/>
      <w:sz w:val="32"/>
      <w:szCs w:val="24"/>
    </w:rPr>
  </w:style>
  <w:style w:type="character" w:customStyle="1" w:styleId="66">
    <w:name w:val="批注框文本 Char"/>
    <w:basedOn w:val="37"/>
    <w:link w:val="22"/>
    <w:qFormat/>
    <w:uiPriority w:val="0"/>
    <w:rPr>
      <w:rFonts w:ascii="Calibri" w:hAnsi="Calibri" w:eastAsia="宋体" w:cs="Times New Roman"/>
      <w:kern w:val="0"/>
      <w:sz w:val="18"/>
      <w:szCs w:val="18"/>
    </w:rPr>
  </w:style>
  <w:style w:type="character" w:customStyle="1" w:styleId="67">
    <w:name w:val="页脚 Char"/>
    <w:basedOn w:val="37"/>
    <w:link w:val="23"/>
    <w:qFormat/>
    <w:uiPriority w:val="99"/>
    <w:rPr>
      <w:rFonts w:ascii="Calibri" w:hAnsi="Calibri" w:eastAsia="宋体" w:cs="Times New Roman"/>
      <w:kern w:val="0"/>
      <w:sz w:val="18"/>
      <w:szCs w:val="18"/>
    </w:rPr>
  </w:style>
  <w:style w:type="character" w:customStyle="1" w:styleId="68">
    <w:name w:val="页眉 Char"/>
    <w:basedOn w:val="37"/>
    <w:link w:val="24"/>
    <w:qFormat/>
    <w:uiPriority w:val="0"/>
    <w:rPr>
      <w:rFonts w:ascii="Calibri" w:hAnsi="Calibri" w:eastAsia="宋体" w:cs="Times New Roman"/>
      <w:kern w:val="0"/>
      <w:sz w:val="18"/>
      <w:szCs w:val="18"/>
    </w:rPr>
  </w:style>
  <w:style w:type="character" w:customStyle="1" w:styleId="69">
    <w:name w:val="正文文本缩进 3 Char"/>
    <w:basedOn w:val="37"/>
    <w:link w:val="26"/>
    <w:qFormat/>
    <w:uiPriority w:val="0"/>
    <w:rPr>
      <w:rFonts w:ascii="Times New Roman" w:hAnsi="Times New Roman" w:eastAsia="宋体" w:cs="Times New Roman"/>
      <w:kern w:val="0"/>
      <w:sz w:val="16"/>
      <w:szCs w:val="16"/>
    </w:rPr>
  </w:style>
  <w:style w:type="character" w:customStyle="1" w:styleId="70">
    <w:name w:val="正文文本 2 Char"/>
    <w:basedOn w:val="37"/>
    <w:qFormat/>
    <w:uiPriority w:val="0"/>
    <w:rPr>
      <w:rFonts w:ascii="Calibri" w:hAnsi="Calibri" w:eastAsia="宋体" w:cs="Times New Roman"/>
    </w:rPr>
  </w:style>
  <w:style w:type="character" w:customStyle="1" w:styleId="71">
    <w:name w:val="正文文本 2 Char1"/>
    <w:link w:val="29"/>
    <w:qFormat/>
    <w:uiPriority w:val="99"/>
    <w:rPr>
      <w:rFonts w:ascii="Calibri" w:hAnsi="Calibri" w:eastAsia="宋体" w:cs="Times New Roman"/>
      <w:kern w:val="0"/>
      <w:sz w:val="20"/>
      <w:szCs w:val="20"/>
    </w:rPr>
  </w:style>
  <w:style w:type="character" w:customStyle="1" w:styleId="72">
    <w:name w:val="标题 Char"/>
    <w:basedOn w:val="37"/>
    <w:qFormat/>
    <w:uiPriority w:val="0"/>
    <w:rPr>
      <w:rFonts w:eastAsia="宋体" w:asciiTheme="majorHAnsi" w:hAnsiTheme="majorHAnsi" w:cstheme="majorBidi"/>
      <w:b/>
      <w:bCs/>
      <w:sz w:val="32"/>
      <w:szCs w:val="32"/>
    </w:rPr>
  </w:style>
  <w:style w:type="character" w:customStyle="1" w:styleId="73">
    <w:name w:val="标题 Char1"/>
    <w:link w:val="32"/>
    <w:qFormat/>
    <w:uiPriority w:val="10"/>
    <w:rPr>
      <w:rFonts w:ascii="Cambria" w:hAnsi="Cambria" w:eastAsia="宋体" w:cs="Times New Roman"/>
      <w:b/>
      <w:bCs/>
      <w:kern w:val="0"/>
      <w:sz w:val="32"/>
      <w:szCs w:val="32"/>
    </w:rPr>
  </w:style>
  <w:style w:type="character" w:customStyle="1" w:styleId="74">
    <w:name w:val="批注主题 Char"/>
    <w:basedOn w:val="59"/>
    <w:link w:val="33"/>
    <w:qFormat/>
    <w:uiPriority w:val="0"/>
    <w:rPr>
      <w:rFonts w:ascii="Times New Roman" w:hAnsi="Times New Roman" w:eastAsia="宋体" w:cs="Times New Roman"/>
      <w:b/>
      <w:bCs/>
      <w:kern w:val="0"/>
      <w:sz w:val="20"/>
      <w:szCs w:val="24"/>
    </w:rPr>
  </w:style>
  <w:style w:type="character" w:customStyle="1" w:styleId="75">
    <w:name w:val="正文首行缩进 Char"/>
    <w:basedOn w:val="62"/>
    <w:link w:val="34"/>
    <w:qFormat/>
    <w:uiPriority w:val="0"/>
    <w:rPr>
      <w:rFonts w:ascii="Calibri" w:hAnsi="Calibri" w:eastAsia="宋体" w:cs="Times New Roman"/>
      <w:kern w:val="0"/>
      <w:sz w:val="20"/>
      <w:szCs w:val="24"/>
    </w:rPr>
  </w:style>
  <w:style w:type="character" w:customStyle="1" w:styleId="76">
    <w:name w:val="正文首行缩进 2 Char"/>
    <w:basedOn w:val="63"/>
    <w:link w:val="35"/>
    <w:qFormat/>
    <w:uiPriority w:val="0"/>
    <w:rPr>
      <w:rFonts w:ascii="宋体" w:hAnsi="宋体" w:eastAsia="宋体" w:cs="Times New Roman"/>
      <w:color w:val="000000"/>
      <w:kern w:val="0"/>
      <w:sz w:val="24"/>
      <w:szCs w:val="18"/>
    </w:rPr>
  </w:style>
  <w:style w:type="paragraph" w:styleId="77">
    <w:name w:val="List Paragraph"/>
    <w:basedOn w:val="1"/>
    <w:qFormat/>
    <w:uiPriority w:val="0"/>
    <w:pPr>
      <w:ind w:firstLine="420" w:firstLineChars="200"/>
    </w:pPr>
    <w:rPr>
      <w:rFonts w:ascii="Times New Roman" w:hAnsi="Times New Roman"/>
    </w:rPr>
  </w:style>
  <w:style w:type="paragraph" w:customStyle="1" w:styleId="78">
    <w:name w:val="TOC 标题1"/>
    <w:basedOn w:val="3"/>
    <w:next w:val="1"/>
    <w:qFormat/>
    <w:uiPriority w:val="0"/>
    <w:pPr>
      <w:widowControl/>
      <w:spacing w:before="480" w:after="0" w:line="276" w:lineRule="auto"/>
      <w:jc w:val="left"/>
      <w:outlineLvl w:val="9"/>
    </w:pPr>
    <w:rPr>
      <w:rFonts w:ascii="Cambria" w:hAnsi="Cambria" w:cs="Calibri"/>
      <w:color w:val="365F91"/>
      <w:kern w:val="0"/>
      <w:sz w:val="28"/>
    </w:rPr>
  </w:style>
  <w:style w:type="paragraph" w:customStyle="1" w:styleId="79">
    <w:name w:val="文一"/>
    <w:basedOn w:val="1"/>
    <w:link w:val="80"/>
    <w:qFormat/>
    <w:uiPriority w:val="99"/>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80">
    <w:name w:val="文一 Char"/>
    <w:link w:val="79"/>
    <w:qFormat/>
    <w:uiPriority w:val="99"/>
    <w:rPr>
      <w:rFonts w:ascii="Times New Roman" w:hAnsi="Times New Roman" w:eastAsia="宋体" w:cs="Times New Roman"/>
      <w:spacing w:val="4"/>
      <w:kern w:val="0"/>
      <w:sz w:val="24"/>
      <w:szCs w:val="24"/>
    </w:rPr>
  </w:style>
  <w:style w:type="paragraph" w:customStyle="1" w:styleId="81">
    <w:name w:val="文二"/>
    <w:basedOn w:val="1"/>
    <w:qFormat/>
    <w:uiPriority w:val="0"/>
    <w:rPr>
      <w:rFonts w:ascii="宋体" w:hAnsi="宋体" w:cs="Calibri"/>
      <w:szCs w:val="21"/>
    </w:rPr>
  </w:style>
  <w:style w:type="paragraph" w:customStyle="1" w:styleId="82">
    <w:name w:val="表格文字"/>
    <w:basedOn w:val="1"/>
    <w:next w:val="1"/>
    <w:qFormat/>
    <w:uiPriority w:val="0"/>
    <w:pPr>
      <w:adjustRightInd w:val="0"/>
      <w:spacing w:line="420" w:lineRule="atLeast"/>
      <w:jc w:val="left"/>
    </w:pPr>
    <w:rPr>
      <w:rFonts w:ascii="Times New Roman" w:hAnsi="Times New Roman" w:cs="Calibri"/>
      <w:kern w:val="0"/>
      <w:szCs w:val="20"/>
    </w:rPr>
  </w:style>
  <w:style w:type="character" w:customStyle="1" w:styleId="83">
    <w:name w:val="正文首行缩进 Char1"/>
    <w:qFormat/>
    <w:uiPriority w:val="99"/>
    <w:rPr>
      <w:rFonts w:ascii="Calibri" w:hAnsi="Calibri" w:eastAsia="宋体" w:cs="Times New Roman"/>
    </w:rPr>
  </w:style>
  <w:style w:type="character" w:customStyle="1" w:styleId="84">
    <w:name w:val="title1"/>
    <w:qFormat/>
    <w:uiPriority w:val="0"/>
    <w:rPr>
      <w:sz w:val="24"/>
      <w:szCs w:val="24"/>
    </w:rPr>
  </w:style>
  <w:style w:type="character" w:customStyle="1" w:styleId="85">
    <w:name w:val="Char Char4"/>
    <w:qFormat/>
    <w:uiPriority w:val="0"/>
    <w:rPr>
      <w:sz w:val="18"/>
      <w:szCs w:val="18"/>
    </w:rPr>
  </w:style>
  <w:style w:type="character" w:customStyle="1" w:styleId="86">
    <w:name w:val="Char Char5"/>
    <w:qFormat/>
    <w:uiPriority w:val="0"/>
    <w:rPr>
      <w:rFonts w:eastAsia="长城仿宋"/>
      <w:sz w:val="18"/>
      <w:lang w:val="en-US" w:eastAsia="zh-CN" w:bidi="ar-SA"/>
    </w:rPr>
  </w:style>
  <w:style w:type="character" w:customStyle="1" w:styleId="87">
    <w:name w:val="章节一 Char"/>
    <w:qFormat/>
    <w:uiPriority w:val="0"/>
    <w:rPr>
      <w:rFonts w:eastAsia="黑体"/>
      <w:b/>
      <w:snapToGrid w:val="0"/>
      <w:spacing w:val="4"/>
      <w:sz w:val="36"/>
      <w:szCs w:val="36"/>
      <w:lang w:val="en-US" w:eastAsia="zh-CN" w:bidi="ar-SA"/>
    </w:rPr>
  </w:style>
  <w:style w:type="character" w:customStyle="1" w:styleId="88">
    <w:name w:val="章节二 Char"/>
    <w:qFormat/>
    <w:uiPriority w:val="0"/>
    <w:rPr>
      <w:rFonts w:eastAsia="黑体"/>
      <w:b/>
      <w:snapToGrid w:val="0"/>
      <w:spacing w:val="4"/>
      <w:sz w:val="30"/>
      <w:szCs w:val="30"/>
      <w:lang w:val="en-US" w:eastAsia="zh-CN" w:bidi="ar-SA"/>
    </w:rPr>
  </w:style>
  <w:style w:type="character" w:customStyle="1" w:styleId="89">
    <w:name w:val="Char Char6"/>
    <w:qFormat/>
    <w:uiPriority w:val="0"/>
    <w:rPr>
      <w:b/>
      <w:bCs/>
      <w:kern w:val="2"/>
      <w:sz w:val="24"/>
      <w:szCs w:val="24"/>
    </w:rPr>
  </w:style>
  <w:style w:type="character" w:customStyle="1" w:styleId="90">
    <w:name w:val="16"/>
    <w:qFormat/>
    <w:uiPriority w:val="0"/>
    <w:rPr>
      <w:rFonts w:hint="default" w:ascii="Times New Roman" w:hAnsi="Times New Roman" w:cs="Times New Roman"/>
      <w:color w:val="0000FF"/>
      <w:u w:val="single"/>
    </w:rPr>
  </w:style>
  <w:style w:type="character" w:customStyle="1" w:styleId="91">
    <w:name w:val="lemmatitleh1"/>
    <w:qFormat/>
    <w:uiPriority w:val="0"/>
  </w:style>
  <w:style w:type="paragraph" w:customStyle="1" w:styleId="92">
    <w:name w:val="Char"/>
    <w:basedOn w:val="1"/>
    <w:qFormat/>
    <w:uiPriority w:val="0"/>
    <w:pPr>
      <w:tabs>
        <w:tab w:val="left" w:pos="855"/>
      </w:tabs>
      <w:ind w:left="855" w:hanging="420"/>
    </w:pPr>
    <w:rPr>
      <w:rFonts w:ascii="Times New Roman" w:hAnsi="Times New Roman"/>
      <w:sz w:val="24"/>
      <w:szCs w:val="24"/>
    </w:rPr>
  </w:style>
  <w:style w:type="paragraph" w:customStyle="1" w:styleId="93">
    <w:name w:val="Char Char Char1 Char"/>
    <w:basedOn w:val="12"/>
    <w:qFormat/>
    <w:uiPriority w:val="0"/>
    <w:rPr>
      <w:rFonts w:ascii="Tahoma" w:hAnsi="Tahoma"/>
      <w:sz w:val="24"/>
    </w:rPr>
  </w:style>
  <w:style w:type="paragraph" w:customStyle="1" w:styleId="94">
    <w:name w:val="封四"/>
    <w:basedOn w:val="79"/>
    <w:next w:val="79"/>
    <w:qFormat/>
    <w:uiPriority w:val="0"/>
    <w:pPr>
      <w:jc w:val="left"/>
    </w:pPr>
    <w:rPr>
      <w:rFonts w:ascii="Calibri" w:hAnsi="Calibri"/>
      <w:snapToGrid w:val="0"/>
      <w:sz w:val="30"/>
      <w:szCs w:val="30"/>
    </w:rPr>
  </w:style>
  <w:style w:type="paragraph" w:customStyle="1" w:styleId="95">
    <w:name w:val="封一"/>
    <w:basedOn w:val="1"/>
    <w:next w:val="1"/>
    <w:qFormat/>
    <w:uiPriority w:val="0"/>
    <w:pPr>
      <w:topLinePunct/>
      <w:adjustRightInd w:val="0"/>
      <w:snapToGrid w:val="0"/>
      <w:spacing w:line="360" w:lineRule="auto"/>
      <w:jc w:val="center"/>
    </w:pPr>
    <w:rPr>
      <w:rFonts w:ascii="Times New Roman" w:hAnsi="Times New Roman" w:eastAsia="黑体"/>
      <w:b/>
      <w:snapToGrid w:val="0"/>
      <w:spacing w:val="4"/>
      <w:kern w:val="0"/>
      <w:sz w:val="84"/>
      <w:szCs w:val="84"/>
    </w:rPr>
  </w:style>
  <w:style w:type="paragraph" w:customStyle="1" w:styleId="96">
    <w:name w:val="章节一"/>
    <w:basedOn w:val="1"/>
    <w:next w:val="1"/>
    <w:qFormat/>
    <w:uiPriority w:val="0"/>
    <w:pPr>
      <w:topLinePunct/>
      <w:adjustRightInd w:val="0"/>
      <w:snapToGrid w:val="0"/>
      <w:spacing w:beforeLines="50" w:afterLines="50"/>
      <w:jc w:val="center"/>
      <w:outlineLvl w:val="0"/>
    </w:pPr>
    <w:rPr>
      <w:rFonts w:ascii="Times New Roman" w:hAnsi="Times New Roman" w:eastAsia="黑体"/>
      <w:b/>
      <w:snapToGrid w:val="0"/>
      <w:spacing w:val="4"/>
      <w:kern w:val="0"/>
      <w:sz w:val="36"/>
      <w:szCs w:val="36"/>
    </w:rPr>
  </w:style>
  <w:style w:type="paragraph" w:customStyle="1" w:styleId="97">
    <w:name w:val="封三"/>
    <w:basedOn w:val="79"/>
    <w:next w:val="79"/>
    <w:qFormat/>
    <w:uiPriority w:val="0"/>
    <w:pPr>
      <w:ind w:firstLine="0" w:firstLineChars="0"/>
      <w:jc w:val="center"/>
    </w:pPr>
    <w:rPr>
      <w:rFonts w:ascii="Calibri" w:hAnsi="Calibri"/>
      <w:snapToGrid w:val="0"/>
      <w:sz w:val="30"/>
    </w:rPr>
  </w:style>
  <w:style w:type="paragraph" w:customStyle="1" w:styleId="98">
    <w:name w:val="封二"/>
    <w:basedOn w:val="79"/>
    <w:next w:val="79"/>
    <w:qFormat/>
    <w:uiPriority w:val="0"/>
    <w:pPr>
      <w:ind w:firstLine="0" w:firstLineChars="0"/>
      <w:jc w:val="center"/>
    </w:pPr>
    <w:rPr>
      <w:rFonts w:ascii="Calibri" w:hAnsi="Calibri" w:eastAsia="黑体"/>
      <w:b/>
      <w:snapToGrid w:val="0"/>
      <w:sz w:val="36"/>
      <w:szCs w:val="36"/>
    </w:rPr>
  </w:style>
  <w:style w:type="paragraph" w:customStyle="1" w:styleId="99">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00">
    <w:name w:val="章节三"/>
    <w:basedOn w:val="79"/>
    <w:next w:val="79"/>
    <w:qFormat/>
    <w:uiPriority w:val="0"/>
    <w:pPr>
      <w:spacing w:beforeLines="50" w:afterLines="50" w:line="240" w:lineRule="auto"/>
      <w:ind w:firstLine="0" w:firstLineChars="0"/>
      <w:jc w:val="left"/>
      <w:outlineLvl w:val="2"/>
    </w:pPr>
    <w:rPr>
      <w:rFonts w:ascii="黑体" w:hAnsi="宋体" w:eastAsia="黑体"/>
      <w:b/>
      <w:snapToGrid w:val="0"/>
    </w:rPr>
  </w:style>
  <w:style w:type="paragraph" w:customStyle="1" w:styleId="10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题"/>
    <w:basedOn w:val="79"/>
    <w:next w:val="79"/>
    <w:qFormat/>
    <w:uiPriority w:val="0"/>
    <w:pPr>
      <w:ind w:firstLine="0" w:firstLineChars="0"/>
      <w:jc w:val="center"/>
    </w:pPr>
    <w:rPr>
      <w:rFonts w:ascii="Calibri" w:hAnsi="Calibri" w:eastAsia="黑体"/>
      <w:b/>
      <w:snapToGrid w:val="0"/>
      <w:sz w:val="36"/>
      <w:szCs w:val="36"/>
    </w:rPr>
  </w:style>
  <w:style w:type="paragraph" w:customStyle="1" w:styleId="10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4">
    <w:name w:val="默认段落字体 Para Char"/>
    <w:basedOn w:val="1"/>
    <w:qFormat/>
    <w:uiPriority w:val="0"/>
    <w:rPr>
      <w:rFonts w:ascii="Times New Roman" w:hAnsi="Times New Roman"/>
      <w:sz w:val="30"/>
      <w:szCs w:val="24"/>
    </w:rPr>
  </w:style>
  <w:style w:type="paragraph" w:customStyle="1" w:styleId="105">
    <w:name w:val="样式73"/>
    <w:basedOn w:val="1"/>
    <w:link w:val="106"/>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106">
    <w:name w:val="样式73 Char"/>
    <w:link w:val="105"/>
    <w:qFormat/>
    <w:uiPriority w:val="0"/>
    <w:rPr>
      <w:rFonts w:ascii="华文中宋" w:hAnsi="华文中宋" w:eastAsia="华文中宋" w:cs="Times New Roman"/>
      <w:kern w:val="0"/>
      <w:sz w:val="28"/>
      <w:szCs w:val="28"/>
    </w:rPr>
  </w:style>
  <w:style w:type="character" w:customStyle="1" w:styleId="107">
    <w:name w:val="纯文本 Char1"/>
    <w:qFormat/>
    <w:uiPriority w:val="0"/>
    <w:rPr>
      <w:rFonts w:ascii="宋体" w:hAnsi="Courier New" w:eastAsia="宋体" w:cs="Courier New"/>
      <w:szCs w:val="21"/>
    </w:rPr>
  </w:style>
  <w:style w:type="character" w:customStyle="1" w:styleId="108">
    <w:name w:val="Char Char7"/>
    <w:qFormat/>
    <w:uiPriority w:val="0"/>
    <w:rPr>
      <w:rFonts w:eastAsia="宋体"/>
      <w:kern w:val="2"/>
      <w:sz w:val="21"/>
      <w:lang w:val="en-US" w:eastAsia="zh-CN" w:bidi="ar-SA"/>
    </w:rPr>
  </w:style>
  <w:style w:type="character" w:customStyle="1" w:styleId="109">
    <w:name w:val="Char Char3"/>
    <w:qFormat/>
    <w:uiPriority w:val="0"/>
    <w:rPr>
      <w:rFonts w:eastAsia="宋体"/>
      <w:kern w:val="2"/>
      <w:sz w:val="18"/>
      <w:lang w:val="en-US" w:eastAsia="zh-CN" w:bidi="ar-SA"/>
    </w:rPr>
  </w:style>
  <w:style w:type="character" w:customStyle="1" w:styleId="110">
    <w:name w:val="日期 Char2"/>
    <w:qFormat/>
    <w:uiPriority w:val="99"/>
  </w:style>
  <w:style w:type="character" w:customStyle="1" w:styleId="111">
    <w:name w:val="正文文本缩进 Char1"/>
    <w:qFormat/>
    <w:uiPriority w:val="99"/>
    <w:rPr>
      <w:szCs w:val="24"/>
    </w:rPr>
  </w:style>
  <w:style w:type="character" w:customStyle="1" w:styleId="112">
    <w:name w:val="正文文本 Char1"/>
    <w:qFormat/>
    <w:uiPriority w:val="99"/>
    <w:rPr>
      <w:rFonts w:ascii="Calibri" w:hAnsi="Calibri" w:eastAsia="宋体" w:cs="Times New Roman"/>
    </w:rPr>
  </w:style>
  <w:style w:type="character" w:customStyle="1" w:styleId="113">
    <w:name w:val="15"/>
    <w:qFormat/>
    <w:uiPriority w:val="0"/>
    <w:rPr>
      <w:rFonts w:hint="default" w:ascii="Times New Roman" w:hAnsi="Times New Roman" w:cs="Times New Roman"/>
    </w:rPr>
  </w:style>
  <w:style w:type="character" w:customStyle="1" w:styleId="114">
    <w:name w:val="日期 Char1"/>
    <w:qFormat/>
    <w:uiPriority w:val="99"/>
  </w:style>
  <w:style w:type="character" w:customStyle="1" w:styleId="115">
    <w:name w:val="正文首行缩进 Char2"/>
    <w:qFormat/>
    <w:uiPriority w:val="99"/>
  </w:style>
  <w:style w:type="character" w:customStyle="1" w:styleId="116">
    <w:name w:val="文档结构图 Char1"/>
    <w:qFormat/>
    <w:uiPriority w:val="99"/>
    <w:rPr>
      <w:rFonts w:ascii="宋体" w:eastAsia="宋体"/>
      <w:sz w:val="18"/>
      <w:szCs w:val="18"/>
    </w:rPr>
  </w:style>
  <w:style w:type="paragraph" w:customStyle="1" w:styleId="117">
    <w:name w:val="Char Char"/>
    <w:basedOn w:val="1"/>
    <w:qFormat/>
    <w:uiPriority w:val="0"/>
    <w:pPr>
      <w:tabs>
        <w:tab w:val="left" w:pos="1080"/>
      </w:tabs>
      <w:ind w:left="1080" w:hanging="1080"/>
    </w:pPr>
    <w:rPr>
      <w:rFonts w:ascii="Times New Roman" w:hAnsi="Times New Roman"/>
      <w:sz w:val="24"/>
      <w:szCs w:val="24"/>
    </w:rPr>
  </w:style>
  <w:style w:type="paragraph" w:customStyle="1" w:styleId="118">
    <w:name w:val="Char1"/>
    <w:basedOn w:val="1"/>
    <w:qFormat/>
    <w:uiPriority w:val="0"/>
    <w:pPr>
      <w:adjustRightInd w:val="0"/>
      <w:snapToGrid w:val="0"/>
      <w:spacing w:line="360" w:lineRule="auto"/>
      <w:jc w:val="left"/>
    </w:pPr>
    <w:rPr>
      <w:rFonts w:ascii="Times New Roman" w:hAnsi="Times New Roman"/>
      <w:sz w:val="24"/>
      <w:szCs w:val="24"/>
    </w:rPr>
  </w:style>
  <w:style w:type="paragraph" w:customStyle="1" w:styleId="119">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20">
    <w:name w:val="正文文本 3 Char1"/>
    <w:qFormat/>
    <w:uiPriority w:val="99"/>
    <w:rPr>
      <w:rFonts w:ascii="Times New Roman" w:hAnsi="Times New Roman" w:eastAsia="宋体" w:cs="Times New Roman"/>
      <w:sz w:val="16"/>
      <w:szCs w:val="16"/>
    </w:rPr>
  </w:style>
  <w:style w:type="character" w:customStyle="1" w:styleId="121">
    <w:name w:val="正文文本缩进 3 Char1"/>
    <w:qFormat/>
    <w:uiPriority w:val="99"/>
    <w:rPr>
      <w:rFonts w:ascii="Times New Roman" w:hAnsi="Times New Roman" w:eastAsia="宋体" w:cs="Times New Roman"/>
      <w:sz w:val="16"/>
      <w:szCs w:val="16"/>
    </w:rPr>
  </w:style>
  <w:style w:type="character" w:customStyle="1" w:styleId="122">
    <w:name w:val="font161"/>
    <w:qFormat/>
    <w:uiPriority w:val="0"/>
    <w:rPr>
      <w:b/>
      <w:bCs/>
      <w:sz w:val="32"/>
      <w:szCs w:val="32"/>
    </w:rPr>
  </w:style>
  <w:style w:type="character" w:customStyle="1" w:styleId="123">
    <w:name w:val="style_kwd"/>
    <w:qFormat/>
    <w:uiPriority w:val="0"/>
  </w:style>
  <w:style w:type="character" w:customStyle="1" w:styleId="124">
    <w:name w:val="Comment Text Char"/>
    <w:qFormat/>
    <w:uiPriority w:val="0"/>
  </w:style>
  <w:style w:type="character" w:customStyle="1" w:styleId="125">
    <w:name w:val="批注文字 Char2"/>
    <w:qFormat/>
    <w:locked/>
    <w:uiPriority w:val="99"/>
    <w:rPr>
      <w:rFonts w:ascii="Times New Roman" w:hAnsi="Times New Roman"/>
      <w:kern w:val="2"/>
      <w:sz w:val="21"/>
      <w:szCs w:val="24"/>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127">
    <w:name w:val="修订111"/>
    <w:qFormat/>
    <w:uiPriority w:val="0"/>
    <w:rPr>
      <w:rFonts w:ascii="Times New Roman" w:hAnsi="Times New Roman" w:eastAsia="宋体" w:cs="Times New Roman"/>
      <w:kern w:val="2"/>
      <w:sz w:val="21"/>
      <w:lang w:val="en-US" w:eastAsia="zh-CN" w:bidi="ar-SA"/>
    </w:rPr>
  </w:style>
  <w:style w:type="paragraph" w:customStyle="1" w:styleId="128">
    <w:name w:val="表格"/>
    <w:basedOn w:val="1"/>
    <w:qFormat/>
    <w:uiPriority w:val="0"/>
    <w:pPr>
      <w:jc w:val="center"/>
      <w:textAlignment w:val="center"/>
    </w:pPr>
    <w:rPr>
      <w:rFonts w:ascii="华文细黑" w:hAnsi="华文细黑"/>
      <w:kern w:val="0"/>
      <w:szCs w:val="20"/>
    </w:rPr>
  </w:style>
  <w:style w:type="paragraph" w:customStyle="1" w:styleId="129">
    <w:name w:val="样式1"/>
    <w:basedOn w:val="1"/>
    <w:next w:val="6"/>
    <w:qFormat/>
    <w:uiPriority w:val="0"/>
    <w:pPr>
      <w:spacing w:line="360" w:lineRule="auto"/>
      <w:ind w:firstLine="420" w:firstLineChars="200"/>
    </w:pPr>
    <w:rPr>
      <w:rFonts w:ascii="宋体" w:hAnsi="宋体"/>
      <w:szCs w:val="21"/>
    </w:rPr>
  </w:style>
  <w:style w:type="paragraph" w:customStyle="1" w:styleId="130">
    <w:name w:val="样式2"/>
    <w:basedOn w:val="5"/>
    <w:qFormat/>
    <w:uiPriority w:val="0"/>
    <w:pPr>
      <w:keepNext/>
      <w:keepLines/>
      <w:spacing w:before="260" w:after="260" w:line="415" w:lineRule="auto"/>
      <w:ind w:left="0" w:firstLine="137" w:firstLineChars="49"/>
      <w:jc w:val="both"/>
    </w:pPr>
    <w:rPr>
      <w:rFonts w:ascii="黑体"/>
      <w:b w:val="0"/>
      <w:i/>
      <w:color w:val="auto"/>
      <w:sz w:val="28"/>
      <w:szCs w:val="28"/>
    </w:rPr>
  </w:style>
  <w:style w:type="paragraph" w:customStyle="1" w:styleId="131">
    <w:name w:val="_Style 23"/>
    <w:basedOn w:val="1"/>
    <w:qFormat/>
    <w:uiPriority w:val="0"/>
    <w:pPr>
      <w:widowControl/>
      <w:spacing w:after="160" w:line="240" w:lineRule="exact"/>
      <w:jc w:val="left"/>
    </w:pPr>
  </w:style>
  <w:style w:type="paragraph" w:customStyle="1" w:styleId="132">
    <w:name w:val="样式 标题 2 + Times New Roman 四号 非加粗 段前: 5 磅 段后: 0 磅 行距: 固定值 20..."/>
    <w:basedOn w:val="4"/>
    <w:qFormat/>
    <w:uiPriority w:val="0"/>
    <w:pPr>
      <w:keepNext/>
      <w:keepLines/>
      <w:spacing w:before="100" w:line="400" w:lineRule="exact"/>
      <w:jc w:val="both"/>
    </w:pPr>
    <w:rPr>
      <w:rFonts w:ascii="Times New Roman" w:hAnsi="Times New Roman" w:cs="宋体"/>
      <w:b w:val="0"/>
      <w:bCs w:val="0"/>
      <w:color w:val="auto"/>
      <w:sz w:val="28"/>
      <w:szCs w:val="20"/>
    </w:rPr>
  </w:style>
  <w:style w:type="paragraph" w:customStyle="1" w:styleId="133">
    <w:name w:val="修订2"/>
    <w:qFormat/>
    <w:uiPriority w:val="0"/>
    <w:rPr>
      <w:rFonts w:ascii="Times New Roman" w:hAnsi="Times New Roman" w:eastAsia="宋体" w:cs="Times New Roman"/>
      <w:kern w:val="2"/>
      <w:sz w:val="21"/>
      <w:szCs w:val="24"/>
      <w:lang w:val="en-US" w:eastAsia="zh-CN" w:bidi="ar-SA"/>
    </w:rPr>
  </w:style>
  <w:style w:type="paragraph" w:customStyle="1" w:styleId="134">
    <w:name w:val="修订11"/>
    <w:qFormat/>
    <w:uiPriority w:val="0"/>
    <w:rPr>
      <w:rFonts w:ascii="Times New Roman" w:hAnsi="Times New Roman" w:eastAsia="宋体" w:cs="Times New Roman"/>
      <w:kern w:val="2"/>
      <w:sz w:val="21"/>
      <w:szCs w:val="24"/>
      <w:lang w:val="en-US" w:eastAsia="zh-CN" w:bidi="ar-SA"/>
    </w:rPr>
  </w:style>
  <w:style w:type="paragraph" w:customStyle="1" w:styleId="135">
    <w:name w:val="我的正文"/>
    <w:basedOn w:val="1"/>
    <w:qFormat/>
    <w:uiPriority w:val="0"/>
    <w:rPr>
      <w:rFonts w:ascii="宋体" w:hAnsi="宋体"/>
      <w:sz w:val="24"/>
      <w:szCs w:val="24"/>
    </w:rPr>
  </w:style>
  <w:style w:type="paragraph" w:customStyle="1" w:styleId="136">
    <w:name w:val="样式 标题 3 + (中文) 黑体 小四 非加粗 段前: 7.8 磅 段后: 0 磅 行距: 固定值 20 磅"/>
    <w:basedOn w:val="5"/>
    <w:qFormat/>
    <w:uiPriority w:val="0"/>
    <w:pPr>
      <w:keepNext/>
      <w:keepLines/>
      <w:spacing w:line="400" w:lineRule="exact"/>
      <w:ind w:left="0" w:firstLine="137" w:firstLineChars="49"/>
      <w:jc w:val="both"/>
    </w:pPr>
    <w:rPr>
      <w:rFonts w:ascii="黑体" w:cs="宋体"/>
      <w:b w:val="0"/>
      <w:bCs w:val="0"/>
      <w:color w:val="auto"/>
      <w:sz w:val="24"/>
      <w:szCs w:val="20"/>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38">
    <w:name w:val="1"/>
    <w:basedOn w:val="1"/>
    <w:qFormat/>
    <w:uiPriority w:val="0"/>
    <w:rPr>
      <w:rFonts w:ascii="Times New Roman" w:hAnsi="Times New Roman"/>
      <w:szCs w:val="20"/>
    </w:rPr>
  </w:style>
  <w:style w:type="paragraph" w:customStyle="1" w:styleId="139">
    <w:name w:val="图片"/>
    <w:basedOn w:val="1"/>
    <w:qFormat/>
    <w:uiPriority w:val="0"/>
    <w:pPr>
      <w:adjustRightInd w:val="0"/>
      <w:snapToGrid w:val="0"/>
      <w:spacing w:line="312" w:lineRule="atLeast"/>
      <w:ind w:firstLine="200" w:firstLineChars="200"/>
    </w:pPr>
    <w:rPr>
      <w:rFonts w:ascii="Times New Roman" w:hAnsi="Times New Roman" w:eastAsia="华文宋体"/>
      <w:kern w:val="0"/>
      <w:sz w:val="28"/>
      <w:szCs w:val="20"/>
    </w:rPr>
  </w:style>
  <w:style w:type="paragraph" w:customStyle="1" w:styleId="140">
    <w:name w:val="_Style 71"/>
    <w:qFormat/>
    <w:uiPriority w:val="99"/>
    <w:rPr>
      <w:rFonts w:ascii="Times New Roman" w:hAnsi="Times New Roman" w:eastAsia="宋体" w:cs="Calibri"/>
      <w:kern w:val="2"/>
      <w:sz w:val="21"/>
      <w:szCs w:val="24"/>
      <w:lang w:val="en-US" w:eastAsia="zh-CN" w:bidi="ar-SA"/>
    </w:rPr>
  </w:style>
  <w:style w:type="paragraph" w:customStyle="1" w:styleId="141">
    <w:name w:val="列出段落1"/>
    <w:basedOn w:val="1"/>
    <w:qFormat/>
    <w:uiPriority w:val="0"/>
    <w:pPr>
      <w:ind w:firstLine="420" w:firstLineChars="200"/>
    </w:pPr>
    <w:rPr>
      <w:rFonts w:cs="Calibri"/>
      <w:szCs w:val="21"/>
    </w:rPr>
  </w:style>
  <w:style w:type="paragraph" w:customStyle="1" w:styleId="142">
    <w:name w:val="结构图及表格"/>
    <w:qFormat/>
    <w:uiPriority w:val="0"/>
    <w:pPr>
      <w:widowControl w:val="0"/>
      <w:jc w:val="center"/>
    </w:pPr>
    <w:rPr>
      <w:rFonts w:ascii="Times New Roman" w:hAnsi="Times New Roman" w:eastAsia="宋体" w:cs="Times New Roman"/>
      <w:kern w:val="21"/>
      <w:sz w:val="21"/>
      <w:lang w:val="en-US" w:eastAsia="zh-CN" w:bidi="ar-SA"/>
    </w:rPr>
  </w:style>
  <w:style w:type="paragraph" w:customStyle="1" w:styleId="143">
    <w:name w:val="WPSOffice手动目录 1"/>
    <w:qFormat/>
    <w:uiPriority w:val="0"/>
    <w:rPr>
      <w:rFonts w:ascii="Times New Roman" w:hAnsi="Times New Roman" w:eastAsia="宋体" w:cs="Times New Roman"/>
      <w:lang w:val="en-US" w:eastAsia="zh-CN" w:bidi="ar-SA"/>
    </w:rPr>
  </w:style>
  <w:style w:type="paragraph" w:customStyle="1" w:styleId="144">
    <w:name w:val="Table Paragraph"/>
    <w:basedOn w:val="1"/>
    <w:qFormat/>
    <w:uiPriority w:val="1"/>
    <w:pPr>
      <w:autoSpaceDE w:val="0"/>
      <w:autoSpaceDN w:val="0"/>
      <w:adjustRightInd w:val="0"/>
      <w:jc w:val="left"/>
    </w:pPr>
    <w:rPr>
      <w:rFonts w:ascii="Times New Roman" w:hAnsi="Times New Roman"/>
      <w:kern w:val="0"/>
      <w:sz w:val="24"/>
      <w:szCs w:val="24"/>
    </w:rPr>
  </w:style>
  <w:style w:type="paragraph" w:customStyle="1" w:styleId="145">
    <w:name w:val="_Style 47"/>
    <w:qFormat/>
    <w:uiPriority w:val="0"/>
    <w:rPr>
      <w:rFonts w:ascii="Times New Roman" w:hAnsi="Times New Roman" w:eastAsia="宋体" w:cs="Calibri"/>
      <w:kern w:val="2"/>
      <w:sz w:val="21"/>
      <w:szCs w:val="24"/>
      <w:lang w:val="en-US" w:eastAsia="zh-CN" w:bidi="ar-SA"/>
    </w:rPr>
  </w:style>
  <w:style w:type="paragraph" w:customStyle="1" w:styleId="146">
    <w:name w:val="发文落款"/>
    <w:basedOn w:val="103"/>
    <w:qFormat/>
    <w:uiPriority w:val="0"/>
    <w:pPr>
      <w:ind w:left="4094" w:right="607" w:firstLine="0"/>
      <w:jc w:val="center"/>
    </w:pPr>
    <w:rPr>
      <w:rFonts w:ascii="Calibri" w:hAnsi="Calibri" w:eastAsia="宋体"/>
    </w:rPr>
  </w:style>
  <w:style w:type="character" w:customStyle="1" w:styleId="147">
    <w:name w:val="正文文本缩进 Char5"/>
    <w:qFormat/>
    <w:uiPriority w:val="0"/>
    <w:rPr>
      <w:rFonts w:hint="default" w:ascii="Calibri" w:hAnsi="Calibri" w:eastAsia="宋体" w:cs="Times New Roman"/>
    </w:rPr>
  </w:style>
  <w:style w:type="character" w:customStyle="1" w:styleId="148">
    <w:name w:val="批注文字 Char3"/>
    <w:qFormat/>
    <w:locked/>
    <w:uiPriority w:val="99"/>
    <w:rPr>
      <w:rFonts w:hint="default" w:ascii="Calibri" w:hAnsi="Calibri"/>
      <w:kern w:val="2"/>
      <w:sz w:val="21"/>
      <w:szCs w:val="22"/>
    </w:rPr>
  </w:style>
  <w:style w:type="character" w:customStyle="1" w:styleId="149">
    <w:name w:val="文档结构图 Char5"/>
    <w:qFormat/>
    <w:uiPriority w:val="0"/>
    <w:rPr>
      <w:rFonts w:hint="eastAsia" w:ascii="宋体" w:hAnsi="Calibri" w:eastAsia="宋体" w:cs="Times New Roman"/>
      <w:sz w:val="18"/>
      <w:szCs w:val="18"/>
    </w:rPr>
  </w:style>
  <w:style w:type="character" w:customStyle="1" w:styleId="150">
    <w:name w:val="批注主题 Char5"/>
    <w:qFormat/>
    <w:uiPriority w:val="0"/>
    <w:rPr>
      <w:rFonts w:hint="default" w:ascii="Calibri" w:hAnsi="Calibri" w:eastAsia="宋体" w:cs="Times New Roman"/>
      <w:b/>
      <w:bCs/>
    </w:rPr>
  </w:style>
  <w:style w:type="character" w:customStyle="1" w:styleId="151">
    <w:name w:val="标题 Char5"/>
    <w:qFormat/>
    <w:uiPriority w:val="0"/>
    <w:rPr>
      <w:rFonts w:hint="default" w:ascii="Cambria" w:hAnsi="Cambria" w:eastAsia="宋体" w:cs="Times New Roman"/>
      <w:b/>
      <w:bCs/>
      <w:kern w:val="2"/>
      <w:sz w:val="32"/>
      <w:szCs w:val="32"/>
    </w:rPr>
  </w:style>
  <w:style w:type="character" w:customStyle="1" w:styleId="152">
    <w:name w:val="页眉 Char1"/>
    <w:qFormat/>
    <w:uiPriority w:val="99"/>
    <w:rPr>
      <w:rFonts w:hint="default" w:ascii="Calibri" w:hAnsi="Calibri" w:eastAsia="宋体" w:cs="Times New Roman"/>
      <w:sz w:val="18"/>
      <w:szCs w:val="18"/>
    </w:rPr>
  </w:style>
  <w:style w:type="character" w:customStyle="1" w:styleId="153">
    <w:name w:val="正文文本 Char2"/>
    <w:qFormat/>
    <w:uiPriority w:val="99"/>
    <w:rPr>
      <w:rFonts w:hint="default" w:ascii="Calibri" w:hAnsi="Calibri" w:eastAsia="宋体" w:cs="Times New Roman"/>
      <w:sz w:val="21"/>
      <w:szCs w:val="22"/>
    </w:rPr>
  </w:style>
  <w:style w:type="character" w:customStyle="1" w:styleId="154">
    <w:name w:val="标题 Char6"/>
    <w:qFormat/>
    <w:uiPriority w:val="0"/>
    <w:rPr>
      <w:rFonts w:hint="default" w:ascii="Cambria" w:hAnsi="Cambria" w:eastAsia="宋体" w:cs="Times New Roman"/>
      <w:b/>
      <w:bCs/>
      <w:sz w:val="32"/>
      <w:szCs w:val="32"/>
    </w:rPr>
  </w:style>
  <w:style w:type="character" w:customStyle="1" w:styleId="155">
    <w:name w:val="正文首行缩进 Char6"/>
    <w:qFormat/>
    <w:uiPriority w:val="0"/>
    <w:rPr>
      <w:rFonts w:hint="default" w:ascii="Calibri" w:hAnsi="Calibri" w:eastAsia="宋体" w:cs="Times New Roman"/>
    </w:rPr>
  </w:style>
  <w:style w:type="character" w:customStyle="1" w:styleId="156">
    <w:name w:val="文档结构图 Char2"/>
    <w:qFormat/>
    <w:uiPriority w:val="99"/>
    <w:rPr>
      <w:rFonts w:hint="eastAsia" w:ascii="宋体" w:hAnsi="Calibri" w:eastAsia="宋体" w:cs="Times New Roman"/>
      <w:kern w:val="2"/>
      <w:sz w:val="18"/>
      <w:szCs w:val="18"/>
    </w:rPr>
  </w:style>
  <w:style w:type="character" w:customStyle="1" w:styleId="157">
    <w:name w:val="标题 Char4"/>
    <w:qFormat/>
    <w:uiPriority w:val="0"/>
    <w:rPr>
      <w:rFonts w:hint="default" w:ascii="Cambria" w:hAnsi="Cambria" w:eastAsia="宋体" w:cs="Times New Roman"/>
      <w:b/>
      <w:bCs/>
      <w:kern w:val="2"/>
      <w:sz w:val="32"/>
      <w:szCs w:val="32"/>
    </w:rPr>
  </w:style>
  <w:style w:type="character" w:customStyle="1" w:styleId="158">
    <w:name w:val="文档结构图 Char3"/>
    <w:qFormat/>
    <w:uiPriority w:val="0"/>
    <w:rPr>
      <w:rFonts w:hint="eastAsia" w:ascii="宋体" w:hAnsi="Calibri" w:eastAsia="宋体" w:cs="Times New Roman"/>
      <w:kern w:val="2"/>
      <w:sz w:val="18"/>
      <w:szCs w:val="18"/>
    </w:rPr>
  </w:style>
  <w:style w:type="character" w:customStyle="1" w:styleId="159">
    <w:name w:val="正文文本 2 Char3"/>
    <w:qFormat/>
    <w:uiPriority w:val="0"/>
    <w:rPr>
      <w:rFonts w:hint="default" w:ascii="Calibri" w:hAnsi="Calibri" w:eastAsia="宋体" w:cs="Times New Roman"/>
      <w:kern w:val="2"/>
      <w:sz w:val="21"/>
      <w:szCs w:val="22"/>
    </w:rPr>
  </w:style>
  <w:style w:type="character" w:customStyle="1" w:styleId="160">
    <w:name w:val="Char Char51"/>
    <w:qFormat/>
    <w:uiPriority w:val="0"/>
    <w:rPr>
      <w:rFonts w:hint="default" w:ascii="Times New Roman" w:hAnsi="Times New Roman" w:eastAsia="长城仿宋" w:cs="Times New Roman"/>
      <w:sz w:val="18"/>
      <w:lang w:val="en-US" w:eastAsia="zh-CN" w:bidi="ar-SA"/>
    </w:rPr>
  </w:style>
  <w:style w:type="character" w:customStyle="1" w:styleId="161">
    <w:name w:val="Char Char62"/>
    <w:qFormat/>
    <w:uiPriority w:val="0"/>
    <w:rPr>
      <w:rFonts w:hint="default" w:ascii="Times New Roman" w:hAnsi="Times New Roman" w:eastAsia="楷体_GB2312" w:cs="Times New Roman"/>
      <w:b/>
      <w:bCs/>
      <w:kern w:val="2"/>
      <w:sz w:val="24"/>
      <w:szCs w:val="24"/>
    </w:rPr>
  </w:style>
  <w:style w:type="character" w:customStyle="1" w:styleId="162">
    <w:name w:val="批注文字 Char4"/>
    <w:qFormat/>
    <w:uiPriority w:val="99"/>
    <w:rPr>
      <w:rFonts w:hint="default" w:ascii="Calibri" w:hAnsi="Calibri" w:eastAsia="宋体" w:cs="Times New Roman"/>
      <w:kern w:val="2"/>
      <w:sz w:val="21"/>
      <w:szCs w:val="22"/>
    </w:rPr>
  </w:style>
  <w:style w:type="character" w:customStyle="1" w:styleId="163">
    <w:name w:val="正文文本缩进 Char3"/>
    <w:qFormat/>
    <w:uiPriority w:val="0"/>
    <w:rPr>
      <w:rFonts w:hint="default" w:ascii="Calibri" w:hAnsi="Calibri" w:eastAsia="宋体" w:cs="Times New Roman"/>
      <w:kern w:val="2"/>
      <w:sz w:val="21"/>
      <w:szCs w:val="22"/>
    </w:rPr>
  </w:style>
  <w:style w:type="character" w:customStyle="1" w:styleId="164">
    <w:name w:val="正文文本 3 Char3"/>
    <w:qFormat/>
    <w:uiPriority w:val="0"/>
    <w:rPr>
      <w:rFonts w:hint="default" w:ascii="Calibri" w:hAnsi="Calibri" w:eastAsia="宋体" w:cs="Times New Roman"/>
      <w:kern w:val="2"/>
      <w:sz w:val="16"/>
      <w:szCs w:val="16"/>
    </w:rPr>
  </w:style>
  <w:style w:type="character" w:customStyle="1" w:styleId="165">
    <w:name w:val="正文首行缩进 Char4"/>
    <w:qFormat/>
    <w:uiPriority w:val="0"/>
    <w:rPr>
      <w:rFonts w:hint="default" w:ascii="Calibri" w:hAnsi="Calibri" w:eastAsia="宋体" w:cs="Times New Roman"/>
    </w:rPr>
  </w:style>
  <w:style w:type="character" w:customStyle="1" w:styleId="166">
    <w:name w:val="批注文字 Char7"/>
    <w:qFormat/>
    <w:uiPriority w:val="0"/>
    <w:rPr>
      <w:rFonts w:hint="default" w:ascii="Calibri" w:hAnsi="Calibri" w:eastAsia="宋体" w:cs="Times New Roman"/>
    </w:rPr>
  </w:style>
  <w:style w:type="character" w:customStyle="1" w:styleId="167">
    <w:name w:val="文一 Char Char"/>
    <w:qFormat/>
    <w:uiPriority w:val="0"/>
    <w:rPr>
      <w:rFonts w:hint="default" w:ascii="Times New Roman" w:hAnsi="Times New Roman" w:eastAsia="宋体" w:cs="Times New Roman"/>
      <w:snapToGrid/>
      <w:spacing w:val="4"/>
      <w:sz w:val="24"/>
      <w:szCs w:val="24"/>
      <w:lang w:val="en-US" w:eastAsia="zh-CN" w:bidi="ar-SA"/>
    </w:rPr>
  </w:style>
  <w:style w:type="character" w:customStyle="1" w:styleId="168">
    <w:name w:val="批注文字 Char5"/>
    <w:qFormat/>
    <w:uiPriority w:val="99"/>
    <w:rPr>
      <w:rFonts w:hint="default" w:ascii="Calibri" w:hAnsi="Calibri" w:eastAsia="宋体" w:cs="Times New Roman"/>
      <w:kern w:val="2"/>
      <w:sz w:val="21"/>
      <w:szCs w:val="22"/>
    </w:rPr>
  </w:style>
  <w:style w:type="character" w:customStyle="1" w:styleId="169">
    <w:name w:val="Char Char31"/>
    <w:qFormat/>
    <w:uiPriority w:val="0"/>
    <w:rPr>
      <w:rFonts w:hint="default" w:ascii="Times New Roman" w:hAnsi="Times New Roman" w:eastAsia="宋体" w:cs="Times New Roman"/>
      <w:kern w:val="2"/>
      <w:sz w:val="18"/>
      <w:lang w:val="en-US" w:eastAsia="zh-CN" w:bidi="ar-SA"/>
    </w:rPr>
  </w:style>
  <w:style w:type="character" w:customStyle="1" w:styleId="170">
    <w:name w:val="页脚 Char1"/>
    <w:qFormat/>
    <w:uiPriority w:val="99"/>
    <w:rPr>
      <w:rFonts w:hint="default" w:ascii="Calibri" w:hAnsi="Calibri" w:eastAsia="宋体" w:cs="Times New Roman"/>
      <w:sz w:val="18"/>
      <w:szCs w:val="18"/>
    </w:rPr>
  </w:style>
  <w:style w:type="character" w:customStyle="1" w:styleId="171">
    <w:name w:val="日期 Char5"/>
    <w:qFormat/>
    <w:uiPriority w:val="0"/>
    <w:rPr>
      <w:rFonts w:hint="default" w:ascii="Calibri" w:hAnsi="Calibri" w:eastAsia="宋体" w:cs="Times New Roman"/>
    </w:rPr>
  </w:style>
  <w:style w:type="character" w:customStyle="1" w:styleId="172">
    <w:name w:val="正文文本 Char3"/>
    <w:qFormat/>
    <w:uiPriority w:val="99"/>
    <w:rPr>
      <w:rFonts w:hint="default" w:ascii="Calibri" w:hAnsi="Calibri" w:eastAsia="宋体" w:cs="Times New Roman"/>
      <w:kern w:val="2"/>
      <w:sz w:val="21"/>
      <w:szCs w:val="22"/>
    </w:rPr>
  </w:style>
  <w:style w:type="character" w:customStyle="1" w:styleId="173">
    <w:name w:val="日期 Char3"/>
    <w:qFormat/>
    <w:uiPriority w:val="0"/>
    <w:rPr>
      <w:rFonts w:hint="default" w:ascii="Calibri" w:hAnsi="Calibri" w:eastAsia="宋体" w:cs="Times New Roman"/>
      <w:kern w:val="2"/>
      <w:sz w:val="21"/>
      <w:szCs w:val="22"/>
    </w:rPr>
  </w:style>
  <w:style w:type="character" w:customStyle="1" w:styleId="174">
    <w:name w:val="标题 Char2"/>
    <w:qFormat/>
    <w:uiPriority w:val="10"/>
    <w:rPr>
      <w:rFonts w:hint="default" w:ascii="Cambria" w:hAnsi="Cambria" w:eastAsia="宋体" w:cs="Times New Roman"/>
      <w:b/>
      <w:bCs/>
      <w:kern w:val="2"/>
      <w:sz w:val="32"/>
      <w:szCs w:val="32"/>
    </w:rPr>
  </w:style>
  <w:style w:type="character" w:customStyle="1" w:styleId="175">
    <w:name w:val="Char Char52"/>
    <w:qFormat/>
    <w:uiPriority w:val="0"/>
    <w:rPr>
      <w:rFonts w:hint="default" w:ascii="Times New Roman" w:hAnsi="Times New Roman" w:eastAsia="长城仿宋" w:cs="Times New Roman"/>
      <w:sz w:val="18"/>
      <w:lang w:val="en-US" w:eastAsia="zh-CN" w:bidi="ar-SA"/>
    </w:rPr>
  </w:style>
  <w:style w:type="character" w:customStyle="1" w:styleId="176">
    <w:name w:val="批注框文本 Char1"/>
    <w:qFormat/>
    <w:uiPriority w:val="99"/>
    <w:rPr>
      <w:rFonts w:hint="default" w:ascii="Calibri" w:hAnsi="Calibri" w:eastAsia="宋体" w:cs="Times New Roman"/>
      <w:sz w:val="18"/>
      <w:szCs w:val="18"/>
    </w:rPr>
  </w:style>
  <w:style w:type="character" w:customStyle="1" w:styleId="177">
    <w:name w:val="批注主题 Char3"/>
    <w:qFormat/>
    <w:uiPriority w:val="0"/>
    <w:rPr>
      <w:rFonts w:hint="default" w:ascii="Calibri" w:hAnsi="Calibri" w:eastAsia="宋体" w:cs="Times New Roman"/>
      <w:b/>
      <w:bCs/>
      <w:kern w:val="2"/>
      <w:sz w:val="21"/>
      <w:szCs w:val="22"/>
    </w:rPr>
  </w:style>
  <w:style w:type="character" w:customStyle="1" w:styleId="178">
    <w:name w:val="正文文本 2 Char5"/>
    <w:qFormat/>
    <w:uiPriority w:val="0"/>
    <w:rPr>
      <w:rFonts w:hint="default" w:ascii="Calibri" w:hAnsi="Calibri" w:eastAsia="宋体" w:cs="Times New Roman"/>
    </w:rPr>
  </w:style>
  <w:style w:type="character" w:customStyle="1" w:styleId="179">
    <w:name w:val="正文文本 2 Char2"/>
    <w:qFormat/>
    <w:uiPriority w:val="99"/>
    <w:rPr>
      <w:rFonts w:hint="default" w:ascii="Calibri" w:hAnsi="Calibri" w:eastAsia="宋体" w:cs="Times New Roman"/>
      <w:kern w:val="2"/>
      <w:sz w:val="21"/>
      <w:szCs w:val="22"/>
    </w:rPr>
  </w:style>
  <w:style w:type="character" w:customStyle="1" w:styleId="180">
    <w:name w:val="正文文本缩进 3 Char4"/>
    <w:qFormat/>
    <w:uiPriority w:val="0"/>
    <w:rPr>
      <w:rFonts w:hint="default" w:ascii="Calibri" w:hAnsi="Calibri" w:eastAsia="宋体" w:cs="Times New Roman"/>
      <w:kern w:val="2"/>
      <w:sz w:val="16"/>
      <w:szCs w:val="16"/>
    </w:rPr>
  </w:style>
  <w:style w:type="character" w:customStyle="1" w:styleId="181">
    <w:name w:val="正文文本 3 Char5"/>
    <w:qFormat/>
    <w:uiPriority w:val="0"/>
    <w:rPr>
      <w:rFonts w:hint="default" w:ascii="Calibri" w:hAnsi="Calibri" w:eastAsia="宋体" w:cs="Times New Roman"/>
      <w:kern w:val="2"/>
      <w:sz w:val="16"/>
      <w:szCs w:val="16"/>
    </w:rPr>
  </w:style>
  <w:style w:type="character" w:customStyle="1" w:styleId="182">
    <w:name w:val="批注框文本 Char2"/>
    <w:qFormat/>
    <w:uiPriority w:val="99"/>
    <w:rPr>
      <w:rFonts w:hint="default" w:ascii="Calibri" w:hAnsi="Calibri" w:eastAsia="宋体" w:cs="Times New Roman"/>
      <w:kern w:val="2"/>
      <w:sz w:val="18"/>
      <w:szCs w:val="18"/>
    </w:rPr>
  </w:style>
  <w:style w:type="character" w:customStyle="1" w:styleId="183">
    <w:name w:val="纯文本 Char2"/>
    <w:qFormat/>
    <w:uiPriority w:val="99"/>
    <w:rPr>
      <w:rFonts w:hint="eastAsia" w:ascii="宋体" w:hAnsi="Courier New" w:eastAsia="宋体" w:cs="Courier New"/>
      <w:kern w:val="2"/>
      <w:sz w:val="21"/>
      <w:szCs w:val="21"/>
    </w:rPr>
  </w:style>
  <w:style w:type="character" w:customStyle="1" w:styleId="184">
    <w:name w:val="username"/>
    <w:qFormat/>
    <w:uiPriority w:val="0"/>
    <w:rPr>
      <w:rFonts w:hint="default" w:ascii="Calibri" w:hAnsi="Calibri" w:eastAsia="宋体" w:cs="Times New Roman"/>
    </w:rPr>
  </w:style>
  <w:style w:type="character" w:customStyle="1" w:styleId="185">
    <w:name w:val="批注主题 Char2"/>
    <w:qFormat/>
    <w:uiPriority w:val="99"/>
    <w:rPr>
      <w:rFonts w:hint="default" w:ascii="Calibri" w:hAnsi="Calibri" w:eastAsia="宋体" w:cs="Times New Roman"/>
      <w:b/>
      <w:bCs/>
      <w:kern w:val="2"/>
      <w:sz w:val="21"/>
      <w:szCs w:val="22"/>
    </w:rPr>
  </w:style>
  <w:style w:type="character" w:customStyle="1" w:styleId="186">
    <w:name w:val="正文文本缩进 3 Char2"/>
    <w:qFormat/>
    <w:uiPriority w:val="99"/>
    <w:rPr>
      <w:rFonts w:hint="default" w:ascii="Calibri" w:hAnsi="Calibri" w:eastAsia="宋体" w:cs="Times New Roman"/>
      <w:kern w:val="2"/>
      <w:sz w:val="16"/>
      <w:szCs w:val="16"/>
    </w:rPr>
  </w:style>
  <w:style w:type="character" w:customStyle="1" w:styleId="187">
    <w:name w:val="纯文本 Char6"/>
    <w:qFormat/>
    <w:uiPriority w:val="0"/>
    <w:rPr>
      <w:rFonts w:hint="eastAsia" w:ascii="宋体" w:hAnsi="Courier New" w:eastAsia="宋体" w:cs="Courier New"/>
      <w:szCs w:val="21"/>
    </w:rPr>
  </w:style>
  <w:style w:type="character" w:customStyle="1" w:styleId="188">
    <w:name w:val="正文文本 Char5"/>
    <w:qFormat/>
    <w:uiPriority w:val="0"/>
    <w:rPr>
      <w:rFonts w:hint="default" w:ascii="Times New Roman" w:hAnsi="Times New Roman" w:eastAsia="宋体" w:cs="Times New Roman"/>
    </w:rPr>
  </w:style>
  <w:style w:type="character" w:customStyle="1" w:styleId="189">
    <w:name w:val="正文首行缩进 Char3"/>
    <w:qFormat/>
    <w:uiPriority w:val="99"/>
    <w:rPr>
      <w:rFonts w:hint="default" w:ascii="Calibri" w:hAnsi="Calibri" w:eastAsia="宋体" w:cs="Times New Roman"/>
    </w:rPr>
  </w:style>
  <w:style w:type="character" w:customStyle="1" w:styleId="190">
    <w:name w:val="页眉 字符"/>
    <w:qFormat/>
    <w:uiPriority w:val="0"/>
    <w:rPr>
      <w:rFonts w:hint="default" w:ascii="Times New Roman" w:hAnsi="Times New Roman" w:eastAsia="楷体_GB2312" w:cs="Times New Roman"/>
      <w:kern w:val="2"/>
      <w:sz w:val="18"/>
      <w:szCs w:val="18"/>
    </w:rPr>
  </w:style>
  <w:style w:type="character" w:customStyle="1" w:styleId="191">
    <w:name w:val="纯文本 Char5"/>
    <w:qFormat/>
    <w:uiPriority w:val="0"/>
    <w:rPr>
      <w:rFonts w:hint="eastAsia" w:ascii="宋体" w:hAnsi="Courier New" w:eastAsia="宋体" w:cs="Courier New"/>
      <w:kern w:val="2"/>
      <w:sz w:val="21"/>
      <w:szCs w:val="21"/>
    </w:rPr>
  </w:style>
  <w:style w:type="character" w:customStyle="1" w:styleId="192">
    <w:name w:val="批注框文本 Char4"/>
    <w:qFormat/>
    <w:uiPriority w:val="0"/>
    <w:rPr>
      <w:rFonts w:hint="default" w:ascii="Calibri" w:hAnsi="Calibri" w:eastAsia="宋体" w:cs="Times New Roman"/>
      <w:sz w:val="18"/>
      <w:szCs w:val="18"/>
    </w:rPr>
  </w:style>
  <w:style w:type="character" w:customStyle="1" w:styleId="193">
    <w:name w:val="批注主题 字符"/>
    <w:qFormat/>
    <w:uiPriority w:val="0"/>
    <w:rPr>
      <w:rFonts w:hint="default" w:ascii="Times New Roman" w:hAnsi="Times New Roman" w:eastAsia="楷体_GB2312" w:cs="Times New Roman"/>
      <w:b/>
      <w:bCs/>
      <w:kern w:val="2"/>
      <w:sz w:val="21"/>
      <w:szCs w:val="24"/>
    </w:rPr>
  </w:style>
  <w:style w:type="character" w:customStyle="1" w:styleId="194">
    <w:name w:val="批注文字 Char6"/>
    <w:qFormat/>
    <w:uiPriority w:val="0"/>
    <w:rPr>
      <w:rFonts w:hint="default" w:ascii="Calibri" w:hAnsi="Calibri" w:eastAsia="宋体" w:cs="Times New Roman"/>
    </w:rPr>
  </w:style>
  <w:style w:type="character" w:customStyle="1" w:styleId="195">
    <w:name w:val="正文文本缩进 3 Char3"/>
    <w:qFormat/>
    <w:uiPriority w:val="0"/>
    <w:rPr>
      <w:rFonts w:hint="default" w:ascii="Calibri" w:hAnsi="Calibri" w:eastAsia="宋体" w:cs="Times New Roman"/>
      <w:kern w:val="2"/>
      <w:sz w:val="16"/>
      <w:szCs w:val="16"/>
    </w:rPr>
  </w:style>
  <w:style w:type="character" w:customStyle="1" w:styleId="196">
    <w:name w:val="Char Char61"/>
    <w:qFormat/>
    <w:uiPriority w:val="0"/>
    <w:rPr>
      <w:rFonts w:hint="default" w:ascii="Times New Roman" w:hAnsi="Times New Roman" w:eastAsia="楷体_GB2312" w:cs="Times New Roman"/>
      <w:b/>
      <w:bCs/>
      <w:kern w:val="2"/>
      <w:sz w:val="24"/>
      <w:szCs w:val="24"/>
    </w:rPr>
  </w:style>
  <w:style w:type="character" w:customStyle="1" w:styleId="197">
    <w:name w:val="批注文字 字符"/>
    <w:qFormat/>
    <w:uiPriority w:val="0"/>
    <w:rPr>
      <w:rFonts w:hint="default" w:ascii="Times New Roman" w:hAnsi="Times New Roman" w:eastAsia="楷体_GB2312" w:cs="Times New Roman"/>
      <w:kern w:val="2"/>
      <w:sz w:val="21"/>
      <w:szCs w:val="24"/>
    </w:rPr>
  </w:style>
  <w:style w:type="character" w:customStyle="1" w:styleId="198">
    <w:name w:val="批注框文本 Char3"/>
    <w:qFormat/>
    <w:uiPriority w:val="0"/>
    <w:rPr>
      <w:rFonts w:hint="default" w:ascii="Calibri" w:hAnsi="Calibri" w:eastAsia="宋体" w:cs="Times New Roman"/>
      <w:kern w:val="2"/>
      <w:sz w:val="18"/>
      <w:szCs w:val="18"/>
    </w:rPr>
  </w:style>
  <w:style w:type="character" w:customStyle="1" w:styleId="199">
    <w:name w:val="正文文本 Char7"/>
    <w:qFormat/>
    <w:uiPriority w:val="0"/>
    <w:rPr>
      <w:rFonts w:hint="default" w:ascii="Calibri" w:hAnsi="Calibri" w:eastAsia="宋体" w:cs="Times New Roman"/>
    </w:rPr>
  </w:style>
  <w:style w:type="character" w:customStyle="1" w:styleId="200">
    <w:name w:val="页脚 Char2"/>
    <w:qFormat/>
    <w:uiPriority w:val="99"/>
    <w:rPr>
      <w:rFonts w:hint="default" w:ascii="Calibri" w:hAnsi="Calibri" w:eastAsia="宋体" w:cs="Times New Roman"/>
      <w:sz w:val="18"/>
      <w:szCs w:val="18"/>
    </w:rPr>
  </w:style>
  <w:style w:type="character" w:customStyle="1" w:styleId="201">
    <w:name w:val="纯文本 Char4"/>
    <w:qFormat/>
    <w:uiPriority w:val="0"/>
    <w:rPr>
      <w:rFonts w:hint="eastAsia" w:ascii="宋体" w:hAnsi="Courier New" w:eastAsia="宋体" w:cs="Courier New"/>
      <w:kern w:val="2"/>
      <w:sz w:val="21"/>
      <w:szCs w:val="21"/>
    </w:rPr>
  </w:style>
  <w:style w:type="character" w:customStyle="1" w:styleId="202">
    <w:name w:val="批注主题 Char1"/>
    <w:qFormat/>
    <w:uiPriority w:val="99"/>
    <w:rPr>
      <w:rFonts w:hint="default" w:ascii="Calibri" w:hAnsi="Calibri" w:eastAsia="宋体" w:cs="Times New Roman"/>
      <w:b/>
      <w:bCs/>
      <w:kern w:val="2"/>
      <w:sz w:val="21"/>
      <w:szCs w:val="22"/>
    </w:rPr>
  </w:style>
  <w:style w:type="character" w:customStyle="1" w:styleId="203">
    <w:name w:val="标题 Char3"/>
    <w:qFormat/>
    <w:uiPriority w:val="10"/>
    <w:rPr>
      <w:rFonts w:hint="default" w:ascii="Cambria" w:hAnsi="Cambria" w:eastAsia="宋体" w:cs="Times New Roman"/>
      <w:b/>
      <w:bCs/>
      <w:kern w:val="2"/>
      <w:sz w:val="32"/>
      <w:szCs w:val="32"/>
    </w:rPr>
  </w:style>
  <w:style w:type="character" w:customStyle="1" w:styleId="204">
    <w:name w:val="title26"/>
    <w:qFormat/>
    <w:uiPriority w:val="0"/>
    <w:rPr>
      <w:rFonts w:hint="default" w:ascii="Calibri" w:hAnsi="Calibri" w:eastAsia="宋体" w:cs="Times New Roman"/>
    </w:rPr>
  </w:style>
  <w:style w:type="character" w:customStyle="1" w:styleId="205">
    <w:name w:val="纯文本 Char3"/>
    <w:qFormat/>
    <w:uiPriority w:val="99"/>
    <w:rPr>
      <w:rFonts w:hint="eastAsia" w:ascii="宋体" w:hAnsi="Courier New" w:eastAsia="宋体" w:cs="Courier New"/>
      <w:kern w:val="2"/>
      <w:sz w:val="21"/>
      <w:szCs w:val="21"/>
    </w:rPr>
  </w:style>
  <w:style w:type="character" w:customStyle="1" w:styleId="206">
    <w:name w:val="正文文本缩进 Char4"/>
    <w:qFormat/>
    <w:uiPriority w:val="0"/>
    <w:rPr>
      <w:rFonts w:hint="default" w:ascii="Calibri" w:hAnsi="Calibri" w:eastAsia="宋体" w:cs="Times New Roman"/>
      <w:kern w:val="2"/>
      <w:sz w:val="21"/>
      <w:szCs w:val="22"/>
    </w:rPr>
  </w:style>
  <w:style w:type="character" w:customStyle="1" w:styleId="207">
    <w:name w:val="批注主题 Char4"/>
    <w:qFormat/>
    <w:uiPriority w:val="0"/>
    <w:rPr>
      <w:rFonts w:hint="default" w:ascii="Calibri" w:hAnsi="Calibri" w:eastAsia="宋体" w:cs="Times New Roman"/>
      <w:b/>
      <w:bCs/>
      <w:kern w:val="2"/>
      <w:sz w:val="21"/>
      <w:szCs w:val="22"/>
    </w:rPr>
  </w:style>
  <w:style w:type="character" w:customStyle="1" w:styleId="208">
    <w:name w:val="页眉 Char2"/>
    <w:qFormat/>
    <w:uiPriority w:val="99"/>
    <w:rPr>
      <w:rFonts w:hint="default" w:ascii="Calibri" w:hAnsi="Calibri" w:eastAsia="宋体" w:cs="Times New Roman"/>
      <w:sz w:val="18"/>
      <w:szCs w:val="18"/>
    </w:rPr>
  </w:style>
  <w:style w:type="character" w:customStyle="1" w:styleId="209">
    <w:name w:val="正文文本 3 Char2"/>
    <w:qFormat/>
    <w:uiPriority w:val="99"/>
    <w:rPr>
      <w:rFonts w:hint="default" w:ascii="Calibri" w:hAnsi="Calibri" w:eastAsia="宋体" w:cs="Times New Roman"/>
      <w:kern w:val="2"/>
      <w:sz w:val="16"/>
      <w:szCs w:val="16"/>
    </w:rPr>
  </w:style>
  <w:style w:type="character" w:customStyle="1" w:styleId="210">
    <w:name w:val="Char Char71"/>
    <w:qFormat/>
    <w:uiPriority w:val="0"/>
    <w:rPr>
      <w:rFonts w:hint="default" w:ascii="Times New Roman" w:hAnsi="Times New Roman" w:eastAsia="宋体" w:cs="Times New Roman"/>
      <w:kern w:val="2"/>
      <w:sz w:val="21"/>
      <w:lang w:val="en-US" w:eastAsia="zh-CN" w:bidi="ar-SA"/>
    </w:rPr>
  </w:style>
  <w:style w:type="character" w:customStyle="1" w:styleId="211">
    <w:name w:val="fontstyle01"/>
    <w:qFormat/>
    <w:uiPriority w:val="0"/>
    <w:rPr>
      <w:rFonts w:hint="eastAsia" w:ascii="宋体" w:hAnsi="宋体" w:eastAsia="宋体" w:cs="Times New Roman"/>
      <w:color w:val="000000"/>
      <w:sz w:val="22"/>
      <w:szCs w:val="22"/>
    </w:rPr>
  </w:style>
  <w:style w:type="character" w:customStyle="1" w:styleId="212">
    <w:name w:val="正文文本 Char4"/>
    <w:qFormat/>
    <w:uiPriority w:val="99"/>
    <w:rPr>
      <w:rFonts w:hint="default" w:ascii="Calibri" w:hAnsi="Calibri" w:eastAsia="宋体" w:cs="Times New Roman"/>
      <w:kern w:val="2"/>
      <w:sz w:val="21"/>
      <w:szCs w:val="22"/>
    </w:rPr>
  </w:style>
  <w:style w:type="character" w:customStyle="1" w:styleId="213">
    <w:name w:val="正文文本缩进 3 Char5"/>
    <w:qFormat/>
    <w:uiPriority w:val="0"/>
    <w:rPr>
      <w:rFonts w:hint="default" w:ascii="Calibri" w:hAnsi="Calibri" w:eastAsia="宋体" w:cs="Times New Roman"/>
      <w:kern w:val="2"/>
      <w:sz w:val="16"/>
      <w:szCs w:val="16"/>
    </w:rPr>
  </w:style>
  <w:style w:type="character" w:customStyle="1" w:styleId="214">
    <w:name w:val="页脚 字符"/>
    <w:qFormat/>
    <w:uiPriority w:val="0"/>
    <w:rPr>
      <w:rFonts w:hint="default" w:ascii="Times New Roman" w:hAnsi="Times New Roman" w:eastAsia="楷体_GB2312" w:cs="Times New Roman"/>
      <w:kern w:val="2"/>
      <w:sz w:val="18"/>
      <w:szCs w:val="18"/>
    </w:rPr>
  </w:style>
  <w:style w:type="character" w:customStyle="1" w:styleId="215">
    <w:name w:val="正文文本缩进 Char2"/>
    <w:qFormat/>
    <w:uiPriority w:val="99"/>
    <w:rPr>
      <w:rFonts w:hint="default" w:ascii="Calibri" w:hAnsi="Calibri" w:eastAsia="宋体" w:cs="Times New Roman"/>
      <w:kern w:val="2"/>
      <w:sz w:val="21"/>
      <w:szCs w:val="22"/>
    </w:rPr>
  </w:style>
  <w:style w:type="character" w:customStyle="1" w:styleId="216">
    <w:name w:val="正文文本 3 Char4"/>
    <w:qFormat/>
    <w:uiPriority w:val="0"/>
    <w:rPr>
      <w:rFonts w:hint="default" w:ascii="Calibri" w:hAnsi="Calibri" w:eastAsia="宋体" w:cs="Times New Roman"/>
      <w:kern w:val="2"/>
      <w:sz w:val="16"/>
      <w:szCs w:val="16"/>
    </w:rPr>
  </w:style>
  <w:style w:type="character" w:customStyle="1" w:styleId="217">
    <w:name w:val="正文文本 Char6"/>
    <w:qFormat/>
    <w:uiPriority w:val="0"/>
    <w:rPr>
      <w:rFonts w:hint="default" w:ascii="Calibri" w:hAnsi="Calibri" w:eastAsia="宋体" w:cs="Times New Roman"/>
      <w:kern w:val="2"/>
      <w:sz w:val="21"/>
      <w:szCs w:val="22"/>
    </w:rPr>
  </w:style>
  <w:style w:type="character" w:customStyle="1" w:styleId="218">
    <w:name w:val="文档结构图 Char4"/>
    <w:qFormat/>
    <w:uiPriority w:val="0"/>
    <w:rPr>
      <w:rFonts w:hint="eastAsia" w:ascii="宋体" w:hAnsi="Calibri" w:eastAsia="宋体" w:cs="Times New Roman"/>
      <w:kern w:val="2"/>
      <w:sz w:val="18"/>
      <w:szCs w:val="18"/>
    </w:rPr>
  </w:style>
  <w:style w:type="character" w:customStyle="1" w:styleId="219">
    <w:name w:val="正文文本 2 Char4"/>
    <w:qFormat/>
    <w:uiPriority w:val="0"/>
    <w:rPr>
      <w:rFonts w:hint="default" w:ascii="Calibri" w:hAnsi="Calibri" w:eastAsia="宋体" w:cs="Times New Roman"/>
      <w:kern w:val="2"/>
      <w:sz w:val="21"/>
      <w:szCs w:val="22"/>
    </w:rPr>
  </w:style>
  <w:style w:type="character" w:customStyle="1" w:styleId="220">
    <w:name w:val="日期 Char4"/>
    <w:qFormat/>
    <w:uiPriority w:val="0"/>
    <w:rPr>
      <w:rFonts w:hint="default" w:ascii="Calibri" w:hAnsi="Calibri" w:eastAsia="宋体" w:cs="Times New Roman"/>
      <w:kern w:val="2"/>
      <w:sz w:val="21"/>
      <w:szCs w:val="22"/>
    </w:rPr>
  </w:style>
  <w:style w:type="character" w:customStyle="1" w:styleId="221">
    <w:name w:val="标题 Char7"/>
    <w:qFormat/>
    <w:locked/>
    <w:uiPriority w:val="0"/>
    <w:rPr>
      <w:rFonts w:ascii="Arial" w:hAnsi="Arial"/>
      <w:b/>
      <w:sz w:val="32"/>
    </w:rPr>
  </w:style>
  <w:style w:type="character" w:customStyle="1" w:styleId="222">
    <w:name w:val="NormalCharacter"/>
    <w:semiHidden/>
    <w:qFormat/>
    <w:uiPriority w:val="0"/>
  </w:style>
  <w:style w:type="paragraph" w:customStyle="1" w:styleId="223">
    <w:name w:val="UserStyle_2"/>
    <w:basedOn w:val="1"/>
    <w:qFormat/>
    <w:uiPriority w:val="0"/>
    <w:pPr>
      <w:widowControl/>
    </w:pPr>
  </w:style>
  <w:style w:type="paragraph" w:customStyle="1" w:styleId="224">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character" w:customStyle="1" w:styleId="225">
    <w:name w:val="font21"/>
    <w:basedOn w:val="37"/>
    <w:qFormat/>
    <w:uiPriority w:val="0"/>
    <w:rPr>
      <w:rFonts w:hint="eastAsia" w:ascii="宋体" w:hAnsi="宋体" w:eastAsia="宋体" w:cs="宋体"/>
      <w:color w:val="000000"/>
      <w:sz w:val="22"/>
      <w:szCs w:val="22"/>
      <w:u w:val="none"/>
    </w:rPr>
  </w:style>
  <w:style w:type="paragraph" w:customStyle="1" w:styleId="226">
    <w:name w:val="Body Text First Indent 2"/>
    <w:basedOn w:val="227"/>
    <w:qFormat/>
    <w:uiPriority w:val="0"/>
    <w:pPr>
      <w:spacing w:after="120" w:afterLines="0" w:line="240" w:lineRule="auto"/>
      <w:ind w:left="200" w:leftChars="200" w:firstLine="200" w:firstLineChars="200"/>
    </w:pPr>
    <w:rPr>
      <w:rFonts w:ascii="Calibri" w:hAnsi="Calibri"/>
      <w:kern w:val="2"/>
      <w:sz w:val="21"/>
      <w:szCs w:val="24"/>
    </w:rPr>
  </w:style>
  <w:style w:type="paragraph" w:customStyle="1" w:styleId="227">
    <w:name w:val="Body Text Indent"/>
    <w:basedOn w:val="1"/>
    <w:next w:val="228"/>
    <w:qFormat/>
    <w:uiPriority w:val="0"/>
    <w:pPr>
      <w:ind w:firstLine="570"/>
    </w:pPr>
    <w:rPr>
      <w:rFonts w:ascii="Times New Roman" w:hAnsi="Times New Roman"/>
      <w:kern w:val="0"/>
      <w:sz w:val="28"/>
      <w:szCs w:val="20"/>
    </w:rPr>
  </w:style>
  <w:style w:type="paragraph" w:customStyle="1" w:styleId="228">
    <w:name w:val="envelope return"/>
    <w:basedOn w:val="1"/>
    <w:uiPriority w:val="0"/>
    <w:pPr>
      <w:snapToGrid w:val="0"/>
    </w:pPr>
    <w:rPr>
      <w:rFonts w:ascii="Arial" w:hAnsi="Arial"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4667A-4C52-42FE-B919-CD8FB26DFA2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25720</Words>
  <Characters>27042</Characters>
  <Lines>233</Lines>
  <Paragraphs>65</Paragraphs>
  <TotalTime>5</TotalTime>
  <ScaleCrop>false</ScaleCrop>
  <LinksUpToDate>false</LinksUpToDate>
  <CharactersWithSpaces>27667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2022-11-11T08:31:00Z</dcterms:created>
  <dc:creator>未定义</dc:creator>
  <cp:lastModifiedBy>fang</cp:lastModifiedBy>
  <cp:lastPrinted>2024-01-03T02:11:00Z</cp:lastPrinted>
  <dcterms:modified xsi:type="dcterms:W3CDTF">2024-07-25T13:11:57Z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6238CB0DE89848EFB889591D88185819</vt:lpwstr>
  </property>
</Properties>
</file>