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3BC98">
      <w:pPr>
        <w:pStyle w:val="87"/>
        <w:spacing w:line="640" w:lineRule="exact"/>
        <w:ind w:firstLine="320" w:firstLineChars="100"/>
        <w:rPr>
          <w:rFonts w:ascii="宋体" w:hAnsi="宋体"/>
          <w:color w:val="auto"/>
          <w:sz w:val="32"/>
          <w:szCs w:val="32"/>
          <w:highlight w:val="none"/>
        </w:rPr>
      </w:pPr>
      <w:r>
        <w:rPr>
          <w:rFonts w:ascii="宋体" w:hAnsi="宋体" w:cs="仿宋_GB2312"/>
          <w:color w:val="auto"/>
          <w:sz w:val="32"/>
          <w:szCs w:val="32"/>
          <w:highlight w:val="none"/>
        </w:rPr>
        <w:t>SF-2019-0206</w:t>
      </w:r>
    </w:p>
    <w:p w14:paraId="1E48FD37">
      <w:pPr>
        <w:pStyle w:val="87"/>
        <w:spacing w:line="640" w:lineRule="exact"/>
        <w:ind w:firstLine="5936" w:firstLineChars="1855"/>
        <w:rPr>
          <w:rFonts w:ascii="宋体" w:hAnsi="宋体" w:cs="华文中宋"/>
          <w:color w:val="auto"/>
          <w:sz w:val="32"/>
          <w:szCs w:val="32"/>
          <w:highlight w:val="none"/>
          <w:u w:val="single"/>
        </w:rPr>
      </w:pPr>
      <w:r>
        <w:rPr>
          <w:rFonts w:hint="eastAsia" w:ascii="宋体" w:hAnsi="宋体" w:cs="华文中宋"/>
          <w:color w:val="auto"/>
          <w:sz w:val="32"/>
          <w:szCs w:val="32"/>
          <w:highlight w:val="none"/>
        </w:rPr>
        <w:t>项目编码：</w:t>
      </w:r>
      <w:r>
        <w:rPr>
          <w:rFonts w:ascii="宋体" w:hAnsi="宋体" w:cs="华文中宋"/>
          <w:color w:val="auto"/>
          <w:sz w:val="32"/>
          <w:szCs w:val="32"/>
          <w:highlight w:val="none"/>
          <w:u w:val="single"/>
        </w:rPr>
        <w:t xml:space="preserve">    </w:t>
      </w:r>
      <w:r>
        <w:rPr>
          <w:rFonts w:hint="eastAsia" w:ascii="宋体" w:hAnsi="宋体" w:cs="华文中宋"/>
          <w:color w:val="auto"/>
          <w:sz w:val="32"/>
          <w:szCs w:val="32"/>
          <w:highlight w:val="none"/>
          <w:u w:val="single"/>
        </w:rPr>
        <w:t xml:space="preserve"> </w:t>
      </w:r>
      <w:r>
        <w:rPr>
          <w:rFonts w:ascii="宋体" w:hAnsi="宋体" w:cs="华文中宋"/>
          <w:color w:val="auto"/>
          <w:sz w:val="32"/>
          <w:szCs w:val="32"/>
          <w:highlight w:val="none"/>
          <w:u w:val="single"/>
        </w:rPr>
        <w:t xml:space="preserve">        </w:t>
      </w:r>
    </w:p>
    <w:p w14:paraId="12E0BF2F">
      <w:pPr>
        <w:pStyle w:val="87"/>
        <w:spacing w:line="640" w:lineRule="exact"/>
        <w:ind w:firstLine="5936" w:firstLineChars="1855"/>
        <w:rPr>
          <w:rFonts w:ascii="宋体" w:hAnsi="宋体"/>
          <w:color w:val="auto"/>
          <w:sz w:val="32"/>
          <w:szCs w:val="32"/>
          <w:highlight w:val="none"/>
        </w:rPr>
      </w:pPr>
      <w:r>
        <w:rPr>
          <w:rFonts w:hint="eastAsia" w:ascii="宋体" w:hAnsi="宋体" w:cs="华文中宋"/>
          <w:color w:val="auto"/>
          <w:sz w:val="32"/>
          <w:szCs w:val="32"/>
          <w:highlight w:val="none"/>
        </w:rPr>
        <w:t>工程编码：</w:t>
      </w:r>
      <w:r>
        <w:rPr>
          <w:rFonts w:ascii="宋体" w:hAnsi="宋体" w:cs="华文中宋"/>
          <w:color w:val="auto"/>
          <w:sz w:val="32"/>
          <w:szCs w:val="32"/>
          <w:highlight w:val="none"/>
          <w:u w:val="single"/>
        </w:rPr>
        <w:t xml:space="preserve">            </w:t>
      </w:r>
    </w:p>
    <w:p w14:paraId="6F346CD2">
      <w:pPr>
        <w:pStyle w:val="87"/>
        <w:spacing w:line="640" w:lineRule="exact"/>
        <w:ind w:firstLine="5936" w:firstLineChars="1855"/>
        <w:rPr>
          <w:rFonts w:ascii="宋体" w:hAnsi="宋体"/>
          <w:color w:val="auto"/>
          <w:sz w:val="32"/>
          <w:szCs w:val="32"/>
          <w:highlight w:val="none"/>
        </w:rPr>
      </w:pPr>
      <w:r>
        <w:rPr>
          <w:rFonts w:hint="eastAsia" w:ascii="宋体" w:hAnsi="宋体" w:cs="华文中宋"/>
          <w:color w:val="auto"/>
          <w:sz w:val="32"/>
          <w:szCs w:val="32"/>
          <w:highlight w:val="none"/>
        </w:rPr>
        <w:t>合同编号：</w:t>
      </w:r>
      <w:r>
        <w:rPr>
          <w:rFonts w:hint="eastAsia" w:ascii="仿宋_GB2312" w:hAnsi="仿宋_GB2312" w:eastAsia="仿宋_GB2312" w:cs="仿宋_GB2312"/>
          <w:color w:val="auto"/>
          <w:sz w:val="24"/>
          <w:szCs w:val="24"/>
          <w:highlight w:val="none"/>
          <w:u w:val="single"/>
          <w:lang w:eastAsia="zh-CN"/>
        </w:rPr>
        <w:t>荔代建合字〔</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eastAsia="zh-CN"/>
        </w:rPr>
        <w:t xml:space="preserve"> 号</w:t>
      </w:r>
      <w:r>
        <w:rPr>
          <w:rFonts w:hint="eastAsia" w:ascii="仿宋_GB2312" w:hAnsi="仿宋_GB2312" w:eastAsia="仿宋_GB2312" w:cs="仿宋_GB2312"/>
          <w:color w:val="auto"/>
          <w:sz w:val="28"/>
          <w:szCs w:val="28"/>
          <w:highlight w:val="none"/>
          <w:u w:val="single"/>
        </w:rPr>
        <w:t xml:space="preserve">  </w:t>
      </w:r>
      <w:r>
        <w:rPr>
          <w:rFonts w:ascii="宋体" w:hAnsi="宋体" w:cs="华文中宋"/>
          <w:color w:val="auto"/>
          <w:sz w:val="32"/>
          <w:szCs w:val="32"/>
          <w:highlight w:val="none"/>
          <w:u w:val="single"/>
        </w:rPr>
        <w:t xml:space="preserve">        </w:t>
      </w:r>
    </w:p>
    <w:p w14:paraId="447B5D16">
      <w:pPr>
        <w:spacing w:line="360" w:lineRule="auto"/>
        <w:rPr>
          <w:rFonts w:ascii="华文中宋" w:hAnsi="华文中宋" w:eastAsia="华文中宋" w:cs="Times New Roman"/>
          <w:b/>
          <w:bCs/>
          <w:color w:val="auto"/>
          <w:sz w:val="48"/>
          <w:szCs w:val="48"/>
          <w:highlight w:val="none"/>
        </w:rPr>
      </w:pPr>
    </w:p>
    <w:p w14:paraId="3E99F3AD">
      <w:pPr>
        <w:spacing w:line="360" w:lineRule="auto"/>
        <w:jc w:val="center"/>
        <w:rPr>
          <w:rFonts w:ascii="宋体" w:hAnsi="宋体" w:cs="Times New Roman"/>
          <w:b/>
          <w:bCs/>
          <w:color w:val="auto"/>
          <w:sz w:val="52"/>
          <w:szCs w:val="52"/>
          <w:highlight w:val="none"/>
        </w:rPr>
      </w:pPr>
      <w:r>
        <w:rPr>
          <w:rFonts w:hint="eastAsia" w:ascii="宋体" w:hAnsi="宋体" w:cs="华文中宋"/>
          <w:b/>
          <w:bCs/>
          <w:color w:val="auto"/>
          <w:sz w:val="52"/>
          <w:szCs w:val="52"/>
          <w:highlight w:val="none"/>
        </w:rPr>
        <w:t>广州市建设工程监理合同</w:t>
      </w:r>
    </w:p>
    <w:p w14:paraId="6DCD6D64">
      <w:pPr>
        <w:spacing w:line="360" w:lineRule="auto"/>
        <w:jc w:val="center"/>
        <w:rPr>
          <w:rFonts w:ascii="仿宋_GB2312" w:hAnsi="宋体" w:eastAsia="仿宋_GB2312" w:cs="Times New Roman"/>
          <w:b/>
          <w:bCs/>
          <w:color w:val="auto"/>
          <w:sz w:val="11"/>
          <w:szCs w:val="11"/>
          <w:highlight w:val="none"/>
        </w:rPr>
      </w:pPr>
    </w:p>
    <w:p w14:paraId="33268CDC">
      <w:pPr>
        <w:spacing w:line="360" w:lineRule="auto"/>
        <w:jc w:val="center"/>
        <w:rPr>
          <w:rFonts w:ascii="仿宋_GB2312" w:hAnsi="宋体" w:eastAsia="仿宋_GB2312" w:cs="Times New Roman"/>
          <w:b/>
          <w:bCs/>
          <w:color w:val="auto"/>
          <w:sz w:val="24"/>
          <w:szCs w:val="24"/>
          <w:highlight w:val="none"/>
        </w:rPr>
      </w:pPr>
    </w:p>
    <w:p w14:paraId="261F4EE8">
      <w:pPr>
        <w:spacing w:line="360" w:lineRule="auto"/>
        <w:jc w:val="center"/>
        <w:rPr>
          <w:rFonts w:ascii="仿宋_GB2312" w:hAnsi="宋体" w:eastAsia="仿宋_GB2312" w:cs="Times New Roman"/>
          <w:b/>
          <w:bCs/>
          <w:color w:val="auto"/>
          <w:sz w:val="24"/>
          <w:szCs w:val="24"/>
          <w:highlight w:val="none"/>
        </w:rPr>
      </w:pPr>
    </w:p>
    <w:p w14:paraId="0D1991F7">
      <w:pPr>
        <w:spacing w:line="640" w:lineRule="exact"/>
        <w:ind w:firstLine="480" w:firstLineChars="150"/>
        <w:rPr>
          <w:rFonts w:hint="eastAsia" w:ascii="宋体" w:hAnsi="宋体" w:eastAsia="宋体" w:cs="仿宋"/>
          <w:color w:val="auto"/>
          <w:sz w:val="32"/>
          <w:szCs w:val="32"/>
          <w:highlight w:val="none"/>
          <w:u w:val="single"/>
          <w:lang w:val="en-US" w:eastAsia="zh-CN"/>
        </w:rPr>
      </w:pPr>
      <w:r>
        <w:rPr>
          <w:rFonts w:hint="eastAsia" w:ascii="宋体" w:hAnsi="宋体" w:cs="仿宋"/>
          <w:color w:val="auto"/>
          <w:sz w:val="32"/>
          <w:szCs w:val="32"/>
          <w:highlight w:val="none"/>
        </w:rPr>
        <w:t>工程名称：</w:t>
      </w:r>
      <w:r>
        <w:rPr>
          <w:rFonts w:hint="eastAsia" w:ascii="宋体" w:hAnsi="宋体" w:eastAsia="宋体" w:cs="仿宋"/>
          <w:color w:val="auto"/>
          <w:sz w:val="32"/>
          <w:szCs w:val="32"/>
          <w:highlight w:val="none"/>
          <w:u w:val="single"/>
          <w:lang w:eastAsia="zh-CN"/>
        </w:rPr>
        <w:t xml:space="preserve">  </w:t>
      </w:r>
      <w:r>
        <w:rPr>
          <w:rFonts w:hint="eastAsia" w:ascii="宋体" w:hAnsi="宋体" w:eastAsia="宋体" w:cs="仿宋"/>
          <w:color w:val="auto"/>
          <w:sz w:val="32"/>
          <w:szCs w:val="32"/>
          <w:highlight w:val="none"/>
          <w:u w:val="single"/>
          <w:lang w:val="en-US" w:eastAsia="zh-CN"/>
        </w:rPr>
        <w:t>荔湾区</w:t>
      </w:r>
      <w:r>
        <w:rPr>
          <w:rFonts w:hint="eastAsia" w:ascii="宋体" w:hAnsi="宋体" w:eastAsia="宋体" w:cs="仿宋"/>
          <w:color w:val="auto"/>
          <w:sz w:val="32"/>
          <w:szCs w:val="32"/>
          <w:highlight w:val="none"/>
          <w:u w:val="single"/>
          <w:lang w:eastAsia="zh-CN"/>
        </w:rPr>
        <w:t xml:space="preserve">   </w:t>
      </w:r>
      <w:r>
        <w:rPr>
          <w:rFonts w:hint="eastAsia" w:ascii="宋体" w:hAnsi="宋体" w:eastAsia="宋体" w:cs="仿宋"/>
          <w:color w:val="auto"/>
          <w:sz w:val="32"/>
          <w:szCs w:val="32"/>
          <w:highlight w:val="none"/>
          <w:u w:val="single"/>
          <w:lang w:val="en-US" w:eastAsia="zh-CN"/>
        </w:rPr>
        <w:t xml:space="preserve"> </w:t>
      </w:r>
    </w:p>
    <w:p w14:paraId="73790EA1">
      <w:pPr>
        <w:spacing w:line="640" w:lineRule="exact"/>
        <w:ind w:firstLine="480" w:firstLineChars="150"/>
        <w:rPr>
          <w:rFonts w:ascii="宋体" w:hAnsi="宋体" w:cs="仿宋"/>
          <w:color w:val="auto"/>
          <w:sz w:val="32"/>
          <w:szCs w:val="32"/>
          <w:highlight w:val="none"/>
        </w:rPr>
      </w:pPr>
      <w:r>
        <w:rPr>
          <w:rFonts w:hint="eastAsia" w:ascii="宋体" w:hAnsi="宋体" w:cs="仿宋"/>
          <w:color w:val="auto"/>
          <w:sz w:val="32"/>
          <w:szCs w:val="32"/>
          <w:highlight w:val="none"/>
        </w:rPr>
        <w:t>工程地点：</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lang w:val="en-US" w:eastAsia="zh-CN"/>
        </w:rPr>
        <w:t xml:space="preserve"> 荔湾区</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rPr>
        <w:t xml:space="preserve">                                             </w:t>
      </w:r>
    </w:p>
    <w:p w14:paraId="6EDA9A44">
      <w:pPr>
        <w:spacing w:line="640" w:lineRule="exact"/>
        <w:ind w:firstLine="480" w:firstLineChars="150"/>
        <w:rPr>
          <w:rFonts w:ascii="宋体" w:hAnsi="宋体" w:cs="Times New Roman"/>
          <w:color w:val="auto"/>
          <w:sz w:val="32"/>
          <w:szCs w:val="32"/>
          <w:highlight w:val="none"/>
        </w:rPr>
      </w:pPr>
      <w:r>
        <w:rPr>
          <w:rFonts w:hint="eastAsia" w:ascii="宋体" w:hAnsi="宋体" w:cs="仿宋"/>
          <w:color w:val="auto"/>
          <w:sz w:val="32"/>
          <w:szCs w:val="32"/>
          <w:highlight w:val="none"/>
        </w:rPr>
        <w:t>委</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托 人：</w:t>
      </w:r>
      <w:r>
        <w:rPr>
          <w:rFonts w:hint="eastAsia" w:ascii="宋体" w:hAnsi="宋体" w:cs="仿宋"/>
          <w:color w:val="auto"/>
          <w:sz w:val="32"/>
          <w:szCs w:val="32"/>
          <w:highlight w:val="none"/>
          <w:u w:val="single"/>
          <w:lang w:val="en-US" w:eastAsia="zh-CN"/>
        </w:rPr>
        <w:t xml:space="preserve"> </w:t>
      </w:r>
      <w:r>
        <w:rPr>
          <w:rFonts w:hint="eastAsia" w:ascii="宋体" w:hAnsi="宋体" w:cs="仿宋"/>
          <w:color w:val="auto"/>
          <w:sz w:val="32"/>
          <w:szCs w:val="32"/>
          <w:highlight w:val="none"/>
          <w:u w:val="single"/>
          <w:lang w:eastAsia="zh-CN"/>
        </w:rPr>
        <w:t>广州市荔湾区建设工程项目代建中心</w:t>
      </w:r>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rPr>
        <w:t xml:space="preserve"> </w:t>
      </w:r>
      <w:r>
        <w:rPr>
          <w:rFonts w:ascii="宋体" w:hAnsi="宋体" w:cs="仿宋"/>
          <w:color w:val="auto"/>
          <w:sz w:val="32"/>
          <w:szCs w:val="32"/>
          <w:highlight w:val="none"/>
          <w:u w:val="single"/>
        </w:rPr>
        <w:t xml:space="preserve">    </w:t>
      </w:r>
    </w:p>
    <w:p w14:paraId="396B587A">
      <w:pPr>
        <w:spacing w:line="640" w:lineRule="exact"/>
        <w:ind w:firstLine="480" w:firstLineChars="150"/>
        <w:rPr>
          <w:rFonts w:hint="eastAsia" w:ascii="宋体" w:hAnsi="宋体" w:eastAsia="宋体" w:cs="Times New Roman"/>
          <w:color w:val="auto"/>
          <w:sz w:val="32"/>
          <w:szCs w:val="32"/>
          <w:highlight w:val="none"/>
          <w:lang w:val="en-US" w:eastAsia="zh-CN"/>
        </w:rPr>
      </w:pPr>
      <w:r>
        <w:rPr>
          <w:rFonts w:hint="eastAsia" w:ascii="宋体" w:hAnsi="宋体" w:cs="仿宋"/>
          <w:color w:val="auto"/>
          <w:sz w:val="32"/>
          <w:szCs w:val="32"/>
          <w:highlight w:val="none"/>
        </w:rPr>
        <w:t>监</w:t>
      </w:r>
      <w:r>
        <w:rPr>
          <w:rFonts w:ascii="宋体" w:hAnsi="宋体" w:cs="仿宋"/>
          <w:color w:val="auto"/>
          <w:sz w:val="32"/>
          <w:szCs w:val="32"/>
          <w:highlight w:val="none"/>
        </w:rPr>
        <w:t xml:space="preserve"> </w:t>
      </w:r>
      <w:r>
        <w:rPr>
          <w:rFonts w:hint="eastAsia" w:ascii="宋体" w:hAnsi="宋体" w:cs="仿宋"/>
          <w:color w:val="auto"/>
          <w:sz w:val="32"/>
          <w:szCs w:val="32"/>
          <w:highlight w:val="none"/>
        </w:rPr>
        <w:t>理 人：</w:t>
      </w:r>
      <w:r>
        <w:rPr>
          <w:rFonts w:ascii="宋体" w:hAnsi="宋体" w:cs="仿宋"/>
          <w:color w:val="auto"/>
          <w:sz w:val="32"/>
          <w:szCs w:val="32"/>
          <w:highlight w:val="none"/>
          <w:u w:val="single"/>
        </w:rPr>
        <w:t xml:space="preserve"> </w:t>
      </w:r>
      <w:bookmarkStart w:id="0" w:name="OLE_LINK1"/>
      <w:r>
        <w:rPr>
          <w:rFonts w:ascii="宋体" w:hAnsi="宋体" w:cs="仿宋"/>
          <w:color w:val="auto"/>
          <w:sz w:val="32"/>
          <w:szCs w:val="32"/>
          <w:highlight w:val="none"/>
          <w:u w:val="single"/>
        </w:rPr>
        <w:t xml:space="preserve"> </w:t>
      </w:r>
      <w:bookmarkEnd w:id="0"/>
      <w:r>
        <w:rPr>
          <w:rFonts w:ascii="宋体" w:hAnsi="宋体" w:cs="仿宋"/>
          <w:color w:val="auto"/>
          <w:sz w:val="32"/>
          <w:szCs w:val="32"/>
          <w:highlight w:val="none"/>
          <w:u w:val="single"/>
        </w:rPr>
        <w:t xml:space="preserve">       </w:t>
      </w:r>
      <w:r>
        <w:rPr>
          <w:rFonts w:hint="eastAsia" w:ascii="宋体" w:hAnsi="宋体" w:cs="仿宋"/>
          <w:color w:val="auto"/>
          <w:sz w:val="32"/>
          <w:szCs w:val="32"/>
          <w:highlight w:val="none"/>
          <w:u w:val="single"/>
          <w:lang w:val="en-US" w:eastAsia="zh-CN"/>
        </w:rPr>
        <w:t xml:space="preserve">          </w:t>
      </w:r>
    </w:p>
    <w:p w14:paraId="73D3A250">
      <w:pPr>
        <w:spacing w:line="360" w:lineRule="auto"/>
        <w:jc w:val="center"/>
        <w:rPr>
          <w:rFonts w:ascii="仿宋_GB2312" w:hAnsi="宋体" w:eastAsia="仿宋_GB2312" w:cs="Times New Roman"/>
          <w:b/>
          <w:bCs/>
          <w:color w:val="auto"/>
          <w:sz w:val="24"/>
          <w:szCs w:val="24"/>
          <w:highlight w:val="none"/>
        </w:rPr>
      </w:pPr>
      <w:r>
        <w:rPr>
          <w:rFonts w:hint="eastAsia" w:ascii="仿宋_GB2312" w:hAnsi="宋体" w:eastAsia="仿宋_GB2312" w:cs="Times New Roman"/>
          <w:b/>
          <w:bCs/>
          <w:color w:val="auto"/>
          <w:sz w:val="24"/>
          <w:szCs w:val="24"/>
          <w:highlight w:val="none"/>
        </w:rPr>
        <w:t xml:space="preserve">  </w:t>
      </w:r>
    </w:p>
    <w:p w14:paraId="31523CF6">
      <w:pPr>
        <w:spacing w:line="360" w:lineRule="auto"/>
        <w:jc w:val="center"/>
        <w:rPr>
          <w:rFonts w:ascii="仿宋_GB2312" w:hAnsi="宋体" w:eastAsia="仿宋_GB2312" w:cs="Times New Roman"/>
          <w:b/>
          <w:bCs/>
          <w:color w:val="auto"/>
          <w:sz w:val="24"/>
          <w:szCs w:val="24"/>
          <w:highlight w:val="none"/>
        </w:rPr>
      </w:pPr>
    </w:p>
    <w:p w14:paraId="3107DDF2">
      <w:pPr>
        <w:spacing w:line="360" w:lineRule="auto"/>
        <w:jc w:val="center"/>
        <w:rPr>
          <w:rFonts w:hint="eastAsia" w:ascii="仿宋_GB2312" w:hAnsi="宋体" w:eastAsia="仿宋_GB2312" w:cs="Times New Roman"/>
          <w:b/>
          <w:bCs/>
          <w:color w:val="auto"/>
          <w:sz w:val="24"/>
          <w:szCs w:val="24"/>
          <w:highlight w:val="none"/>
        </w:rPr>
      </w:pPr>
    </w:p>
    <w:p w14:paraId="6532F608">
      <w:pPr>
        <w:spacing w:line="360" w:lineRule="auto"/>
        <w:jc w:val="center"/>
        <w:rPr>
          <w:rFonts w:hint="eastAsia" w:ascii="仿宋_GB2312" w:hAnsi="宋体" w:eastAsia="仿宋_GB2312" w:cs="Times New Roman"/>
          <w:b/>
          <w:bCs/>
          <w:color w:val="auto"/>
          <w:sz w:val="24"/>
          <w:szCs w:val="24"/>
          <w:highlight w:val="none"/>
        </w:rPr>
      </w:pPr>
    </w:p>
    <w:p w14:paraId="7EC35056">
      <w:pPr>
        <w:spacing w:line="360" w:lineRule="auto"/>
        <w:jc w:val="center"/>
        <w:rPr>
          <w:rFonts w:hint="eastAsia" w:ascii="仿宋_GB2312" w:hAnsi="宋体" w:eastAsia="仿宋_GB2312" w:cs="Times New Roman"/>
          <w:b/>
          <w:bCs/>
          <w:color w:val="auto"/>
          <w:sz w:val="24"/>
          <w:szCs w:val="24"/>
          <w:highlight w:val="none"/>
        </w:rPr>
      </w:pPr>
    </w:p>
    <w:p w14:paraId="776063A8">
      <w:pPr>
        <w:snapToGrid w:val="0"/>
        <w:spacing w:line="200" w:lineRule="atLeast"/>
        <w:jc w:val="center"/>
        <w:rPr>
          <w:rFonts w:ascii="宋体" w:cs="Times New Roman"/>
          <w:b/>
          <w:bCs/>
          <w:color w:val="auto"/>
          <w:spacing w:val="50"/>
          <w:sz w:val="32"/>
          <w:szCs w:val="32"/>
          <w:highlight w:val="none"/>
        </w:rPr>
      </w:pPr>
      <w:r>
        <w:rPr>
          <w:rFonts w:hint="eastAsia" w:ascii="宋体" w:hAnsi="宋体" w:cs="宋体"/>
          <w:b/>
          <w:bCs/>
          <w:color w:val="auto"/>
          <w:spacing w:val="50"/>
          <w:sz w:val="32"/>
          <w:szCs w:val="32"/>
          <w:highlight w:val="none"/>
        </w:rPr>
        <w:t>广州市住房和城乡建设局</w:t>
      </w:r>
    </w:p>
    <w:p w14:paraId="5944B61F">
      <w:pPr>
        <w:snapToGrid w:val="0"/>
        <w:spacing w:line="200" w:lineRule="atLeast"/>
        <w:jc w:val="center"/>
        <w:rPr>
          <w:rFonts w:ascii="宋体" w:cs="Times New Roman"/>
          <w:b/>
          <w:bCs/>
          <w:color w:val="auto"/>
          <w:spacing w:val="20"/>
          <w:sz w:val="32"/>
          <w:szCs w:val="32"/>
          <w:highlight w:val="none"/>
        </w:rPr>
      </w:pPr>
      <w:r>
        <w:rPr>
          <w:rFonts w:ascii="宋体" w:hAnsi="宋体" w:cs="宋体"/>
          <w:b/>
          <w:bCs/>
          <w:color w:val="auto"/>
          <w:spacing w:val="20"/>
          <w:sz w:val="32"/>
          <w:szCs w:val="32"/>
          <w:highlight w:val="none"/>
        </w:rPr>
        <w:t xml:space="preserve">                            </w:t>
      </w:r>
      <w:r>
        <w:rPr>
          <w:rFonts w:hint="eastAsia" w:ascii="宋体" w:hAnsi="宋体" w:cs="宋体"/>
          <w:b/>
          <w:bCs/>
          <w:color w:val="auto"/>
          <w:spacing w:val="20"/>
          <w:sz w:val="32"/>
          <w:szCs w:val="32"/>
          <w:highlight w:val="none"/>
        </w:rPr>
        <w:t>制定</w:t>
      </w:r>
    </w:p>
    <w:p w14:paraId="3C944F9B">
      <w:pPr>
        <w:snapToGrid w:val="0"/>
        <w:spacing w:line="200" w:lineRule="atLeast"/>
        <w:rPr>
          <w:rFonts w:ascii="宋体" w:cs="Times New Roman"/>
          <w:b/>
          <w:bCs/>
          <w:color w:val="auto"/>
          <w:spacing w:val="73"/>
          <w:sz w:val="32"/>
          <w:szCs w:val="32"/>
          <w:highlight w:val="none"/>
        </w:rPr>
      </w:pPr>
      <w:r>
        <w:rPr>
          <w:rFonts w:hint="eastAsia" w:ascii="宋体" w:hAnsi="宋体" w:cs="宋体"/>
          <w:b/>
          <w:bCs/>
          <w:color w:val="auto"/>
          <w:spacing w:val="73"/>
          <w:sz w:val="32"/>
          <w:szCs w:val="32"/>
          <w:highlight w:val="none"/>
        </w:rPr>
        <w:t xml:space="preserve">        广州市市场监督管理局</w:t>
      </w:r>
    </w:p>
    <w:p w14:paraId="677DC0A8">
      <w:pPr>
        <w:spacing w:line="360" w:lineRule="auto"/>
        <w:jc w:val="center"/>
        <w:rPr>
          <w:rFonts w:ascii="仿宋_GB2312" w:hAnsi="宋体" w:eastAsia="仿宋_GB2312" w:cs="Times New Roman"/>
          <w:b/>
          <w:bCs/>
          <w:color w:val="auto"/>
          <w:sz w:val="24"/>
          <w:szCs w:val="24"/>
          <w:highlight w:val="none"/>
        </w:rPr>
      </w:pPr>
    </w:p>
    <w:p w14:paraId="78A0F021">
      <w:pPr>
        <w:spacing w:line="360" w:lineRule="auto"/>
        <w:jc w:val="center"/>
        <w:rPr>
          <w:rFonts w:ascii="华文中宋" w:hAnsi="华文中宋" w:eastAsia="华文中宋" w:cs="Times New Roman"/>
          <w:b/>
          <w:bCs/>
          <w:color w:val="auto"/>
          <w:sz w:val="24"/>
          <w:szCs w:val="24"/>
          <w:highlight w:val="none"/>
        </w:rPr>
      </w:pPr>
    </w:p>
    <w:p w14:paraId="36A6E01E">
      <w:pPr>
        <w:spacing w:line="360" w:lineRule="auto"/>
        <w:rPr>
          <w:rFonts w:hint="eastAsia" w:ascii="华文中宋" w:hAnsi="华文中宋" w:eastAsia="华文中宋" w:cs="Times New Roman"/>
          <w:b/>
          <w:bCs/>
          <w:color w:val="auto"/>
          <w:sz w:val="24"/>
          <w:szCs w:val="24"/>
          <w:highlight w:val="none"/>
        </w:rPr>
      </w:pPr>
    </w:p>
    <w:p w14:paraId="722F6E04">
      <w:pPr>
        <w:spacing w:line="360" w:lineRule="auto"/>
        <w:jc w:val="center"/>
        <w:rPr>
          <w:rFonts w:ascii="宋体" w:cs="Times New Roman"/>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 xml:space="preserve">   录</w:t>
      </w:r>
    </w:p>
    <w:p w14:paraId="4B5C8FFB">
      <w:pPr>
        <w:pStyle w:val="32"/>
        <w:tabs>
          <w:tab w:val="right" w:leader="dot" w:pos="9638"/>
        </w:tabs>
        <w:rPr>
          <w:rFonts w:hint="eastAsia" w:ascii="仿宋" w:hAnsi="仿宋" w:eastAsia="仿宋" w:cs="仿宋"/>
          <w:i w:val="0"/>
          <w:iCs w:val="0"/>
          <w:sz w:val="20"/>
          <w:szCs w:val="20"/>
        </w:rPr>
      </w:pPr>
      <w:r>
        <w:rPr>
          <w:rFonts w:hint="eastAsia" w:ascii="仿宋" w:hAnsi="仿宋" w:eastAsia="仿宋" w:cs="仿宋"/>
          <w:b w:val="0"/>
          <w:i w:val="0"/>
          <w:iCs w:val="0"/>
          <w:caps w:val="0"/>
          <w:color w:val="auto"/>
          <w:spacing w:val="80"/>
          <w:sz w:val="20"/>
          <w:szCs w:val="20"/>
          <w:highlight w:val="none"/>
        </w:rPr>
        <w:fldChar w:fldCharType="begin"/>
      </w:r>
      <w:r>
        <w:rPr>
          <w:rFonts w:hint="eastAsia" w:ascii="仿宋" w:hAnsi="仿宋" w:eastAsia="仿宋" w:cs="仿宋"/>
          <w:b w:val="0"/>
          <w:i w:val="0"/>
          <w:iCs w:val="0"/>
          <w:caps w:val="0"/>
          <w:color w:val="auto"/>
          <w:spacing w:val="80"/>
          <w:sz w:val="20"/>
          <w:szCs w:val="20"/>
          <w:highlight w:val="none"/>
        </w:rPr>
        <w:instrText xml:space="preserve"> TOC \o "1-3" \h \z \u </w:instrText>
      </w:r>
      <w:r>
        <w:rPr>
          <w:rFonts w:hint="eastAsia" w:ascii="仿宋" w:hAnsi="仿宋" w:eastAsia="仿宋" w:cs="仿宋"/>
          <w:b w:val="0"/>
          <w:i w:val="0"/>
          <w:iCs w:val="0"/>
          <w:caps w:val="0"/>
          <w:color w:val="auto"/>
          <w:spacing w:val="80"/>
          <w:sz w:val="20"/>
          <w:szCs w:val="20"/>
          <w:highlight w:val="none"/>
        </w:rPr>
        <w:fldChar w:fldCharType="separate"/>
      </w:r>
      <w:r>
        <w:rPr>
          <w:rFonts w:hint="eastAsia" w:ascii="仿宋" w:hAnsi="仿宋" w:eastAsia="仿宋" w:cs="仿宋"/>
          <w:i w:val="0"/>
          <w:iCs w:val="0"/>
          <w:caps w:val="0"/>
          <w:color w:val="auto"/>
          <w:spacing w:val="80"/>
          <w:sz w:val="20"/>
          <w:szCs w:val="20"/>
          <w:highlight w:val="none"/>
        </w:rPr>
        <w:fldChar w:fldCharType="begin"/>
      </w:r>
      <w:r>
        <w:rPr>
          <w:rFonts w:hint="eastAsia" w:ascii="仿宋" w:hAnsi="仿宋" w:eastAsia="仿宋" w:cs="仿宋"/>
          <w:i w:val="0"/>
          <w:iCs w:val="0"/>
          <w:caps w:val="0"/>
          <w:spacing w:val="80"/>
          <w:sz w:val="20"/>
          <w:szCs w:val="20"/>
          <w:highlight w:val="none"/>
        </w:rPr>
        <w:instrText xml:space="preserve"> HYPERLINK \l _Toc24824 </w:instrText>
      </w:r>
      <w:r>
        <w:rPr>
          <w:rFonts w:hint="eastAsia" w:ascii="仿宋" w:hAnsi="仿宋" w:eastAsia="仿宋" w:cs="仿宋"/>
          <w:i w:val="0"/>
          <w:iCs w:val="0"/>
          <w:caps w:val="0"/>
          <w:spacing w:val="80"/>
          <w:sz w:val="20"/>
          <w:szCs w:val="20"/>
          <w:highlight w:val="none"/>
        </w:rPr>
        <w:fldChar w:fldCharType="separate"/>
      </w:r>
      <w:r>
        <w:rPr>
          <w:rFonts w:hint="eastAsia" w:ascii="仿宋" w:hAnsi="仿宋" w:eastAsia="仿宋" w:cs="仿宋"/>
          <w:i w:val="0"/>
          <w:iCs w:val="0"/>
          <w:kern w:val="2"/>
          <w:sz w:val="20"/>
          <w:szCs w:val="20"/>
          <w:highlight w:val="none"/>
        </w:rPr>
        <w:t>第一部分  协议书</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_Toc24824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4</w:t>
      </w:r>
      <w:r>
        <w:rPr>
          <w:rFonts w:hint="eastAsia" w:ascii="仿宋" w:hAnsi="仿宋" w:eastAsia="仿宋" w:cs="仿宋"/>
          <w:i w:val="0"/>
          <w:iCs w:val="0"/>
          <w:sz w:val="20"/>
          <w:szCs w:val="20"/>
        </w:rPr>
        <w:fldChar w:fldCharType="end"/>
      </w:r>
      <w:r>
        <w:rPr>
          <w:rFonts w:hint="eastAsia" w:ascii="仿宋" w:hAnsi="仿宋" w:eastAsia="仿宋" w:cs="仿宋"/>
          <w:i w:val="0"/>
          <w:iCs w:val="0"/>
          <w:caps w:val="0"/>
          <w:color w:val="auto"/>
          <w:spacing w:val="80"/>
          <w:sz w:val="20"/>
          <w:szCs w:val="20"/>
          <w:highlight w:val="none"/>
        </w:rPr>
        <w:fldChar w:fldCharType="end"/>
      </w:r>
    </w:p>
    <w:p w14:paraId="752DC349">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_Toc32627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一、工程概况</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_Toc32627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87A9655">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_Toc29260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二、词语限定</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_Toc29260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3270D01">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_Toc30289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三、组成本合同的文件</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_Toc30289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BCB258E">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_Toc15942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四、总监理工程师</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_Toc15942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C54E9EB">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_Toc27978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五、签约酬金</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_Toc27978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F4D22FC">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_Toc707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bCs/>
          <w:i w:val="0"/>
          <w:iCs w:val="0"/>
          <w:sz w:val="20"/>
          <w:szCs w:val="20"/>
          <w:highlight w:val="none"/>
        </w:rPr>
        <w:t>六、期限</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_Toc707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61DE6E4">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_Toc30013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七、双方承诺</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_Toc30013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19B257A">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_Toc17011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八、合同生效</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_Toc17011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13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CF748D3">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_Toc28607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九、合同份数</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_Toc28607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13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EB8D4F6">
      <w:pPr>
        <w:pStyle w:val="32"/>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_Toc2580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2"/>
          <w:sz w:val="20"/>
          <w:szCs w:val="20"/>
          <w:highlight w:val="none"/>
        </w:rPr>
        <w:t>第二部分  通用条款</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_Toc2580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14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00A3BBE">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_Toc87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1. 定义与解释</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_Toc87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14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AE62C7B">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_Toc2555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2. 监理人的义务</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_Toc2555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16</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9D108E3">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_Toc13114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3．委托人的义务</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_Toc13114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7D14B53">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_Toc683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4. 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_Toc683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64D3A49">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_Toc6592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4.1 监理人的违约责任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_Toc6592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31518CD">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_Toc20341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4.2 委托人的违约责任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_Toc20341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0A9431F">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_Toc23526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4.3 除外责任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_Toc23526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7C6D70A">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_Toc4751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bCs/>
          <w:i w:val="0"/>
          <w:iCs w:val="0"/>
          <w:sz w:val="20"/>
          <w:szCs w:val="20"/>
          <w:highlight w:val="none"/>
        </w:rPr>
        <w:t xml:space="preserve">5. </w:t>
      </w:r>
      <w:r>
        <w:rPr>
          <w:rFonts w:hint="eastAsia" w:ascii="仿宋" w:hAnsi="仿宋" w:eastAsia="仿宋" w:cs="仿宋"/>
          <w:bCs/>
          <w:i w:val="0"/>
          <w:iCs w:val="0"/>
          <w:sz w:val="20"/>
          <w:szCs w:val="20"/>
          <w:highlight w:val="none"/>
          <w:lang w:eastAsia="zh-CN"/>
        </w:rPr>
        <w:t>考核</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_Toc4751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CD715D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_Toc27793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 xml:space="preserve">5.1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货币</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_Toc27793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81532F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_Toc28357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 xml:space="preserve">5.2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申请</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_Toc28357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BF99E5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_Toc22766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 xml:space="preserve">5.3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酬金</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_Toc22766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5216DFD">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_Toc9175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5.4 有争议部分的付款</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_Toc9175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26801B6">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_Toc21465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6. 合同生效、变更、暂停、解除与终止</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_Toc21465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2E475FF">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_Toc19151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6.1生效</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_Toc19151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1372F1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_Toc25965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6.2变更</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_Toc25965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C2F14F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_Toc10289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6.3 暂停与解除</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_Toc10289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E023FBC">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_Toc4820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6.4 终止</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_Toc4820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F30B12E">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_Toc2166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7. 争议解决</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_Toc2166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ED23057">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_Toc24734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7.1协商</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_Toc24734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E6FA9A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_Toc24551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7.2调解</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_Toc24551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3C95B77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_Toc29182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7.3仲裁或诉讼</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_Toc29182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D68964A">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_Toc22104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8. 其他</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_Toc22104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6984AE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_Toc14873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8.1 外出考察费用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_Toc14873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B334182">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_Toc31323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8.2 检测费用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_Toc31323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C4FB30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_Toc23865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8.3 咨询费用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_Toc23865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2ADC2D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_Toc22304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8.4 奖励</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_Toc22304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C8198E0">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_Toc6549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8.5 守法诚信</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_Toc6549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EE5E913">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_Toc15016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8.6 保密</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_Toc15016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88A0655">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_Toc29509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8.7 通知</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_Toc29509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C4EDF2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_Toc13919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8.8 著作权</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_Toc13919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29</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17FBBB7">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_Toc9458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8.9工程获奖奖励</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_Toc9458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29</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93D89C7">
      <w:pPr>
        <w:pStyle w:val="32"/>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_Toc30087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第三部分  专用条款</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_Toc30087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03F6F19">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_Toc8969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总  则</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_Toc8969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B438D43">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_Toc8237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1. 定义与解释</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_Toc8237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3F2354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_Toc11638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1.2  解释</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_Toc11638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0C4FBA8">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_Toc30321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2. 监理人义务</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_Toc30321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6D91B1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_Toc3115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2.1 监理的范围和内容</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_Toc3115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31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3CDAF0C">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_Toc28525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2.2 监理与相关服务依据</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_Toc28525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62</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381A1029">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_Toc13575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2.3项目监理机构和人员</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_Toc13575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62</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7B9ECF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_Toc16388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（一）项目监理机构</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_Toc16388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62</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77AB39C">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_Toc19933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（二）总监理工程师的委派和指令</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_Toc19933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C3156A3">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_Toc4435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2.4 履行职责</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_Toc4435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66</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1E254B2">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_Toc21406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2.5 提交报告</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_Toc21406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716CFBE">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_Toc11176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2.7 使用委托人的财产</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_Toc11176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69</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CE98733">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_Toc14330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2.8履约担保</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_Toc14330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69</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2586BE5">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_Toc16932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3. 委托人义务</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_Toc16932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69</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42B343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_Toc4344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3.4 委托人代表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_Toc4344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70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838564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_Toc11378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3.6 答复</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_Toc11378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70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8E1E887">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_Toc4689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 xml:space="preserve">3.8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担保</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_Toc4689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70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58C60A7">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_Toc1853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4. 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_Toc1853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70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60926A2">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_Toc1679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4.1 监理人的违约责任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_Toc1679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70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E076125">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_Toc14665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4.2 委托人的违约责任</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_Toc14665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80</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C34BA94">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_Toc28225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bCs/>
          <w:i w:val="0"/>
          <w:iCs w:val="0"/>
          <w:sz w:val="20"/>
          <w:szCs w:val="20"/>
          <w:highlight w:val="none"/>
        </w:rPr>
        <w:t xml:space="preserve">5. </w:t>
      </w:r>
      <w:r>
        <w:rPr>
          <w:rFonts w:hint="eastAsia" w:ascii="仿宋" w:hAnsi="仿宋" w:eastAsia="仿宋" w:cs="仿宋"/>
          <w:bCs/>
          <w:i w:val="0"/>
          <w:iCs w:val="0"/>
          <w:sz w:val="20"/>
          <w:szCs w:val="20"/>
          <w:highlight w:val="none"/>
          <w:lang w:eastAsia="zh-CN"/>
        </w:rPr>
        <w:t>考核</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_Toc28225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4F617F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_Toc2647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 xml:space="preserve">5.1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货币</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_Toc2647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A87BF9C">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_Toc24008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 xml:space="preserve">5.3 </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酬金</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_Toc24008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81</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30965B4">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_Toc8775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（4）其它</w:t>
      </w:r>
      <w:r>
        <w:rPr>
          <w:rFonts w:hint="eastAsia" w:ascii="仿宋" w:hAnsi="仿宋" w:eastAsia="仿宋" w:cs="仿宋"/>
          <w:i w:val="0"/>
          <w:iCs w:val="0"/>
          <w:sz w:val="20"/>
          <w:szCs w:val="20"/>
          <w:highlight w:val="none"/>
          <w:lang w:eastAsia="zh-CN"/>
        </w:rPr>
        <w:t>考核</w:t>
      </w:r>
      <w:r>
        <w:rPr>
          <w:rFonts w:hint="eastAsia" w:ascii="仿宋" w:hAnsi="仿宋" w:eastAsia="仿宋" w:cs="仿宋"/>
          <w:i w:val="0"/>
          <w:iCs w:val="0"/>
          <w:sz w:val="20"/>
          <w:szCs w:val="20"/>
          <w:highlight w:val="none"/>
        </w:rPr>
        <w:t xml:space="preserve">方式 </w:t>
      </w:r>
      <w:r>
        <w:rPr>
          <w:rFonts w:hint="eastAsia" w:ascii="仿宋" w:hAnsi="仿宋" w:eastAsia="仿宋" w:cs="仿宋"/>
          <w:bCs/>
          <w:i w:val="0"/>
          <w:iCs w:val="0"/>
          <w:sz w:val="20"/>
          <w:szCs w:val="20"/>
          <w:highlight w:val="none"/>
        </w:rPr>
        <w:t xml:space="preserve"> </w:t>
      </w:r>
      <w:r>
        <w:rPr>
          <w:rFonts w:hint="eastAsia" w:ascii="仿宋" w:hAnsi="仿宋" w:eastAsia="仿宋" w:cs="仿宋"/>
          <w:bCs/>
          <w:i w:val="0"/>
          <w:iCs w:val="0"/>
          <w:sz w:val="20"/>
          <w:szCs w:val="20"/>
          <w:highlight w:val="none"/>
          <w:lang w:val="en-US" w:eastAsia="zh-CN"/>
        </w:rPr>
        <w:t xml:space="preserve">    </w:t>
      </w:r>
      <w:r>
        <w:rPr>
          <w:rFonts w:hint="eastAsia" w:ascii="仿宋" w:hAnsi="仿宋" w:eastAsia="仿宋" w:cs="仿宋"/>
          <w:i w:val="0"/>
          <w:iCs w:val="0"/>
          <w:sz w:val="20"/>
          <w:szCs w:val="20"/>
          <w:highlight w:val="none"/>
          <w:lang w:val="en-US" w:eastAsia="zh-CN"/>
        </w:rPr>
        <w:t>/</w:t>
      </w:r>
      <w:r>
        <w:rPr>
          <w:rFonts w:hint="eastAsia" w:ascii="仿宋" w:hAnsi="仿宋" w:eastAsia="仿宋" w:cs="仿宋"/>
          <w:i w:val="0"/>
          <w:iCs w:val="0"/>
          <w:sz w:val="20"/>
          <w:szCs w:val="20"/>
          <w:highlight w:val="none"/>
        </w:rPr>
        <w:t xml:space="preserve"> </w:t>
      </w:r>
      <w:r>
        <w:rPr>
          <w:rFonts w:hint="eastAsia" w:ascii="仿宋" w:hAnsi="仿宋" w:eastAsia="仿宋" w:cs="仿宋"/>
          <w:bCs/>
          <w:i w:val="0"/>
          <w:iCs w:val="0"/>
          <w:sz w:val="20"/>
          <w:szCs w:val="20"/>
          <w:highlight w:val="none"/>
          <w:lang w:val="en-US" w:eastAsia="zh-CN"/>
        </w:rPr>
        <w:t xml:space="preserve">      </w:t>
      </w:r>
      <w:r>
        <w:rPr>
          <w:rFonts w:hint="eastAsia" w:ascii="仿宋" w:hAnsi="仿宋" w:eastAsia="仿宋" w:cs="仿宋"/>
          <w:i w:val="0"/>
          <w:iCs w:val="0"/>
          <w:sz w:val="20"/>
          <w:szCs w:val="20"/>
          <w:highlight w:val="none"/>
        </w:rPr>
        <w:t xml:space="preserve"> 。</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_Toc8775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82</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281D420">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_Toc13958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6. 合同生效、变更、暂停、解除与终止</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_Toc13958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670FBC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_Toc14857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6.1 生效</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_Toc14857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F7E712F">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_Toc32366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kern w:val="0"/>
          <w:sz w:val="20"/>
          <w:szCs w:val="20"/>
          <w:highlight w:val="none"/>
        </w:rPr>
        <w:t>★</w:t>
      </w:r>
      <w:r>
        <w:rPr>
          <w:rFonts w:hint="eastAsia" w:ascii="仿宋" w:hAnsi="仿宋" w:eastAsia="仿宋" w:cs="仿宋"/>
          <w:i w:val="0"/>
          <w:iCs w:val="0"/>
          <w:sz w:val="20"/>
          <w:szCs w:val="20"/>
          <w:highlight w:val="none"/>
        </w:rPr>
        <w:t>6.2 变更</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_Toc32366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06161EC">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_Toc21857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7. 争议解决</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_Toc21857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84</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7813207">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_Toc29010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7.2 调解</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_Toc29010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6BBB881">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_Toc21390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7.3 仲裁或诉讼</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_Toc21390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172AAF8">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_Toc351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8. 其他</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_Toc351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425AEBE">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_Toc22091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8.2 检测费用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_Toc22091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4EF2B06">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_Toc26783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8.3 咨询费用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_Toc26783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9FA0179">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_Toc14793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8.4 奖励</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_Toc14793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5E185578">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_Toc15237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8.6 保密</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_Toc15237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73D8CCF9">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_Toc28054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8.8著作权</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_Toc28054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85</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25483139">
      <w:pPr>
        <w:pStyle w:val="24"/>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_Toc11460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8.9工程获奖奖励</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_Toc11460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86</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596AA16">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_Toc15750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bCs/>
          <w:i w:val="0"/>
          <w:iCs w:val="0"/>
          <w:sz w:val="20"/>
          <w:szCs w:val="20"/>
          <w:highlight w:val="none"/>
        </w:rPr>
        <w:t>9. 补充条款</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_Toc15750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86</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47FD49F5">
      <w:pPr>
        <w:pStyle w:val="32"/>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_Toc29960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附录第四篇  合同附件</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_Toc29960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87</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08D9C9EA">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_Toc21276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附件1：工程建设廉洁协议书</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_Toc21276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88</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6CED15B3">
      <w:pPr>
        <w:pStyle w:val="37"/>
        <w:tabs>
          <w:tab w:val="right" w:leader="dot" w:pos="9638"/>
        </w:tabs>
        <w:rPr>
          <w:rFonts w:hint="eastAsia" w:ascii="仿宋" w:hAnsi="仿宋" w:eastAsia="仿宋" w:cs="仿宋"/>
          <w:i w:val="0"/>
          <w:iCs w:val="0"/>
          <w:sz w:val="20"/>
          <w:szCs w:val="20"/>
        </w:rPr>
      </w:pPr>
      <w:r>
        <w:rPr>
          <w:rFonts w:hint="eastAsia" w:ascii="仿宋" w:hAnsi="仿宋" w:eastAsia="仿宋" w:cs="仿宋"/>
          <w:i w:val="0"/>
          <w:iCs w:val="0"/>
          <w:caps/>
          <w:color w:val="auto"/>
          <w:spacing w:val="80"/>
          <w:sz w:val="20"/>
          <w:szCs w:val="20"/>
          <w:highlight w:val="none"/>
        </w:rPr>
        <w:fldChar w:fldCharType="begin"/>
      </w:r>
      <w:r>
        <w:rPr>
          <w:rFonts w:hint="eastAsia" w:ascii="仿宋" w:hAnsi="仿宋" w:eastAsia="仿宋" w:cs="仿宋"/>
          <w:i w:val="0"/>
          <w:iCs w:val="0"/>
          <w:caps/>
          <w:spacing w:val="80"/>
          <w:sz w:val="20"/>
          <w:szCs w:val="20"/>
          <w:highlight w:val="none"/>
        </w:rPr>
        <w:instrText xml:space="preserve"> HYPERLINK \l _Toc9543 </w:instrText>
      </w:r>
      <w:r>
        <w:rPr>
          <w:rFonts w:hint="eastAsia" w:ascii="仿宋" w:hAnsi="仿宋" w:eastAsia="仿宋" w:cs="仿宋"/>
          <w:i w:val="0"/>
          <w:iCs w:val="0"/>
          <w:caps/>
          <w:spacing w:val="80"/>
          <w:sz w:val="20"/>
          <w:szCs w:val="20"/>
          <w:highlight w:val="none"/>
        </w:rPr>
        <w:fldChar w:fldCharType="separate"/>
      </w:r>
      <w:r>
        <w:rPr>
          <w:rFonts w:hint="eastAsia" w:ascii="仿宋" w:hAnsi="仿宋" w:eastAsia="仿宋" w:cs="仿宋"/>
          <w:i w:val="0"/>
          <w:iCs w:val="0"/>
          <w:sz w:val="20"/>
          <w:szCs w:val="20"/>
          <w:highlight w:val="none"/>
        </w:rPr>
        <w:t>附件2：监理酬金量化考核考核方式表</w:t>
      </w:r>
      <w:r>
        <w:rPr>
          <w:rFonts w:hint="eastAsia" w:ascii="仿宋" w:hAnsi="仿宋" w:eastAsia="仿宋" w:cs="仿宋"/>
          <w:i w:val="0"/>
          <w:iCs w:val="0"/>
          <w:sz w:val="20"/>
          <w:szCs w:val="20"/>
        </w:rPr>
        <w:tab/>
      </w:r>
      <w:r>
        <w:rPr>
          <w:rFonts w:hint="eastAsia" w:ascii="仿宋" w:hAnsi="仿宋" w:eastAsia="仿宋" w:cs="仿宋"/>
          <w:i w:val="0"/>
          <w:iCs w:val="0"/>
          <w:sz w:val="20"/>
          <w:szCs w:val="20"/>
        </w:rPr>
        <w:fldChar w:fldCharType="begin"/>
      </w:r>
      <w:r>
        <w:rPr>
          <w:rFonts w:hint="eastAsia" w:ascii="仿宋" w:hAnsi="仿宋" w:eastAsia="仿宋" w:cs="仿宋"/>
          <w:i w:val="0"/>
          <w:iCs w:val="0"/>
          <w:sz w:val="20"/>
          <w:szCs w:val="20"/>
        </w:rPr>
        <w:instrText xml:space="preserve"> PAGEREF _Toc9543 \h </w:instrText>
      </w:r>
      <w:r>
        <w:rPr>
          <w:rFonts w:hint="eastAsia" w:ascii="仿宋" w:hAnsi="仿宋" w:eastAsia="仿宋" w:cs="仿宋"/>
          <w:i w:val="0"/>
          <w:iCs w:val="0"/>
          <w:sz w:val="20"/>
          <w:szCs w:val="20"/>
        </w:rPr>
        <w:fldChar w:fldCharType="separate"/>
      </w:r>
      <w:r>
        <w:rPr>
          <w:rFonts w:hint="eastAsia" w:ascii="仿宋" w:hAnsi="仿宋" w:eastAsia="仿宋" w:cs="仿宋"/>
          <w:i w:val="0"/>
          <w:iCs w:val="0"/>
          <w:sz w:val="20"/>
          <w:szCs w:val="20"/>
        </w:rPr>
        <w:t>93</w:t>
      </w:r>
      <w:r>
        <w:rPr>
          <w:rFonts w:hint="eastAsia" w:ascii="仿宋" w:hAnsi="仿宋" w:eastAsia="仿宋" w:cs="仿宋"/>
          <w:i w:val="0"/>
          <w:iCs w:val="0"/>
          <w:sz w:val="20"/>
          <w:szCs w:val="20"/>
        </w:rPr>
        <w:fldChar w:fldCharType="end"/>
      </w:r>
      <w:r>
        <w:rPr>
          <w:rFonts w:hint="eastAsia" w:ascii="仿宋" w:hAnsi="仿宋" w:eastAsia="仿宋" w:cs="仿宋"/>
          <w:i w:val="0"/>
          <w:iCs w:val="0"/>
          <w:caps/>
          <w:color w:val="auto"/>
          <w:spacing w:val="80"/>
          <w:sz w:val="20"/>
          <w:szCs w:val="20"/>
          <w:highlight w:val="none"/>
        </w:rPr>
        <w:fldChar w:fldCharType="end"/>
      </w:r>
    </w:p>
    <w:p w14:paraId="179C6B25">
      <w:pPr>
        <w:tabs>
          <w:tab w:val="left" w:pos="3120"/>
        </w:tabs>
        <w:spacing w:line="360" w:lineRule="auto"/>
        <w:ind w:firstLine="2160" w:firstLineChars="600"/>
        <w:rPr>
          <w:rFonts w:ascii="华文中宋" w:hAnsi="华文中宋" w:eastAsia="华文中宋" w:cs="Times New Roman"/>
          <w:caps/>
          <w:color w:val="auto"/>
          <w:spacing w:val="80"/>
          <w:sz w:val="28"/>
          <w:szCs w:val="28"/>
          <w:highlight w:val="none"/>
        </w:rPr>
        <w:sectPr>
          <w:footerReference r:id="rId5" w:type="first"/>
          <w:headerReference r:id="rId3" w:type="default"/>
          <w:footerReference r:id="rId4" w:type="default"/>
          <w:pgSz w:w="11906" w:h="16838"/>
          <w:pgMar w:top="1440" w:right="1134" w:bottom="1440" w:left="1134" w:header="851" w:footer="992" w:gutter="0"/>
          <w:pgNumType w:start="0"/>
          <w:cols w:space="720" w:num="1"/>
          <w:titlePg/>
          <w:docGrid w:type="lines" w:linePitch="312" w:charSpace="0"/>
        </w:sectPr>
      </w:pPr>
      <w:r>
        <w:rPr>
          <w:rFonts w:hint="eastAsia" w:ascii="仿宋" w:hAnsi="仿宋" w:eastAsia="仿宋" w:cs="仿宋"/>
          <w:i w:val="0"/>
          <w:iCs w:val="0"/>
          <w:caps/>
          <w:color w:val="auto"/>
          <w:spacing w:val="80"/>
          <w:sz w:val="20"/>
          <w:szCs w:val="20"/>
          <w:highlight w:val="none"/>
        </w:rPr>
        <w:fldChar w:fldCharType="end"/>
      </w:r>
    </w:p>
    <w:p w14:paraId="39610ED4">
      <w:pPr>
        <w:spacing w:line="640" w:lineRule="exact"/>
        <w:jc w:val="center"/>
        <w:rPr>
          <w:rFonts w:ascii="仿宋" w:hAnsi="仿宋" w:eastAsia="仿宋" w:cs="宋体"/>
          <w:b/>
          <w:bCs/>
          <w:color w:val="auto"/>
          <w:sz w:val="36"/>
          <w:szCs w:val="36"/>
          <w:highlight w:val="none"/>
        </w:rPr>
      </w:pPr>
      <w:r>
        <w:rPr>
          <w:rFonts w:hint="eastAsia" w:ascii="仿宋" w:hAnsi="仿宋" w:eastAsia="仿宋" w:cs="宋体"/>
          <w:b/>
          <w:bCs/>
          <w:color w:val="auto"/>
          <w:sz w:val="36"/>
          <w:szCs w:val="36"/>
          <w:highlight w:val="none"/>
        </w:rPr>
        <w:t>总</w:t>
      </w:r>
      <w:r>
        <w:rPr>
          <w:rFonts w:ascii="仿宋" w:hAnsi="仿宋" w:eastAsia="仿宋" w:cs="宋体"/>
          <w:b/>
          <w:bCs/>
          <w:color w:val="auto"/>
          <w:sz w:val="36"/>
          <w:szCs w:val="36"/>
          <w:highlight w:val="none"/>
        </w:rPr>
        <w:t xml:space="preserve"> </w:t>
      </w:r>
      <w:r>
        <w:rPr>
          <w:rFonts w:hint="eastAsia" w:ascii="仿宋" w:hAnsi="仿宋" w:eastAsia="仿宋" w:cs="宋体"/>
          <w:b/>
          <w:bCs/>
          <w:color w:val="auto"/>
          <w:sz w:val="36"/>
          <w:szCs w:val="36"/>
          <w:highlight w:val="none"/>
        </w:rPr>
        <w:t>说</w:t>
      </w:r>
      <w:r>
        <w:rPr>
          <w:rFonts w:ascii="仿宋" w:hAnsi="仿宋" w:eastAsia="仿宋" w:cs="宋体"/>
          <w:b/>
          <w:bCs/>
          <w:color w:val="auto"/>
          <w:sz w:val="36"/>
          <w:szCs w:val="36"/>
          <w:highlight w:val="none"/>
        </w:rPr>
        <w:t xml:space="preserve"> </w:t>
      </w:r>
      <w:r>
        <w:rPr>
          <w:rFonts w:hint="eastAsia" w:ascii="仿宋" w:hAnsi="仿宋" w:eastAsia="仿宋" w:cs="宋体"/>
          <w:b/>
          <w:bCs/>
          <w:color w:val="auto"/>
          <w:sz w:val="36"/>
          <w:szCs w:val="36"/>
          <w:highlight w:val="none"/>
        </w:rPr>
        <w:t>明</w:t>
      </w:r>
    </w:p>
    <w:p w14:paraId="09455AC2">
      <w:pPr>
        <w:tabs>
          <w:tab w:val="left" w:pos="3120"/>
        </w:tabs>
        <w:spacing w:line="360" w:lineRule="auto"/>
        <w:ind w:firstLine="2650" w:firstLineChars="600"/>
        <w:outlineLvl w:val="0"/>
        <w:rPr>
          <w:rFonts w:ascii="宋体" w:cs="Times New Roman"/>
          <w:b/>
          <w:bCs/>
          <w:color w:val="auto"/>
          <w:sz w:val="44"/>
          <w:szCs w:val="44"/>
          <w:highlight w:val="none"/>
        </w:rPr>
      </w:pPr>
    </w:p>
    <w:p w14:paraId="16850AE3">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为了指导建设工程监理合同当事人的签约行为，维护合同当事人的合法权益，依据《中华人民共和国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》、《中华人民共和国建筑法》、《中华人民共和国招标投标法》以及相关法律法规，广州市住房和城乡建设局、广州市市场监督管理局联合制定了合同示范文本《广州市建设工程监理合同》（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）。为了便于合同当事人使用《广州市建设工程监理合同》（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），现就有关问题说明如下：</w:t>
      </w:r>
    </w:p>
    <w:p w14:paraId="6D1F21F3">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一、项目业主首要责任制</w:t>
      </w:r>
    </w:p>
    <w:p w14:paraId="41268B39">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施工图审查备案、质量安全监督等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14:paraId="53FA1FE1">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二、《广州市建设工程监理合同》（</w:t>
      </w:r>
      <w:r>
        <w:rPr>
          <w:rFonts w:ascii="仿宋" w:hAnsi="仿宋" w:eastAsia="仿宋" w:cs="仿宋"/>
          <w:color w:val="auto"/>
          <w:sz w:val="24"/>
          <w:szCs w:val="24"/>
          <w:highlight w:val="none"/>
        </w:rPr>
        <w:t>SF-2019-0206</w:t>
      </w:r>
      <w:r>
        <w:rPr>
          <w:rFonts w:hint="eastAsia" w:ascii="仿宋" w:hAnsi="仿宋" w:eastAsia="仿宋" w:cs="仿宋"/>
          <w:color w:val="auto"/>
          <w:sz w:val="24"/>
          <w:szCs w:val="24"/>
          <w:highlight w:val="none"/>
        </w:rPr>
        <w:t>）的组成</w:t>
      </w:r>
    </w:p>
    <w:p w14:paraId="5A567C67">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《广州市建设工程监理合同》（SF-2019-0206）由协议书、通用条款和专用条款三部分组成。</w:t>
      </w:r>
    </w:p>
    <w:p w14:paraId="22C99E0E">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（一）协议书</w:t>
      </w:r>
    </w:p>
    <w:p w14:paraId="15AEA4ED">
      <w:pPr>
        <w:spacing w:line="640" w:lineRule="exact"/>
        <w:ind w:left="147" w:leftChars="7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《广州市建设工程监理合同》（SF-2019-0206）协议书集中约定了合同当事人基本的合同权利义务。</w:t>
      </w:r>
    </w:p>
    <w:p w14:paraId="78E2D392">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（二）通用条款</w:t>
      </w:r>
    </w:p>
    <w:p w14:paraId="45F30DFC">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通用条款是合同当事人根据《中华人民共和国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》、《中华人民共和国建筑法》等法律法规的规定，就工程监理的实施及相关事项，对合同当事人的权利义务做出的原则性约定。</w:t>
      </w:r>
    </w:p>
    <w:p w14:paraId="3220184F">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通用条款既考虑了现行法律法规对工程发承包计价的有关要求，也考虑了工程监理管理的特殊需要。</w:t>
      </w:r>
    </w:p>
    <w:p w14:paraId="13CDC9AB">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（三）专用条款</w:t>
      </w:r>
    </w:p>
    <w:p w14:paraId="223AD674">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14:paraId="6854FD27">
      <w:pPr>
        <w:spacing w:line="640" w:lineRule="exact"/>
        <w:ind w:right="25" w:rightChars="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1.专用条款的编号应与相应的通用条款的编号一致；</w:t>
      </w:r>
    </w:p>
    <w:p w14:paraId="652D3B78">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2.合同当事人可以通过对专用条款的修改，满足具体工程的特殊要求，避免直接修改通用条款；</w:t>
      </w:r>
    </w:p>
    <w:p w14:paraId="3C17FE5F">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3.在专用条款中有横道线的地方，合同当事人可针对相应的通用条款进行细化、完善、补充、修改或另行约定；如无细化、完善、补充、修改或另行约定，则填写“无”或划“/”。</w:t>
      </w:r>
    </w:p>
    <w:p w14:paraId="3B2885AB">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三、《广州市建设工程监理合同》（SF-2019-0206）的适用范围</w:t>
      </w:r>
    </w:p>
    <w:p w14:paraId="752841E0">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SF-2019-0206）适用于广州市行政区域内建设工程的新建、扩建、改建、装修、修缮等项目监理服务的合同订立。其中，通用条款中带★号的条文，其内容是完整不可分割的，原则上应不进行删减，只能在专用条款中根据实际情况选择或在不违反原条款实质的前提下增加细化内容。其他内容合同当事人可结合建设工程具体情况，按照法律法规规定，根据《广州市建设工程监理合同》（SF-2019-0206）的内容，约定双方具体的权利义务。</w:t>
      </w:r>
    </w:p>
    <w:p w14:paraId="6C8A99A7">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四、其他事项</w:t>
      </w:r>
    </w:p>
    <w:p w14:paraId="4DD4A475">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《广州市建设工程监理合同》（SF-2019-0206）专用条款中的“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”条款，在签订合同时优先选择本合同中已列的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方式，如选择“其它</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方式”，需以合同附件的形式予以说明原因。</w:t>
      </w:r>
    </w:p>
    <w:p w14:paraId="70DB6D10">
      <w:pPr>
        <w:tabs>
          <w:tab w:val="left" w:pos="3120"/>
        </w:tabs>
        <w:spacing w:line="360" w:lineRule="auto"/>
        <w:ind w:firstLine="424" w:firstLineChars="176"/>
        <w:outlineLvl w:val="0"/>
        <w:rPr>
          <w:rFonts w:hint="eastAsia" w:ascii="仿宋" w:hAnsi="仿宋" w:eastAsia="仿宋" w:cs="仿宋"/>
          <w:b/>
          <w:bCs/>
          <w:color w:val="auto"/>
          <w:sz w:val="24"/>
          <w:szCs w:val="24"/>
          <w:highlight w:val="none"/>
        </w:rPr>
      </w:pPr>
    </w:p>
    <w:p w14:paraId="17739AD3">
      <w:pPr>
        <w:widowControl/>
        <w:jc w:val="left"/>
        <w:rPr>
          <w:rFonts w:hint="eastAsia" w:ascii="仿宋" w:hAnsi="仿宋" w:eastAsia="仿宋" w:cs="仿宋"/>
          <w:b/>
          <w:bCs/>
          <w:color w:val="auto"/>
          <w:sz w:val="32"/>
          <w:szCs w:val="32"/>
          <w:highlight w:val="none"/>
        </w:rPr>
        <w:sectPr>
          <w:footerReference r:id="rId6" w:type="default"/>
          <w:pgSz w:w="11906" w:h="16838"/>
          <w:pgMar w:top="1440" w:right="1797" w:bottom="1440" w:left="1797" w:header="851" w:footer="992" w:gutter="0"/>
          <w:pgNumType w:start="1"/>
          <w:cols w:space="720" w:num="1"/>
          <w:titlePg/>
          <w:docGrid w:type="lines" w:linePitch="312" w:charSpace="0"/>
        </w:sectPr>
      </w:pPr>
    </w:p>
    <w:p w14:paraId="6145BA75">
      <w:pPr>
        <w:pStyle w:val="7"/>
        <w:jc w:val="center"/>
        <w:rPr>
          <w:rFonts w:hAnsi="宋体" w:cs="Times New Roman"/>
          <w:b/>
          <w:color w:val="auto"/>
          <w:kern w:val="2"/>
          <w:sz w:val="36"/>
          <w:szCs w:val="22"/>
          <w:highlight w:val="none"/>
        </w:rPr>
      </w:pPr>
      <w:bookmarkStart w:id="1" w:name="_Toc24824"/>
      <w:r>
        <w:rPr>
          <w:rFonts w:hint="eastAsia" w:hAnsi="宋体" w:cs="Times New Roman"/>
          <w:b/>
          <w:color w:val="auto"/>
          <w:kern w:val="2"/>
          <w:sz w:val="36"/>
          <w:szCs w:val="22"/>
          <w:highlight w:val="none"/>
        </w:rPr>
        <w:t>第一部分</w:t>
      </w:r>
      <w:r>
        <w:rPr>
          <w:rFonts w:hAnsi="宋体" w:cs="Times New Roman"/>
          <w:b/>
          <w:color w:val="auto"/>
          <w:kern w:val="2"/>
          <w:sz w:val="36"/>
          <w:szCs w:val="22"/>
          <w:highlight w:val="none"/>
        </w:rPr>
        <w:t xml:space="preserve">  </w:t>
      </w:r>
      <w:r>
        <w:rPr>
          <w:rFonts w:hint="eastAsia" w:hAnsi="宋体" w:cs="Times New Roman"/>
          <w:b/>
          <w:color w:val="auto"/>
          <w:kern w:val="2"/>
          <w:sz w:val="36"/>
          <w:szCs w:val="22"/>
          <w:highlight w:val="none"/>
        </w:rPr>
        <w:t>协议书</w:t>
      </w:r>
      <w:bookmarkEnd w:id="1"/>
    </w:p>
    <w:p w14:paraId="762FFB8A">
      <w:pPr>
        <w:adjustRightInd w:val="0"/>
        <w:snapToGrid w:val="0"/>
        <w:spacing w:line="360" w:lineRule="auto"/>
        <w:ind w:firstLine="326" w:firstLineChars="250"/>
        <w:rPr>
          <w:rFonts w:ascii="仿宋_GB2312" w:hAnsi="宋体" w:eastAsia="仿宋_GB2312" w:cs="Times New Roman"/>
          <w:b/>
          <w:bCs/>
          <w:color w:val="auto"/>
          <w:sz w:val="13"/>
          <w:szCs w:val="13"/>
          <w:highlight w:val="none"/>
        </w:rPr>
      </w:pPr>
    </w:p>
    <w:p w14:paraId="47D8FAEB">
      <w:pPr>
        <w:adjustRightInd w:val="0"/>
        <w:snapToGrid w:val="0"/>
        <w:spacing w:line="640" w:lineRule="exact"/>
        <w:ind w:firstLine="480" w:firstLineChars="200"/>
        <w:rPr>
          <w:rFonts w:ascii="仿宋" w:hAnsi="仿宋" w:eastAsia="仿宋" w:cs="Times New Roman"/>
          <w:bCs/>
          <w:color w:val="auto"/>
          <w:sz w:val="24"/>
          <w:szCs w:val="24"/>
          <w:highlight w:val="none"/>
        </w:rPr>
      </w:pPr>
      <w:r>
        <w:rPr>
          <w:rFonts w:hint="eastAsia" w:ascii="仿宋" w:hAnsi="仿宋" w:eastAsia="仿宋" w:cs="仿宋"/>
          <w:bCs/>
          <w:color w:val="auto"/>
          <w:sz w:val="24"/>
          <w:szCs w:val="24"/>
          <w:highlight w:val="none"/>
        </w:rPr>
        <w:t>委托人（</w:t>
      </w:r>
      <w:r>
        <w:rPr>
          <w:rFonts w:hint="eastAsia" w:ascii="仿宋" w:hAnsi="仿宋" w:eastAsia="仿宋" w:cs="Times New Roman"/>
          <w:color w:val="auto"/>
          <w:sz w:val="24"/>
          <w:szCs w:val="22"/>
          <w:highlight w:val="none"/>
        </w:rPr>
        <w:t>甲方</w:t>
      </w:r>
      <w:r>
        <w:rPr>
          <w:rFonts w:hint="eastAsia" w:ascii="仿宋" w:hAnsi="仿宋" w:eastAsia="仿宋" w:cs="仿宋"/>
          <w:bCs/>
          <w:color w:val="auto"/>
          <w:sz w:val="24"/>
          <w:szCs w:val="24"/>
          <w:highlight w:val="none"/>
        </w:rPr>
        <w:t>）：</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广州市荔湾区建设工程项目代建中心</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p>
    <w:p w14:paraId="531432A3">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bCs/>
          <w:color w:val="auto"/>
          <w:sz w:val="24"/>
          <w:szCs w:val="24"/>
          <w:highlight w:val="none"/>
        </w:rPr>
        <w:t>监理人（乙方）：</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ascii="仿宋" w:hAnsi="仿宋" w:eastAsia="仿宋" w:cs="仿宋"/>
          <w:bCs/>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7A724A68">
      <w:pPr>
        <w:adjustRightInd w:val="0"/>
        <w:snapToGrid w:val="0"/>
        <w:spacing w:line="64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》、《中华人民共和国建筑法》及其他有关法律、法规，遵循平等、自愿、公平和诚信的原则，双方就下述工程委托监理与相关服务事项协商一致，订立本合同。</w:t>
      </w:r>
    </w:p>
    <w:p w14:paraId="0161A89C">
      <w:pPr>
        <w:spacing w:line="640" w:lineRule="exact"/>
        <w:outlineLvl w:val="1"/>
        <w:rPr>
          <w:rFonts w:ascii="仿宋" w:hAnsi="仿宋" w:eastAsia="仿宋" w:cs="Times New Roman"/>
          <w:b/>
          <w:bCs/>
          <w:color w:val="auto"/>
          <w:sz w:val="28"/>
          <w:szCs w:val="28"/>
          <w:highlight w:val="none"/>
        </w:rPr>
      </w:pPr>
      <w:bookmarkStart w:id="2" w:name="_Toc32627"/>
      <w:r>
        <w:rPr>
          <w:rFonts w:hint="eastAsia" w:ascii="仿宋" w:hAnsi="仿宋" w:eastAsia="仿宋" w:cs="仿宋"/>
          <w:b/>
          <w:bCs/>
          <w:color w:val="auto"/>
          <w:sz w:val="28"/>
          <w:szCs w:val="28"/>
          <w:highlight w:val="none"/>
        </w:rPr>
        <w:t>一、工程概况</w:t>
      </w:r>
      <w:bookmarkEnd w:id="2"/>
    </w:p>
    <w:p w14:paraId="1BB6FE10">
      <w:pPr>
        <w:adjustRightInd w:val="0"/>
        <w:snapToGrid w:val="0"/>
        <w:spacing w:line="640" w:lineRule="exact"/>
        <w:ind w:firstLine="475" w:firstLineChars="198"/>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立项批文编号或广东省企业基本建设投资项目备案证备案项目编号：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p>
    <w:p w14:paraId="56D49649">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p>
    <w:p w14:paraId="573A10D8">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工程规模：</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4DAEA296">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投资金额：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31A5BA81">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资金来源：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财政资金</w:t>
      </w:r>
      <w:r>
        <w:rPr>
          <w:rFonts w:hint="eastAsia" w:ascii="仿宋" w:hAnsi="仿宋" w:eastAsia="仿宋" w:cs="仿宋"/>
          <w:color w:val="auto"/>
          <w:sz w:val="24"/>
          <w:szCs w:val="24"/>
          <w:highlight w:val="none"/>
          <w:u w:val="single"/>
          <w:lang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5805C766">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建设工期或周期：</w:t>
      </w:r>
      <w:r>
        <w:rPr>
          <w:rFonts w:hint="eastAsia" w:ascii="仿宋" w:hAnsi="仿宋" w:eastAsia="仿宋" w:cs="仿宋"/>
          <w:color w:val="auto"/>
          <w:sz w:val="24"/>
          <w:szCs w:val="24"/>
          <w:highlight w:val="none"/>
          <w:u w:val="single"/>
          <w:lang w:val="en-US" w:eastAsia="zh-CN"/>
        </w:rPr>
        <w:t>日历天</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2E1A3DB1">
      <w:pPr>
        <w:adjustRightInd w:val="0"/>
        <w:snapToGrid w:val="0"/>
        <w:spacing w:line="640" w:lineRule="exact"/>
        <w:ind w:firstLine="475" w:firstLineChars="198"/>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其他：</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796C9786">
      <w:pPr>
        <w:spacing w:line="640" w:lineRule="exact"/>
        <w:outlineLvl w:val="1"/>
        <w:rPr>
          <w:rFonts w:ascii="仿宋" w:hAnsi="仿宋" w:eastAsia="仿宋" w:cs="Times New Roman"/>
          <w:b/>
          <w:bCs/>
          <w:color w:val="auto"/>
          <w:sz w:val="28"/>
          <w:szCs w:val="28"/>
          <w:highlight w:val="none"/>
        </w:rPr>
      </w:pPr>
      <w:bookmarkStart w:id="3" w:name="_Toc29260"/>
      <w:r>
        <w:rPr>
          <w:rFonts w:hint="eastAsia" w:ascii="仿宋" w:hAnsi="仿宋" w:eastAsia="仿宋" w:cs="仿宋"/>
          <w:b/>
          <w:bCs/>
          <w:color w:val="auto"/>
          <w:sz w:val="28"/>
          <w:szCs w:val="28"/>
          <w:highlight w:val="none"/>
        </w:rPr>
        <w:t>二、词语限定</w:t>
      </w:r>
      <w:bookmarkEnd w:id="3"/>
    </w:p>
    <w:p w14:paraId="0A58D4D9">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协议书中相关词语的含义与通用条款中的定义与解释相同。</w:t>
      </w:r>
    </w:p>
    <w:p w14:paraId="6C7A6654">
      <w:pPr>
        <w:spacing w:line="640" w:lineRule="exact"/>
        <w:outlineLvl w:val="1"/>
        <w:rPr>
          <w:rFonts w:ascii="仿宋" w:hAnsi="仿宋" w:eastAsia="仿宋" w:cs="Times New Roman"/>
          <w:b/>
          <w:bCs/>
          <w:color w:val="auto"/>
          <w:sz w:val="28"/>
          <w:szCs w:val="28"/>
          <w:highlight w:val="none"/>
        </w:rPr>
      </w:pPr>
      <w:bookmarkStart w:id="4" w:name="_Toc30289"/>
      <w:r>
        <w:rPr>
          <w:rFonts w:hint="eastAsia" w:ascii="仿宋" w:hAnsi="仿宋" w:eastAsia="仿宋" w:cs="仿宋"/>
          <w:b/>
          <w:bCs/>
          <w:color w:val="auto"/>
          <w:sz w:val="28"/>
          <w:szCs w:val="28"/>
          <w:highlight w:val="none"/>
        </w:rPr>
        <w:t>三、组成本合同的文件</w:t>
      </w:r>
      <w:bookmarkEnd w:id="4"/>
      <w:bookmarkStart w:id="5" w:name="_Toc462045886"/>
      <w:bookmarkStart w:id="6" w:name="_Toc462045179"/>
    </w:p>
    <w:p w14:paraId="72D866BA">
      <w:pPr>
        <w:adjustRightInd w:val="0"/>
        <w:snapToGrid w:val="0"/>
        <w:spacing w:line="640" w:lineRule="exact"/>
        <w:ind w:firstLine="475" w:firstLineChars="19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合同文件的构成及其优先解释顺序与本合同第二部分《通用条款》第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2款赋予的规定一致。</w:t>
      </w:r>
      <w:bookmarkEnd w:id="5"/>
      <w:bookmarkEnd w:id="6"/>
    </w:p>
    <w:p w14:paraId="2AE0B9B6">
      <w:pPr>
        <w:adjustRightInd w:val="0"/>
        <w:snapToGrid w:val="0"/>
        <w:spacing w:line="640" w:lineRule="exact"/>
        <w:ind w:firstLine="475" w:firstLineChars="198"/>
        <w:rPr>
          <w:rFonts w:ascii="仿宋" w:hAnsi="仿宋" w:eastAsia="仿宋" w:cs="Times New Roman"/>
          <w:color w:val="auto"/>
          <w:sz w:val="24"/>
          <w:szCs w:val="24"/>
          <w:highlight w:val="none"/>
        </w:rPr>
      </w:pPr>
    </w:p>
    <w:p w14:paraId="0ED79B8D">
      <w:pPr>
        <w:spacing w:line="640" w:lineRule="exact"/>
        <w:outlineLvl w:val="1"/>
        <w:rPr>
          <w:rFonts w:ascii="仿宋" w:hAnsi="仿宋" w:eastAsia="仿宋" w:cs="Times New Roman"/>
          <w:b/>
          <w:bCs/>
          <w:color w:val="auto"/>
          <w:sz w:val="28"/>
          <w:szCs w:val="28"/>
          <w:highlight w:val="none"/>
        </w:rPr>
      </w:pPr>
      <w:bookmarkStart w:id="7" w:name="_Toc15942"/>
      <w:r>
        <w:rPr>
          <w:rFonts w:hint="eastAsia" w:ascii="仿宋" w:hAnsi="仿宋" w:eastAsia="仿宋" w:cs="仿宋"/>
          <w:b/>
          <w:bCs/>
          <w:color w:val="auto"/>
          <w:sz w:val="28"/>
          <w:szCs w:val="28"/>
          <w:highlight w:val="none"/>
        </w:rPr>
        <w:t>四、总监理工程师</w:t>
      </w:r>
      <w:bookmarkEnd w:id="7"/>
    </w:p>
    <w:p w14:paraId="2495EC5A">
      <w:pPr>
        <w:adjustRightInd w:val="0"/>
        <w:snapToGrid w:val="0"/>
        <w:spacing w:line="640" w:lineRule="exact"/>
        <w:ind w:firstLine="475" w:firstLineChars="198"/>
        <w:rPr>
          <w:rFonts w:hint="eastAsia"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总监理工程师姓名：</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，身份证号码：</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，注册号：</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14:paraId="625EF474">
      <w:pPr>
        <w:spacing w:line="640" w:lineRule="exact"/>
        <w:outlineLvl w:val="1"/>
        <w:rPr>
          <w:rFonts w:hint="eastAsia" w:ascii="仿宋" w:hAnsi="仿宋" w:eastAsia="仿宋" w:cs="仿宋"/>
          <w:b/>
          <w:bCs/>
          <w:color w:val="auto"/>
          <w:sz w:val="28"/>
          <w:szCs w:val="28"/>
          <w:highlight w:val="none"/>
        </w:rPr>
      </w:pPr>
      <w:bookmarkStart w:id="8" w:name="_Toc27978"/>
      <w:r>
        <w:rPr>
          <w:rFonts w:hint="eastAsia" w:ascii="仿宋" w:hAnsi="仿宋" w:eastAsia="仿宋" w:cs="仿宋"/>
          <w:b/>
          <w:bCs/>
          <w:color w:val="auto"/>
          <w:sz w:val="28"/>
          <w:szCs w:val="28"/>
          <w:highlight w:val="none"/>
        </w:rPr>
        <w:t>五、签约酬金</w:t>
      </w:r>
      <w:bookmarkEnd w:id="8"/>
    </w:p>
    <w:p w14:paraId="5A77B844">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签约酬金（大写：</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eastAsia="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B8C0A7B">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包括：</w:t>
      </w:r>
    </w:p>
    <w:p w14:paraId="129F9609">
      <w:pPr>
        <w:adjustRightInd w:val="0"/>
        <w:snapToGrid w:val="0"/>
        <w:spacing w:line="640" w:lineRule="exact"/>
        <w:ind w:firstLine="600" w:firstLine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监理酬金：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各阶段酬金约定与</w:t>
      </w:r>
      <w:r>
        <w:rPr>
          <w:rFonts w:hint="eastAsia" w:ascii="仿宋" w:hAnsi="仿宋" w:eastAsia="仿宋" w:cs="仿宋"/>
          <w:color w:val="auto"/>
          <w:sz w:val="24"/>
          <w:szCs w:val="24"/>
          <w:highlight w:val="none"/>
          <w:u w:val="single"/>
          <w:lang w:eastAsia="zh-CN"/>
        </w:rPr>
        <w:t>考核</w:t>
      </w:r>
      <w:r>
        <w:rPr>
          <w:rFonts w:hint="eastAsia" w:ascii="仿宋" w:hAnsi="仿宋" w:eastAsia="仿宋" w:cs="仿宋"/>
          <w:color w:val="auto"/>
          <w:sz w:val="24"/>
          <w:szCs w:val="24"/>
          <w:highlight w:val="none"/>
          <w:u w:val="single"/>
        </w:rPr>
        <w:t>以本协议书</w:t>
      </w:r>
      <w:r>
        <w:rPr>
          <w:rFonts w:hint="eastAsia" w:ascii="仿宋" w:hAnsi="仿宋" w:eastAsia="仿宋" w:cs="仿宋"/>
          <w:color w:val="auto"/>
          <w:sz w:val="24"/>
          <w:szCs w:val="24"/>
          <w:highlight w:val="none"/>
          <w:u w:val="single"/>
          <w:lang w:eastAsia="zh-CN"/>
        </w:rPr>
        <w:t>“七、双方承诺”</w:t>
      </w:r>
      <w:r>
        <w:rPr>
          <w:rFonts w:hint="eastAsia" w:ascii="仿宋" w:hAnsi="仿宋" w:eastAsia="仿宋" w:cs="仿宋"/>
          <w:color w:val="auto"/>
          <w:sz w:val="24"/>
          <w:szCs w:val="24"/>
          <w:highlight w:val="none"/>
          <w:u w:val="single"/>
        </w:rPr>
        <w:t>第三条“监理酬金及其</w:t>
      </w:r>
      <w:r>
        <w:rPr>
          <w:rFonts w:hint="eastAsia" w:ascii="仿宋" w:hAnsi="仿宋" w:eastAsia="仿宋" w:cs="仿宋"/>
          <w:color w:val="auto"/>
          <w:sz w:val="24"/>
          <w:szCs w:val="24"/>
          <w:highlight w:val="none"/>
          <w:u w:val="single"/>
          <w:lang w:eastAsia="zh-CN"/>
        </w:rPr>
        <w:t>考核</w:t>
      </w:r>
      <w:r>
        <w:rPr>
          <w:rFonts w:hint="eastAsia" w:ascii="仿宋" w:hAnsi="仿宋" w:eastAsia="仿宋" w:cs="仿宋"/>
          <w:color w:val="auto"/>
          <w:sz w:val="24"/>
          <w:szCs w:val="24"/>
          <w:highlight w:val="none"/>
          <w:u w:val="single"/>
        </w:rPr>
        <w:t>方式”为准</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59BF59A">
      <w:pPr>
        <w:adjustRightInd w:val="0"/>
        <w:snapToGrid w:val="0"/>
        <w:spacing w:line="640" w:lineRule="exact"/>
        <w:ind w:firstLine="600" w:firstLine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相关服务酬金：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26AC4BD">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其中：</w:t>
      </w:r>
    </w:p>
    <w:p w14:paraId="7D2F5835">
      <w:pPr>
        <w:adjustRightInd w:val="0"/>
        <w:snapToGrid w:val="0"/>
        <w:spacing w:line="640" w:lineRule="exact"/>
        <w:ind w:firstLine="960" w:firstLineChars="4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）勘察阶段服务</w:t>
      </w:r>
      <w:r>
        <w:rPr>
          <w:rFonts w:hint="eastAsia" w:ascii="仿宋" w:hAnsi="仿宋" w:eastAsia="仿宋" w:cs="仿宋"/>
          <w:color w:val="auto"/>
          <w:sz w:val="24"/>
          <w:szCs w:val="24"/>
          <w:highlight w:val="none"/>
        </w:rPr>
        <w:t>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0A7CE5B">
      <w:pPr>
        <w:adjustRightInd w:val="0"/>
        <w:snapToGrid w:val="0"/>
        <w:spacing w:line="640" w:lineRule="exact"/>
        <w:ind w:firstLine="960" w:firstLineChars="4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）设计阶段服务</w:t>
      </w:r>
      <w:r>
        <w:rPr>
          <w:rFonts w:hint="eastAsia" w:ascii="仿宋" w:hAnsi="仿宋" w:eastAsia="仿宋" w:cs="仿宋"/>
          <w:color w:val="auto"/>
          <w:sz w:val="24"/>
          <w:szCs w:val="24"/>
          <w:highlight w:val="none"/>
        </w:rPr>
        <w:t>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E679892">
      <w:pPr>
        <w:adjustRightInd w:val="0"/>
        <w:snapToGrid w:val="0"/>
        <w:spacing w:line="640" w:lineRule="exact"/>
        <w:ind w:firstLine="960" w:firstLineChars="4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）保修阶段服务</w:t>
      </w:r>
      <w:r>
        <w:rPr>
          <w:rFonts w:hint="eastAsia" w:ascii="仿宋" w:hAnsi="仿宋" w:eastAsia="仿宋" w:cs="仿宋"/>
          <w:color w:val="auto"/>
          <w:sz w:val="24"/>
          <w:szCs w:val="24"/>
          <w:highlight w:val="none"/>
        </w:rPr>
        <w:t>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5%</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78DE699">
      <w:pPr>
        <w:adjustRightInd w:val="0"/>
        <w:snapToGrid w:val="0"/>
        <w:spacing w:line="640" w:lineRule="exact"/>
        <w:ind w:firstLine="960" w:firstLineChars="4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其他相关服务酬金：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3B81A69">
      <w:pPr>
        <w:spacing w:line="640" w:lineRule="exact"/>
        <w:outlineLvl w:val="1"/>
        <w:rPr>
          <w:rFonts w:ascii="仿宋" w:hAnsi="仿宋" w:eastAsia="仿宋" w:cs="Times New Roman"/>
          <w:b/>
          <w:bCs/>
          <w:color w:val="auto"/>
          <w:sz w:val="28"/>
          <w:szCs w:val="28"/>
          <w:highlight w:val="none"/>
        </w:rPr>
      </w:pPr>
      <w:bookmarkStart w:id="9" w:name="_Toc707"/>
      <w:r>
        <w:rPr>
          <w:rFonts w:hint="eastAsia" w:ascii="仿宋" w:hAnsi="仿宋" w:eastAsia="仿宋" w:cs="Arial Unicode MS"/>
          <w:b/>
          <w:bCs/>
          <w:color w:val="auto"/>
          <w:kern w:val="0"/>
          <w:sz w:val="28"/>
          <w:szCs w:val="28"/>
          <w:highlight w:val="none"/>
        </w:rPr>
        <w:t>★</w:t>
      </w:r>
      <w:r>
        <w:rPr>
          <w:rFonts w:hint="eastAsia" w:ascii="仿宋" w:hAnsi="仿宋" w:eastAsia="仿宋" w:cs="仿宋"/>
          <w:b/>
          <w:bCs/>
          <w:color w:val="auto"/>
          <w:sz w:val="28"/>
          <w:szCs w:val="28"/>
          <w:highlight w:val="none"/>
        </w:rPr>
        <w:t>六、期限</w:t>
      </w:r>
      <w:bookmarkEnd w:id="9"/>
    </w:p>
    <w:p w14:paraId="51305813">
      <w:pPr>
        <w:adjustRightInd w:val="0"/>
        <w:snapToGrid w:val="0"/>
        <w:spacing w:line="640" w:lineRule="exact"/>
        <w:ind w:firstLine="600" w:firstLineChars="250"/>
        <w:jc w:val="left"/>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1. </w:t>
      </w:r>
      <w:r>
        <w:rPr>
          <w:rFonts w:hint="eastAsia" w:ascii="仿宋" w:hAnsi="仿宋" w:eastAsia="仿宋" w:cs="仿宋"/>
          <w:color w:val="auto"/>
          <w:sz w:val="24"/>
          <w:szCs w:val="24"/>
          <w:highlight w:val="none"/>
        </w:rPr>
        <w:t>监理期限：</w:t>
      </w:r>
    </w:p>
    <w:p w14:paraId="0291AF7F">
      <w:pPr>
        <w:adjustRightInd w:val="0"/>
        <w:snapToGrid w:val="0"/>
        <w:spacing w:line="640" w:lineRule="exact"/>
        <w:ind w:firstLine="600" w:firstLineChars="25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362EA556">
      <w:pPr>
        <w:adjustRightInd w:val="0"/>
        <w:snapToGrid w:val="0"/>
        <w:spacing w:line="640" w:lineRule="exact"/>
        <w:ind w:firstLine="600" w:firstLineChars="25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2. </w:t>
      </w:r>
      <w:r>
        <w:rPr>
          <w:rFonts w:hint="eastAsia" w:ascii="仿宋" w:hAnsi="仿宋" w:eastAsia="仿宋" w:cs="仿宋"/>
          <w:color w:val="auto"/>
          <w:sz w:val="24"/>
          <w:szCs w:val="24"/>
          <w:highlight w:val="none"/>
        </w:rPr>
        <w:t>相关服务期限：</w:t>
      </w:r>
    </w:p>
    <w:p w14:paraId="2A2936A0">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）勘察阶段</w:t>
      </w:r>
      <w:r>
        <w:rPr>
          <w:rFonts w:hint="eastAsia" w:ascii="仿宋" w:hAnsi="仿宋" w:eastAsia="仿宋" w:cs="仿宋"/>
          <w:color w:val="auto"/>
          <w:sz w:val="24"/>
          <w:szCs w:val="24"/>
          <w:highlight w:val="none"/>
        </w:rPr>
        <w:t>服务期限自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04307498">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）设计阶段</w:t>
      </w:r>
      <w:r>
        <w:rPr>
          <w:rFonts w:hint="eastAsia" w:ascii="仿宋" w:hAnsi="仿宋" w:eastAsia="仿宋" w:cs="仿宋"/>
          <w:color w:val="auto"/>
          <w:sz w:val="24"/>
          <w:szCs w:val="24"/>
          <w:highlight w:val="none"/>
        </w:rPr>
        <w:t>服务期限自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3A9719F9">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）保修阶段</w:t>
      </w:r>
      <w:r>
        <w:rPr>
          <w:rFonts w:hint="eastAsia" w:ascii="仿宋" w:hAnsi="仿宋" w:eastAsia="仿宋" w:cs="仿宋"/>
          <w:color w:val="auto"/>
          <w:sz w:val="24"/>
          <w:szCs w:val="24"/>
          <w:highlight w:val="none"/>
        </w:rPr>
        <w:t>服务期限自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6589942D">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其他相关服务期限自</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日始，至</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日止。</w:t>
      </w:r>
    </w:p>
    <w:p w14:paraId="59D744C0">
      <w:pPr>
        <w:spacing w:line="640" w:lineRule="exact"/>
        <w:outlineLvl w:val="1"/>
        <w:rPr>
          <w:rFonts w:ascii="仿宋" w:hAnsi="仿宋" w:eastAsia="仿宋" w:cs="Times New Roman"/>
          <w:b/>
          <w:bCs/>
          <w:color w:val="auto"/>
          <w:sz w:val="28"/>
          <w:szCs w:val="28"/>
          <w:highlight w:val="none"/>
        </w:rPr>
      </w:pPr>
      <w:bookmarkStart w:id="10" w:name="_Toc30013"/>
      <w:r>
        <w:rPr>
          <w:rFonts w:hint="eastAsia" w:ascii="仿宋" w:hAnsi="仿宋" w:eastAsia="仿宋" w:cs="仿宋"/>
          <w:b/>
          <w:bCs/>
          <w:color w:val="auto"/>
          <w:sz w:val="28"/>
          <w:szCs w:val="28"/>
          <w:highlight w:val="none"/>
        </w:rPr>
        <w:t>七、双方承诺</w:t>
      </w:r>
      <w:bookmarkEnd w:id="10"/>
    </w:p>
    <w:p w14:paraId="77050233">
      <w:pPr>
        <w:spacing w:line="640" w:lineRule="exact"/>
        <w:ind w:firstLine="475" w:firstLineChars="198"/>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rPr>
        <w:t>监理人向委托人承诺，按照本合同约定</w:t>
      </w:r>
      <w:r>
        <w:rPr>
          <w:rFonts w:hint="eastAsia" w:ascii="仿宋" w:hAnsi="仿宋" w:eastAsia="仿宋" w:cs="仿宋"/>
          <w:color w:val="auto"/>
          <w:kern w:val="0"/>
          <w:sz w:val="24"/>
          <w:szCs w:val="24"/>
          <w:highlight w:val="none"/>
        </w:rPr>
        <w:t>提供</w:t>
      </w:r>
      <w:r>
        <w:rPr>
          <w:rFonts w:hint="eastAsia" w:ascii="仿宋" w:hAnsi="仿宋" w:eastAsia="仿宋" w:cs="仿宋"/>
          <w:color w:val="auto"/>
          <w:sz w:val="24"/>
          <w:szCs w:val="24"/>
          <w:highlight w:val="none"/>
        </w:rPr>
        <w:t>监理与相关服务。</w:t>
      </w:r>
    </w:p>
    <w:p w14:paraId="7AEC882F">
      <w:pPr>
        <w:spacing w:line="640" w:lineRule="exact"/>
        <w:ind w:firstLine="475" w:firstLineChars="198"/>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rPr>
        <w:t>委托人向监理人承诺，按照本合同约定派遣相应的人员，提供房屋、资料、设备，并按本合同约定</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酬金。</w:t>
      </w:r>
    </w:p>
    <w:p w14:paraId="02A83D2E">
      <w:pPr>
        <w:pStyle w:val="105"/>
        <w:ind w:firstLine="498"/>
        <w:outlineLvl w:val="1"/>
        <w:rPr>
          <w:rFonts w:hint="eastAsia" w:ascii="仿宋" w:hAnsi="仿宋" w:eastAsia="仿宋" w:cs="仿宋"/>
          <w:b/>
          <w:color w:val="auto"/>
          <w:highlight w:val="none"/>
        </w:rPr>
      </w:pPr>
      <w:bookmarkStart w:id="11" w:name="_Toc30161"/>
      <w:r>
        <w:rPr>
          <w:rFonts w:hint="eastAsia" w:ascii="仿宋" w:hAnsi="仿宋" w:eastAsia="仿宋" w:cs="仿宋"/>
          <w:b/>
          <w:color w:val="auto"/>
          <w:highlight w:val="none"/>
        </w:rPr>
        <w:t>第一条  工程目标</w:t>
      </w:r>
      <w:bookmarkEnd w:id="11"/>
    </w:p>
    <w:p w14:paraId="1961D01C">
      <w:pPr>
        <w:numPr>
          <w:ilvl w:val="0"/>
          <w:numId w:val="0"/>
        </w:numPr>
        <w:spacing w:line="360" w:lineRule="auto"/>
        <w:ind w:left="0" w:leftChars="0" w:firstLine="210" w:firstLineChars="100"/>
        <w:rPr>
          <w:rFonts w:hint="default" w:ascii="仿宋" w:hAnsi="仿宋" w:eastAsia="仿宋" w:cs="仿宋"/>
          <w:color w:val="auto"/>
          <w:spacing w:val="4"/>
          <w:kern w:val="0"/>
          <w:sz w:val="24"/>
          <w:szCs w:val="24"/>
          <w:highlight w:val="none"/>
          <w:u w:val="single"/>
          <w:lang w:val="en-US" w:eastAsia="zh-CN" w:bidi="ar-SA"/>
        </w:rPr>
      </w:pPr>
      <w:r>
        <w:rPr>
          <w:rFonts w:hint="eastAsia" w:ascii="仿宋" w:hAnsi="仿宋" w:eastAsia="仿宋" w:cs="仿宋"/>
          <w:color w:val="auto"/>
          <w:highlight w:val="none"/>
        </w:rPr>
        <w:t>（一）</w:t>
      </w:r>
      <w:r>
        <w:rPr>
          <w:rFonts w:hint="eastAsia" w:ascii="仿宋" w:hAnsi="仿宋" w:eastAsia="仿宋" w:cs="仿宋"/>
          <w:color w:val="auto"/>
          <w:spacing w:val="4"/>
          <w:kern w:val="0"/>
          <w:sz w:val="24"/>
          <w:szCs w:val="24"/>
          <w:highlight w:val="none"/>
          <w:lang w:val="en-US" w:eastAsia="zh-CN" w:bidi="ar-SA"/>
        </w:rPr>
        <w:t>质量目标：合格</w:t>
      </w:r>
    </w:p>
    <w:p w14:paraId="64199FD4">
      <w:pPr>
        <w:numPr>
          <w:ilvl w:val="0"/>
          <w:numId w:val="0"/>
        </w:numPr>
        <w:spacing w:line="360" w:lineRule="auto"/>
        <w:ind w:left="0" w:leftChars="0" w:firstLine="248" w:firstLineChars="100"/>
        <w:rPr>
          <w:rFonts w:hint="default" w:ascii="仿宋" w:hAnsi="仿宋" w:eastAsia="仿宋" w:cs="仿宋"/>
          <w:color w:val="auto"/>
          <w:spacing w:val="4"/>
          <w:kern w:val="0"/>
          <w:sz w:val="24"/>
          <w:szCs w:val="24"/>
          <w:highlight w:val="none"/>
          <w:u w:val="single"/>
          <w:lang w:val="en-US" w:eastAsia="zh-CN" w:bidi="ar-SA"/>
        </w:rPr>
      </w:pPr>
      <w:r>
        <w:rPr>
          <w:rFonts w:hint="eastAsia" w:ascii="仿宋" w:hAnsi="仿宋" w:eastAsia="仿宋" w:cs="仿宋"/>
          <w:color w:val="auto"/>
          <w:spacing w:val="4"/>
          <w:kern w:val="0"/>
          <w:sz w:val="24"/>
          <w:szCs w:val="24"/>
          <w:highlight w:val="none"/>
          <w:u w:val="single"/>
          <w:lang w:val="en-US" w:eastAsia="zh-CN" w:bidi="ar-SA"/>
        </w:rPr>
        <w:t>（二）创文明工地目标：/</w:t>
      </w:r>
    </w:p>
    <w:p w14:paraId="67743B73">
      <w:pPr>
        <w:pStyle w:val="105"/>
        <w:ind w:left="0" w:leftChars="0" w:firstLine="248" w:firstLineChars="100"/>
        <w:rPr>
          <w:rFonts w:hint="eastAsia" w:ascii="仿宋" w:hAnsi="仿宋" w:eastAsia="仿宋" w:cs="仿宋"/>
          <w:color w:val="auto"/>
          <w:highlight w:val="none"/>
          <w:u w:val="singl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）职业健康安全管理目标：</w:t>
      </w:r>
      <w:r>
        <w:rPr>
          <w:rFonts w:hint="eastAsia" w:ascii="仿宋" w:hAnsi="仿宋" w:eastAsia="仿宋" w:cs="仿宋"/>
          <w:b/>
          <w:bCs/>
          <w:color w:val="auto"/>
          <w:highlight w:val="none"/>
          <w:u w:val="single"/>
        </w:rPr>
        <w:t>杜绝发生一般事故等级以上的伤亡事故且工伤责任事故死亡人数为零，确保广州市安全文明样板工地，争创广东省安全文明样板工地。</w:t>
      </w:r>
    </w:p>
    <w:p w14:paraId="1AC2578C">
      <w:pPr>
        <w:pStyle w:val="105"/>
        <w:ind w:firstLine="496"/>
        <w:rPr>
          <w:rFonts w:hint="eastAsia" w:ascii="仿宋" w:hAnsi="仿宋" w:eastAsia="仿宋" w:cs="仿宋"/>
          <w:dstrike/>
          <w:color w:val="auto"/>
          <w:spacing w:val="6"/>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rPr>
        <w:t>）环境管理目标</w:t>
      </w:r>
    </w:p>
    <w:p w14:paraId="5979F4BC">
      <w:pPr>
        <w:pStyle w:val="105"/>
        <w:ind w:firstLine="498"/>
        <w:rPr>
          <w:rFonts w:hint="eastAsia" w:ascii="仿宋" w:hAnsi="仿宋" w:eastAsia="仿宋" w:cs="仿宋"/>
          <w:b/>
          <w:bCs/>
          <w:color w:val="auto"/>
          <w:highlight w:val="none"/>
        </w:rPr>
      </w:pPr>
      <w:r>
        <w:rPr>
          <w:rFonts w:hint="eastAsia" w:ascii="仿宋" w:hAnsi="仿宋" w:eastAsia="仿宋" w:cs="仿宋"/>
          <w:b/>
          <w:bCs/>
          <w:color w:val="auto"/>
          <w:highlight w:val="none"/>
        </w:rPr>
        <w:t>严格执行《广州市住房和城乡建设委员会关于印发建设工程扬尘防治“6个100%”管理标准细化措施的通知》（穗建质〔2018〕1394号）、《广州市城乡建设委员会关于印发广州市加强建筑工地环保管理工作方案的通知》（穗建质〔2014〕754号）、《广州市建设工程绿色施工围蔽指导图集（V1.0 试行版）》、《广州市提升建设工程安全文明施工管理水平的工作指引》（穗建质〔2017〕815号）和市现行管理规定等文件的要求，加强建筑工地文明施工管理，控制施工扬尘、噪声污染，推进生态文明建设；确保噪声污染、扬尘污染等环境污染问题零投诉。</w:t>
      </w:r>
    </w:p>
    <w:p w14:paraId="1B61ECB9">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）投资控制目标：所监理的建安工程结算不超过</w:t>
      </w:r>
      <w:r>
        <w:rPr>
          <w:rFonts w:hint="eastAsia" w:ascii="仿宋" w:hAnsi="仿宋" w:eastAsia="仿宋" w:cs="仿宋"/>
          <w:color w:val="auto"/>
          <w:highlight w:val="none"/>
          <w:lang w:eastAsia="zh-CN"/>
        </w:rPr>
        <w:t>合同价，且不超过相应的</w:t>
      </w:r>
      <w:r>
        <w:rPr>
          <w:rFonts w:hint="eastAsia" w:ascii="仿宋" w:hAnsi="仿宋" w:eastAsia="仿宋" w:cs="仿宋"/>
          <w:color w:val="auto"/>
          <w:highlight w:val="none"/>
        </w:rPr>
        <w:t>建安工程费</w:t>
      </w:r>
      <w:r>
        <w:rPr>
          <w:rFonts w:hint="eastAsia" w:ascii="仿宋" w:hAnsi="仿宋" w:eastAsia="仿宋" w:cs="仿宋"/>
          <w:color w:val="auto"/>
          <w:highlight w:val="none"/>
          <w:lang w:eastAsia="zh-CN"/>
        </w:rPr>
        <w:t>概算批复</w:t>
      </w:r>
      <w:r>
        <w:rPr>
          <w:rFonts w:hint="eastAsia" w:ascii="仿宋" w:hAnsi="仿宋" w:eastAsia="仿宋" w:cs="仿宋"/>
          <w:color w:val="auto"/>
          <w:highlight w:val="none"/>
        </w:rPr>
        <w:t>。</w:t>
      </w:r>
    </w:p>
    <w:p w14:paraId="165B8C51">
      <w:pPr>
        <w:pStyle w:val="105"/>
        <w:ind w:firstLine="498"/>
        <w:outlineLvl w:val="1"/>
        <w:rPr>
          <w:rFonts w:hint="eastAsia" w:ascii="仿宋" w:hAnsi="仿宋" w:eastAsia="仿宋" w:cs="仿宋"/>
          <w:b/>
          <w:color w:val="auto"/>
          <w:highlight w:val="none"/>
        </w:rPr>
      </w:pPr>
      <w:bookmarkStart w:id="12" w:name="_Toc23037"/>
      <w:r>
        <w:rPr>
          <w:rFonts w:hint="eastAsia" w:ascii="仿宋" w:hAnsi="仿宋" w:eastAsia="仿宋" w:cs="仿宋"/>
          <w:b/>
          <w:color w:val="auto"/>
          <w:highlight w:val="none"/>
        </w:rPr>
        <w:t>第二条  监理服务范围</w:t>
      </w:r>
      <w:bookmarkEnd w:id="12"/>
      <w:r>
        <w:rPr>
          <w:rFonts w:hint="eastAsia" w:ascii="仿宋" w:hAnsi="仿宋" w:eastAsia="仿宋" w:cs="仿宋"/>
          <w:b/>
          <w:color w:val="auto"/>
          <w:highlight w:val="none"/>
        </w:rPr>
        <w:t xml:space="preserve"> </w:t>
      </w:r>
      <w:r>
        <w:rPr>
          <w:rFonts w:ascii="仿宋" w:hAnsi="仿宋" w:eastAsia="仿宋" w:cs="仿宋"/>
          <w:b/>
          <w:color w:val="auto"/>
          <w:highlight w:val="none"/>
        </w:rPr>
        <w:t xml:space="preserve"> </w:t>
      </w:r>
    </w:p>
    <w:p w14:paraId="338D0279">
      <w:pPr>
        <w:pStyle w:val="105"/>
        <w:ind w:firstLine="498"/>
        <w:outlineLvl w:val="2"/>
        <w:rPr>
          <w:rFonts w:hint="eastAsia" w:ascii="仿宋" w:hAnsi="仿宋" w:eastAsia="仿宋" w:cs="仿宋"/>
          <w:b/>
          <w:color w:val="auto"/>
          <w:highlight w:val="none"/>
        </w:rPr>
      </w:pPr>
      <w:bookmarkStart w:id="13" w:name="_Toc29169"/>
      <w:r>
        <w:rPr>
          <w:rFonts w:hint="eastAsia" w:ascii="仿宋" w:hAnsi="仿宋" w:eastAsia="仿宋" w:cs="仿宋"/>
          <w:b/>
          <w:color w:val="auto"/>
          <w:highlight w:val="none"/>
        </w:rPr>
        <w:t>（一）监理范围</w:t>
      </w:r>
      <w:bookmarkEnd w:id="13"/>
    </w:p>
    <w:p w14:paraId="2E0334A9">
      <w:pPr>
        <w:pStyle w:val="105"/>
        <w:ind w:firstLine="49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（1）本项目立项及可研批复的所有工程（总承包及专业分包）、服务内容的监理，具体以实际实施的监理范围为准。</w:t>
      </w:r>
    </w:p>
    <w:p w14:paraId="5875400C">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监理内容包括但不限于以下内容：</w:t>
      </w:r>
      <w:r>
        <w:rPr>
          <w:rFonts w:hint="eastAsia" w:ascii="仿宋" w:hAnsi="仿宋" w:eastAsia="仿宋" w:cs="仿宋"/>
          <w:color w:val="auto"/>
          <w:highlight w:val="none"/>
          <w:u w:val="single"/>
        </w:rPr>
        <w:t>施工准备阶段、施工阶段、工程收尾阶段（包括但不限于竣工验收、整改、工程移交、工程结算等）及工程质量保修阶段的质量控制、职业健康安全及环境监督管理、投资</w:t>
      </w:r>
      <w:r>
        <w:rPr>
          <w:rFonts w:hint="eastAsia" w:ascii="仿宋" w:hAnsi="仿宋" w:eastAsia="仿宋" w:cs="仿宋"/>
          <w:color w:val="auto"/>
          <w:highlight w:val="none"/>
          <w:u w:val="single"/>
          <w:lang w:eastAsia="zh-CN"/>
        </w:rPr>
        <w:t>造价</w:t>
      </w:r>
      <w:r>
        <w:rPr>
          <w:rFonts w:hint="eastAsia" w:ascii="仿宋" w:hAnsi="仿宋" w:eastAsia="仿宋" w:cs="仿宋"/>
          <w:color w:val="auto"/>
          <w:highlight w:val="none"/>
          <w:u w:val="single"/>
        </w:rPr>
        <w:t>控制、进度控制、合同管理</w:t>
      </w:r>
      <w:r>
        <w:rPr>
          <w:rFonts w:hint="eastAsia" w:ascii="仿宋" w:hAnsi="仿宋" w:eastAsia="仿宋" w:cs="仿宋"/>
          <w:color w:val="auto"/>
          <w:highlight w:val="none"/>
          <w:u w:val="single"/>
          <w:lang w:eastAsia="zh-CN"/>
        </w:rPr>
        <w:t>、</w:t>
      </w:r>
      <w:r>
        <w:rPr>
          <w:rFonts w:hint="eastAsia" w:ascii="仿宋" w:hAnsi="仿宋" w:eastAsia="仿宋" w:cs="仿宋"/>
          <w:color w:val="auto"/>
          <w:highlight w:val="none"/>
          <w:u w:val="single"/>
          <w:lang w:val="en-US" w:eastAsia="zh-CN"/>
        </w:rPr>
        <w:t>变更管理</w:t>
      </w:r>
      <w:r>
        <w:rPr>
          <w:rFonts w:hint="eastAsia" w:ascii="仿宋" w:hAnsi="仿宋" w:eastAsia="仿宋" w:cs="仿宋"/>
          <w:color w:val="auto"/>
          <w:highlight w:val="none"/>
          <w:u w:val="single"/>
        </w:rPr>
        <w:t>、信息管理、组织协调、工程创优、设备监造以及协调建设单位和工程建设有关各方的工作关系等</w:t>
      </w:r>
      <w:r>
        <w:rPr>
          <w:rFonts w:hint="eastAsia" w:ascii="仿宋" w:hAnsi="仿宋" w:eastAsia="仿宋" w:cs="仿宋"/>
          <w:color w:val="auto"/>
          <w:highlight w:val="none"/>
        </w:rPr>
        <w:t>。此外，投标人还须按招标人的要求提前进场参与开工前期的准备和筹划工作，协助招标人制定工程管理办法</w:t>
      </w:r>
      <w:r>
        <w:rPr>
          <w:rFonts w:hint="eastAsia" w:ascii="仿宋" w:hAnsi="仿宋" w:eastAsia="仿宋" w:cs="仿宋"/>
          <w:b/>
          <w:color w:val="auto"/>
          <w:highlight w:val="none"/>
        </w:rPr>
        <w:t>、</w:t>
      </w:r>
      <w:r>
        <w:rPr>
          <w:rFonts w:hint="eastAsia" w:ascii="仿宋" w:hAnsi="仿宋" w:eastAsia="仿宋" w:cs="仿宋"/>
          <w:color w:val="auto"/>
          <w:highlight w:val="none"/>
        </w:rPr>
        <w:t>各参建方职责及有关事务性工作等。</w:t>
      </w:r>
    </w:p>
    <w:p w14:paraId="68040BFA">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（2）除上述工作范围外，监理人还须按委托人的要求提前进场参与开工前期的准备和筹划工作，协助委托人制定工程管理办法、各参建方职责及有关事务性工作等。</w:t>
      </w:r>
    </w:p>
    <w:p w14:paraId="373A8CEA">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（3）设备监造工作。</w:t>
      </w:r>
    </w:p>
    <w:p w14:paraId="2855DD16">
      <w:pPr>
        <w:pStyle w:val="105"/>
        <w:ind w:firstLine="498"/>
        <w:outlineLvl w:val="2"/>
        <w:rPr>
          <w:rFonts w:hint="eastAsia" w:ascii="仿宋" w:hAnsi="仿宋" w:eastAsia="仿宋" w:cs="仿宋"/>
          <w:b/>
          <w:color w:val="auto"/>
          <w:highlight w:val="none"/>
        </w:rPr>
      </w:pPr>
      <w:bookmarkStart w:id="14" w:name="_Toc14875"/>
      <w:r>
        <w:rPr>
          <w:rFonts w:hint="eastAsia" w:ascii="仿宋" w:hAnsi="仿宋" w:eastAsia="仿宋" w:cs="仿宋"/>
          <w:b/>
          <w:color w:val="auto"/>
          <w:highlight w:val="none"/>
        </w:rPr>
        <w:t>（二）工程内容</w:t>
      </w:r>
      <w:bookmarkEnd w:id="14"/>
    </w:p>
    <w:p w14:paraId="282B85F3">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u w:val="single"/>
        </w:rPr>
        <w:t>该项目立项（含可研）范围内所有工程（总承包及专业分包）、服务内容的监理，包括施工准备阶段、施工阶段、竣工结算阶段、保修阶段的质量、投资</w:t>
      </w:r>
      <w:r>
        <w:rPr>
          <w:rFonts w:hint="eastAsia" w:ascii="仿宋" w:hAnsi="仿宋" w:eastAsia="仿宋" w:cs="仿宋"/>
          <w:color w:val="auto"/>
          <w:spacing w:val="4"/>
          <w:kern w:val="0"/>
          <w:sz w:val="24"/>
          <w:highlight w:val="none"/>
          <w:u w:val="single"/>
          <w:lang w:eastAsia="zh-CN"/>
        </w:rPr>
        <w:t>造价</w:t>
      </w:r>
      <w:r>
        <w:rPr>
          <w:rFonts w:hint="eastAsia" w:ascii="仿宋" w:hAnsi="仿宋" w:eastAsia="仿宋" w:cs="仿宋"/>
          <w:color w:val="auto"/>
          <w:spacing w:val="4"/>
          <w:kern w:val="0"/>
          <w:sz w:val="24"/>
          <w:highlight w:val="none"/>
          <w:u w:val="single"/>
        </w:rPr>
        <w:t>、进度控制</w:t>
      </w:r>
      <w:r>
        <w:rPr>
          <w:rFonts w:hint="eastAsia" w:ascii="仿宋" w:hAnsi="仿宋" w:eastAsia="仿宋" w:cs="仿宋"/>
          <w:color w:val="auto"/>
          <w:spacing w:val="4"/>
          <w:kern w:val="0"/>
          <w:sz w:val="24"/>
          <w:highlight w:val="none"/>
        </w:rPr>
        <w:t>；监督、管理建设工程合同的履行，协调建设单位和工程建设有关各方的工作关系，以及配合项目移交等监理工作。</w:t>
      </w:r>
    </w:p>
    <w:p w14:paraId="7DBCFF02">
      <w:pPr>
        <w:pStyle w:val="105"/>
        <w:ind w:firstLine="498"/>
        <w:outlineLvl w:val="2"/>
        <w:rPr>
          <w:rFonts w:hint="eastAsia" w:ascii="仿宋" w:hAnsi="仿宋" w:eastAsia="仿宋" w:cs="仿宋"/>
          <w:b/>
          <w:color w:val="auto"/>
          <w:highlight w:val="none"/>
        </w:rPr>
      </w:pPr>
      <w:bookmarkStart w:id="15" w:name="_Toc22843"/>
      <w:r>
        <w:rPr>
          <w:rFonts w:hint="eastAsia" w:ascii="仿宋" w:hAnsi="仿宋" w:eastAsia="仿宋" w:cs="仿宋"/>
          <w:b/>
          <w:color w:val="auto"/>
          <w:highlight w:val="none"/>
        </w:rPr>
        <w:t>（三）监理服务期</w:t>
      </w:r>
      <w:bookmarkEnd w:id="15"/>
    </w:p>
    <w:p w14:paraId="333B0D14">
      <w:pPr>
        <w:pStyle w:val="105"/>
        <w:ind w:firstLine="496"/>
        <w:rPr>
          <w:rFonts w:hint="eastAsia" w:ascii="仿宋" w:hAnsi="仿宋" w:eastAsia="仿宋" w:cs="仿宋"/>
          <w:bCs/>
          <w:color w:val="auto"/>
          <w:szCs w:val="20"/>
          <w:highlight w:val="none"/>
        </w:rPr>
      </w:pPr>
      <w:r>
        <w:rPr>
          <w:rFonts w:hint="eastAsia" w:ascii="仿宋" w:hAnsi="仿宋" w:eastAsia="仿宋" w:cs="仿宋"/>
          <w:bCs/>
          <w:color w:val="auto"/>
          <w:szCs w:val="20"/>
          <w:highlight w:val="none"/>
        </w:rPr>
        <w:t>监理服务期自监理人收到中标通知书或参加由委托人组织的第一次进场动员会之日起算，至本项目工程保修期结束且本合同工程结算金额经政府结算终审部门审定之日止。监理服务期包括项目的施工准备阶段、施工阶段、工程收尾阶段和质量保修阶段，监理人须实行全过程监理服务。</w:t>
      </w:r>
    </w:p>
    <w:p w14:paraId="66451D59">
      <w:pPr>
        <w:pStyle w:val="105"/>
        <w:ind w:firstLine="496"/>
        <w:rPr>
          <w:rFonts w:hint="eastAsia" w:ascii="仿宋" w:hAnsi="仿宋" w:eastAsia="仿宋" w:cs="仿宋"/>
          <w:bCs/>
          <w:color w:val="auto"/>
          <w:szCs w:val="20"/>
          <w:highlight w:val="none"/>
        </w:rPr>
      </w:pPr>
      <w:r>
        <w:rPr>
          <w:rFonts w:hint="eastAsia" w:ascii="仿宋" w:hAnsi="仿宋" w:eastAsia="仿宋" w:cs="仿宋"/>
          <w:bCs/>
          <w:color w:val="auto"/>
          <w:szCs w:val="20"/>
          <w:highlight w:val="none"/>
        </w:rPr>
        <w:t>监理服务期内，工程施工阶段监理人的项目总监、项目总监代表、造价人员、资料员须在工程现场开展监理服务工作；工程收尾阶段造价人员、资料员须在工程现场或委托人指定场所开展为期6个月的工程收尾相关监理服务工作。</w:t>
      </w:r>
    </w:p>
    <w:p w14:paraId="2B8EF965">
      <w:pPr>
        <w:pStyle w:val="105"/>
        <w:ind w:firstLine="498"/>
        <w:outlineLvl w:val="1"/>
        <w:rPr>
          <w:rFonts w:hint="eastAsia" w:ascii="仿宋" w:hAnsi="仿宋" w:eastAsia="仿宋" w:cs="仿宋"/>
          <w:b/>
          <w:color w:val="auto"/>
          <w:highlight w:val="none"/>
        </w:rPr>
      </w:pPr>
      <w:bookmarkStart w:id="16" w:name="_Toc24051"/>
      <w:r>
        <w:rPr>
          <w:rFonts w:hint="eastAsia" w:ascii="仿宋" w:hAnsi="仿宋" w:eastAsia="仿宋" w:cs="仿宋"/>
          <w:b/>
          <w:color w:val="auto"/>
          <w:highlight w:val="none"/>
        </w:rPr>
        <w:t>第三条  监理酬金及其</w:t>
      </w:r>
      <w:r>
        <w:rPr>
          <w:rFonts w:hint="eastAsia" w:ascii="仿宋" w:hAnsi="仿宋" w:eastAsia="仿宋" w:cs="仿宋"/>
          <w:b/>
          <w:color w:val="auto"/>
          <w:highlight w:val="none"/>
          <w:lang w:eastAsia="zh-CN"/>
        </w:rPr>
        <w:t>考核</w:t>
      </w:r>
      <w:r>
        <w:rPr>
          <w:rFonts w:hint="eastAsia" w:ascii="仿宋" w:hAnsi="仿宋" w:eastAsia="仿宋" w:cs="仿宋"/>
          <w:b/>
          <w:color w:val="auto"/>
          <w:highlight w:val="none"/>
        </w:rPr>
        <w:t>方式</w:t>
      </w:r>
      <w:bookmarkEnd w:id="16"/>
    </w:p>
    <w:p w14:paraId="446EB59E">
      <w:pPr>
        <w:pStyle w:val="105"/>
        <w:ind w:firstLine="498"/>
        <w:outlineLvl w:val="2"/>
        <w:rPr>
          <w:rFonts w:hint="eastAsia" w:ascii="仿宋" w:hAnsi="仿宋" w:eastAsia="仿宋" w:cs="仿宋"/>
          <w:b/>
          <w:bCs/>
          <w:color w:val="auto"/>
          <w:highlight w:val="none"/>
        </w:rPr>
      </w:pPr>
      <w:bookmarkStart w:id="17" w:name="_Toc3763"/>
      <w:r>
        <w:rPr>
          <w:rFonts w:hint="eastAsia" w:ascii="仿宋" w:hAnsi="仿宋" w:eastAsia="仿宋" w:cs="仿宋"/>
          <w:b/>
          <w:bCs/>
          <w:color w:val="auto"/>
          <w:highlight w:val="none"/>
        </w:rPr>
        <w:t>（一）</w:t>
      </w:r>
      <w:r>
        <w:rPr>
          <w:rFonts w:hint="eastAsia" w:ascii="仿宋" w:hAnsi="仿宋" w:eastAsia="仿宋" w:cs="仿宋"/>
          <w:b/>
          <w:color w:val="auto"/>
          <w:highlight w:val="none"/>
        </w:rPr>
        <w:t>监理酬金</w:t>
      </w:r>
      <w:r>
        <w:rPr>
          <w:rFonts w:hint="eastAsia" w:ascii="仿宋" w:hAnsi="仿宋" w:eastAsia="仿宋" w:cs="仿宋"/>
          <w:b/>
          <w:bCs/>
          <w:color w:val="auto"/>
          <w:highlight w:val="none"/>
        </w:rPr>
        <w:t>的计取</w:t>
      </w:r>
      <w:bookmarkEnd w:id="17"/>
    </w:p>
    <w:p w14:paraId="76E2F10C">
      <w:pPr>
        <w:pStyle w:val="105"/>
        <w:ind w:firstLine="496"/>
        <w:rPr>
          <w:rFonts w:hint="eastAsia" w:ascii="仿宋" w:hAnsi="仿宋" w:eastAsia="仿宋" w:cs="仿宋"/>
          <w:bCs/>
          <w:color w:val="auto"/>
          <w:highlight w:val="none"/>
        </w:rPr>
      </w:pPr>
      <w:r>
        <w:rPr>
          <w:rFonts w:hint="eastAsia" w:ascii="仿宋" w:hAnsi="仿宋" w:eastAsia="仿宋" w:cs="仿宋"/>
          <w:bCs/>
          <w:color w:val="auto"/>
          <w:highlight w:val="none"/>
        </w:rPr>
        <w:t>结合本合同工程的特点，委托人、监理人一致同意按如下约定计取监理酬金：</w:t>
      </w:r>
    </w:p>
    <w:p w14:paraId="3E2CE1F9">
      <w:pPr>
        <w:pStyle w:val="105"/>
        <w:numPr>
          <w:ilvl w:val="0"/>
          <w:numId w:val="2"/>
        </w:numPr>
        <w:ind w:left="425" w:leftChars="0" w:hanging="425" w:firstLineChars="0"/>
        <w:rPr>
          <w:rFonts w:hint="eastAsia" w:ascii="仿宋" w:hAnsi="仿宋" w:eastAsia="仿宋" w:cs="仿宋"/>
          <w:bCs/>
          <w:color w:val="auto"/>
          <w:highlight w:val="none"/>
        </w:rPr>
      </w:pPr>
      <w:r>
        <w:rPr>
          <w:rFonts w:hint="eastAsia" w:ascii="仿宋" w:hAnsi="仿宋" w:eastAsia="仿宋" w:cs="仿宋"/>
          <w:bCs/>
          <w:color w:val="auto"/>
          <w:highlight w:val="none"/>
        </w:rPr>
        <w:t>本合同暂定建筑安装工程费为</w:t>
      </w:r>
      <w:r>
        <w:rPr>
          <w:rFonts w:hint="eastAsia" w:ascii="宋体" w:hAnsi="宋体" w:eastAsia="宋体"/>
          <w:color w:val="auto"/>
          <w:sz w:val="24"/>
          <w:highlight w:val="none"/>
          <w:u w:val="single"/>
          <w:lang w:val="en-US" w:eastAsia="zh-CN"/>
        </w:rPr>
        <w:t xml:space="preserve">       </w:t>
      </w:r>
      <w:r>
        <w:rPr>
          <w:rFonts w:hint="eastAsia" w:ascii="仿宋" w:hAnsi="仿宋" w:eastAsia="仿宋" w:cs="仿宋"/>
          <w:bCs/>
          <w:color w:val="auto"/>
          <w:highlight w:val="none"/>
        </w:rPr>
        <w:t>万元，按国家发展改革委、建设部关于印发《建设工程监理与相关服务收费管理规定》的通知（发改价格【2007】670号）收取监理费, 专业调整系数取</w:t>
      </w:r>
      <w:r>
        <w:rPr>
          <w:rFonts w:hint="eastAsia" w:ascii="仿宋" w:hAnsi="仿宋" w:eastAsia="仿宋" w:cs="仿宋"/>
          <w:bCs/>
          <w:color w:val="auto"/>
          <w:highlight w:val="none"/>
          <w:lang w:val="en-US" w:eastAsia="zh-CN"/>
        </w:rPr>
        <w:t>1.0</w:t>
      </w:r>
      <w:r>
        <w:rPr>
          <w:rFonts w:hint="eastAsia" w:ascii="仿宋" w:hAnsi="仿宋" w:eastAsia="仿宋" w:cs="仿宋"/>
          <w:bCs/>
          <w:color w:val="auto"/>
          <w:highlight w:val="none"/>
        </w:rPr>
        <w:t xml:space="preserve"> ，工程复杂程度调整系数取</w:t>
      </w:r>
      <w:r>
        <w:rPr>
          <w:rFonts w:hint="eastAsia" w:ascii="仿宋" w:hAnsi="仿宋" w:eastAsia="仿宋" w:cs="仿宋"/>
          <w:bCs/>
          <w:color w:val="auto"/>
          <w:highlight w:val="none"/>
          <w:lang w:val="en-US" w:eastAsia="zh-CN"/>
        </w:rPr>
        <w:t>1.0</w:t>
      </w:r>
      <w:r>
        <w:rPr>
          <w:rFonts w:hint="eastAsia" w:ascii="仿宋" w:hAnsi="仿宋" w:eastAsia="仿宋" w:cs="仿宋"/>
          <w:bCs/>
          <w:color w:val="auto"/>
          <w:highlight w:val="none"/>
        </w:rPr>
        <w:t xml:space="preserve"> ，高程调整系数取</w:t>
      </w:r>
      <w:r>
        <w:rPr>
          <w:rFonts w:hint="eastAsia" w:ascii="仿宋" w:hAnsi="仿宋" w:eastAsia="仿宋" w:cs="仿宋"/>
          <w:bCs/>
          <w:color w:val="auto"/>
          <w:highlight w:val="none"/>
          <w:lang w:val="en-US" w:eastAsia="zh-CN"/>
        </w:rPr>
        <w:t>1.0</w:t>
      </w:r>
      <w:r>
        <w:rPr>
          <w:rFonts w:hint="eastAsia" w:ascii="仿宋" w:hAnsi="仿宋" w:eastAsia="仿宋" w:cs="仿宋"/>
          <w:bCs/>
          <w:color w:val="auto"/>
          <w:highlight w:val="none"/>
        </w:rPr>
        <w:t>，且下浮</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rPr>
        <w:t>,监理酬金暂定为</w:t>
      </w:r>
      <w:r>
        <w:rPr>
          <w:rFonts w:hint="eastAsia" w:ascii="宋体" w:hAnsi="宋体" w:eastAsia="宋体"/>
          <w:color w:val="auto"/>
          <w:sz w:val="24"/>
          <w:highlight w:val="none"/>
          <w:u w:val="single"/>
          <w:lang w:val="en-US" w:eastAsia="zh-CN"/>
        </w:rPr>
        <w:t xml:space="preserve">   </w:t>
      </w:r>
      <w:r>
        <w:rPr>
          <w:rFonts w:hint="eastAsia" w:ascii="仿宋" w:hAnsi="仿宋" w:eastAsia="仿宋" w:cs="仿宋"/>
          <w:bCs/>
          <w:color w:val="auto"/>
          <w:highlight w:val="none"/>
        </w:rPr>
        <w:t>万元（中标价</w:t>
      </w:r>
      <w:r>
        <w:rPr>
          <w:rFonts w:hint="eastAsia" w:ascii="宋体" w:hAnsi="宋体" w:eastAsia="宋体"/>
          <w:color w:val="auto"/>
          <w:sz w:val="24"/>
          <w:highlight w:val="none"/>
          <w:u w:val="single"/>
          <w:lang w:val="en-US" w:eastAsia="zh-CN"/>
        </w:rPr>
        <w:t xml:space="preserve">      </w:t>
      </w:r>
      <w:r>
        <w:rPr>
          <w:rFonts w:hint="eastAsia" w:ascii="仿宋" w:hAnsi="仿宋" w:eastAsia="仿宋" w:cs="仿宋"/>
          <w:bCs/>
          <w:color w:val="auto"/>
          <w:highlight w:val="none"/>
          <w:lang w:val="en-US" w:eastAsia="zh-CN"/>
        </w:rPr>
        <w:t>万元</w:t>
      </w:r>
      <w:r>
        <w:rPr>
          <w:rFonts w:hint="eastAsia" w:ascii="仿宋" w:hAnsi="仿宋" w:eastAsia="仿宋" w:cs="仿宋"/>
          <w:bCs/>
          <w:color w:val="auto"/>
          <w:highlight w:val="none"/>
        </w:rPr>
        <w:t>，本合同监理费率</w:t>
      </w:r>
      <w:r>
        <w:rPr>
          <w:rFonts w:hint="eastAsia" w:ascii="仿宋" w:hAnsi="仿宋" w:eastAsia="仿宋" w:cs="仿宋"/>
          <w:bCs/>
          <w:color w:val="auto"/>
          <w:highlight w:val="none"/>
          <w:lang w:eastAsia="zh-CN"/>
        </w:rPr>
        <w:t>相当于</w:t>
      </w:r>
      <w:r>
        <w:rPr>
          <w:rFonts w:hint="eastAsia" w:ascii="仿宋" w:hAnsi="仿宋" w:eastAsia="仿宋" w:cs="仿宋"/>
          <w:bCs/>
          <w:color w:val="auto"/>
          <w:highlight w:val="none"/>
        </w:rPr>
        <w:t>为</w:t>
      </w:r>
      <w:r>
        <w:rPr>
          <w:rFonts w:hint="eastAsia" w:ascii="仿宋" w:hAnsi="仿宋" w:eastAsia="仿宋" w:cs="仿宋"/>
          <w:bCs/>
          <w:color w:val="auto"/>
          <w:highlight w:val="none"/>
          <w:lang w:val="en-US" w:eastAsia="zh-CN"/>
        </w:rPr>
        <w:t xml:space="preserve"> </w:t>
      </w:r>
      <w:r>
        <w:rPr>
          <w:rFonts w:hint="eastAsia" w:ascii="宋体" w:hAnsi="宋体" w:eastAsia="宋体"/>
          <w:color w:val="auto"/>
          <w:sz w:val="24"/>
          <w:highlight w:val="none"/>
          <w:u w:val="single"/>
          <w:lang w:val="en-US" w:eastAsia="zh-CN"/>
        </w:rPr>
        <w:t xml:space="preserve">      </w:t>
      </w:r>
      <w:r>
        <w:rPr>
          <w:rFonts w:hint="eastAsia" w:ascii="仿宋" w:hAnsi="仿宋" w:eastAsia="仿宋" w:cs="仿宋"/>
          <w:bCs/>
          <w:color w:val="auto"/>
          <w:highlight w:val="none"/>
          <w:lang w:val="en-US" w:eastAsia="zh-CN"/>
        </w:rPr>
        <w:t xml:space="preserve"> %</w:t>
      </w:r>
      <w:r>
        <w:rPr>
          <w:rFonts w:hint="eastAsia" w:ascii="仿宋" w:hAnsi="仿宋" w:eastAsia="仿宋" w:cs="仿宋"/>
          <w:bCs/>
          <w:color w:val="auto"/>
          <w:highlight w:val="none"/>
        </w:rPr>
        <w:t>）［计算公式：</w:t>
      </w:r>
      <w:r>
        <w:rPr>
          <w:rFonts w:hint="eastAsia" w:ascii="仿宋" w:hAnsi="仿宋" w:eastAsia="仿宋" w:cs="仿宋"/>
          <w:bCs/>
          <w:color w:val="auto"/>
          <w:highlight w:val="none"/>
          <w:lang w:eastAsia="zh-CN"/>
        </w:rPr>
        <w:t>本次合同</w:t>
      </w:r>
      <w:r>
        <w:rPr>
          <w:rFonts w:hint="eastAsia" w:ascii="仿宋" w:hAnsi="仿宋" w:eastAsia="仿宋" w:cs="仿宋"/>
          <w:bCs/>
          <w:color w:val="auto"/>
          <w:highlight w:val="none"/>
        </w:rPr>
        <w:t>施工监理服务收费=</w:t>
      </w:r>
      <w:r>
        <w:rPr>
          <w:rFonts w:hint="eastAsia" w:ascii="仿宋" w:hAnsi="仿宋" w:eastAsia="仿宋" w:cs="仿宋"/>
          <w:bCs/>
          <w:color w:val="auto"/>
          <w:highlight w:val="none"/>
          <w:lang w:eastAsia="zh-CN"/>
        </w:rPr>
        <w:t>施工监理服务收费基价×专业调整系数×工程复杂程度调整系数×高程调整系数×</w:t>
      </w:r>
      <w:r>
        <w:rPr>
          <w:rFonts w:hint="eastAsia" w:ascii="仿宋" w:hAnsi="仿宋" w:eastAsia="仿宋" w:cs="仿宋"/>
          <w:bCs/>
          <w:color w:val="auto"/>
          <w:highlight w:val="none"/>
          <w:lang w:val="en-US" w:eastAsia="zh-CN"/>
        </w:rPr>
        <w:t>0.9</w:t>
      </w:r>
      <w:r>
        <w:rPr>
          <w:rFonts w:hint="eastAsia" w:ascii="仿宋" w:hAnsi="仿宋" w:eastAsia="仿宋" w:cs="仿宋"/>
          <w:bCs/>
          <w:color w:val="auto"/>
          <w:highlight w:val="none"/>
          <w:lang w:eastAsia="zh-CN"/>
        </w:rPr>
        <w:t>×（1-</w:t>
      </w:r>
      <w:r>
        <w:rPr>
          <w:rFonts w:hint="eastAsia" w:ascii="仿宋" w:hAnsi="仿宋" w:eastAsia="仿宋" w:cs="仿宋"/>
          <w:bCs/>
          <w:color w:val="auto"/>
          <w:highlight w:val="none"/>
        </w:rPr>
        <w:t>浮动幅度值</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w:t>
      </w:r>
    </w:p>
    <w:p w14:paraId="279C0D18">
      <w:pPr>
        <w:pStyle w:val="105"/>
        <w:numPr>
          <w:ilvl w:val="0"/>
          <w:numId w:val="2"/>
        </w:numPr>
        <w:ind w:left="425" w:leftChars="0" w:hanging="425" w:firstLineChars="0"/>
        <w:rPr>
          <w:rFonts w:hint="eastAsia" w:ascii="仿宋" w:hAnsi="仿宋" w:eastAsia="仿宋" w:cs="仿宋"/>
          <w:bCs/>
          <w:color w:val="auto"/>
          <w:highlight w:val="none"/>
        </w:rPr>
      </w:pPr>
      <w:r>
        <w:rPr>
          <w:rFonts w:hint="eastAsia" w:ascii="仿宋" w:hAnsi="仿宋" w:eastAsia="仿宋" w:cs="仿宋"/>
          <w:bCs/>
          <w:color w:val="auto"/>
          <w:highlight w:val="none"/>
        </w:rPr>
        <w:t>监理服务费仅为施工阶段的监理服务费用。监理服务费终审结算价按工程实际终审结算价、《建设工程监理与相关服务收费管理规定》（发改价格[2007]670号文）和附加协议条款计算。建设全周期</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 xml:space="preserve"> / ）</w:t>
      </w:r>
      <w:r>
        <w:rPr>
          <w:rFonts w:hint="eastAsia" w:ascii="仿宋" w:hAnsi="仿宋" w:eastAsia="仿宋" w:cs="仿宋"/>
          <w:bCs/>
          <w:color w:val="auto"/>
          <w:highlight w:val="none"/>
        </w:rPr>
        <w:t>月，施工周</w:t>
      </w:r>
      <w:r>
        <w:rPr>
          <w:rFonts w:hint="eastAsia" w:ascii="仿宋" w:hAnsi="仿宋" w:eastAsia="仿宋" w:cs="仿宋"/>
          <w:bCs/>
          <w:color w:val="auto"/>
          <w:highlight w:val="none"/>
          <w:u w:val="single"/>
        </w:rPr>
        <w:t>期</w:t>
      </w:r>
      <w:r>
        <w:rPr>
          <w:rFonts w:hint="eastAsia" w:ascii="仿宋" w:hAnsi="仿宋" w:eastAsia="仿宋" w:cs="仿宋"/>
          <w:bCs/>
          <w:color w:val="auto"/>
          <w:highlight w:val="none"/>
          <w:u w:val="single"/>
          <w:lang w:val="en-US" w:eastAsia="zh-CN"/>
        </w:rPr>
        <w:t>24个月</w:t>
      </w:r>
      <w:r>
        <w:rPr>
          <w:rFonts w:hint="eastAsia" w:ascii="仿宋" w:hAnsi="仿宋" w:eastAsia="仿宋" w:cs="仿宋"/>
          <w:bCs/>
          <w:color w:val="auto"/>
          <w:highlight w:val="none"/>
          <w:u w:val="single"/>
        </w:rPr>
        <w:t>。</w:t>
      </w:r>
    </w:p>
    <w:p w14:paraId="1D264581">
      <w:pPr>
        <w:pStyle w:val="105"/>
        <w:numPr>
          <w:ilvl w:val="0"/>
          <w:numId w:val="2"/>
        </w:numPr>
        <w:ind w:left="425" w:leftChars="0" w:hanging="425" w:firstLineChars="0"/>
        <w:rPr>
          <w:rFonts w:hint="eastAsia" w:ascii="仿宋" w:hAnsi="仿宋" w:eastAsia="仿宋" w:cs="仿宋"/>
          <w:bCs/>
          <w:color w:val="auto"/>
          <w:highlight w:val="none"/>
        </w:rPr>
      </w:pPr>
      <w:r>
        <w:rPr>
          <w:rFonts w:hint="eastAsia" w:ascii="仿宋" w:hAnsi="仿宋" w:eastAsia="仿宋" w:cs="仿宋"/>
          <w:bCs/>
          <w:color w:val="auto"/>
          <w:highlight w:val="none"/>
        </w:rPr>
        <w:t>监理酬金结算时按</w:t>
      </w:r>
      <w:r>
        <w:rPr>
          <w:rFonts w:hint="eastAsia" w:ascii="仿宋" w:hAnsi="仿宋" w:eastAsia="仿宋" w:cs="仿宋"/>
          <w:bCs/>
          <w:color w:val="auto"/>
          <w:highlight w:val="none"/>
          <w:lang w:eastAsia="zh-CN"/>
        </w:rPr>
        <w:t>相关</w:t>
      </w:r>
      <w:r>
        <w:rPr>
          <w:rFonts w:hint="eastAsia" w:ascii="仿宋" w:hAnsi="仿宋" w:eastAsia="仿宋" w:cs="仿宋"/>
          <w:bCs/>
          <w:color w:val="auto"/>
          <w:highlight w:val="none"/>
        </w:rPr>
        <w:t>部门审定的本合同监理人实际监理范围内所有单位工程结算中的建筑安装工程费之和乘以本合同监理费率再乘以监理人投标所报下浮率</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rPr>
        <w:t>计取，</w:t>
      </w:r>
      <w:r>
        <w:rPr>
          <w:rFonts w:hint="eastAsia" w:ascii="仿宋" w:hAnsi="仿宋" w:eastAsia="仿宋" w:cs="仿宋"/>
          <w:bCs/>
          <w:color w:val="auto"/>
          <w:highlight w:val="none"/>
          <w:lang w:eastAsia="zh-CN"/>
        </w:rPr>
        <w:t>最终结算监理酬金不超正式签订监理合同的合同价</w:t>
      </w:r>
      <w:r>
        <w:rPr>
          <w:rFonts w:hint="eastAsia" w:ascii="仿宋" w:hAnsi="仿宋" w:eastAsia="仿宋" w:cs="仿宋"/>
          <w:bCs/>
          <w:color w:val="auto"/>
          <w:highlight w:val="none"/>
        </w:rPr>
        <w:t>。最终监理酬金结算金额以</w:t>
      </w:r>
      <w:r>
        <w:rPr>
          <w:rFonts w:hint="eastAsia" w:ascii="仿宋" w:hAnsi="仿宋" w:eastAsia="仿宋" w:cs="仿宋"/>
          <w:bCs/>
          <w:color w:val="auto"/>
          <w:highlight w:val="none"/>
          <w:lang w:eastAsia="zh-CN"/>
        </w:rPr>
        <w:t>相关</w:t>
      </w:r>
      <w:r>
        <w:rPr>
          <w:rFonts w:hint="eastAsia" w:ascii="仿宋" w:hAnsi="仿宋" w:eastAsia="仿宋" w:cs="仿宋"/>
          <w:bCs/>
          <w:color w:val="auto"/>
          <w:highlight w:val="none"/>
        </w:rPr>
        <w:t>部门审定的金额为准。若本项目资金来源属于广州市本级财政资金的，则本合同约定监理酬金的调整方式和调整程序应按照广州市针对本级政府投资建设项目资金管理制定的相关地方性法规和规范性文件执行。本项目的监理酬金不因工期的变化而调整。</w:t>
      </w:r>
    </w:p>
    <w:p w14:paraId="7AF045E2">
      <w:pPr>
        <w:pStyle w:val="105"/>
        <w:numPr>
          <w:ilvl w:val="0"/>
          <w:numId w:val="2"/>
        </w:numPr>
        <w:ind w:left="425" w:leftChars="0" w:hanging="425" w:firstLineChars="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在本合同工程实施过程中，对于智能化、舞台机械、舞台灯光、声学等等或项目上有其他特殊技术要求而监理人又没有足够技术力量完成的项目，委托人有权另行聘请技术督导单位，聘请了技术督导单位部分的工程监理酬金按该部分工程监理酬金（该部分工程监理酬金按其概算中的建安工程费占总概算中建安工程费的比例与监理酬金总额的乘积计算）的5 ％计取，委托人据此相应扣减监理人的监理酬金总额，但不因此豁免监理人的任何义务和责任。监理人与技术督导单位之间的关系、工作界面和职责分工以本合同专用条款相关合同的约定以及委托人的书面决定为准。</w:t>
      </w:r>
    </w:p>
    <w:p w14:paraId="381D4612">
      <w:pPr>
        <w:pStyle w:val="105"/>
        <w:ind w:firstLine="498"/>
        <w:outlineLvl w:val="2"/>
        <w:rPr>
          <w:rFonts w:hint="eastAsia" w:ascii="仿宋" w:hAnsi="仿宋" w:eastAsia="仿宋" w:cs="仿宋"/>
          <w:b/>
          <w:bCs/>
          <w:color w:val="auto"/>
          <w:highlight w:val="none"/>
          <w:lang w:eastAsia="zh-CN"/>
        </w:rPr>
      </w:pPr>
      <w:bookmarkStart w:id="18" w:name="_Toc20520"/>
      <w:r>
        <w:rPr>
          <w:rFonts w:hint="eastAsia" w:ascii="仿宋" w:hAnsi="仿宋" w:eastAsia="仿宋" w:cs="仿宋"/>
          <w:b/>
          <w:bCs/>
          <w:color w:val="auto"/>
          <w:highlight w:val="none"/>
        </w:rPr>
        <w:t>（二）</w:t>
      </w:r>
      <w:r>
        <w:rPr>
          <w:rFonts w:hint="eastAsia" w:ascii="仿宋" w:hAnsi="仿宋" w:eastAsia="仿宋" w:cs="仿宋"/>
          <w:b/>
          <w:color w:val="auto"/>
          <w:highlight w:val="none"/>
        </w:rPr>
        <w:t>监理酬金</w:t>
      </w:r>
      <w:r>
        <w:rPr>
          <w:rFonts w:hint="eastAsia" w:ascii="仿宋" w:hAnsi="仿宋" w:eastAsia="仿宋" w:cs="仿宋"/>
          <w:b/>
          <w:color w:val="auto"/>
          <w:highlight w:val="none"/>
          <w:lang w:eastAsia="zh-CN"/>
        </w:rPr>
        <w:t>约定</w:t>
      </w:r>
      <w:bookmarkEnd w:id="18"/>
    </w:p>
    <w:p w14:paraId="39DB59C9">
      <w:pPr>
        <w:pStyle w:val="105"/>
        <w:ind w:firstLine="496"/>
        <w:rPr>
          <w:rFonts w:hint="eastAsia" w:ascii="仿宋" w:hAnsi="仿宋" w:eastAsia="仿宋" w:cs="仿宋"/>
          <w:color w:val="auto"/>
          <w:highlight w:val="none"/>
        </w:rPr>
      </w:pPr>
      <w:r>
        <w:rPr>
          <w:rFonts w:hint="eastAsia" w:ascii="仿宋" w:hAnsi="仿宋" w:eastAsia="仿宋" w:cs="仿宋"/>
          <w:bCs/>
          <w:color w:val="auto"/>
          <w:highlight w:val="none"/>
        </w:rPr>
        <w:t>监理人必须在本合同签订生效后向委托人提交履约担保，方可根据完成本合同约定的相关监理工作的情况办理监理酬金</w:t>
      </w:r>
      <w:r>
        <w:rPr>
          <w:rFonts w:hint="eastAsia" w:ascii="仿宋" w:hAnsi="仿宋" w:eastAsia="仿宋" w:cs="仿宋"/>
          <w:bCs/>
          <w:color w:val="auto"/>
          <w:highlight w:val="none"/>
          <w:lang w:eastAsia="zh-CN"/>
        </w:rPr>
        <w:t>考核</w:t>
      </w:r>
      <w:r>
        <w:rPr>
          <w:rFonts w:hint="eastAsia" w:ascii="仿宋" w:hAnsi="仿宋" w:eastAsia="仿宋" w:cs="仿宋"/>
          <w:bCs/>
          <w:color w:val="auto"/>
          <w:highlight w:val="none"/>
        </w:rPr>
        <w:t>申请手续</w:t>
      </w:r>
      <w:r>
        <w:rPr>
          <w:rFonts w:hint="eastAsia" w:ascii="仿宋" w:hAnsi="仿宋" w:eastAsia="仿宋" w:cs="仿宋"/>
          <w:color w:val="auto"/>
          <w:highlight w:val="none"/>
        </w:rPr>
        <w:t>。</w:t>
      </w:r>
    </w:p>
    <w:p w14:paraId="11665F49">
      <w:pPr>
        <w:pStyle w:val="105"/>
        <w:ind w:firstLine="496"/>
        <w:rPr>
          <w:rFonts w:hint="eastAsia" w:ascii="仿宋" w:hAnsi="仿宋" w:eastAsia="仿宋" w:cs="仿宋"/>
          <w:b/>
          <w:bCs/>
          <w:color w:val="auto"/>
          <w:highlight w:val="none"/>
        </w:rPr>
      </w:pPr>
      <w:r>
        <w:rPr>
          <w:rFonts w:hint="eastAsia" w:ascii="仿宋" w:hAnsi="仿宋" w:eastAsia="仿宋" w:cs="仿宋"/>
          <w:color w:val="auto"/>
          <w:highlight w:val="none"/>
        </w:rPr>
        <w:t xml:space="preserve">本合同的监理酬金总额暂定为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万元，其中：</w:t>
      </w:r>
    </w:p>
    <w:p w14:paraId="42917105">
      <w:pPr>
        <w:pStyle w:val="105"/>
        <w:ind w:firstLine="496"/>
        <w:rPr>
          <w:rFonts w:hint="eastAsia" w:ascii="仿宋" w:hAnsi="仿宋" w:eastAsia="仿宋" w:cs="仿宋"/>
          <w:bCs/>
          <w:color w:val="auto"/>
          <w:highlight w:val="none"/>
        </w:rPr>
      </w:pPr>
      <w:r>
        <w:rPr>
          <w:rFonts w:hint="eastAsia" w:ascii="仿宋" w:hAnsi="仿宋" w:eastAsia="仿宋" w:cs="仿宋"/>
          <w:bCs/>
          <w:color w:val="auto"/>
          <w:highlight w:val="none"/>
        </w:rPr>
        <w:t>（1）施工</w:t>
      </w:r>
      <w:r>
        <w:rPr>
          <w:rFonts w:hint="eastAsia" w:ascii="仿宋" w:hAnsi="仿宋" w:eastAsia="仿宋" w:cs="仿宋"/>
          <w:b/>
          <w:color w:val="auto"/>
          <w:highlight w:val="none"/>
        </w:rPr>
        <w:t>准备</w:t>
      </w:r>
      <w:r>
        <w:rPr>
          <w:rFonts w:hint="eastAsia" w:ascii="仿宋" w:hAnsi="仿宋" w:eastAsia="仿宋" w:cs="仿宋"/>
          <w:bCs/>
          <w:color w:val="auto"/>
          <w:highlight w:val="none"/>
        </w:rPr>
        <w:t>阶段的监理酬金占本合同监理酬金总额的</w:t>
      </w:r>
      <w:r>
        <w:rPr>
          <w:rFonts w:hint="eastAsia" w:ascii="仿宋" w:hAnsi="仿宋" w:eastAsia="仿宋" w:cs="仿宋"/>
          <w:bCs/>
          <w:color w:val="auto"/>
          <w:highlight w:val="none"/>
          <w:lang w:val="en-US" w:eastAsia="zh-CN"/>
        </w:rPr>
        <w:t>3</w:t>
      </w:r>
      <w:r>
        <w:rPr>
          <w:rFonts w:hint="eastAsia" w:ascii="仿宋" w:hAnsi="仿宋" w:eastAsia="仿宋" w:cs="仿宋"/>
          <w:bCs/>
          <w:color w:val="auto"/>
          <w:highlight w:val="none"/>
        </w:rPr>
        <w:t>0%，为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bCs/>
          <w:color w:val="auto"/>
          <w:highlight w:val="none"/>
        </w:rPr>
        <w:t>万元；</w:t>
      </w:r>
    </w:p>
    <w:p w14:paraId="22B0F319">
      <w:pPr>
        <w:pStyle w:val="105"/>
        <w:spacing w:before="156" w:beforeLines="50"/>
        <w:ind w:firstLine="496"/>
        <w:rPr>
          <w:rFonts w:hint="eastAsia" w:ascii="仿宋" w:hAnsi="仿宋" w:eastAsia="仿宋" w:cs="仿宋"/>
          <w:bCs/>
          <w:color w:val="auto"/>
          <w:highlight w:val="none"/>
        </w:rPr>
      </w:pPr>
      <w:r>
        <w:rPr>
          <w:rFonts w:hint="eastAsia" w:ascii="仿宋" w:hAnsi="仿宋" w:eastAsia="仿宋" w:cs="仿宋"/>
          <w:bCs/>
          <w:color w:val="auto"/>
          <w:highlight w:val="none"/>
        </w:rPr>
        <w:t>（2）工程</w:t>
      </w:r>
      <w:r>
        <w:rPr>
          <w:rFonts w:hint="eastAsia" w:ascii="仿宋" w:hAnsi="仿宋" w:eastAsia="仿宋" w:cs="仿宋"/>
          <w:b/>
          <w:color w:val="auto"/>
          <w:highlight w:val="none"/>
        </w:rPr>
        <w:t>施工</w:t>
      </w:r>
      <w:r>
        <w:rPr>
          <w:rFonts w:hint="eastAsia" w:ascii="仿宋" w:hAnsi="仿宋" w:eastAsia="仿宋" w:cs="仿宋"/>
          <w:bCs/>
          <w:color w:val="auto"/>
          <w:highlight w:val="none"/>
        </w:rPr>
        <w:t>阶段的监理酬金占本合同监理酬金总额的</w:t>
      </w:r>
      <w:r>
        <w:rPr>
          <w:rFonts w:hint="eastAsia" w:ascii="仿宋" w:hAnsi="仿宋" w:eastAsia="仿宋" w:cs="仿宋"/>
          <w:bCs/>
          <w:color w:val="auto"/>
          <w:highlight w:val="none"/>
          <w:lang w:val="en-US" w:eastAsia="zh-CN"/>
        </w:rPr>
        <w:t>60</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为</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rPr>
        <w:t>万元；</w:t>
      </w:r>
    </w:p>
    <w:p w14:paraId="4AD1B49C">
      <w:pPr>
        <w:pStyle w:val="105"/>
        <w:spacing w:before="156" w:beforeLines="50"/>
        <w:ind w:firstLine="496"/>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（3）</w:t>
      </w:r>
      <w:r>
        <w:rPr>
          <w:rFonts w:hint="eastAsia" w:ascii="仿宋" w:hAnsi="仿宋" w:eastAsia="仿宋" w:cs="仿宋"/>
          <w:b/>
          <w:color w:val="auto"/>
          <w:highlight w:val="none"/>
        </w:rPr>
        <w:t>工程收尾阶</w:t>
      </w:r>
      <w:r>
        <w:rPr>
          <w:rFonts w:hint="eastAsia" w:ascii="仿宋" w:hAnsi="仿宋" w:eastAsia="仿宋" w:cs="仿宋"/>
          <w:bCs/>
          <w:color w:val="auto"/>
          <w:highlight w:val="none"/>
        </w:rPr>
        <w:t>段的监理酬金占本合同监理酬金总额的</w:t>
      </w:r>
      <w:r>
        <w:rPr>
          <w:rFonts w:hint="eastAsia" w:ascii="仿宋" w:hAnsi="仿宋" w:eastAsia="仿宋" w:cs="仿宋"/>
          <w:b/>
          <w:bCs/>
          <w:color w:val="auto"/>
          <w:spacing w:val="0"/>
          <w:kern w:val="2"/>
          <w:sz w:val="24"/>
          <w:szCs w:val="24"/>
          <w:highlight w:val="none"/>
          <w:lang w:val="en-US" w:eastAsia="zh-CN" w:bidi="ar-SA"/>
        </w:rPr>
        <w:t>10 %</w:t>
      </w:r>
      <w:r>
        <w:rPr>
          <w:rFonts w:hint="eastAsia" w:ascii="仿宋" w:hAnsi="仿宋" w:eastAsia="仿宋" w:cs="仿宋"/>
          <w:bCs/>
          <w:color w:val="auto"/>
          <w:highlight w:val="none"/>
        </w:rPr>
        <w:t>，为</w:t>
      </w:r>
      <w:r>
        <w:rPr>
          <w:rFonts w:hint="eastAsia" w:ascii="仿宋" w:hAnsi="仿宋" w:eastAsia="仿宋" w:cs="仿宋"/>
          <w:bCs/>
          <w:color w:val="auto"/>
          <w:highlight w:val="none"/>
          <w:u w:val="single"/>
        </w:rPr>
        <w:t xml:space="preserve"> </w:t>
      </w:r>
      <w:r>
        <w:rPr>
          <w:rFonts w:hint="eastAsia" w:ascii="仿宋" w:hAnsi="仿宋" w:eastAsia="仿宋" w:cs="仿宋"/>
          <w:bCs/>
          <w:color w:val="auto"/>
          <w:highlight w:val="none"/>
          <w:u w:val="single"/>
          <w:lang w:val="en-US" w:eastAsia="zh-CN"/>
        </w:rPr>
        <w:t xml:space="preserve">    </w:t>
      </w:r>
      <w:r>
        <w:rPr>
          <w:rFonts w:hint="eastAsia" w:ascii="仿宋" w:hAnsi="仿宋" w:eastAsia="仿宋" w:cs="仿宋"/>
          <w:bCs/>
          <w:color w:val="auto"/>
          <w:highlight w:val="none"/>
          <w:u w:val="none"/>
        </w:rPr>
        <w:t>万</w:t>
      </w:r>
      <w:r>
        <w:rPr>
          <w:rFonts w:hint="eastAsia" w:ascii="仿宋" w:hAnsi="仿宋" w:eastAsia="仿宋" w:cs="仿宋"/>
          <w:bCs/>
          <w:color w:val="auto"/>
          <w:highlight w:val="none"/>
        </w:rPr>
        <w:t>元；工程收尾阶</w:t>
      </w:r>
      <w:r>
        <w:rPr>
          <w:rFonts w:hint="eastAsia" w:ascii="仿宋" w:hAnsi="仿宋" w:eastAsia="仿宋" w:cs="仿宋"/>
          <w:b w:val="0"/>
          <w:bCs/>
          <w:color w:val="auto"/>
          <w:highlight w:val="none"/>
        </w:rPr>
        <w:t>段</w:t>
      </w:r>
      <w:r>
        <w:rPr>
          <w:rFonts w:hint="eastAsia" w:ascii="仿宋" w:hAnsi="仿宋" w:eastAsia="仿宋" w:cs="仿宋"/>
          <w:b w:val="0"/>
          <w:bCs/>
          <w:color w:val="auto"/>
          <w:sz w:val="24"/>
          <w:szCs w:val="24"/>
          <w:highlight w:val="none"/>
        </w:rPr>
        <w:t>余下10</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的监理费，在工程竣工验收或交付使用时，</w:t>
      </w:r>
      <w:r>
        <w:rPr>
          <w:rFonts w:hint="eastAsia" w:ascii="仿宋" w:hAnsi="仿宋" w:eastAsia="仿宋" w:cs="仿宋"/>
          <w:b w:val="0"/>
          <w:bCs/>
          <w:color w:val="auto"/>
          <w:sz w:val="24"/>
          <w:szCs w:val="24"/>
          <w:highlight w:val="none"/>
          <w:lang w:eastAsia="zh-CN"/>
        </w:rPr>
        <w:t>考核</w:t>
      </w:r>
      <w:r>
        <w:rPr>
          <w:rFonts w:hint="eastAsia" w:ascii="仿宋" w:hAnsi="仿宋" w:eastAsia="仿宋" w:cs="仿宋"/>
          <w:b w:val="0"/>
          <w:bCs/>
          <w:color w:val="auto"/>
          <w:sz w:val="24"/>
          <w:szCs w:val="24"/>
          <w:highlight w:val="none"/>
        </w:rPr>
        <w:t>监理酬金</w:t>
      </w:r>
      <w:r>
        <w:rPr>
          <w:rFonts w:hint="eastAsia" w:ascii="仿宋" w:hAnsi="仿宋" w:eastAsia="仿宋" w:cs="仿宋"/>
          <w:b w:val="0"/>
          <w:bCs/>
          <w:color w:val="auto"/>
          <w:sz w:val="24"/>
          <w:szCs w:val="24"/>
          <w:highlight w:val="none"/>
          <w:u w:val="single"/>
          <w:lang w:val="en-US" w:eastAsia="zh-CN"/>
        </w:rPr>
        <w:t>5</w:t>
      </w:r>
      <w:r>
        <w:rPr>
          <w:rFonts w:ascii="仿宋" w:hAnsi="仿宋" w:eastAsia="仿宋" w:cs="仿宋"/>
          <w:b w:val="0"/>
          <w:bCs/>
          <w:color w:val="auto"/>
          <w:sz w:val="24"/>
          <w:szCs w:val="24"/>
          <w:highlight w:val="none"/>
          <w:u w:val="single"/>
        </w:rPr>
        <w:t xml:space="preserve">  </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rPr>
        <w:t>；在质量保修阶段</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办理结算</w:t>
      </w:r>
      <w:r>
        <w:rPr>
          <w:rFonts w:hint="eastAsia" w:ascii="仿宋" w:hAnsi="仿宋" w:eastAsia="仿宋" w:cs="仿宋"/>
          <w:b w:val="0"/>
          <w:bCs/>
          <w:color w:val="auto"/>
          <w:sz w:val="24"/>
          <w:szCs w:val="24"/>
          <w:highlight w:val="none"/>
          <w:lang w:eastAsia="zh-CN"/>
        </w:rPr>
        <w:t>完成及</w:t>
      </w:r>
      <w:r>
        <w:rPr>
          <w:rFonts w:hint="eastAsia" w:ascii="仿宋" w:hAnsi="仿宋" w:eastAsia="仿宋" w:cs="仿宋"/>
          <w:b w:val="0"/>
          <w:bCs/>
          <w:color w:val="auto"/>
          <w:sz w:val="24"/>
          <w:szCs w:val="24"/>
          <w:highlight w:val="none"/>
        </w:rPr>
        <w:t>相关服务期届满14天内，</w:t>
      </w:r>
      <w:r>
        <w:rPr>
          <w:rFonts w:hint="eastAsia" w:ascii="仿宋" w:hAnsi="仿宋" w:eastAsia="仿宋" w:cs="仿宋"/>
          <w:b w:val="0"/>
          <w:bCs/>
          <w:color w:val="auto"/>
          <w:sz w:val="24"/>
          <w:szCs w:val="24"/>
          <w:highlight w:val="none"/>
          <w:lang w:eastAsia="zh-CN"/>
        </w:rPr>
        <w:t>考核</w:t>
      </w:r>
      <w:r>
        <w:rPr>
          <w:rFonts w:hint="eastAsia" w:ascii="仿宋" w:hAnsi="仿宋" w:eastAsia="仿宋" w:cs="仿宋"/>
          <w:b w:val="0"/>
          <w:bCs/>
          <w:color w:val="auto"/>
          <w:sz w:val="24"/>
          <w:szCs w:val="24"/>
          <w:highlight w:val="none"/>
        </w:rPr>
        <w:t>监理酬金</w:t>
      </w:r>
      <w:r>
        <w:rPr>
          <w:rFonts w:hint="eastAsia" w:ascii="仿宋" w:hAnsi="仿宋" w:eastAsia="仿宋" w:cs="仿宋"/>
          <w:b w:val="0"/>
          <w:bCs/>
          <w:color w:val="auto"/>
          <w:sz w:val="24"/>
          <w:szCs w:val="24"/>
          <w:highlight w:val="none"/>
          <w:u w:val="single"/>
          <w:lang w:val="en-US" w:eastAsia="zh-CN"/>
        </w:rPr>
        <w:t>5</w:t>
      </w:r>
      <w:r>
        <w:rPr>
          <w:rFonts w:ascii="仿宋" w:hAnsi="仿宋" w:eastAsia="仿宋" w:cs="仿宋"/>
          <w:b w:val="0"/>
          <w:bCs/>
          <w:color w:val="auto"/>
          <w:sz w:val="24"/>
          <w:szCs w:val="24"/>
          <w:highlight w:val="none"/>
          <w:u w:val="single"/>
        </w:rPr>
        <w:t xml:space="preserve"> </w:t>
      </w:r>
      <w:r>
        <w:rPr>
          <w:rFonts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w:t>
      </w:r>
    </w:p>
    <w:p w14:paraId="3FD317E0">
      <w:pPr>
        <w:spacing w:line="360" w:lineRule="auto"/>
        <w:ind w:firstLine="496" w:firstLineChars="200"/>
        <w:rPr>
          <w:rFonts w:hint="eastAsia" w:ascii="仿宋" w:hAnsi="仿宋" w:eastAsia="仿宋" w:cs="仿宋"/>
          <w:bCs/>
          <w:color w:val="auto"/>
          <w:spacing w:val="4"/>
          <w:kern w:val="0"/>
          <w:sz w:val="24"/>
          <w:szCs w:val="24"/>
          <w:highlight w:val="none"/>
          <w:lang w:val="en-US" w:eastAsia="zh-CN" w:bidi="ar-SA"/>
        </w:rPr>
      </w:pPr>
      <w:bookmarkStart w:id="19" w:name="OLE_LINK2"/>
      <w:r>
        <w:rPr>
          <w:rFonts w:hint="eastAsia" w:ascii="仿宋" w:hAnsi="仿宋" w:eastAsia="仿宋" w:cs="仿宋"/>
          <w:bCs/>
          <w:color w:val="auto"/>
          <w:spacing w:val="4"/>
          <w:kern w:val="0"/>
          <w:sz w:val="24"/>
          <w:szCs w:val="24"/>
          <w:highlight w:val="none"/>
          <w:lang w:val="en-US" w:eastAsia="zh-CN" w:bidi="ar-SA"/>
        </w:rPr>
        <w:t>（4）该项目是政府财政投资项目，实际立项申请单位为：</w:t>
      </w:r>
      <w:r>
        <w:rPr>
          <w:rFonts w:hint="eastAsia" w:ascii="仿宋" w:hAnsi="仿宋" w:eastAsia="仿宋" w:cs="仿宋"/>
          <w:bCs/>
          <w:color w:val="auto"/>
          <w:spacing w:val="4"/>
          <w:kern w:val="0"/>
          <w:sz w:val="24"/>
          <w:szCs w:val="24"/>
          <w:highlight w:val="none"/>
          <w:u w:val="single"/>
          <w:lang w:val="en-US" w:eastAsia="zh-CN" w:bidi="ar-SA"/>
        </w:rPr>
        <w:t xml:space="preserve">                </w:t>
      </w:r>
      <w:r>
        <w:rPr>
          <w:rFonts w:hint="eastAsia" w:ascii="仿宋" w:hAnsi="仿宋" w:eastAsia="仿宋" w:cs="仿宋"/>
          <w:bCs/>
          <w:color w:val="auto"/>
          <w:spacing w:val="4"/>
          <w:kern w:val="0"/>
          <w:sz w:val="24"/>
          <w:szCs w:val="24"/>
          <w:highlight w:val="none"/>
          <w:lang w:val="en-US" w:eastAsia="zh-CN" w:bidi="ar-SA"/>
        </w:rPr>
        <w:t xml:space="preserve"> ，委托人为建设管理单位。为更好管理项目资金拨付事宜，合同双方约定，该项目在工程款项申请时，按以下要求开具增值税发票：</w:t>
      </w:r>
    </w:p>
    <w:p w14:paraId="371A7525">
      <w:pPr>
        <w:spacing w:line="360" w:lineRule="auto"/>
        <w:rPr>
          <w:rFonts w:hint="eastAsia" w:ascii="仿宋" w:hAnsi="仿宋" w:eastAsia="仿宋" w:cs="仿宋"/>
          <w:bCs/>
          <w:color w:val="auto"/>
          <w:spacing w:val="4"/>
          <w:kern w:val="0"/>
          <w:sz w:val="24"/>
          <w:szCs w:val="24"/>
          <w:highlight w:val="none"/>
          <w:u w:val="single"/>
          <w:lang w:val="en-US" w:eastAsia="zh-CN" w:bidi="ar-SA"/>
        </w:rPr>
      </w:pPr>
      <w:r>
        <w:rPr>
          <w:rFonts w:hint="eastAsia" w:ascii="仿宋" w:hAnsi="仿宋" w:eastAsia="仿宋" w:cs="仿宋"/>
          <w:bCs/>
          <w:color w:val="auto"/>
          <w:spacing w:val="4"/>
          <w:kern w:val="0"/>
          <w:sz w:val="24"/>
          <w:szCs w:val="24"/>
          <w:highlight w:val="none"/>
          <w:lang w:val="en-US" w:eastAsia="zh-CN" w:bidi="ar-SA"/>
        </w:rPr>
        <w:t xml:space="preserve">发票抬头（业主单位）： </w:t>
      </w:r>
      <w:r>
        <w:rPr>
          <w:rFonts w:hint="eastAsia" w:ascii="仿宋" w:hAnsi="仿宋" w:eastAsia="仿宋" w:cs="仿宋"/>
          <w:bCs/>
          <w:color w:val="auto"/>
          <w:spacing w:val="4"/>
          <w:kern w:val="0"/>
          <w:sz w:val="24"/>
          <w:szCs w:val="24"/>
          <w:highlight w:val="none"/>
          <w:u w:val="single"/>
          <w:lang w:val="en-US" w:eastAsia="zh-CN" w:bidi="ar-SA"/>
        </w:rPr>
        <w:t xml:space="preserve">                    </w:t>
      </w:r>
    </w:p>
    <w:p w14:paraId="7DAE6EC6">
      <w:pPr>
        <w:spacing w:line="360" w:lineRule="auto"/>
        <w:ind w:firstLine="248" w:firstLineChars="100"/>
        <w:rPr>
          <w:rFonts w:hint="default" w:ascii="仿宋" w:hAnsi="仿宋" w:eastAsia="仿宋" w:cs="仿宋"/>
          <w:bCs/>
          <w:color w:val="auto"/>
          <w:spacing w:val="4"/>
          <w:kern w:val="0"/>
          <w:sz w:val="24"/>
          <w:szCs w:val="24"/>
          <w:highlight w:val="none"/>
          <w:u w:val="single"/>
          <w:lang w:val="en-US" w:eastAsia="zh-CN" w:bidi="ar-SA"/>
        </w:rPr>
      </w:pPr>
      <w:r>
        <w:rPr>
          <w:rFonts w:hint="eastAsia" w:ascii="仿宋" w:hAnsi="仿宋" w:eastAsia="仿宋" w:cs="仿宋"/>
          <w:bCs/>
          <w:color w:val="auto"/>
          <w:spacing w:val="4"/>
          <w:kern w:val="0"/>
          <w:sz w:val="24"/>
          <w:szCs w:val="24"/>
          <w:highlight w:val="none"/>
          <w:lang w:val="en-US" w:eastAsia="zh-CN" w:bidi="ar-SA"/>
        </w:rPr>
        <w:t>纳税人识别号：</w:t>
      </w:r>
      <w:r>
        <w:rPr>
          <w:rFonts w:hint="eastAsia" w:ascii="仿宋" w:hAnsi="仿宋" w:eastAsia="仿宋" w:cs="仿宋"/>
          <w:bCs/>
          <w:color w:val="auto"/>
          <w:spacing w:val="4"/>
          <w:kern w:val="0"/>
          <w:sz w:val="24"/>
          <w:szCs w:val="24"/>
          <w:highlight w:val="none"/>
          <w:u w:val="single"/>
          <w:lang w:val="en-US" w:eastAsia="zh-CN" w:bidi="ar-SA"/>
        </w:rPr>
        <w:t xml:space="preserve">                       </w:t>
      </w:r>
    </w:p>
    <w:bookmarkEnd w:id="19"/>
    <w:p w14:paraId="05728FEF">
      <w:pPr>
        <w:pStyle w:val="105"/>
        <w:ind w:firstLine="498"/>
        <w:outlineLvl w:val="2"/>
        <w:rPr>
          <w:rFonts w:hint="eastAsia" w:ascii="仿宋" w:hAnsi="仿宋" w:eastAsia="仿宋" w:cs="仿宋"/>
          <w:b/>
          <w:bCs/>
          <w:color w:val="auto"/>
          <w:highlight w:val="none"/>
        </w:rPr>
      </w:pPr>
      <w:bookmarkStart w:id="20" w:name="_Toc8029"/>
      <w:r>
        <w:rPr>
          <w:rFonts w:hint="eastAsia" w:ascii="仿宋" w:hAnsi="仿宋" w:eastAsia="仿宋" w:cs="仿宋"/>
          <w:b/>
          <w:bCs/>
          <w:color w:val="auto"/>
          <w:highlight w:val="none"/>
        </w:rPr>
        <w:t>（三）各阶段</w:t>
      </w:r>
      <w:r>
        <w:rPr>
          <w:rFonts w:hint="eastAsia" w:ascii="仿宋" w:hAnsi="仿宋" w:eastAsia="仿宋" w:cs="仿宋"/>
          <w:b/>
          <w:bCs/>
          <w:color w:val="auto"/>
          <w:highlight w:val="none"/>
          <w:lang w:eastAsia="zh-CN"/>
        </w:rPr>
        <w:t>考核</w:t>
      </w:r>
      <w:r>
        <w:rPr>
          <w:rFonts w:hint="eastAsia" w:ascii="仿宋" w:hAnsi="仿宋" w:eastAsia="仿宋" w:cs="仿宋"/>
          <w:b/>
          <w:bCs/>
          <w:color w:val="auto"/>
          <w:highlight w:val="none"/>
        </w:rPr>
        <w:t>约定</w:t>
      </w:r>
      <w:bookmarkEnd w:id="20"/>
    </w:p>
    <w:p w14:paraId="78175B14">
      <w:pPr>
        <w:pStyle w:val="105"/>
        <w:ind w:firstLine="498"/>
        <w:outlineLvl w:val="2"/>
        <w:rPr>
          <w:rFonts w:hint="eastAsia" w:ascii="仿宋" w:hAnsi="仿宋" w:eastAsia="仿宋" w:cs="仿宋"/>
          <w:bCs/>
          <w:color w:val="auto"/>
          <w:highlight w:val="none"/>
        </w:rPr>
      </w:pPr>
      <w:bookmarkStart w:id="21" w:name="_Toc2801"/>
      <w:r>
        <w:rPr>
          <w:rFonts w:hint="eastAsia" w:ascii="仿宋" w:hAnsi="仿宋" w:eastAsia="仿宋" w:cs="仿宋"/>
          <w:bCs/>
          <w:color w:val="auto"/>
          <w:highlight w:val="none"/>
        </w:rPr>
        <w:t>监理人应</w:t>
      </w:r>
      <w:r>
        <w:rPr>
          <w:rFonts w:hint="eastAsia" w:ascii="仿宋" w:hAnsi="仿宋" w:eastAsia="仿宋" w:cs="仿宋"/>
          <w:bCs/>
          <w:color w:val="auto"/>
          <w:highlight w:val="none"/>
          <w:lang w:eastAsia="zh-CN"/>
        </w:rPr>
        <w:t>按照</w:t>
      </w:r>
      <w:r>
        <w:rPr>
          <w:rFonts w:hint="eastAsia" w:ascii="仿宋" w:hAnsi="仿宋" w:eastAsia="仿宋" w:cs="仿宋"/>
          <w:bCs/>
          <w:color w:val="auto"/>
          <w:highlight w:val="none"/>
        </w:rPr>
        <w:t>合同</w:t>
      </w:r>
      <w:r>
        <w:rPr>
          <w:rFonts w:hint="eastAsia" w:ascii="仿宋" w:hAnsi="仿宋" w:eastAsia="仿宋" w:cs="仿宋"/>
          <w:bCs/>
          <w:color w:val="auto"/>
          <w:highlight w:val="none"/>
          <w:lang w:eastAsia="zh-CN"/>
        </w:rPr>
        <w:t>专用条款的</w:t>
      </w:r>
      <w:r>
        <w:rPr>
          <w:rFonts w:hint="eastAsia" w:ascii="仿宋" w:hAnsi="仿宋" w:eastAsia="仿宋" w:cs="仿宋"/>
          <w:bCs/>
          <w:color w:val="auto"/>
          <w:highlight w:val="none"/>
        </w:rPr>
        <w:t>约定</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完成各阶段的各项监理服务工作。</w:t>
      </w:r>
      <w:r>
        <w:rPr>
          <w:rFonts w:hint="eastAsia" w:ascii="仿宋" w:hAnsi="仿宋" w:eastAsia="仿宋" w:cs="仿宋"/>
          <w:bCs/>
          <w:color w:val="auto"/>
          <w:highlight w:val="none"/>
          <w:lang w:eastAsia="zh-CN"/>
        </w:rPr>
        <w:t>在</w:t>
      </w:r>
      <w:r>
        <w:rPr>
          <w:rFonts w:hint="eastAsia" w:ascii="仿宋" w:hAnsi="仿宋" w:eastAsia="仿宋" w:cs="仿宋"/>
          <w:bCs/>
          <w:color w:val="auto"/>
          <w:highlight w:val="none"/>
        </w:rPr>
        <w:t>各阶段各项监理酬金</w:t>
      </w:r>
      <w:r>
        <w:rPr>
          <w:rFonts w:hint="eastAsia" w:ascii="仿宋" w:hAnsi="仿宋" w:eastAsia="仿宋" w:cs="仿宋"/>
          <w:bCs/>
          <w:color w:val="auto"/>
          <w:highlight w:val="none"/>
          <w:lang w:eastAsia="zh-CN"/>
        </w:rPr>
        <w:t>总额中，各取</w:t>
      </w:r>
      <w:r>
        <w:rPr>
          <w:rFonts w:hint="eastAsia" w:ascii="仿宋" w:hAnsi="仿宋" w:eastAsia="仿宋" w:cs="仿宋"/>
          <w:bCs/>
          <w:color w:val="auto"/>
          <w:highlight w:val="none"/>
          <w:lang w:val="en-US" w:eastAsia="zh-CN"/>
        </w:rPr>
        <w:t>20</w:t>
      </w:r>
      <w:r>
        <w:rPr>
          <w:rFonts w:hint="eastAsia" w:ascii="仿宋" w:hAnsi="仿宋" w:eastAsia="仿宋" w:cs="仿宋"/>
          <w:bCs/>
          <w:color w:val="auto"/>
          <w:highlight w:val="none"/>
        </w:rPr>
        <w:t>%</w:t>
      </w:r>
      <w:r>
        <w:rPr>
          <w:rFonts w:hint="eastAsia" w:ascii="仿宋" w:hAnsi="仿宋" w:eastAsia="仿宋" w:cs="仿宋"/>
          <w:bCs/>
          <w:color w:val="auto"/>
          <w:highlight w:val="none"/>
          <w:lang w:eastAsia="zh-CN"/>
        </w:rPr>
        <w:t>作为</w:t>
      </w:r>
      <w:r>
        <w:rPr>
          <w:rFonts w:hint="eastAsia" w:ascii="仿宋" w:hAnsi="仿宋" w:eastAsia="仿宋" w:cs="仿宋"/>
          <w:bCs/>
          <w:color w:val="auto"/>
          <w:highlight w:val="none"/>
        </w:rPr>
        <w:t>监理服务及工作成果质量进行量化考核。委托人将根据《监理酬金量化考核</w:t>
      </w:r>
      <w:r>
        <w:rPr>
          <w:rFonts w:hint="eastAsia" w:ascii="仿宋" w:hAnsi="仿宋" w:eastAsia="仿宋" w:cs="仿宋"/>
          <w:bCs/>
          <w:color w:val="auto"/>
          <w:highlight w:val="none"/>
          <w:lang w:eastAsia="zh-CN"/>
        </w:rPr>
        <w:t>考核</w:t>
      </w:r>
      <w:r>
        <w:rPr>
          <w:rFonts w:hint="eastAsia" w:ascii="仿宋" w:hAnsi="仿宋" w:eastAsia="仿宋" w:cs="仿宋"/>
          <w:bCs/>
          <w:color w:val="auto"/>
          <w:highlight w:val="none"/>
        </w:rPr>
        <w:t>方式表》（合同附件2）对本合同中约定由监理人完成的监理服务进行量化考核。</w:t>
      </w:r>
      <w:bookmarkEnd w:id="21"/>
    </w:p>
    <w:p w14:paraId="0231688A">
      <w:pPr>
        <w:pStyle w:val="105"/>
        <w:numPr>
          <w:ilvl w:val="0"/>
          <w:numId w:val="0"/>
        </w:numPr>
        <w:ind w:left="420" w:leftChars="0"/>
        <w:rPr>
          <w:rFonts w:hint="eastAsia" w:ascii="仿宋" w:hAnsi="仿宋" w:eastAsia="仿宋" w:cs="仿宋"/>
          <w:b/>
          <w:bCs/>
          <w:color w:val="auto"/>
          <w:highlight w:val="none"/>
          <w:lang w:eastAsia="zh-CN"/>
        </w:rPr>
      </w:pPr>
      <w:bookmarkStart w:id="22" w:name="OLE_LINK7"/>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lang w:eastAsia="zh-CN"/>
        </w:rPr>
        <w:t xml:space="preserve">）施工准备阶段 </w:t>
      </w:r>
    </w:p>
    <w:bookmarkEnd w:id="22"/>
    <w:p w14:paraId="239A598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23" w:name="_Toc16588"/>
      <w:r>
        <w:rPr>
          <w:rFonts w:hint="eastAsia" w:ascii="仿宋" w:hAnsi="仿宋" w:eastAsia="仿宋" w:cs="仿宋"/>
          <w:bCs/>
          <w:color w:val="auto"/>
          <w:spacing w:val="4"/>
          <w:kern w:val="0"/>
          <w:sz w:val="24"/>
          <w:szCs w:val="24"/>
          <w:highlight w:val="none"/>
          <w:lang w:val="en-US" w:eastAsia="zh-CN" w:bidi="ar-SA"/>
        </w:rPr>
        <w:t>工程准备阶段的监理酬金原则上按合同总价之30%考核。监理人于此阶段应完成专用条款中“2. 监理人义务”里约定的准备阶段相关工作，如果相关约定工作完成情况不理想，委托人有权根据合同附件2进行相应费用扣除。</w:t>
      </w:r>
      <w:bookmarkEnd w:id="23"/>
      <w:r>
        <w:rPr>
          <w:rFonts w:hint="eastAsia" w:ascii="仿宋" w:hAnsi="仿宋" w:eastAsia="仿宋" w:cs="仿宋"/>
          <w:bCs/>
          <w:color w:val="auto"/>
          <w:spacing w:val="4"/>
          <w:kern w:val="0"/>
          <w:sz w:val="24"/>
          <w:szCs w:val="24"/>
          <w:highlight w:val="none"/>
          <w:lang w:val="en-US" w:eastAsia="zh-CN" w:bidi="ar-SA"/>
        </w:rPr>
        <w:t xml:space="preserve"> </w:t>
      </w:r>
    </w:p>
    <w:p w14:paraId="78526ED8">
      <w:pPr>
        <w:pStyle w:val="105"/>
        <w:numPr>
          <w:ilvl w:val="0"/>
          <w:numId w:val="3"/>
        </w:numPr>
        <w:ind w:firstLine="496"/>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 xml:space="preserve">施工阶段 </w:t>
      </w:r>
      <w:bookmarkStart w:id="24" w:name="OLE_LINK5"/>
    </w:p>
    <w:p w14:paraId="7B246CFE">
      <w:pPr>
        <w:pStyle w:val="105"/>
        <w:numPr>
          <w:ilvl w:val="0"/>
          <w:numId w:val="0"/>
        </w:numPr>
        <w:ind w:firstLine="496" w:firstLineChars="200"/>
        <w:rPr>
          <w:rFonts w:hint="eastAsia" w:ascii="仿宋" w:hAnsi="仿宋" w:eastAsia="仿宋" w:cs="仿宋"/>
          <w:b/>
          <w:bCs/>
          <w:color w:val="auto"/>
          <w:highlight w:val="none"/>
          <w:lang w:eastAsia="zh-CN"/>
        </w:rPr>
      </w:pPr>
      <w:r>
        <w:rPr>
          <w:rFonts w:hint="eastAsia" w:ascii="仿宋" w:hAnsi="仿宋" w:eastAsia="仿宋" w:cs="仿宋"/>
          <w:bCs/>
          <w:color w:val="auto"/>
          <w:spacing w:val="4"/>
          <w:kern w:val="0"/>
          <w:sz w:val="24"/>
          <w:szCs w:val="24"/>
          <w:highlight w:val="none"/>
          <w:lang w:val="en-US" w:eastAsia="zh-CN" w:bidi="ar-SA"/>
        </w:rPr>
        <w:t xml:space="preserve">工程施工阶段的监理酬金原则上按现场工程形象进度同比例考核: </w:t>
      </w:r>
      <w:r>
        <w:rPr>
          <w:rFonts w:hint="eastAsia" w:ascii="仿宋" w:hAnsi="仿宋" w:eastAsia="仿宋" w:cs="仿宋"/>
          <w:color w:val="auto"/>
          <w:highlight w:val="none"/>
        </w:rPr>
        <w:t>每期</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的监理酬金</w:t>
      </w:r>
      <w:r>
        <w:rPr>
          <w:rFonts w:ascii="仿宋" w:hAnsi="仿宋" w:eastAsia="仿宋" w:cs="仿宋"/>
          <w:color w:val="auto"/>
          <w:highlight w:val="none"/>
        </w:rPr>
        <w:t>=</w:t>
      </w:r>
      <w:r>
        <w:rPr>
          <w:rFonts w:hint="eastAsia" w:ascii="仿宋" w:hAnsi="仿宋" w:eastAsia="仿宋" w:cs="仿宋"/>
          <w:color w:val="auto"/>
          <w:highlight w:val="none"/>
        </w:rPr>
        <w:t>当</w:t>
      </w:r>
      <w:r>
        <w:rPr>
          <w:rFonts w:hint="eastAsia" w:ascii="仿宋" w:hAnsi="仿宋" w:eastAsia="仿宋" w:cs="仿宋"/>
          <w:color w:val="auto"/>
          <w:highlight w:val="none"/>
          <w:lang w:val="en-US" w:eastAsia="zh-CN"/>
        </w:rPr>
        <w:t>期施工现场</w:t>
      </w:r>
      <w:r>
        <w:rPr>
          <w:rFonts w:hint="eastAsia" w:ascii="仿宋" w:hAnsi="仿宋" w:eastAsia="仿宋" w:cs="仿宋"/>
          <w:color w:val="auto"/>
          <w:highlight w:val="none"/>
        </w:rPr>
        <w:t>完成的工程量</w:t>
      </w:r>
      <w:r>
        <w:rPr>
          <w:rFonts w:ascii="仿宋" w:hAnsi="仿宋" w:eastAsia="仿宋" w:cs="仿宋"/>
          <w:color w:val="auto"/>
          <w:highlight w:val="none"/>
        </w:rPr>
        <w:t>/</w:t>
      </w:r>
      <w:r>
        <w:rPr>
          <w:rFonts w:hint="eastAsia" w:ascii="仿宋" w:hAnsi="仿宋" w:eastAsia="仿宋" w:cs="仿宋"/>
          <w:color w:val="auto"/>
          <w:highlight w:val="none"/>
        </w:rPr>
        <w:t>项目建筑安装</w:t>
      </w:r>
      <w:r>
        <w:rPr>
          <w:rFonts w:hint="eastAsia" w:ascii="仿宋" w:hAnsi="仿宋" w:eastAsia="仿宋" w:cs="仿宋"/>
          <w:b w:val="0"/>
          <w:bCs w:val="0"/>
          <w:color w:val="auto"/>
          <w:highlight w:val="none"/>
          <w:lang w:eastAsia="zh-CN"/>
        </w:rPr>
        <w:t>施工</w:t>
      </w:r>
      <w:r>
        <w:rPr>
          <w:rFonts w:hint="eastAsia" w:ascii="仿宋" w:hAnsi="仿宋" w:eastAsia="仿宋" w:cs="仿宋"/>
          <w:b w:val="0"/>
          <w:bCs w:val="0"/>
          <w:color w:val="auto"/>
          <w:highlight w:val="none"/>
        </w:rPr>
        <w:t>工程</w:t>
      </w:r>
      <w:r>
        <w:rPr>
          <w:rFonts w:hint="eastAsia" w:ascii="仿宋" w:hAnsi="仿宋" w:eastAsia="仿宋" w:cs="仿宋"/>
          <w:b w:val="0"/>
          <w:bCs w:val="0"/>
          <w:color w:val="auto"/>
          <w:highlight w:val="none"/>
          <w:lang w:eastAsia="zh-CN"/>
        </w:rPr>
        <w:t>合同价（扣除暂列金）</w:t>
      </w:r>
      <w:r>
        <w:rPr>
          <w:rFonts w:hint="eastAsia" w:ascii="仿宋" w:hAnsi="仿宋" w:eastAsia="仿宋" w:cs="仿宋"/>
          <w:b w:val="0"/>
          <w:bCs w:val="0"/>
          <w:color w:val="auto"/>
          <w:highlight w:val="none"/>
        </w:rPr>
        <w:t>×监理酬金总额×</w:t>
      </w:r>
      <w:r>
        <w:rPr>
          <w:rFonts w:ascii="仿宋" w:hAnsi="仿宋" w:eastAsia="仿宋" w:cs="仿宋"/>
          <w:b w:val="0"/>
          <w:bCs w:val="0"/>
          <w:color w:val="auto"/>
          <w:highlight w:val="none"/>
          <w:u w:val="single"/>
        </w:rPr>
        <w:t xml:space="preserve"> </w:t>
      </w:r>
      <w:r>
        <w:rPr>
          <w:rFonts w:hint="eastAsia" w:ascii="仿宋" w:hAnsi="仿宋" w:eastAsia="仿宋" w:cs="仿宋"/>
          <w:b w:val="0"/>
          <w:bCs w:val="0"/>
          <w:color w:val="auto"/>
          <w:highlight w:val="none"/>
          <w:u w:val="single"/>
          <w:lang w:val="en-US" w:eastAsia="zh-CN"/>
        </w:rPr>
        <w:t>80</w:t>
      </w:r>
      <w:r>
        <w:rPr>
          <w:rFonts w:ascii="仿宋" w:hAnsi="仿宋" w:eastAsia="仿宋" w:cs="仿宋"/>
          <w:b w:val="0"/>
          <w:bCs w:val="0"/>
          <w:color w:val="auto"/>
          <w:highlight w:val="none"/>
          <w:u w:val="single"/>
        </w:rPr>
        <w:t xml:space="preserve"> </w:t>
      </w:r>
      <w:r>
        <w:rPr>
          <w:rFonts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w:t>
      </w:r>
      <w:r>
        <w:rPr>
          <w:rFonts w:hint="eastAsia" w:ascii="仿宋" w:hAnsi="仿宋" w:eastAsia="仿宋" w:cs="仿宋"/>
          <w:bCs/>
          <w:color w:val="auto"/>
          <w:spacing w:val="4"/>
          <w:kern w:val="0"/>
          <w:sz w:val="24"/>
          <w:szCs w:val="24"/>
          <w:highlight w:val="none"/>
          <w:lang w:val="en-US" w:eastAsia="zh-CN" w:bidi="ar-SA"/>
        </w:rPr>
        <w:t>具体考核周期不作固定约定，可根据委托人对现场实际确认后予以计量考核。</w:t>
      </w:r>
      <w:bookmarkEnd w:id="24"/>
      <w:r>
        <w:rPr>
          <w:rFonts w:hint="eastAsia" w:ascii="仿宋" w:hAnsi="仿宋" w:eastAsia="仿宋" w:cs="仿宋"/>
          <w:bCs/>
          <w:color w:val="auto"/>
          <w:spacing w:val="4"/>
          <w:kern w:val="0"/>
          <w:sz w:val="24"/>
          <w:szCs w:val="24"/>
          <w:highlight w:val="none"/>
          <w:lang w:val="en-US" w:eastAsia="zh-CN" w:bidi="ar-SA"/>
        </w:rPr>
        <w:t>此阶段监理酬金中要求监理人应完成专用条款中“2. 监理人义务”里约定的相关工作之服务费，完成情况不理想的可参照合同附件2约定进行相应扣除暂不考核。</w:t>
      </w:r>
    </w:p>
    <w:p w14:paraId="04800885">
      <w:pPr>
        <w:pStyle w:val="105"/>
        <w:numPr>
          <w:ilvl w:val="0"/>
          <w:numId w:val="0"/>
        </w:numPr>
        <w:ind w:firstLine="496" w:firstLineChars="200"/>
        <w:rPr>
          <w:rFonts w:hint="eastAsia" w:ascii="仿宋" w:hAnsi="仿宋" w:eastAsia="仿宋" w:cs="仿宋"/>
          <w:bCs/>
          <w:color w:val="auto"/>
          <w:spacing w:val="4"/>
          <w:kern w:val="0"/>
          <w:sz w:val="24"/>
          <w:szCs w:val="24"/>
          <w:highlight w:val="none"/>
          <w:lang w:val="en-US" w:eastAsia="zh-CN" w:bidi="ar-SA"/>
        </w:rPr>
      </w:pPr>
      <w:r>
        <w:rPr>
          <w:rFonts w:hint="eastAsia" w:ascii="仿宋" w:hAnsi="仿宋" w:eastAsia="仿宋" w:cs="仿宋"/>
          <w:bCs/>
          <w:color w:val="auto"/>
          <w:spacing w:val="4"/>
          <w:kern w:val="0"/>
          <w:sz w:val="24"/>
          <w:szCs w:val="24"/>
          <w:highlight w:val="none"/>
          <w:lang w:val="en-US" w:eastAsia="zh-CN" w:bidi="ar-SA"/>
        </w:rPr>
        <w:t>另外，此阶段监理酬金应包含监理人现场监理人员到岗履职之服务费，此部分费用应包含项目总监、项目总监代表、土建专业监理工程师、机电设备专业监理工程师、专职安全管理监理工程师、造价人员、资料员等监理人员的现场监理服务费，如果到岗履职情况不理想，委托人可根据履职情况依据下表进行扣除。</w:t>
      </w:r>
    </w:p>
    <w:tbl>
      <w:tblPr>
        <w:tblStyle w:val="43"/>
        <w:tblpPr w:leftFromText="180" w:rightFromText="180" w:vertAnchor="text" w:horzAnchor="page" w:tblpX="1522" w:tblpY="126"/>
        <w:tblOverlap w:val="never"/>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055"/>
        <w:gridCol w:w="1061"/>
        <w:gridCol w:w="1058"/>
        <w:gridCol w:w="1026"/>
        <w:gridCol w:w="1118"/>
        <w:gridCol w:w="1005"/>
        <w:gridCol w:w="1015"/>
        <w:gridCol w:w="1015"/>
      </w:tblGrid>
      <w:tr w14:paraId="110A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956" w:type="dxa"/>
            <w:noWrap w:val="0"/>
            <w:vAlign w:val="center"/>
          </w:tcPr>
          <w:p w14:paraId="51B916EA">
            <w:pPr>
              <w:pStyle w:val="105"/>
              <w:ind w:firstLine="0" w:firstLineChars="0"/>
              <w:jc w:val="both"/>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人员类别</w:t>
            </w:r>
          </w:p>
        </w:tc>
        <w:tc>
          <w:tcPr>
            <w:tcW w:w="1055" w:type="dxa"/>
            <w:noWrap w:val="0"/>
            <w:vAlign w:val="center"/>
          </w:tcPr>
          <w:p w14:paraId="257E6FA7">
            <w:pPr>
              <w:pStyle w:val="105"/>
              <w:ind w:firstLine="0" w:firstLineChars="0"/>
              <w:jc w:val="both"/>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项目总监</w:t>
            </w:r>
          </w:p>
        </w:tc>
        <w:tc>
          <w:tcPr>
            <w:tcW w:w="1061" w:type="dxa"/>
            <w:noWrap w:val="0"/>
            <w:vAlign w:val="center"/>
          </w:tcPr>
          <w:p w14:paraId="1BA3E125">
            <w:pPr>
              <w:pStyle w:val="105"/>
              <w:ind w:firstLine="0" w:firstLineChars="0"/>
              <w:jc w:val="both"/>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项目总监代表</w:t>
            </w:r>
          </w:p>
        </w:tc>
        <w:tc>
          <w:tcPr>
            <w:tcW w:w="1058" w:type="dxa"/>
            <w:noWrap w:val="0"/>
            <w:vAlign w:val="center"/>
          </w:tcPr>
          <w:p w14:paraId="324A0481">
            <w:pPr>
              <w:pStyle w:val="105"/>
              <w:ind w:firstLine="0" w:firstLineChars="0"/>
              <w:jc w:val="both"/>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造价人员</w:t>
            </w:r>
          </w:p>
        </w:tc>
        <w:tc>
          <w:tcPr>
            <w:tcW w:w="1026" w:type="dxa"/>
            <w:noWrap w:val="0"/>
            <w:vAlign w:val="center"/>
          </w:tcPr>
          <w:p w14:paraId="3F1DAFFF">
            <w:pPr>
              <w:pStyle w:val="105"/>
              <w:ind w:firstLine="0" w:firstLineChars="0"/>
              <w:jc w:val="both"/>
              <w:rPr>
                <w:rFonts w:hint="eastAsia" w:ascii="仿宋" w:hAnsi="仿宋" w:eastAsia="仿宋" w:cs="仿宋"/>
                <w:bCs/>
                <w:color w:val="auto"/>
                <w:kern w:val="2"/>
                <w:sz w:val="22"/>
                <w:szCs w:val="22"/>
                <w:highlight w:val="none"/>
              </w:rPr>
            </w:pPr>
            <w:r>
              <w:rPr>
                <w:rFonts w:hint="eastAsia" w:ascii="仿宋" w:hAnsi="仿宋" w:eastAsia="仿宋" w:cs="仿宋"/>
                <w:bCs/>
                <w:color w:val="auto"/>
                <w:kern w:val="2"/>
                <w:sz w:val="22"/>
                <w:szCs w:val="22"/>
                <w:highlight w:val="none"/>
              </w:rPr>
              <w:t>资料员</w:t>
            </w:r>
          </w:p>
        </w:tc>
        <w:tc>
          <w:tcPr>
            <w:tcW w:w="1118" w:type="dxa"/>
            <w:noWrap w:val="0"/>
            <w:vAlign w:val="center"/>
          </w:tcPr>
          <w:p w14:paraId="292FA565">
            <w:pPr>
              <w:pStyle w:val="105"/>
              <w:ind w:firstLine="496"/>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土建专业监理工程师</w:t>
            </w:r>
          </w:p>
        </w:tc>
        <w:tc>
          <w:tcPr>
            <w:tcW w:w="1005" w:type="dxa"/>
            <w:noWrap w:val="0"/>
            <w:vAlign w:val="center"/>
          </w:tcPr>
          <w:p w14:paraId="7AD9987F">
            <w:pPr>
              <w:pStyle w:val="105"/>
              <w:ind w:firstLine="496"/>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机电设备专业监理工程师</w:t>
            </w:r>
          </w:p>
        </w:tc>
        <w:tc>
          <w:tcPr>
            <w:tcW w:w="1015" w:type="dxa"/>
            <w:noWrap w:val="0"/>
            <w:vAlign w:val="center"/>
          </w:tcPr>
          <w:p w14:paraId="352DB23F">
            <w:pPr>
              <w:pStyle w:val="105"/>
              <w:ind w:firstLine="496"/>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专职安全管理监理工程师</w:t>
            </w:r>
          </w:p>
        </w:tc>
        <w:tc>
          <w:tcPr>
            <w:tcW w:w="1015" w:type="dxa"/>
            <w:noWrap w:val="0"/>
            <w:vAlign w:val="center"/>
          </w:tcPr>
          <w:p w14:paraId="0477656C">
            <w:pPr>
              <w:pStyle w:val="105"/>
              <w:ind w:firstLine="496"/>
              <w:jc w:val="both"/>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监理员</w:t>
            </w:r>
          </w:p>
        </w:tc>
      </w:tr>
      <w:tr w14:paraId="662E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956" w:type="dxa"/>
            <w:noWrap w:val="0"/>
            <w:vAlign w:val="center"/>
          </w:tcPr>
          <w:p w14:paraId="26FB6C5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25" w:name="_Toc26856"/>
            <w:r>
              <w:rPr>
                <w:rFonts w:hint="eastAsia" w:ascii="仿宋" w:hAnsi="仿宋" w:eastAsia="仿宋" w:cs="仿宋"/>
                <w:bCs/>
                <w:color w:val="auto"/>
                <w:spacing w:val="4"/>
                <w:kern w:val="0"/>
                <w:sz w:val="22"/>
                <w:szCs w:val="22"/>
                <w:highlight w:val="none"/>
                <w:lang w:val="en-US" w:eastAsia="zh-CN" w:bidi="ar-SA"/>
              </w:rPr>
              <w:t>费用档次</w:t>
            </w:r>
            <w:bookmarkEnd w:id="25"/>
          </w:p>
        </w:tc>
        <w:tc>
          <w:tcPr>
            <w:tcW w:w="1055" w:type="dxa"/>
            <w:noWrap w:val="0"/>
            <w:vAlign w:val="center"/>
          </w:tcPr>
          <w:p w14:paraId="41570F8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26" w:name="_Toc14652"/>
            <w:r>
              <w:rPr>
                <w:rFonts w:hint="eastAsia" w:ascii="仿宋" w:hAnsi="仿宋" w:eastAsia="仿宋" w:cs="仿宋"/>
                <w:bCs/>
                <w:color w:val="auto"/>
                <w:spacing w:val="4"/>
                <w:kern w:val="0"/>
                <w:sz w:val="22"/>
                <w:szCs w:val="22"/>
                <w:highlight w:val="none"/>
                <w:lang w:val="en-US" w:eastAsia="zh-CN" w:bidi="ar-SA"/>
              </w:rPr>
              <w:t>2万元/月</w:t>
            </w:r>
            <w:bookmarkEnd w:id="26"/>
          </w:p>
        </w:tc>
        <w:tc>
          <w:tcPr>
            <w:tcW w:w="1061" w:type="dxa"/>
            <w:noWrap w:val="0"/>
            <w:vAlign w:val="center"/>
          </w:tcPr>
          <w:p w14:paraId="460FF095">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27" w:name="_Toc15675"/>
            <w:r>
              <w:rPr>
                <w:rFonts w:hint="eastAsia" w:ascii="仿宋" w:hAnsi="仿宋" w:eastAsia="仿宋" w:cs="仿宋"/>
                <w:bCs/>
                <w:color w:val="auto"/>
                <w:spacing w:val="4"/>
                <w:kern w:val="0"/>
                <w:sz w:val="22"/>
                <w:szCs w:val="22"/>
                <w:highlight w:val="none"/>
                <w:lang w:val="en-US" w:eastAsia="zh-CN" w:bidi="ar-SA"/>
              </w:rPr>
              <w:t>1万元/月</w:t>
            </w:r>
            <w:bookmarkEnd w:id="27"/>
          </w:p>
        </w:tc>
        <w:tc>
          <w:tcPr>
            <w:tcW w:w="1058" w:type="dxa"/>
            <w:noWrap w:val="0"/>
            <w:vAlign w:val="center"/>
          </w:tcPr>
          <w:p w14:paraId="4875C966">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28" w:name="_Toc9597"/>
            <w:r>
              <w:rPr>
                <w:rFonts w:hint="eastAsia" w:ascii="仿宋" w:hAnsi="仿宋" w:eastAsia="仿宋" w:cs="仿宋"/>
                <w:bCs/>
                <w:color w:val="auto"/>
                <w:spacing w:val="4"/>
                <w:kern w:val="0"/>
                <w:sz w:val="22"/>
                <w:szCs w:val="22"/>
                <w:highlight w:val="none"/>
                <w:lang w:val="en-US" w:eastAsia="zh-CN" w:bidi="ar-SA"/>
              </w:rPr>
              <w:t>0.5万元/月</w:t>
            </w:r>
            <w:bookmarkEnd w:id="28"/>
          </w:p>
        </w:tc>
        <w:tc>
          <w:tcPr>
            <w:tcW w:w="1026" w:type="dxa"/>
            <w:noWrap w:val="0"/>
            <w:vAlign w:val="center"/>
          </w:tcPr>
          <w:p w14:paraId="41456EE0">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29" w:name="_Toc22122"/>
            <w:r>
              <w:rPr>
                <w:rFonts w:hint="eastAsia" w:ascii="仿宋" w:hAnsi="仿宋" w:eastAsia="仿宋" w:cs="仿宋"/>
                <w:bCs/>
                <w:color w:val="auto"/>
                <w:spacing w:val="4"/>
                <w:kern w:val="0"/>
                <w:sz w:val="22"/>
                <w:szCs w:val="22"/>
                <w:highlight w:val="none"/>
                <w:lang w:val="en-US" w:eastAsia="zh-CN" w:bidi="ar-SA"/>
              </w:rPr>
              <w:t>0.5万元/月</w:t>
            </w:r>
            <w:bookmarkEnd w:id="29"/>
          </w:p>
        </w:tc>
        <w:tc>
          <w:tcPr>
            <w:tcW w:w="1118" w:type="dxa"/>
            <w:noWrap w:val="0"/>
            <w:vAlign w:val="center"/>
          </w:tcPr>
          <w:p w14:paraId="7EBE5FC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30" w:name="_Toc29496"/>
            <w:r>
              <w:rPr>
                <w:rFonts w:hint="eastAsia" w:ascii="仿宋" w:hAnsi="仿宋" w:eastAsia="仿宋" w:cs="仿宋"/>
                <w:bCs/>
                <w:color w:val="auto"/>
                <w:spacing w:val="4"/>
                <w:kern w:val="0"/>
                <w:sz w:val="22"/>
                <w:szCs w:val="22"/>
                <w:highlight w:val="none"/>
                <w:lang w:val="en-US" w:eastAsia="zh-CN" w:bidi="ar-SA"/>
              </w:rPr>
              <w:t>1万元/月</w:t>
            </w:r>
            <w:bookmarkEnd w:id="30"/>
          </w:p>
        </w:tc>
        <w:tc>
          <w:tcPr>
            <w:tcW w:w="1005" w:type="dxa"/>
            <w:noWrap w:val="0"/>
            <w:vAlign w:val="center"/>
          </w:tcPr>
          <w:p w14:paraId="24C8CEEA">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31" w:name="_Toc2044"/>
            <w:r>
              <w:rPr>
                <w:rFonts w:hint="eastAsia" w:ascii="仿宋" w:hAnsi="仿宋" w:eastAsia="仿宋" w:cs="仿宋"/>
                <w:bCs/>
                <w:color w:val="auto"/>
                <w:spacing w:val="4"/>
                <w:kern w:val="0"/>
                <w:sz w:val="22"/>
                <w:szCs w:val="22"/>
                <w:highlight w:val="none"/>
                <w:lang w:val="en-US" w:eastAsia="zh-CN" w:bidi="ar-SA"/>
              </w:rPr>
              <w:t>1万元/月</w:t>
            </w:r>
            <w:bookmarkEnd w:id="31"/>
          </w:p>
        </w:tc>
        <w:tc>
          <w:tcPr>
            <w:tcW w:w="1015" w:type="dxa"/>
            <w:noWrap w:val="0"/>
            <w:vAlign w:val="center"/>
          </w:tcPr>
          <w:p w14:paraId="7191342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32" w:name="_Toc23126"/>
            <w:r>
              <w:rPr>
                <w:rFonts w:hint="eastAsia" w:ascii="仿宋" w:hAnsi="仿宋" w:eastAsia="仿宋" w:cs="仿宋"/>
                <w:bCs/>
                <w:color w:val="auto"/>
                <w:spacing w:val="4"/>
                <w:kern w:val="0"/>
                <w:sz w:val="22"/>
                <w:szCs w:val="22"/>
                <w:highlight w:val="none"/>
                <w:lang w:val="en-US" w:eastAsia="zh-CN" w:bidi="ar-SA"/>
              </w:rPr>
              <w:t>1万元/月</w:t>
            </w:r>
            <w:bookmarkEnd w:id="32"/>
          </w:p>
        </w:tc>
        <w:tc>
          <w:tcPr>
            <w:tcW w:w="1015" w:type="dxa"/>
            <w:noWrap w:val="0"/>
            <w:vAlign w:val="center"/>
          </w:tcPr>
          <w:p w14:paraId="4CB4FB19">
            <w:pPr>
              <w:keepNext w:val="0"/>
              <w:keepLines w:val="0"/>
              <w:pageBreakBefore w:val="0"/>
              <w:widowControl w:val="0"/>
              <w:kinsoku/>
              <w:wordWrap/>
              <w:overflowPunct/>
              <w:topLinePunct w:val="0"/>
              <w:autoSpaceDE/>
              <w:autoSpaceDN/>
              <w:bidi w:val="0"/>
              <w:adjustRightInd/>
              <w:snapToGrid/>
              <w:spacing w:line="360" w:lineRule="auto"/>
              <w:ind w:firstLine="456" w:firstLineChars="200"/>
              <w:textAlignment w:val="auto"/>
              <w:outlineLvl w:val="1"/>
              <w:rPr>
                <w:rFonts w:hint="eastAsia" w:ascii="仿宋" w:hAnsi="仿宋" w:eastAsia="仿宋" w:cs="仿宋"/>
                <w:bCs/>
                <w:color w:val="auto"/>
                <w:spacing w:val="4"/>
                <w:kern w:val="0"/>
                <w:sz w:val="22"/>
                <w:szCs w:val="22"/>
                <w:highlight w:val="none"/>
                <w:lang w:val="en-US" w:eastAsia="zh-CN" w:bidi="ar-SA"/>
              </w:rPr>
            </w:pPr>
            <w:bookmarkStart w:id="33" w:name="_Toc31437"/>
            <w:r>
              <w:rPr>
                <w:rFonts w:hint="eastAsia" w:ascii="仿宋" w:hAnsi="仿宋" w:eastAsia="仿宋" w:cs="仿宋"/>
                <w:bCs/>
                <w:color w:val="auto"/>
                <w:spacing w:val="4"/>
                <w:kern w:val="0"/>
                <w:sz w:val="22"/>
                <w:szCs w:val="22"/>
                <w:highlight w:val="none"/>
                <w:lang w:val="en-US" w:eastAsia="zh-CN" w:bidi="ar-SA"/>
              </w:rPr>
              <w:t>0.5万元/月</w:t>
            </w:r>
            <w:bookmarkEnd w:id="33"/>
          </w:p>
        </w:tc>
      </w:tr>
    </w:tbl>
    <w:p w14:paraId="0D9EA89D">
      <w:pPr>
        <w:pStyle w:val="105"/>
        <w:widowControl w:val="0"/>
        <w:numPr>
          <w:ilvl w:val="0"/>
          <w:numId w:val="0"/>
        </w:numPr>
        <w:topLinePunct/>
        <w:adjustRightInd w:val="0"/>
        <w:snapToGrid w:val="0"/>
        <w:spacing w:line="360" w:lineRule="auto"/>
        <w:jc w:val="both"/>
        <w:rPr>
          <w:rFonts w:hint="eastAsia" w:ascii="仿宋" w:hAnsi="仿宋" w:eastAsia="仿宋" w:cs="仿宋"/>
          <w:b/>
          <w:bCs/>
          <w:color w:val="auto"/>
          <w:highlight w:val="none"/>
          <w:lang w:eastAsia="zh-CN"/>
        </w:rPr>
      </w:pPr>
    </w:p>
    <w:p w14:paraId="33DA9D2A">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34" w:name="_Toc13959"/>
      <w:r>
        <w:rPr>
          <w:rFonts w:hint="eastAsia" w:ascii="仿宋" w:hAnsi="仿宋" w:eastAsia="仿宋" w:cs="仿宋"/>
          <w:bCs/>
          <w:color w:val="auto"/>
          <w:spacing w:val="4"/>
          <w:kern w:val="0"/>
          <w:sz w:val="24"/>
          <w:szCs w:val="24"/>
          <w:highlight w:val="none"/>
          <w:lang w:val="en-US" w:eastAsia="zh-CN" w:bidi="ar-SA"/>
        </w:rPr>
        <w:t>计量原则如下：</w:t>
      </w:r>
      <w:bookmarkEnd w:id="34"/>
    </w:p>
    <w:p w14:paraId="04937B9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r>
        <w:rPr>
          <w:rFonts w:hint="eastAsia" w:ascii="仿宋" w:hAnsi="仿宋" w:eastAsia="仿宋" w:cs="仿宋"/>
          <w:bCs/>
          <w:color w:val="auto"/>
          <w:spacing w:val="4"/>
          <w:kern w:val="0"/>
          <w:sz w:val="24"/>
          <w:szCs w:val="24"/>
          <w:highlight w:val="none"/>
          <w:lang w:val="en-US" w:eastAsia="zh-CN" w:bidi="ar-SA"/>
        </w:rPr>
        <w:t xml:space="preserve"> </w:t>
      </w:r>
      <w:bookmarkStart w:id="35" w:name="_Toc16615"/>
      <w:r>
        <w:rPr>
          <w:rFonts w:hint="eastAsia" w:ascii="仿宋" w:hAnsi="仿宋" w:eastAsia="仿宋" w:cs="仿宋"/>
          <w:bCs/>
          <w:color w:val="auto"/>
          <w:spacing w:val="4"/>
          <w:kern w:val="0"/>
          <w:sz w:val="24"/>
          <w:szCs w:val="24"/>
          <w:highlight w:val="none"/>
          <w:lang w:val="en-US" w:eastAsia="zh-CN" w:bidi="ar-SA"/>
        </w:rPr>
        <w:t>1）在施工阶段，如监理人的上述相关人员在一个月内经委托人书面确认的现场办公管理天数不低于20日历天时，则相应人员在该月的现场监理服务费予以全额考核；如低于20日历天时，则相应人员在该月的现场监理服务费在当月的监理进度款（酬金）中，按照上表进行扣除暂不考核。</w:t>
      </w:r>
      <w:bookmarkEnd w:id="35"/>
    </w:p>
    <w:p w14:paraId="2D425A3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r>
        <w:rPr>
          <w:rFonts w:hint="eastAsia" w:ascii="仿宋" w:hAnsi="仿宋" w:eastAsia="仿宋" w:cs="仿宋"/>
          <w:bCs/>
          <w:color w:val="auto"/>
          <w:spacing w:val="4"/>
          <w:kern w:val="0"/>
          <w:sz w:val="24"/>
          <w:szCs w:val="24"/>
          <w:highlight w:val="none"/>
          <w:lang w:val="en-US" w:eastAsia="zh-CN" w:bidi="ar-SA"/>
        </w:rPr>
        <w:t xml:space="preserve"> </w:t>
      </w:r>
      <w:bookmarkStart w:id="36" w:name="_Toc27211"/>
      <w:r>
        <w:rPr>
          <w:rFonts w:hint="eastAsia" w:ascii="仿宋" w:hAnsi="仿宋" w:eastAsia="仿宋" w:cs="仿宋"/>
          <w:bCs/>
          <w:color w:val="auto"/>
          <w:spacing w:val="4"/>
          <w:kern w:val="0"/>
          <w:sz w:val="24"/>
          <w:szCs w:val="24"/>
          <w:highlight w:val="none"/>
          <w:lang w:val="en-US" w:eastAsia="zh-CN" w:bidi="ar-SA"/>
        </w:rPr>
        <w:t>2）监理人申报每期进度款（监理酬金）时同时申报当期的现场监理服务费，委托人根据上述第（1）点的计量原则核实、计量后予以考核，计量依据不限于会议记录纪要、委托人工作联系单、信息通知等。</w:t>
      </w:r>
      <w:bookmarkEnd w:id="36"/>
    </w:p>
    <w:p w14:paraId="1BD6CA3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37" w:name="_Toc20739"/>
      <w:r>
        <w:rPr>
          <w:rFonts w:hint="eastAsia" w:ascii="仿宋" w:hAnsi="仿宋" w:eastAsia="仿宋" w:cs="仿宋"/>
          <w:bCs/>
          <w:color w:val="auto"/>
          <w:spacing w:val="4"/>
          <w:kern w:val="0"/>
          <w:sz w:val="24"/>
          <w:szCs w:val="24"/>
          <w:highlight w:val="none"/>
          <w:lang w:val="en-US" w:eastAsia="zh-CN" w:bidi="ar-SA"/>
        </w:rPr>
        <w:t>3）因工程出现延期导致施工阶段的监理服务期延长的，按本条“监理酬金的计取”条款的约定执行，同时委托人将依照重新调整的工期调整尚未考核的监理酬金的考核次数及比例。如工程停工，则在此期间，委托人不再审核监理人提出的监理酬金考核申请，但监理人在此期间内仍应履行按合同约定的应由其完成的工作内容。</w:t>
      </w:r>
      <w:bookmarkEnd w:id="37"/>
    </w:p>
    <w:p w14:paraId="4CA2471C">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r>
        <w:rPr>
          <w:rFonts w:hint="eastAsia" w:ascii="仿宋" w:hAnsi="仿宋" w:eastAsia="仿宋" w:cs="仿宋"/>
          <w:bCs/>
          <w:color w:val="auto"/>
          <w:spacing w:val="4"/>
          <w:kern w:val="0"/>
          <w:sz w:val="24"/>
          <w:szCs w:val="24"/>
          <w:highlight w:val="none"/>
          <w:lang w:val="en-US" w:eastAsia="zh-CN" w:bidi="ar-SA"/>
        </w:rPr>
        <w:t xml:space="preserve"> </w:t>
      </w:r>
      <w:bookmarkStart w:id="38" w:name="_Toc32482"/>
      <w:r>
        <w:rPr>
          <w:rFonts w:hint="eastAsia" w:ascii="仿宋" w:hAnsi="仿宋" w:eastAsia="仿宋" w:cs="仿宋"/>
          <w:bCs/>
          <w:color w:val="auto"/>
          <w:spacing w:val="4"/>
          <w:kern w:val="0"/>
          <w:sz w:val="24"/>
          <w:szCs w:val="24"/>
          <w:highlight w:val="none"/>
          <w:lang w:val="en-US" w:eastAsia="zh-CN" w:bidi="ar-SA"/>
        </w:rPr>
        <w:t>4）如施工阶段监理人在工程现场除项目总监、总监代表、造价人员、资料员外的其他人员到位情况未能达到合同约定的标准时，出现1人次不到位的，委托人除按本合同专用条款中第4条“违约责任”的相关约定向监理人追究违约责任外，同时扣减监理人当期酬金金额的20%；2人次及2人次以上的人员不到位的，按每人次暂扣监理人当期酬金金额的20%的比例进行累计扣减（最高不超过当期酬金金额的60%）。暂扣的酬金于竣工验收证书发出后一次性返还监理人。</w:t>
      </w:r>
      <w:bookmarkEnd w:id="38"/>
    </w:p>
    <w:p w14:paraId="617016BB">
      <w:pPr>
        <w:pStyle w:val="105"/>
        <w:numPr>
          <w:ilvl w:val="0"/>
          <w:numId w:val="0"/>
        </w:numPr>
        <w:ind w:left="420" w:leftChars="0"/>
        <w:rPr>
          <w:rFonts w:hint="eastAsia" w:ascii="仿宋" w:hAnsi="仿宋" w:eastAsia="仿宋" w:cs="仿宋"/>
          <w:b/>
          <w:bCs/>
          <w:color w:val="auto"/>
          <w:spacing w:val="4"/>
          <w:kern w:val="0"/>
          <w:sz w:val="24"/>
          <w:szCs w:val="24"/>
          <w:highlight w:val="none"/>
          <w:lang w:val="en-US" w:eastAsia="zh-CN" w:bidi="ar-SA"/>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lang w:eastAsia="zh-CN"/>
        </w:rPr>
        <w:t>）</w:t>
      </w:r>
      <w:r>
        <w:rPr>
          <w:rFonts w:hint="eastAsia" w:ascii="仿宋" w:hAnsi="仿宋" w:eastAsia="仿宋" w:cs="仿宋"/>
          <w:b/>
          <w:bCs/>
          <w:color w:val="auto"/>
          <w:spacing w:val="4"/>
          <w:kern w:val="0"/>
          <w:sz w:val="24"/>
          <w:szCs w:val="24"/>
          <w:highlight w:val="none"/>
          <w:lang w:val="en-US" w:eastAsia="zh-CN" w:bidi="ar-SA"/>
        </w:rPr>
        <w:t>工程收尾阶段监理酬金的考核</w:t>
      </w:r>
    </w:p>
    <w:p w14:paraId="4EEBF57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39" w:name="_Toc28447"/>
      <w:r>
        <w:rPr>
          <w:rFonts w:hint="eastAsia" w:ascii="仿宋" w:hAnsi="仿宋" w:eastAsia="仿宋" w:cs="仿宋"/>
          <w:bCs/>
          <w:color w:val="auto"/>
          <w:spacing w:val="4"/>
          <w:kern w:val="0"/>
          <w:sz w:val="24"/>
          <w:szCs w:val="24"/>
          <w:highlight w:val="none"/>
          <w:lang w:val="en-US" w:eastAsia="zh-CN" w:bidi="ar-SA"/>
        </w:rPr>
        <w:t>工程收尾阶段的监理服务期自监理人收到本合同工程（含分项、分部工程）竣工验收申请之日起，至本合同工程的竣工结算获得政府终审部门最终确认且竣工验收证书发出之日止。</w:t>
      </w:r>
      <w:bookmarkEnd w:id="39"/>
    </w:p>
    <w:p w14:paraId="6F5AD19C">
      <w:pPr>
        <w:pStyle w:val="105"/>
        <w:ind w:firstLine="496"/>
        <w:rPr>
          <w:rFonts w:hint="eastAsia" w:ascii="仿宋" w:hAnsi="仿宋" w:eastAsia="仿宋" w:cs="仿宋"/>
          <w:bCs/>
          <w:color w:val="auto"/>
          <w:highlight w:val="none"/>
        </w:rPr>
      </w:pPr>
      <w:r>
        <w:rPr>
          <w:rFonts w:hint="eastAsia" w:ascii="仿宋" w:hAnsi="仿宋" w:eastAsia="仿宋" w:cs="仿宋"/>
          <w:bCs/>
          <w:color w:val="auto"/>
          <w:spacing w:val="4"/>
          <w:kern w:val="0"/>
          <w:sz w:val="24"/>
          <w:szCs w:val="24"/>
          <w:highlight w:val="none"/>
          <w:lang w:val="en-US" w:eastAsia="zh-CN" w:bidi="ar-SA"/>
        </w:rPr>
        <w:t>工程收尾阶段造价人员、资料员2类人员的现场监理服务费按实考勤，计量考核。</w:t>
      </w:r>
      <w:r>
        <w:rPr>
          <w:rFonts w:hint="eastAsia" w:ascii="仿宋" w:hAnsi="仿宋" w:eastAsia="仿宋" w:cs="仿宋"/>
          <w:bCs/>
          <w:color w:val="auto"/>
          <w:highlight w:val="none"/>
          <w:lang w:eastAsia="zh-CN"/>
        </w:rPr>
        <w:t>该阶段</w:t>
      </w:r>
      <w:r>
        <w:rPr>
          <w:rFonts w:hint="eastAsia" w:ascii="仿宋" w:hAnsi="仿宋" w:eastAsia="仿宋" w:cs="仿宋"/>
          <w:bCs/>
          <w:color w:val="auto"/>
          <w:highlight w:val="none"/>
        </w:rPr>
        <w:t>监理酬金中包含监理人现场监理服务费，以下监理人员的现场监理服务费根据现场到位情况进行计量</w:t>
      </w:r>
      <w:r>
        <w:rPr>
          <w:rFonts w:hint="eastAsia" w:ascii="仿宋" w:hAnsi="仿宋" w:eastAsia="仿宋" w:cs="仿宋"/>
          <w:bCs/>
          <w:color w:val="auto"/>
          <w:highlight w:val="none"/>
          <w:lang w:eastAsia="zh-CN"/>
        </w:rPr>
        <w:t>考核</w:t>
      </w:r>
      <w:r>
        <w:rPr>
          <w:rFonts w:hint="eastAsia" w:ascii="仿宋" w:hAnsi="仿宋" w:eastAsia="仿宋" w:cs="仿宋"/>
          <w:bCs/>
          <w:color w:val="auto"/>
          <w:highlight w:val="none"/>
        </w:rPr>
        <w:t>，对应的费用档次为：</w:t>
      </w:r>
    </w:p>
    <w:tbl>
      <w:tblPr>
        <w:tblStyle w:val="43"/>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2651"/>
        <w:gridCol w:w="2651"/>
      </w:tblGrid>
      <w:tr w14:paraId="6B81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96" w:type="dxa"/>
            <w:noWrap w:val="0"/>
            <w:vAlign w:val="center"/>
          </w:tcPr>
          <w:p w14:paraId="64691652">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人员类别</w:t>
            </w:r>
          </w:p>
        </w:tc>
        <w:tc>
          <w:tcPr>
            <w:tcW w:w="2651" w:type="dxa"/>
            <w:noWrap w:val="0"/>
            <w:vAlign w:val="center"/>
          </w:tcPr>
          <w:p w14:paraId="6B2BC665">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造价人员</w:t>
            </w:r>
          </w:p>
        </w:tc>
        <w:tc>
          <w:tcPr>
            <w:tcW w:w="2651" w:type="dxa"/>
            <w:noWrap w:val="0"/>
            <w:vAlign w:val="center"/>
          </w:tcPr>
          <w:p w14:paraId="59C1F57B">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资料员</w:t>
            </w:r>
          </w:p>
        </w:tc>
      </w:tr>
      <w:tr w14:paraId="44C6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596" w:type="dxa"/>
            <w:noWrap w:val="0"/>
            <w:vAlign w:val="center"/>
          </w:tcPr>
          <w:p w14:paraId="1C86E9C2">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费用档次</w:t>
            </w:r>
          </w:p>
        </w:tc>
        <w:tc>
          <w:tcPr>
            <w:tcW w:w="2651" w:type="dxa"/>
            <w:noWrap w:val="0"/>
            <w:vAlign w:val="center"/>
          </w:tcPr>
          <w:p w14:paraId="088BBD41">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u w:val="single"/>
              </w:rPr>
              <w:t>0.5</w:t>
            </w:r>
            <w:r>
              <w:rPr>
                <w:rFonts w:hint="eastAsia" w:ascii="仿宋" w:hAnsi="仿宋" w:eastAsia="仿宋" w:cs="仿宋"/>
                <w:bCs/>
                <w:color w:val="auto"/>
                <w:kern w:val="2"/>
                <w:highlight w:val="none"/>
              </w:rPr>
              <w:t>万元/月</w:t>
            </w:r>
          </w:p>
        </w:tc>
        <w:tc>
          <w:tcPr>
            <w:tcW w:w="2651" w:type="dxa"/>
            <w:noWrap w:val="0"/>
            <w:vAlign w:val="center"/>
          </w:tcPr>
          <w:p w14:paraId="66A78854">
            <w:pPr>
              <w:pStyle w:val="105"/>
              <w:ind w:firstLine="0" w:firstLineChars="0"/>
              <w:jc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u w:val="single"/>
              </w:rPr>
              <w:t>0.5</w:t>
            </w:r>
            <w:r>
              <w:rPr>
                <w:rFonts w:hint="eastAsia" w:ascii="仿宋" w:hAnsi="仿宋" w:eastAsia="仿宋" w:cs="仿宋"/>
                <w:bCs/>
                <w:color w:val="auto"/>
                <w:kern w:val="2"/>
                <w:highlight w:val="none"/>
              </w:rPr>
              <w:t>万元/月</w:t>
            </w:r>
          </w:p>
        </w:tc>
      </w:tr>
    </w:tbl>
    <w:p w14:paraId="5B91B61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0" w:name="_Toc4362"/>
      <w:r>
        <w:rPr>
          <w:rFonts w:hint="eastAsia" w:ascii="仿宋" w:hAnsi="仿宋" w:eastAsia="仿宋" w:cs="仿宋"/>
          <w:bCs/>
          <w:color w:val="auto"/>
          <w:spacing w:val="4"/>
          <w:kern w:val="0"/>
          <w:sz w:val="24"/>
          <w:szCs w:val="24"/>
          <w:highlight w:val="none"/>
          <w:lang w:val="en-US" w:eastAsia="zh-CN" w:bidi="ar-SA"/>
        </w:rPr>
        <w:t>计量原则如下：</w:t>
      </w:r>
      <w:bookmarkEnd w:id="40"/>
      <w:r>
        <w:rPr>
          <w:rFonts w:hint="eastAsia" w:ascii="仿宋" w:hAnsi="仿宋" w:eastAsia="仿宋" w:cs="仿宋"/>
          <w:bCs/>
          <w:color w:val="auto"/>
          <w:spacing w:val="4"/>
          <w:kern w:val="0"/>
          <w:sz w:val="24"/>
          <w:szCs w:val="24"/>
          <w:highlight w:val="none"/>
          <w:lang w:val="en-US" w:eastAsia="zh-CN" w:bidi="ar-SA"/>
        </w:rPr>
        <w:t xml:space="preserve"> </w:t>
      </w:r>
    </w:p>
    <w:p w14:paraId="0F0D0BD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1" w:name="_Toc29397"/>
      <w:r>
        <w:rPr>
          <w:rFonts w:hint="eastAsia" w:ascii="仿宋" w:hAnsi="仿宋" w:eastAsia="仿宋" w:cs="仿宋"/>
          <w:bCs/>
          <w:color w:val="auto"/>
          <w:spacing w:val="4"/>
          <w:kern w:val="0"/>
          <w:sz w:val="24"/>
          <w:szCs w:val="24"/>
          <w:highlight w:val="none"/>
          <w:lang w:val="en-US" w:eastAsia="zh-CN" w:bidi="ar-SA"/>
        </w:rPr>
        <w:t>1）在工程收尾阶段，如监理人的上述相关人员在一个月内经委托人书面确认的现场办公管理天数不低于20日历天时，则相应人员在该月的现场监理服务费予以全额考核；如低于20日历天时，则相应人员在该月的现场监理服务费在当月的监理进度款（酬金）中，按照上表主要人员“费用档次”进行扣除。</w:t>
      </w:r>
      <w:bookmarkEnd w:id="41"/>
    </w:p>
    <w:p w14:paraId="15F38E7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2" w:name="_Toc22654"/>
      <w:r>
        <w:rPr>
          <w:rFonts w:hint="eastAsia" w:ascii="仿宋" w:hAnsi="仿宋" w:eastAsia="仿宋" w:cs="仿宋"/>
          <w:bCs/>
          <w:color w:val="auto"/>
          <w:spacing w:val="4"/>
          <w:kern w:val="0"/>
          <w:sz w:val="24"/>
          <w:szCs w:val="24"/>
          <w:highlight w:val="none"/>
          <w:lang w:val="en-US" w:eastAsia="zh-CN" w:bidi="ar-SA"/>
        </w:rPr>
        <w:t>2）监理人申报工程收尾阶段监理酬金时同时申报当期的现场监理服务费，委托人根据上述第（1）点的计量原则核实、计量后予以考核。</w:t>
      </w:r>
      <w:bookmarkEnd w:id="42"/>
    </w:p>
    <w:p w14:paraId="76525B5C">
      <w:pPr>
        <w:pStyle w:val="105"/>
        <w:numPr>
          <w:ilvl w:val="0"/>
          <w:numId w:val="0"/>
        </w:numPr>
        <w:ind w:firstLine="496" w:firstLineChars="200"/>
        <w:rPr>
          <w:rFonts w:hint="eastAsia" w:ascii="仿宋" w:hAnsi="仿宋" w:eastAsia="仿宋" w:cs="仿宋"/>
          <w:b/>
          <w:bCs/>
          <w:color w:val="auto"/>
          <w:highlight w:val="none"/>
          <w:lang w:eastAsia="zh-CN"/>
        </w:rPr>
      </w:pPr>
      <w:r>
        <w:rPr>
          <w:rFonts w:hint="eastAsia" w:ascii="仿宋" w:hAnsi="仿宋" w:eastAsia="仿宋" w:cs="仿宋"/>
          <w:bCs/>
          <w:color w:val="auto"/>
          <w:spacing w:val="4"/>
          <w:kern w:val="0"/>
          <w:sz w:val="24"/>
          <w:szCs w:val="24"/>
          <w:highlight w:val="none"/>
          <w:lang w:val="en-US" w:eastAsia="zh-CN" w:bidi="ar-SA"/>
        </w:rPr>
        <w:t>此阶段监理酬金中要求监理人应完成专用条款中“2. 监理人义务”里约定的相关工作之服务费，完成情况不理想的可参照合同附件2约定进行相应扣除暂不考核。</w:t>
      </w:r>
    </w:p>
    <w:p w14:paraId="4DE9DE64">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outlineLvl w:val="1"/>
        <w:rPr>
          <w:rFonts w:hint="eastAsia" w:ascii="仿宋" w:hAnsi="仿宋" w:eastAsia="仿宋" w:cs="仿宋"/>
          <w:b/>
          <w:bCs w:val="0"/>
          <w:color w:val="auto"/>
          <w:spacing w:val="4"/>
          <w:kern w:val="0"/>
          <w:sz w:val="24"/>
          <w:szCs w:val="24"/>
          <w:highlight w:val="none"/>
          <w:lang w:val="en-US" w:eastAsia="zh-CN" w:bidi="ar-SA"/>
        </w:rPr>
      </w:pPr>
      <w:bookmarkStart w:id="43" w:name="_Toc8532"/>
      <w:r>
        <w:rPr>
          <w:rFonts w:hint="eastAsia" w:ascii="仿宋" w:hAnsi="仿宋" w:eastAsia="仿宋" w:cs="仿宋"/>
          <w:b/>
          <w:bCs w:val="0"/>
          <w:color w:val="auto"/>
          <w:spacing w:val="4"/>
          <w:kern w:val="0"/>
          <w:sz w:val="24"/>
          <w:szCs w:val="24"/>
          <w:highlight w:val="none"/>
          <w:lang w:val="en-US" w:eastAsia="zh-CN" w:bidi="ar-SA"/>
        </w:rPr>
        <w:t>（四）监理酬金的其他约定</w:t>
      </w:r>
      <w:bookmarkEnd w:id="43"/>
    </w:p>
    <w:p w14:paraId="6B77083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4" w:name="_Toc18572"/>
      <w:r>
        <w:rPr>
          <w:rFonts w:hint="eastAsia" w:ascii="仿宋" w:hAnsi="仿宋" w:eastAsia="仿宋" w:cs="仿宋"/>
          <w:bCs/>
          <w:color w:val="auto"/>
          <w:spacing w:val="4"/>
          <w:kern w:val="0"/>
          <w:sz w:val="24"/>
          <w:szCs w:val="24"/>
          <w:highlight w:val="none"/>
          <w:lang w:val="en-US" w:eastAsia="zh-CN" w:bidi="ar-SA"/>
        </w:rPr>
        <w:t>1）在本合同约定的监理范围内，监理人不得以任何理由要求对附加工作和额外工作计取监理酬金。</w:t>
      </w:r>
      <w:bookmarkEnd w:id="44"/>
    </w:p>
    <w:p w14:paraId="672F761C">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5" w:name="_Toc16423"/>
      <w:r>
        <w:rPr>
          <w:rFonts w:hint="eastAsia" w:ascii="仿宋" w:hAnsi="仿宋" w:eastAsia="仿宋" w:cs="仿宋"/>
          <w:bCs/>
          <w:color w:val="auto"/>
          <w:spacing w:val="4"/>
          <w:kern w:val="0"/>
          <w:sz w:val="24"/>
          <w:szCs w:val="24"/>
          <w:highlight w:val="none"/>
          <w:lang w:val="en-US" w:eastAsia="zh-CN" w:bidi="ar-SA"/>
        </w:rPr>
        <w:t>2）在本合同约定的监理范围内，当工程量增加、或设计变更、或设计规模变化时，监理人工作的变化均应视为本合同约定的监理工作，监理酬金总额不再调整。</w:t>
      </w:r>
      <w:bookmarkEnd w:id="45"/>
    </w:p>
    <w:p w14:paraId="232D5A0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6" w:name="_Toc31294"/>
      <w:r>
        <w:rPr>
          <w:rFonts w:hint="eastAsia" w:ascii="仿宋" w:hAnsi="仿宋" w:eastAsia="仿宋" w:cs="仿宋"/>
          <w:bCs/>
          <w:color w:val="auto"/>
          <w:spacing w:val="4"/>
          <w:kern w:val="0"/>
          <w:sz w:val="24"/>
          <w:szCs w:val="24"/>
          <w:highlight w:val="none"/>
          <w:lang w:val="en-US" w:eastAsia="zh-CN" w:bidi="ar-SA"/>
        </w:rPr>
        <w:t>3）本合同约定的服务期间，其各种费率和费用不因物价变动导致监理酬金的增减而给予弥补或调整，双方另有约定的除外。</w:t>
      </w:r>
      <w:bookmarkEnd w:id="46"/>
    </w:p>
    <w:p w14:paraId="1EB40164">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7" w:name="_Toc28463"/>
      <w:r>
        <w:rPr>
          <w:rFonts w:hint="eastAsia" w:ascii="仿宋" w:hAnsi="仿宋" w:eastAsia="仿宋" w:cs="仿宋"/>
          <w:bCs/>
          <w:color w:val="auto"/>
          <w:spacing w:val="4"/>
          <w:kern w:val="0"/>
          <w:sz w:val="24"/>
          <w:szCs w:val="24"/>
          <w:highlight w:val="none"/>
          <w:lang w:val="en-US" w:eastAsia="zh-CN" w:bidi="ar-SA"/>
        </w:rPr>
        <w:t>4）在本合同约定的监理范围内，非因监理人原因造成工程延期，致使监理服务期出现延长，监理人的责任期也应相应延长，本合同监理酬金总额不作调整，双方另有约定的除外。</w:t>
      </w:r>
      <w:bookmarkEnd w:id="47"/>
    </w:p>
    <w:p w14:paraId="72801BA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8" w:name="_Toc21738"/>
      <w:r>
        <w:rPr>
          <w:rFonts w:hint="eastAsia" w:ascii="仿宋" w:hAnsi="仿宋" w:eastAsia="仿宋" w:cs="仿宋"/>
          <w:bCs/>
          <w:color w:val="auto"/>
          <w:spacing w:val="4"/>
          <w:kern w:val="0"/>
          <w:sz w:val="24"/>
          <w:szCs w:val="24"/>
          <w:highlight w:val="none"/>
          <w:lang w:val="en-US" w:eastAsia="zh-CN" w:bidi="ar-SA"/>
        </w:rPr>
        <w:t>5）如在工程实施期间，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bookmarkEnd w:id="48"/>
    </w:p>
    <w:p w14:paraId="183279E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49" w:name="_Toc2942"/>
      <w:r>
        <w:rPr>
          <w:rFonts w:hint="eastAsia" w:ascii="仿宋" w:hAnsi="仿宋" w:eastAsia="仿宋" w:cs="仿宋"/>
          <w:bCs/>
          <w:color w:val="auto"/>
          <w:spacing w:val="4"/>
          <w:kern w:val="0"/>
          <w:sz w:val="24"/>
          <w:szCs w:val="24"/>
          <w:highlight w:val="none"/>
          <w:lang w:val="en-US" w:eastAsia="zh-CN" w:bidi="ar-SA"/>
        </w:rPr>
        <w:t>6）如在工程实施期间，无论任何原因造成本合同工程中间停工而导致监理人必须二次或多次进出场，监理酬金总额将不会因此而有所调整，相关费用亦已包含在本合同监理酬金之中。因工程中间停工而不退场的，监理人可与委托人协商减少驻场监理人员的数量，但本合同监理酬金总额不作调整。</w:t>
      </w:r>
      <w:bookmarkEnd w:id="49"/>
    </w:p>
    <w:p w14:paraId="771123D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50" w:name="_Toc20519"/>
      <w:r>
        <w:rPr>
          <w:rFonts w:hint="eastAsia" w:ascii="仿宋" w:hAnsi="仿宋" w:eastAsia="仿宋" w:cs="仿宋"/>
          <w:bCs/>
          <w:color w:val="auto"/>
          <w:spacing w:val="4"/>
          <w:kern w:val="0"/>
          <w:sz w:val="24"/>
          <w:szCs w:val="24"/>
          <w:highlight w:val="none"/>
          <w:lang w:val="en-US" w:eastAsia="zh-CN" w:bidi="ar-SA"/>
        </w:rPr>
        <w:t>7）委托人可根据工作需要从监理人的项目部直接抽调造价人员，于工程现场或委托人指定场所协助委托人工作；相关费用已含于监理费用中。</w:t>
      </w:r>
      <w:bookmarkEnd w:id="50"/>
    </w:p>
    <w:p w14:paraId="244BA60C">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outlineLvl w:val="1"/>
        <w:rPr>
          <w:rFonts w:hint="eastAsia" w:ascii="仿宋" w:hAnsi="仿宋" w:eastAsia="仿宋" w:cs="仿宋"/>
          <w:bCs/>
          <w:color w:val="auto"/>
          <w:spacing w:val="4"/>
          <w:kern w:val="0"/>
          <w:sz w:val="24"/>
          <w:szCs w:val="24"/>
          <w:highlight w:val="none"/>
          <w:lang w:val="en-US" w:eastAsia="zh-CN" w:bidi="ar-SA"/>
        </w:rPr>
      </w:pPr>
      <w:bookmarkStart w:id="51" w:name="_Toc10737"/>
      <w:r>
        <w:rPr>
          <w:rFonts w:hint="eastAsia" w:ascii="仿宋" w:hAnsi="仿宋" w:eastAsia="仿宋" w:cs="仿宋"/>
          <w:bCs/>
          <w:color w:val="auto"/>
          <w:spacing w:val="4"/>
          <w:kern w:val="0"/>
          <w:sz w:val="24"/>
          <w:szCs w:val="24"/>
          <w:highlight w:val="none"/>
          <w:lang w:val="en-US" w:eastAsia="zh-CN" w:bidi="ar-SA"/>
        </w:rPr>
        <w:t>8）监理人向委托人承诺：保证按照本合同的约定完成本合同监理服务的工作内容且相关的监理服务须达到令委托人满意的程度。监理人如未能按《监理酬金量化考核考核方式表》（合同附件2）的约定完成相关工作内容的工作成果，或完成的工作成果未能达到约定的考核审核标准，或委托人对监理工作情况的检查结果未能达到约定的令人满意的程度，均视为监理人对该承诺的违反，委托人将在合同监理酬金总额中扣减相关监理服务项目的酬金。监理人对于履行监理职责方面的违约责任按照本合同专用条款中第4条“违约责任”的相关约定执行。</w:t>
      </w:r>
      <w:bookmarkEnd w:id="51"/>
    </w:p>
    <w:p w14:paraId="3C9B0E62">
      <w:pPr>
        <w:pStyle w:val="105"/>
        <w:ind w:left="420" w:firstLine="0" w:firstLineChars="0"/>
        <w:rPr>
          <w:rFonts w:hint="eastAsia" w:ascii="仿宋" w:hAnsi="仿宋" w:eastAsia="仿宋" w:cs="仿宋"/>
          <w:bCs/>
          <w:color w:val="auto"/>
          <w:highlight w:val="none"/>
        </w:rPr>
      </w:pPr>
    </w:p>
    <w:p w14:paraId="35C4FF6F">
      <w:pPr>
        <w:spacing w:line="640" w:lineRule="exact"/>
        <w:outlineLvl w:val="1"/>
        <w:rPr>
          <w:rFonts w:ascii="仿宋" w:hAnsi="仿宋" w:eastAsia="仿宋" w:cs="Times New Roman"/>
          <w:b/>
          <w:bCs/>
          <w:color w:val="auto"/>
          <w:sz w:val="28"/>
          <w:szCs w:val="28"/>
          <w:highlight w:val="none"/>
        </w:rPr>
      </w:pPr>
      <w:bookmarkStart w:id="52" w:name="_Toc17011"/>
      <w:r>
        <w:rPr>
          <w:rFonts w:hint="eastAsia" w:ascii="仿宋" w:hAnsi="仿宋" w:eastAsia="仿宋" w:cs="仿宋"/>
          <w:b/>
          <w:bCs/>
          <w:color w:val="auto"/>
          <w:sz w:val="28"/>
          <w:szCs w:val="28"/>
          <w:highlight w:val="none"/>
        </w:rPr>
        <w:t>八、合同生效</w:t>
      </w:r>
      <w:bookmarkEnd w:id="52"/>
    </w:p>
    <w:p w14:paraId="0158EF07">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本合同订立时间：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647A201">
      <w:pPr>
        <w:adjustRightInd w:val="0"/>
        <w:snapToGrid w:val="0"/>
        <w:spacing w:line="640" w:lineRule="exact"/>
        <w:ind w:firstLine="475" w:firstLineChars="198"/>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本合同订立地点：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1218025">
      <w:pPr>
        <w:spacing w:line="640" w:lineRule="exact"/>
        <w:ind w:firstLine="480" w:firstLineChars="200"/>
        <w:jc w:val="left"/>
        <w:rPr>
          <w:rFonts w:hint="eastAsia" w:ascii="仿宋" w:hAnsi="仿宋" w:eastAsia="仿宋"/>
          <w:color w:val="auto"/>
          <w:sz w:val="24"/>
          <w:highlight w:val="none"/>
        </w:rPr>
      </w:pPr>
      <w:bookmarkStart w:id="53" w:name="OLE_LINK4"/>
      <w:r>
        <w:rPr>
          <w:rFonts w:hint="eastAsia" w:ascii="仿宋" w:hAnsi="仿宋" w:eastAsia="仿宋"/>
          <w:color w:val="auto"/>
          <w:sz w:val="24"/>
          <w:highlight w:val="none"/>
        </w:rPr>
        <w:t>合同双方当事人约定本合同自双方签字、盖章后生效。</w:t>
      </w:r>
    </w:p>
    <w:bookmarkEnd w:id="53"/>
    <w:p w14:paraId="02D3898A">
      <w:pPr>
        <w:pStyle w:val="8"/>
        <w:numPr>
          <w:ilvl w:val="0"/>
          <w:numId w:val="0"/>
        </w:numPr>
        <w:spacing w:line="640" w:lineRule="exact"/>
        <w:rPr>
          <w:rFonts w:hint="eastAsia" w:ascii="仿宋" w:hAnsi="仿宋" w:eastAsia="仿宋" w:cs="Times New Roman"/>
          <w:b/>
          <w:color w:val="auto"/>
          <w:highlight w:val="none"/>
        </w:rPr>
      </w:pPr>
      <w:bookmarkStart w:id="54" w:name="_Toc5288661"/>
    </w:p>
    <w:p w14:paraId="0BF322FE">
      <w:pPr>
        <w:pStyle w:val="8"/>
        <w:numPr>
          <w:ilvl w:val="0"/>
          <w:numId w:val="0"/>
        </w:numPr>
        <w:spacing w:line="640" w:lineRule="exact"/>
        <w:rPr>
          <w:rFonts w:ascii="仿宋" w:hAnsi="仿宋" w:eastAsia="仿宋" w:cs="Times New Roman"/>
          <w:b/>
          <w:color w:val="auto"/>
          <w:highlight w:val="none"/>
        </w:rPr>
      </w:pPr>
      <w:bookmarkStart w:id="55" w:name="_Toc28607"/>
      <w:r>
        <w:rPr>
          <w:rFonts w:hint="eastAsia" w:ascii="仿宋" w:hAnsi="仿宋" w:eastAsia="仿宋" w:cs="Times New Roman"/>
          <w:b/>
          <w:color w:val="auto"/>
          <w:highlight w:val="none"/>
        </w:rPr>
        <w:t>九、合同份数</w:t>
      </w:r>
      <w:bookmarkEnd w:id="54"/>
      <w:bookmarkEnd w:id="55"/>
    </w:p>
    <w:p w14:paraId="4649FDC5">
      <w:pPr>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lang w:val="en-US" w:eastAsia="zh-CN"/>
        </w:rPr>
        <w:t xml:space="preserve"> 8</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份，具有同等法律效力，其中甲方执</w:t>
      </w:r>
      <w:r>
        <w:rPr>
          <w:rFonts w:hint="eastAsia" w:ascii="仿宋" w:hAnsi="仿宋" w:eastAsia="仿宋" w:cs="仿宋"/>
          <w:color w:val="auto"/>
          <w:sz w:val="24"/>
          <w:szCs w:val="24"/>
          <w:highlight w:val="none"/>
          <w:u w:val="single"/>
          <w:lang w:val="en-US" w:eastAsia="zh-CN"/>
        </w:rPr>
        <w:t xml:space="preserve"> 4 </w:t>
      </w:r>
      <w:r>
        <w:rPr>
          <w:rFonts w:hint="eastAsia" w:ascii="仿宋" w:hAnsi="仿宋" w:eastAsia="仿宋" w:cs="仿宋"/>
          <w:color w:val="auto"/>
          <w:sz w:val="24"/>
          <w:szCs w:val="24"/>
          <w:highlight w:val="none"/>
        </w:rPr>
        <w:t>份，乙方执</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4 </w:t>
      </w:r>
      <w:r>
        <w:rPr>
          <w:rFonts w:hint="eastAsia" w:ascii="仿宋" w:hAnsi="仿宋" w:eastAsia="仿宋" w:cs="仿宋"/>
          <w:color w:val="auto"/>
          <w:sz w:val="24"/>
          <w:szCs w:val="24"/>
          <w:highlight w:val="none"/>
        </w:rPr>
        <w:t>份。</w:t>
      </w:r>
    </w:p>
    <w:p w14:paraId="4DD01EBE">
      <w:pPr>
        <w:adjustRightInd w:val="0"/>
        <w:snapToGrid w:val="0"/>
        <w:spacing w:line="360" w:lineRule="auto"/>
        <w:ind w:left="632" w:leftChars="301"/>
        <w:rPr>
          <w:rFonts w:ascii="仿宋" w:hAnsi="仿宋" w:eastAsia="仿宋" w:cs="Times New Roman"/>
          <w:color w:val="auto"/>
          <w:sz w:val="24"/>
          <w:szCs w:val="24"/>
          <w:highlight w:val="none"/>
        </w:rPr>
      </w:pPr>
    </w:p>
    <w:p w14:paraId="523945AD">
      <w:pPr>
        <w:adjustRightInd w:val="0"/>
        <w:snapToGrid w:val="0"/>
        <w:spacing w:line="360" w:lineRule="auto"/>
        <w:ind w:left="632" w:leftChars="301"/>
        <w:rPr>
          <w:rFonts w:ascii="仿宋" w:hAnsi="仿宋" w:eastAsia="仿宋" w:cs="Times New Roman"/>
          <w:color w:val="auto"/>
          <w:sz w:val="24"/>
          <w:szCs w:val="24"/>
          <w:highlight w:val="none"/>
        </w:rPr>
      </w:pPr>
    </w:p>
    <w:p w14:paraId="39CBE7FB">
      <w:pPr>
        <w:spacing w:line="360" w:lineRule="auto"/>
        <w:ind w:left="5639" w:leftChars="228" w:hanging="5160" w:hangingChars="21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委托人：（盖章）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监理人：（盖章）</w:t>
      </w:r>
      <w:r>
        <w:rPr>
          <w:rFonts w:hint="eastAsia" w:ascii="仿宋" w:hAnsi="仿宋" w:eastAsia="仿宋" w:cs="仿宋"/>
          <w:color w:val="auto"/>
          <w:sz w:val="24"/>
          <w:szCs w:val="24"/>
          <w:highlight w:val="none"/>
          <w:lang w:val="en-US" w:eastAsia="zh-CN"/>
        </w:rPr>
        <w:t xml:space="preserve"> </w:t>
      </w:r>
    </w:p>
    <w:p w14:paraId="67811B8B">
      <w:pPr>
        <w:spacing w:line="360" w:lineRule="auto"/>
        <w:ind w:left="5639" w:leftChars="228" w:hanging="5160" w:hangingChars="2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p>
    <w:p w14:paraId="02010625">
      <w:pPr>
        <w:spacing w:line="360" w:lineRule="auto"/>
        <w:ind w:left="5639" w:leftChars="228" w:hanging="5160" w:hangingChars="2150"/>
        <w:rPr>
          <w:rFonts w:hint="eastAsia" w:ascii="仿宋" w:hAnsi="仿宋" w:eastAsia="仿宋" w:cs="仿宋"/>
          <w:color w:val="auto"/>
          <w:sz w:val="24"/>
          <w:szCs w:val="24"/>
          <w:highlight w:val="none"/>
        </w:rPr>
      </w:pPr>
    </w:p>
    <w:p w14:paraId="62B94B4C">
      <w:pPr>
        <w:tabs>
          <w:tab w:val="left" w:pos="525"/>
          <w:tab w:val="left" w:pos="1155"/>
        </w:tabs>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法定代表人：</w:t>
      </w:r>
    </w:p>
    <w:p w14:paraId="07CA47C0">
      <w:pPr>
        <w:tabs>
          <w:tab w:val="left" w:pos="525"/>
          <w:tab w:val="left" w:pos="1155"/>
        </w:tabs>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委托代理人：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委托代理人：</w:t>
      </w:r>
    </w:p>
    <w:p w14:paraId="2BA73EB2">
      <w:pPr>
        <w:tabs>
          <w:tab w:val="left" w:pos="525"/>
          <w:tab w:val="left" w:pos="1155"/>
        </w:tabs>
        <w:spacing w:line="360" w:lineRule="auto"/>
        <w:ind w:firstLine="360" w:firstLineChars="150"/>
        <w:rPr>
          <w:rFonts w:hint="default" w:ascii="仿宋" w:hAnsi="仿宋" w:eastAsia="仿宋" w:cs="Times New Roman"/>
          <w:color w:val="auto"/>
          <w:sz w:val="24"/>
          <w:szCs w:val="24"/>
          <w:highlight w:val="none"/>
          <w:lang w:val="en-US" w:eastAsia="zh-CN"/>
        </w:rPr>
      </w:pP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val="en-US" w:eastAsia="zh-CN"/>
        </w:rPr>
        <w:t xml:space="preserve"> </w:t>
      </w:r>
    </w:p>
    <w:p w14:paraId="69C798BB">
      <w:pPr>
        <w:tabs>
          <w:tab w:val="left" w:pos="525"/>
          <w:tab w:val="left" w:pos="1155"/>
        </w:tabs>
        <w:spacing w:line="360" w:lineRule="auto"/>
        <w:ind w:firstLine="360" w:firstLineChars="150"/>
        <w:jc w:val="left"/>
        <w:rPr>
          <w:rFonts w:hint="default" w:ascii="仿宋" w:hAnsi="仿宋" w:eastAsia="仿宋" w:cs="Times New Roman"/>
          <w:color w:val="auto"/>
          <w:sz w:val="24"/>
          <w:szCs w:val="24"/>
          <w:highlight w:val="none"/>
          <w:lang w:val="en-US" w:eastAsia="zh-CN"/>
        </w:rPr>
      </w:pP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真：</w:t>
      </w:r>
      <w:r>
        <w:rPr>
          <w:rFonts w:hint="eastAsia" w:ascii="仿宋" w:hAnsi="仿宋" w:eastAsia="仿宋" w:cs="仿宋"/>
          <w:color w:val="auto"/>
          <w:sz w:val="24"/>
          <w:szCs w:val="24"/>
          <w:highlight w:val="none"/>
          <w:lang w:val="en-US" w:eastAsia="zh-CN"/>
        </w:rPr>
        <w:t xml:space="preserve"> </w:t>
      </w:r>
    </w:p>
    <w:p w14:paraId="6B901771">
      <w:pPr>
        <w:tabs>
          <w:tab w:val="left" w:pos="525"/>
          <w:tab w:val="left" w:pos="1155"/>
        </w:tabs>
        <w:spacing w:line="360" w:lineRule="auto"/>
        <w:ind w:firstLine="360" w:firstLineChars="150"/>
        <w:rPr>
          <w:rFonts w:hint="eastAsia" w:ascii="仿宋" w:hAnsi="仿宋" w:eastAsia="仿宋" w:cs="Times New Roman"/>
          <w:color w:val="auto"/>
          <w:sz w:val="24"/>
          <w:szCs w:val="24"/>
          <w:highlight w:val="none"/>
          <w:lang w:val="en-US" w:eastAsia="zh-CN"/>
        </w:rPr>
      </w:pP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（收款）</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 xml:space="preserve"> </w:t>
      </w:r>
    </w:p>
    <w:p w14:paraId="0AB54B79">
      <w:pPr>
        <w:tabs>
          <w:tab w:val="left" w:pos="525"/>
          <w:tab w:val="left" w:pos="1155"/>
          <w:tab w:val="left" w:pos="6090"/>
        </w:tabs>
        <w:spacing w:line="360" w:lineRule="auto"/>
        <w:ind w:firstLine="360" w:firstLineChars="150"/>
        <w:rPr>
          <w:rFonts w:hint="eastAsia" w:ascii="仿宋" w:hAnsi="仿宋" w:eastAsia="仿宋" w:cs="Times New Roman"/>
          <w:color w:val="auto"/>
          <w:sz w:val="24"/>
          <w:szCs w:val="24"/>
          <w:highlight w:val="none"/>
          <w:lang w:val="en-US" w:eastAsia="zh-CN"/>
        </w:rPr>
      </w:pPr>
      <w:r>
        <w:rPr>
          <w:rFonts w:hint="eastAsia" w:ascii="仿宋" w:hAnsi="仿宋" w:eastAsia="仿宋" w:cs="仿宋"/>
          <w:color w:val="auto"/>
          <w:sz w:val="24"/>
          <w:szCs w:val="24"/>
          <w:highlight w:val="none"/>
        </w:rPr>
        <w:t>账</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（收款）</w:t>
      </w:r>
      <w:r>
        <w:rPr>
          <w:rFonts w:hint="eastAsia" w:ascii="仿宋" w:hAnsi="仿宋" w:eastAsia="仿宋" w:cs="仿宋"/>
          <w:color w:val="auto"/>
          <w:sz w:val="24"/>
          <w:szCs w:val="24"/>
          <w:highlight w:val="none"/>
        </w:rPr>
        <w:t>账</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val="en-US" w:eastAsia="zh-CN"/>
        </w:rPr>
        <w:t xml:space="preserve"> </w:t>
      </w:r>
    </w:p>
    <w:p w14:paraId="27166E22">
      <w:pPr>
        <w:tabs>
          <w:tab w:val="left" w:pos="525"/>
          <w:tab w:val="left" w:pos="1155"/>
        </w:tabs>
        <w:spacing w:line="360" w:lineRule="auto"/>
        <w:ind w:firstLine="360" w:firstLineChars="150"/>
        <w:rPr>
          <w:rFonts w:hint="default" w:ascii="仿宋" w:hAnsi="仿宋" w:eastAsia="仿宋" w:cs="Times New Roman"/>
          <w:color w:val="auto"/>
          <w:sz w:val="24"/>
          <w:szCs w:val="24"/>
          <w:highlight w:val="none"/>
          <w:lang w:val="en-US" w:eastAsia="zh-CN"/>
        </w:rPr>
      </w:pPr>
      <w:r>
        <w:rPr>
          <w:rFonts w:hint="eastAsia" w:ascii="仿宋" w:hAnsi="仿宋" w:eastAsia="仿宋" w:cs="仿宋"/>
          <w:color w:val="auto"/>
          <w:sz w:val="24"/>
          <w:szCs w:val="24"/>
          <w:highlight w:val="none"/>
        </w:rPr>
        <w:t>邮政编码：</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val="en-US" w:eastAsia="zh-CN"/>
        </w:rPr>
        <w:t xml:space="preserve"> </w:t>
      </w:r>
    </w:p>
    <w:p w14:paraId="59141A7C">
      <w:pPr>
        <w:adjustRightInd w:val="0"/>
        <w:snapToGrid w:val="0"/>
        <w:spacing w:line="360" w:lineRule="auto"/>
        <w:ind w:firstLine="360" w:firstLineChars="150"/>
        <w:rPr>
          <w:rFonts w:ascii="仿宋" w:hAnsi="仿宋" w:eastAsia="仿宋" w:cs="Times New Roman"/>
          <w:b/>
          <w:bCs/>
          <w:color w:val="auto"/>
          <w:sz w:val="32"/>
          <w:szCs w:val="32"/>
          <w:highlight w:val="none"/>
        </w:rPr>
      </w:pP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电子邮箱</w:t>
      </w:r>
      <w:r>
        <w:rPr>
          <w:rFonts w:ascii="仿宋" w:hAnsi="仿宋" w:eastAsia="仿宋" w:cs="仿宋"/>
          <w:color w:val="auto"/>
          <w:sz w:val="24"/>
          <w:szCs w:val="24"/>
          <w:highlight w:val="none"/>
        </w:rPr>
        <w:t xml:space="preserve">:       </w:t>
      </w:r>
    </w:p>
    <w:p w14:paraId="01506EF5">
      <w:pPr>
        <w:tabs>
          <w:tab w:val="left" w:pos="3120"/>
        </w:tabs>
        <w:spacing w:line="360" w:lineRule="auto"/>
        <w:ind w:firstLine="1928" w:firstLineChars="600"/>
        <w:rPr>
          <w:rFonts w:ascii="仿宋" w:hAnsi="仿宋" w:eastAsia="仿宋" w:cs="Times New Roman"/>
          <w:b/>
          <w:bCs/>
          <w:color w:val="auto"/>
          <w:sz w:val="32"/>
          <w:szCs w:val="32"/>
          <w:highlight w:val="none"/>
        </w:rPr>
      </w:pPr>
    </w:p>
    <w:p w14:paraId="0FD8B1E6">
      <w:pPr>
        <w:tabs>
          <w:tab w:val="left" w:pos="3120"/>
        </w:tabs>
        <w:spacing w:line="360" w:lineRule="auto"/>
        <w:ind w:firstLine="1928" w:firstLineChars="600"/>
        <w:rPr>
          <w:rFonts w:ascii="仿宋" w:hAnsi="仿宋" w:eastAsia="仿宋" w:cs="Times New Roman"/>
          <w:b/>
          <w:bCs/>
          <w:color w:val="auto"/>
          <w:sz w:val="32"/>
          <w:szCs w:val="32"/>
          <w:highlight w:val="none"/>
        </w:rPr>
      </w:pPr>
    </w:p>
    <w:p w14:paraId="14F21234">
      <w:pPr>
        <w:tabs>
          <w:tab w:val="left" w:pos="3120"/>
        </w:tabs>
        <w:spacing w:line="360" w:lineRule="auto"/>
        <w:ind w:firstLine="1928" w:firstLineChars="600"/>
        <w:rPr>
          <w:rFonts w:ascii="仿宋" w:hAnsi="仿宋" w:eastAsia="仿宋" w:cs="Times New Roman"/>
          <w:b/>
          <w:bCs/>
          <w:color w:val="auto"/>
          <w:sz w:val="32"/>
          <w:szCs w:val="32"/>
          <w:highlight w:val="none"/>
        </w:rPr>
      </w:pPr>
    </w:p>
    <w:p w14:paraId="09EF540F">
      <w:pPr>
        <w:pStyle w:val="7"/>
        <w:ind w:left="781" w:leftChars="205" w:hanging="351" w:hangingChars="97"/>
        <w:jc w:val="center"/>
        <w:rPr>
          <w:rFonts w:hAnsi="宋体" w:cs="仿宋"/>
          <w:b/>
          <w:bCs/>
          <w:color w:val="auto"/>
          <w:sz w:val="36"/>
          <w:szCs w:val="36"/>
          <w:highlight w:val="none"/>
        </w:rPr>
      </w:pPr>
      <w:r>
        <w:rPr>
          <w:rFonts w:hint="eastAsia" w:hAnsi="宋体" w:cs="仿宋"/>
          <w:b/>
          <w:bCs/>
          <w:color w:val="auto"/>
          <w:sz w:val="36"/>
          <w:szCs w:val="36"/>
          <w:highlight w:val="none"/>
        </w:rPr>
        <w:br w:type="page"/>
      </w:r>
      <w:bookmarkStart w:id="56" w:name="_Toc2580"/>
      <w:r>
        <w:rPr>
          <w:rFonts w:hint="eastAsia" w:ascii="仿宋" w:hAnsi="仿宋" w:eastAsia="仿宋" w:cs="仿宋"/>
          <w:b/>
          <w:bCs/>
          <w:color w:val="auto"/>
          <w:kern w:val="2"/>
          <w:sz w:val="36"/>
          <w:szCs w:val="36"/>
          <w:highlight w:val="none"/>
        </w:rPr>
        <w:t>第二部分  通用条款</w:t>
      </w:r>
      <w:bookmarkEnd w:id="56"/>
    </w:p>
    <w:p w14:paraId="315873C2">
      <w:pPr>
        <w:spacing w:line="360" w:lineRule="auto"/>
        <w:jc w:val="center"/>
        <w:rPr>
          <w:rFonts w:ascii="仿宋_GB2312" w:hAnsi="宋体" w:eastAsia="仿宋_GB2312" w:cs="Times New Roman"/>
          <w:b/>
          <w:bCs/>
          <w:color w:val="auto"/>
          <w:sz w:val="24"/>
          <w:szCs w:val="24"/>
          <w:highlight w:val="none"/>
        </w:rPr>
      </w:pPr>
    </w:p>
    <w:p w14:paraId="5AD09825">
      <w:pPr>
        <w:spacing w:line="640" w:lineRule="exact"/>
        <w:outlineLvl w:val="1"/>
        <w:rPr>
          <w:rFonts w:ascii="仿宋" w:hAnsi="仿宋" w:eastAsia="仿宋" w:cs="仿宋"/>
          <w:b/>
          <w:bCs/>
          <w:color w:val="auto"/>
          <w:sz w:val="24"/>
          <w:szCs w:val="24"/>
          <w:highlight w:val="none"/>
        </w:rPr>
      </w:pPr>
      <w:bookmarkStart w:id="57" w:name="_Toc87"/>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定义与解释</w:t>
      </w:r>
      <w:bookmarkEnd w:id="57"/>
    </w:p>
    <w:p w14:paraId="2DB6CF0A">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定义</w:t>
      </w:r>
    </w:p>
    <w:p w14:paraId="29F3700A">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除根据上下文另有其意义外，组成本合同的全部文件中的下列名词和用语应具有本款所赋予的含义：</w:t>
      </w:r>
    </w:p>
    <w:p w14:paraId="42437632">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rPr>
        <w:t>“工程”是指按照本合同约定实施监理与相关服务的建设工程。</w:t>
      </w:r>
    </w:p>
    <w:p w14:paraId="762C6825">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rPr>
        <w:t>“委托人”是指本合同中委托监理与相关服务的一方，及其合法的继承人或受让人。</w:t>
      </w:r>
    </w:p>
    <w:p w14:paraId="1A6FBAA2">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1.1.3 </w:t>
      </w:r>
      <w:r>
        <w:rPr>
          <w:rFonts w:hint="eastAsia" w:ascii="仿宋" w:hAnsi="仿宋" w:eastAsia="仿宋" w:cs="仿宋"/>
          <w:color w:val="auto"/>
          <w:sz w:val="24"/>
          <w:szCs w:val="24"/>
          <w:highlight w:val="none"/>
        </w:rPr>
        <w:t>“监理人”是指本合同中提供监理与相关服务的一方，及其合法的继承人。</w:t>
      </w:r>
    </w:p>
    <w:p w14:paraId="50BA3E73">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rPr>
        <w:t>“承包人”是指在工程范围内与委托人签订勘察、设计、施工等有关合同的当事人，及其合法的继承人。</w:t>
      </w:r>
    </w:p>
    <w:p w14:paraId="6BFCF9FB">
      <w:pPr>
        <w:pStyle w:val="25"/>
        <w:spacing w:line="640" w:lineRule="exact"/>
        <w:ind w:firstLine="57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1.1.5 </w:t>
      </w:r>
      <w:r>
        <w:rPr>
          <w:rFonts w:hint="eastAsia" w:ascii="仿宋" w:hAnsi="仿宋" w:eastAsia="仿宋" w:cs="仿宋"/>
          <w:color w:val="auto"/>
          <w:sz w:val="24"/>
          <w:szCs w:val="24"/>
          <w:highlight w:val="none"/>
        </w:rPr>
        <w:t>“监理”是指监理人受委托人的委托</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1691185">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1.1.6 </w:t>
      </w:r>
      <w:r>
        <w:rPr>
          <w:rFonts w:hint="eastAsia" w:ascii="仿宋" w:hAnsi="仿宋" w:eastAsia="仿宋" w:cs="仿宋"/>
          <w:color w:val="auto"/>
          <w:sz w:val="24"/>
          <w:szCs w:val="24"/>
          <w:highlight w:val="none"/>
        </w:rPr>
        <w:t>“相关服务”是指监理人受委托人的委托</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，按照本合同约定，在勘察、设计、保修等阶段提供的服务活动。</w:t>
      </w:r>
    </w:p>
    <w:p w14:paraId="74EF87D8">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1.1.7 </w:t>
      </w:r>
      <w:r>
        <w:rPr>
          <w:rFonts w:hint="eastAsia" w:ascii="仿宋" w:hAnsi="仿宋" w:eastAsia="仿宋" w:cs="仿宋"/>
          <w:color w:val="auto"/>
          <w:sz w:val="24"/>
          <w:szCs w:val="24"/>
          <w:highlight w:val="none"/>
        </w:rPr>
        <w:t>“正常工作”指本合同订立时通用条款和专用条款中约定的监理人的工作。</w:t>
      </w:r>
    </w:p>
    <w:p w14:paraId="6544E6F4">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1.1.8 </w:t>
      </w:r>
      <w:r>
        <w:rPr>
          <w:rFonts w:hint="eastAsia" w:ascii="仿宋" w:hAnsi="仿宋" w:eastAsia="仿宋" w:cs="仿宋"/>
          <w:color w:val="auto"/>
          <w:sz w:val="24"/>
          <w:szCs w:val="24"/>
          <w:highlight w:val="none"/>
        </w:rPr>
        <w:t>“附加工作”是指本合同约定的正常工作以外监理人的工作。</w:t>
      </w:r>
    </w:p>
    <w:p w14:paraId="300266C1">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1.1.9 </w:t>
      </w:r>
      <w:r>
        <w:rPr>
          <w:rFonts w:hint="eastAsia" w:ascii="仿宋" w:hAnsi="仿宋" w:eastAsia="仿宋" w:cs="仿宋"/>
          <w:color w:val="auto"/>
          <w:sz w:val="24"/>
          <w:szCs w:val="24"/>
          <w:highlight w:val="none"/>
        </w:rPr>
        <w:t>“项目监理机构”是指监理人派驻工程负责履行本合同的组织机构。</w:t>
      </w:r>
    </w:p>
    <w:p w14:paraId="29131379">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1.1.10 </w:t>
      </w:r>
      <w:r>
        <w:rPr>
          <w:rFonts w:hint="eastAsia" w:ascii="仿宋" w:hAnsi="仿宋" w:eastAsia="仿宋" w:cs="仿宋"/>
          <w:color w:val="auto"/>
          <w:sz w:val="24"/>
          <w:szCs w:val="24"/>
          <w:highlight w:val="none"/>
        </w:rPr>
        <w:t>“总监理工程师”是指由监理人的法定代表人书面授权，全面负责履行本合同、主持项目监理机构工作的注册监理工程师。</w:t>
      </w:r>
    </w:p>
    <w:p w14:paraId="1163DA11">
      <w:pPr>
        <w:adjustRightInd w:val="0"/>
        <w:snapToGrid w:val="0"/>
        <w:spacing w:line="640" w:lineRule="exact"/>
        <w:ind w:firstLine="475" w:firstLineChars="198"/>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1.1.11 </w:t>
      </w:r>
      <w:r>
        <w:rPr>
          <w:rFonts w:hint="eastAsia" w:ascii="仿宋" w:hAnsi="仿宋" w:eastAsia="仿宋" w:cs="仿宋"/>
          <w:color w:val="auto"/>
          <w:sz w:val="24"/>
          <w:szCs w:val="24"/>
          <w:highlight w:val="none"/>
        </w:rPr>
        <w:t>“酬金”是指监理人履行本合同义务，委托人按照本合同约定给付监理人的金额。</w:t>
      </w:r>
    </w:p>
    <w:p w14:paraId="25C958B4">
      <w:pPr>
        <w:adjustRightInd w:val="0"/>
        <w:snapToGrid w:val="0"/>
        <w:spacing w:line="640" w:lineRule="exact"/>
        <w:ind w:firstLine="320" w:firstLineChars="133"/>
        <w:rPr>
          <w:rFonts w:ascii="仿宋" w:hAnsi="仿宋" w:eastAsia="仿宋" w:cs="Times New Roman"/>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1.1.12 </w:t>
      </w:r>
      <w:r>
        <w:rPr>
          <w:rFonts w:hint="eastAsia" w:ascii="仿宋" w:hAnsi="仿宋" w:eastAsia="仿宋" w:cs="仿宋"/>
          <w:color w:val="auto"/>
          <w:sz w:val="24"/>
          <w:szCs w:val="24"/>
          <w:highlight w:val="none"/>
        </w:rPr>
        <w:t>“正常工作</w:t>
      </w:r>
      <w:r>
        <w:rPr>
          <w:rFonts w:hint="eastAsia" w:ascii="仿宋" w:hAnsi="仿宋" w:eastAsia="仿宋" w:cs="仿宋"/>
          <w:color w:val="auto"/>
          <w:kern w:val="0"/>
          <w:sz w:val="24"/>
          <w:szCs w:val="24"/>
          <w:highlight w:val="none"/>
        </w:rPr>
        <w:t>酬金”</w:t>
      </w:r>
      <w:r>
        <w:rPr>
          <w:rFonts w:hint="eastAsia" w:ascii="仿宋" w:hAnsi="仿宋" w:eastAsia="仿宋" w:cs="仿宋"/>
          <w:color w:val="auto"/>
          <w:sz w:val="24"/>
          <w:szCs w:val="24"/>
          <w:highlight w:val="none"/>
        </w:rPr>
        <w:t>是指监理人完成正常工作，委托人应给付监理人并在协议书中载明的签约</w:t>
      </w:r>
      <w:r>
        <w:rPr>
          <w:rFonts w:hint="eastAsia" w:ascii="仿宋" w:hAnsi="仿宋" w:eastAsia="仿宋" w:cs="仿宋"/>
          <w:color w:val="auto"/>
          <w:kern w:val="0"/>
          <w:sz w:val="24"/>
          <w:szCs w:val="24"/>
          <w:highlight w:val="none"/>
        </w:rPr>
        <w:t>酬金额</w:t>
      </w:r>
      <w:r>
        <w:rPr>
          <w:rFonts w:hint="eastAsia" w:ascii="仿宋" w:hAnsi="仿宋" w:eastAsia="仿宋" w:cs="仿宋"/>
          <w:color w:val="auto"/>
          <w:sz w:val="24"/>
          <w:szCs w:val="24"/>
          <w:highlight w:val="none"/>
        </w:rPr>
        <w:t>。</w:t>
      </w:r>
    </w:p>
    <w:p w14:paraId="1E2C4776">
      <w:pPr>
        <w:adjustRightInd w:val="0"/>
        <w:snapToGrid w:val="0"/>
        <w:spacing w:line="640" w:lineRule="exact"/>
        <w:ind w:firstLine="320" w:firstLineChars="133"/>
        <w:rPr>
          <w:rFonts w:ascii="仿宋" w:hAnsi="仿宋" w:eastAsia="仿宋" w:cs="Times New Roman"/>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1.1.13 </w:t>
      </w:r>
      <w:r>
        <w:rPr>
          <w:rFonts w:hint="eastAsia" w:ascii="仿宋" w:hAnsi="仿宋" w:eastAsia="仿宋" w:cs="仿宋"/>
          <w:color w:val="auto"/>
          <w:sz w:val="24"/>
          <w:szCs w:val="24"/>
          <w:highlight w:val="none"/>
        </w:rPr>
        <w:t>“附加工作酬金”是指监理人完成附加工作，委托人应给付监理人的金额。</w:t>
      </w:r>
    </w:p>
    <w:p w14:paraId="561D8926">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1.1.14 </w:t>
      </w:r>
      <w:r>
        <w:rPr>
          <w:rFonts w:hint="eastAsia" w:ascii="仿宋" w:hAnsi="仿宋" w:eastAsia="仿宋" w:cs="仿宋"/>
          <w:color w:val="auto"/>
          <w:sz w:val="24"/>
          <w:szCs w:val="24"/>
          <w:highlight w:val="none"/>
        </w:rPr>
        <w:t>“一方”是指委托人或监理人；“双方”是指委托人和监理人；“第三方”是指除委托人和监理人以外的有关方。</w:t>
      </w:r>
    </w:p>
    <w:p w14:paraId="1722A463">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1.1.15 </w:t>
      </w:r>
      <w:r>
        <w:rPr>
          <w:rFonts w:hint="eastAsia" w:ascii="仿宋" w:hAnsi="仿宋" w:eastAsia="仿宋" w:cs="仿宋"/>
          <w:color w:val="auto"/>
          <w:sz w:val="24"/>
          <w:szCs w:val="24"/>
          <w:highlight w:val="none"/>
        </w:rPr>
        <w:t>“书面形式”是指合同书、信件和数据电文（包括电报、电传、传真、电子数据交换和电子邮件）等可以有形地表现所载内容的形式。</w:t>
      </w:r>
    </w:p>
    <w:p w14:paraId="0EEA8B31">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1.1.16 </w:t>
      </w:r>
      <w:r>
        <w:rPr>
          <w:rFonts w:hint="eastAsia" w:ascii="仿宋" w:hAnsi="仿宋" w:eastAsia="仿宋" w:cs="仿宋"/>
          <w:color w:val="auto"/>
          <w:sz w:val="24"/>
          <w:szCs w:val="24"/>
          <w:highlight w:val="none"/>
        </w:rPr>
        <w:t>“天”是指第一天零时至第二天零时的时间。</w:t>
      </w:r>
    </w:p>
    <w:p w14:paraId="33192405">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1.1.17</w:t>
      </w:r>
      <w:r>
        <w:rPr>
          <w:rFonts w:hint="eastAsia" w:ascii="仿宋" w:hAnsi="仿宋" w:eastAsia="仿宋" w:cs="仿宋"/>
          <w:color w:val="auto"/>
          <w:sz w:val="24"/>
          <w:szCs w:val="24"/>
          <w:highlight w:val="none"/>
        </w:rPr>
        <w:t>“月”是指按公历从一个月中任何一天开始的一个公历月时间。</w:t>
      </w:r>
    </w:p>
    <w:p w14:paraId="60D12BDB">
      <w:pPr>
        <w:adjustRightInd w:val="0"/>
        <w:snapToGrid w:val="0"/>
        <w:spacing w:line="640" w:lineRule="exact"/>
        <w:ind w:firstLine="64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1.1.18</w:t>
      </w:r>
      <w:r>
        <w:rPr>
          <w:rFonts w:hint="eastAsia" w:ascii="仿宋" w:hAnsi="仿宋" w:eastAsia="仿宋" w:cs="仿宋"/>
          <w:color w:val="auto"/>
          <w:kern w:val="0"/>
          <w:sz w:val="24"/>
          <w:szCs w:val="24"/>
          <w:highlight w:val="none"/>
        </w:rPr>
        <w:t>不可抗力是指合同当事人在签订合同时不可预见，在合同履行过程中不可避免且不能克服的自然灾害和社会性突发事件，如地震、海啸、瘟疫、骚乱、戒严、暴动、战争等。</w:t>
      </w:r>
    </w:p>
    <w:p w14:paraId="1E104BB8">
      <w:pPr>
        <w:adjustRightInd w:val="0"/>
        <w:snapToGrid w:val="0"/>
        <w:spacing w:line="640" w:lineRule="exact"/>
        <w:ind w:firstLine="645"/>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解释</w:t>
      </w:r>
    </w:p>
    <w:p w14:paraId="043FD47B">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1.2.1</w:t>
      </w:r>
      <w:r>
        <w:rPr>
          <w:rFonts w:hint="eastAsia" w:ascii="仿宋" w:hAnsi="仿宋" w:eastAsia="仿宋" w:cs="仿宋"/>
          <w:color w:val="auto"/>
          <w:sz w:val="24"/>
          <w:szCs w:val="24"/>
          <w:highlight w:val="none"/>
        </w:rPr>
        <w:t>本合同使用中文书写、解释和说明。如专用条款约定使用两种及以上语言文字时，应以中文为准。</w:t>
      </w:r>
    </w:p>
    <w:p w14:paraId="4512286F">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rPr>
        <w:t>组成本合同的下列文件彼此应能相互解释、互为说明。本合同文件的解释顺序如下：</w:t>
      </w:r>
    </w:p>
    <w:p w14:paraId="41B6757B">
      <w:pPr>
        <w:pStyle w:val="77"/>
        <w:spacing w:line="640" w:lineRule="exact"/>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履行本合同的相关补充协议（含工程洽商记录、会议纪要、变更、现场签证、索赔和合同价款调整报告等修正文件）；</w:t>
      </w:r>
    </w:p>
    <w:p w14:paraId="7A6655A0">
      <w:pPr>
        <w:pStyle w:val="77"/>
        <w:spacing w:line="640" w:lineRule="exact"/>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协议书；</w:t>
      </w:r>
    </w:p>
    <w:p w14:paraId="60B999C5">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中标通知书（适用于招标工程）或委托书（适用于非招标工程）；</w:t>
      </w:r>
    </w:p>
    <w:p w14:paraId="226C4626">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投标函及投标函附录（适用于招标工程）或服务建议书（适用于非招标工程）；</w:t>
      </w:r>
    </w:p>
    <w:p w14:paraId="61DB3BBD">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专用条款及附件；</w:t>
      </w:r>
    </w:p>
    <w:p w14:paraId="71A0D859">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通用条款；</w:t>
      </w:r>
    </w:p>
    <w:p w14:paraId="3FB0B9A6">
      <w:pPr>
        <w:tabs>
          <w:tab w:val="left" w:pos="6140"/>
        </w:tabs>
        <w:adjustRightInd w:val="0"/>
        <w:snapToGrid w:val="0"/>
        <w:spacing w:line="640" w:lineRule="exact"/>
        <w:ind w:left="638" w:leftChars="304"/>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招标文件（包括补充、修改、澄清的文件、招标图纸、答疑纪要、工作量清单及总说明等）；</w:t>
      </w:r>
    </w:p>
    <w:p w14:paraId="4655E395">
      <w:pPr>
        <w:tabs>
          <w:tab w:val="left" w:pos="6140"/>
        </w:tabs>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专用条款约定的其他文件。</w:t>
      </w:r>
    </w:p>
    <w:p w14:paraId="17385CF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上述各项合同文件包括合同当事人就该项合同文件所作出的补充和修改，属于同一类内容的文件，应以最新签署的为准。</w:t>
      </w:r>
    </w:p>
    <w:p w14:paraId="01712AEE">
      <w:pPr>
        <w:spacing w:line="640" w:lineRule="exact"/>
        <w:outlineLvl w:val="1"/>
        <w:rPr>
          <w:rFonts w:ascii="仿宋" w:hAnsi="仿宋" w:eastAsia="仿宋" w:cs="仿宋"/>
          <w:b/>
          <w:bCs/>
          <w:color w:val="auto"/>
          <w:sz w:val="24"/>
          <w:szCs w:val="24"/>
          <w:highlight w:val="none"/>
        </w:rPr>
      </w:pPr>
      <w:bookmarkStart w:id="58" w:name="_Toc2555"/>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监理人的义务</w:t>
      </w:r>
      <w:bookmarkEnd w:id="58"/>
    </w:p>
    <w:p w14:paraId="0B2988FB">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监理的范围和工作内容</w:t>
      </w:r>
    </w:p>
    <w:p w14:paraId="6BD84529">
      <w:pPr>
        <w:adjustRightInd w:val="0"/>
        <w:snapToGrid w:val="0"/>
        <w:spacing w:line="640" w:lineRule="exact"/>
        <w:ind w:left="50" w:leftChars="24"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根据《建设工程质量管理条例》（中华人民共和国建设部令第</w:t>
      </w:r>
      <w:r>
        <w:rPr>
          <w:rFonts w:ascii="仿宋" w:hAnsi="仿宋" w:eastAsia="仿宋" w:cs="仿宋"/>
          <w:color w:val="auto"/>
          <w:sz w:val="24"/>
          <w:szCs w:val="24"/>
          <w:highlight w:val="none"/>
        </w:rPr>
        <w:t>279</w:t>
      </w:r>
      <w:r>
        <w:rPr>
          <w:rFonts w:hint="eastAsia" w:ascii="仿宋" w:hAnsi="仿宋" w:eastAsia="仿宋" w:cs="仿宋"/>
          <w:color w:val="auto"/>
          <w:sz w:val="24"/>
          <w:szCs w:val="24"/>
          <w:highlight w:val="none"/>
        </w:rPr>
        <w:t>号）和《建设工程监理范围和规模标准规定》（中华人民共和国建设部令第</w:t>
      </w:r>
      <w:r>
        <w:rPr>
          <w:rFonts w:ascii="仿宋" w:hAnsi="仿宋" w:eastAsia="仿宋" w:cs="仿宋"/>
          <w:color w:val="auto"/>
          <w:sz w:val="24"/>
          <w:szCs w:val="24"/>
          <w:highlight w:val="none"/>
        </w:rPr>
        <w:t>86</w:t>
      </w:r>
      <w:r>
        <w:rPr>
          <w:rFonts w:hint="eastAsia" w:ascii="仿宋" w:hAnsi="仿宋" w:eastAsia="仿宋" w:cs="仿宋"/>
          <w:color w:val="auto"/>
          <w:sz w:val="24"/>
          <w:szCs w:val="24"/>
          <w:highlight w:val="none"/>
        </w:rPr>
        <w:t>号），按中华人民共和国国家标准</w:t>
      </w:r>
      <w:r>
        <w:rPr>
          <w:rFonts w:ascii="仿宋" w:hAnsi="仿宋" w:eastAsia="仿宋" w:cs="仿宋"/>
          <w:color w:val="auto"/>
          <w:sz w:val="24"/>
          <w:szCs w:val="24"/>
          <w:highlight w:val="none"/>
        </w:rPr>
        <w:t>GB/T50319-2013</w:t>
      </w:r>
      <w:r>
        <w:rPr>
          <w:rFonts w:hint="eastAsia" w:ascii="仿宋" w:hAnsi="仿宋" w:eastAsia="仿宋" w:cs="仿宋"/>
          <w:color w:val="auto"/>
          <w:sz w:val="24"/>
          <w:szCs w:val="24"/>
          <w:highlight w:val="none"/>
        </w:rPr>
        <w:t>《建设工程监理规范》执行。</w:t>
      </w:r>
    </w:p>
    <w:p w14:paraId="05CF32A2">
      <w:pPr>
        <w:adjustRightInd w:val="0"/>
        <w:snapToGrid w:val="0"/>
        <w:spacing w:line="640" w:lineRule="exact"/>
        <w:ind w:firstLine="600" w:firstLine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2.1.1 </w:t>
      </w:r>
      <w:r>
        <w:rPr>
          <w:rFonts w:hint="eastAsia" w:ascii="仿宋" w:hAnsi="仿宋" w:eastAsia="仿宋" w:cs="仿宋"/>
          <w:color w:val="auto"/>
          <w:sz w:val="24"/>
          <w:szCs w:val="24"/>
          <w:highlight w:val="none"/>
        </w:rPr>
        <w:t>监理范围：指施工准备期、施工期、竣工结算期、质量保修期全过程监理服务，具体内容在专用条款中约定。</w:t>
      </w:r>
    </w:p>
    <w:p w14:paraId="5552651F">
      <w:pPr>
        <w:spacing w:line="640" w:lineRule="exact"/>
        <w:ind w:firstLine="600" w:firstLineChars="2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2.1.2 </w:t>
      </w:r>
      <w:r>
        <w:rPr>
          <w:rFonts w:hint="eastAsia" w:ascii="仿宋" w:hAnsi="仿宋" w:eastAsia="仿宋" w:cs="仿宋"/>
          <w:color w:val="auto"/>
          <w:sz w:val="24"/>
          <w:szCs w:val="24"/>
          <w:highlight w:val="none"/>
        </w:rPr>
        <w:t>除专用条款另有约定外，监理工作内容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在施工阶段对建设工程质量、造价、进度进行控制，对合同、信息进行管理，对工程建设相关方的关系进行协调。并履行建设工程安全生产管理法定职责的服务活动，具体内容包括：</w:t>
      </w:r>
    </w:p>
    <w:p w14:paraId="7ECE62DA">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）收到工程设计文件后编制监理规划，并在第一次工地会议</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天前报委托人。根据有关规定和监理工作需要，编制监理实施细则；</w:t>
      </w:r>
    </w:p>
    <w:p w14:paraId="12989146">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）熟悉工程设计文件，并参加由委托人主持的图纸会审和设计交底会议；</w:t>
      </w:r>
    </w:p>
    <w:p w14:paraId="15B5A58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）参加由委托人主持的第一次工地会议；主持监理例会并根据工程需要主持或参加专题会议；</w:t>
      </w:r>
    </w:p>
    <w:p w14:paraId="1D109E76">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查施工承包人提交的施工组织设计，重点审查其中的质量安全技术措施、施工扬尘污染防治措施、危险性较大分部分项专项工程施工方案、用工实名管理等专项施工方案是否符合《建设工程质量管理条例》、《建设工程安全生产管理条例》、《广州市房屋建筑和市政基础设施工程质量管理办法》等工程建设强制性标准；</w:t>
      </w:r>
    </w:p>
    <w:p w14:paraId="0D7E7E61">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）按国家、省、市住房城乡建设主管部门发布的有关用工实名制、工人工资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分账管理办法及规定等文件要求，施工承包人需将</w:t>
      </w:r>
      <w:r>
        <w:rPr>
          <w:rFonts w:hint="eastAsia" w:ascii="仿宋" w:hAnsi="仿宋" w:eastAsia="仿宋" w:cs="仿宋_GB2312"/>
          <w:color w:val="auto"/>
          <w:sz w:val="24"/>
          <w:szCs w:val="24"/>
          <w:highlight w:val="none"/>
        </w:rPr>
        <w:t>从业人员基本信息、作业工人考勤与工资</w:t>
      </w:r>
      <w:r>
        <w:rPr>
          <w:rFonts w:hint="eastAsia" w:ascii="仿宋" w:hAnsi="仿宋" w:eastAsia="仿宋" w:cs="仿宋_GB2312"/>
          <w:color w:val="auto"/>
          <w:sz w:val="24"/>
          <w:szCs w:val="24"/>
          <w:highlight w:val="none"/>
          <w:lang w:eastAsia="zh-CN"/>
        </w:rPr>
        <w:t>考核</w:t>
      </w:r>
      <w:r>
        <w:rPr>
          <w:rFonts w:hint="eastAsia" w:ascii="仿宋" w:hAnsi="仿宋" w:eastAsia="仿宋" w:cs="仿宋_GB2312"/>
          <w:color w:val="auto"/>
          <w:sz w:val="24"/>
          <w:szCs w:val="24"/>
          <w:highlight w:val="none"/>
        </w:rPr>
        <w:t>信息和施工进度情况等信息登记建档、建立动态管理台账，并将以上信息报送行政监管部门接受监督管理，监理人需对这些情况进行监督管理。</w:t>
      </w:r>
      <w:r>
        <w:rPr>
          <w:rFonts w:hint="eastAsia" w:ascii="仿宋" w:hAnsi="仿宋" w:eastAsia="仿宋" w:cs="仿宋"/>
          <w:color w:val="auto"/>
          <w:sz w:val="24"/>
          <w:szCs w:val="24"/>
          <w:highlight w:val="none"/>
        </w:rPr>
        <w:t>对施工单位未按规定落实实名管理工作的，发出监理通知单，要求其限期整改。对施工企业逾期未整改的，向建设单位和负责该工程监管工作的住房城乡建设主管部门报告。</w:t>
      </w:r>
    </w:p>
    <w:p w14:paraId="4532DA3F">
      <w:pPr>
        <w:adjustRightInd w:val="0"/>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）检查施工承包人工程质量、安全生产管理制度及组织机构和人员资格；</w:t>
      </w:r>
      <w:r>
        <w:rPr>
          <w:rFonts w:ascii="仿宋" w:hAnsi="仿宋" w:eastAsia="仿宋" w:cs="仿宋"/>
          <w:color w:val="auto"/>
          <w:sz w:val="24"/>
          <w:szCs w:val="24"/>
          <w:highlight w:val="none"/>
        </w:rPr>
        <w:t xml:space="preserve"> </w:t>
      </w:r>
    </w:p>
    <w:p w14:paraId="4DB7B051">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）检查施工承包人专职安全生产管理人员的配备情况；</w:t>
      </w:r>
    </w:p>
    <w:p w14:paraId="5AECFA4C">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）审查施工承包人提交的施工进度计划，核查承包人对施工进度计划的调整；</w:t>
      </w:r>
    </w:p>
    <w:p w14:paraId="4FAA0775">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）检查施工承包人的试验室；</w:t>
      </w:r>
    </w:p>
    <w:p w14:paraId="16D8BAC3">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）审核施工分包人资质条件；</w:t>
      </w:r>
    </w:p>
    <w:p w14:paraId="006B94AC">
      <w:pPr>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）查验施工承包人的施工测量放线成果；</w:t>
      </w:r>
    </w:p>
    <w:p w14:paraId="6EF68BA9">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）审查工程开工条件，对条件具备的签发开工令；</w:t>
      </w:r>
    </w:p>
    <w:p w14:paraId="194C56E0">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）审查施工承包人报送的工程材料、构配件、设备质量证明文件的有效性和符合性，并按规定对用于工程的材料采取平行检验或见证取样方式进行抽检；</w:t>
      </w:r>
    </w:p>
    <w:p w14:paraId="7451ABF1">
      <w:pPr>
        <w:adjustRightInd w:val="0"/>
        <w:snapToGrid w:val="0"/>
        <w:spacing w:line="640" w:lineRule="exact"/>
        <w:ind w:left="-97" w:leftChars="-46"/>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）审核施工承包人提交的工程款</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申请，签发或出具工程款</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证书，并报委托人审核、批准；</w:t>
      </w:r>
    </w:p>
    <w:p w14:paraId="191531B7">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）在巡视、旁站和检验过程中，发现工程质量、施工安全存在事故隐患的，要求施工承包人整改并报委托人；</w:t>
      </w:r>
    </w:p>
    <w:p w14:paraId="48CDF98C">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）经委托人同意，签发工程暂停令和复工令；</w:t>
      </w:r>
    </w:p>
    <w:p w14:paraId="09E1D0B6">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）审查施工承包人提交的采用新材料、新工艺、新技术、新设备的论证材料及相关验收标准；</w:t>
      </w:r>
    </w:p>
    <w:p w14:paraId="338A10C7">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）验收隐蔽工程、分部分项工程；</w:t>
      </w:r>
    </w:p>
    <w:p w14:paraId="2E0441F1">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）审查施工承包人提交的工程变更申请，协调处理施工进度调整、费用索赔、合同争议等事项；</w:t>
      </w:r>
    </w:p>
    <w:p w14:paraId="428C909E">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）审查施工承包人提交的竣工验收申请，编写工程质量评估报告；</w:t>
      </w:r>
    </w:p>
    <w:p w14:paraId="7F489C1D">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）参加工程竣工验收，签署竣工验收意见；</w:t>
      </w:r>
    </w:p>
    <w:p w14:paraId="1A248041">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）审查施工承包人提交的竣工结算申请并报委托人；</w:t>
      </w:r>
    </w:p>
    <w:p w14:paraId="500E197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23</w:t>
      </w:r>
      <w:r>
        <w:rPr>
          <w:rFonts w:hint="eastAsia" w:ascii="仿宋" w:hAnsi="仿宋" w:eastAsia="仿宋" w:cs="仿宋"/>
          <w:color w:val="auto"/>
          <w:sz w:val="24"/>
          <w:szCs w:val="24"/>
          <w:highlight w:val="none"/>
        </w:rPr>
        <w:t>）编制、整理工程监理归档文件并报委托人。</w:t>
      </w:r>
    </w:p>
    <w:p w14:paraId="687D6BB9">
      <w:pPr>
        <w:spacing w:line="640" w:lineRule="exact"/>
        <w:ind w:left="420" w:leftChars="200"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2.1.3 </w:t>
      </w:r>
      <w:r>
        <w:rPr>
          <w:rFonts w:hint="eastAsia" w:ascii="仿宋" w:hAnsi="仿宋" w:eastAsia="仿宋" w:cs="仿宋"/>
          <w:color w:val="auto"/>
          <w:sz w:val="24"/>
          <w:szCs w:val="24"/>
          <w:highlight w:val="none"/>
        </w:rPr>
        <w:t>相关服务的范围和内容在附录</w:t>
      </w:r>
      <w:r>
        <w:rPr>
          <w:rFonts w:ascii="仿宋" w:hAnsi="仿宋" w:eastAsia="仿宋" w:cs="仿宋"/>
          <w:color w:val="auto"/>
          <w:sz w:val="24"/>
          <w:szCs w:val="24"/>
          <w:highlight w:val="none"/>
        </w:rPr>
        <w:t>A</w:t>
      </w:r>
      <w:r>
        <w:rPr>
          <w:rFonts w:hint="eastAsia" w:ascii="仿宋" w:hAnsi="仿宋" w:eastAsia="仿宋" w:cs="仿宋"/>
          <w:color w:val="auto"/>
          <w:sz w:val="24"/>
          <w:szCs w:val="24"/>
          <w:highlight w:val="none"/>
        </w:rPr>
        <w:t>中约定。</w:t>
      </w:r>
    </w:p>
    <w:p w14:paraId="3F11A904">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监理与相关服务依据</w:t>
      </w:r>
    </w:p>
    <w:p w14:paraId="42D5720D">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监理依据包括：</w:t>
      </w:r>
    </w:p>
    <w:p w14:paraId="08BE1E5C">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）适用的法律、行政法规及部门规章；</w:t>
      </w:r>
    </w:p>
    <w:p w14:paraId="540E0EEB">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）与工程有关的标准；</w:t>
      </w:r>
    </w:p>
    <w:p w14:paraId="6015E5A8">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）工程设计及有关文件；</w:t>
      </w:r>
    </w:p>
    <w:p w14:paraId="0BE59A3E">
      <w:pPr>
        <w:adjustRightInd w:val="0"/>
        <w:snapToGrid w:val="0"/>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）本合同及委托人与第三方签订的与实施工程有关的其他合同。</w:t>
      </w:r>
    </w:p>
    <w:p w14:paraId="29016264">
      <w:pPr>
        <w:spacing w:line="640" w:lineRule="exact"/>
        <w:ind w:left="210" w:leftChars="100"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双方根据工程的行业和地域特点，在专用条款中具体约定监理依据。</w:t>
      </w:r>
    </w:p>
    <w:p w14:paraId="2F8C8C1E">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rPr>
        <w:t>相关服务依据在专用条款中约定。</w:t>
      </w:r>
    </w:p>
    <w:p w14:paraId="3143F87A">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项目监理机构和人员</w:t>
      </w:r>
    </w:p>
    <w:p w14:paraId="6BED1EC0">
      <w:pPr>
        <w:adjustRightInd w:val="0"/>
        <w:snapToGrid w:val="0"/>
        <w:spacing w:line="640" w:lineRule="exact"/>
        <w:ind w:firstLine="645"/>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2.3.1 </w:t>
      </w:r>
      <w:r>
        <w:rPr>
          <w:rFonts w:hint="eastAsia" w:ascii="仿宋" w:hAnsi="仿宋" w:eastAsia="仿宋" w:cs="仿宋"/>
          <w:color w:val="auto"/>
          <w:kern w:val="0"/>
          <w:sz w:val="24"/>
          <w:szCs w:val="24"/>
          <w:highlight w:val="none"/>
        </w:rPr>
        <w:t>监理人应按附录</w:t>
      </w:r>
      <w:r>
        <w:rPr>
          <w:rFonts w:ascii="仿宋" w:hAnsi="仿宋" w:eastAsia="仿宋" w:cs="仿宋"/>
          <w:color w:val="auto"/>
          <w:kern w:val="0"/>
          <w:sz w:val="24"/>
          <w:szCs w:val="24"/>
          <w:highlight w:val="none"/>
        </w:rPr>
        <w:t>B-5</w:t>
      </w:r>
      <w:r>
        <w:rPr>
          <w:rFonts w:hint="eastAsia" w:ascii="仿宋" w:hAnsi="仿宋" w:eastAsia="仿宋" w:cs="仿宋"/>
          <w:color w:val="auto"/>
          <w:kern w:val="0"/>
          <w:sz w:val="24"/>
          <w:szCs w:val="24"/>
          <w:highlight w:val="none"/>
        </w:rPr>
        <w:t>中监理人应提供人员名单组建满足工作需要的项目监理机构，按附录</w:t>
      </w:r>
      <w:r>
        <w:rPr>
          <w:rFonts w:ascii="仿宋" w:hAnsi="仿宋" w:eastAsia="仿宋" w:cs="仿宋"/>
          <w:color w:val="auto"/>
          <w:kern w:val="0"/>
          <w:sz w:val="24"/>
          <w:szCs w:val="24"/>
          <w:highlight w:val="none"/>
        </w:rPr>
        <w:t>B-6</w:t>
      </w:r>
      <w:r>
        <w:rPr>
          <w:rFonts w:hint="eastAsia" w:ascii="仿宋" w:hAnsi="仿宋" w:eastAsia="仿宋" w:cs="仿宋"/>
          <w:color w:val="auto"/>
          <w:kern w:val="0"/>
          <w:sz w:val="24"/>
          <w:szCs w:val="24"/>
          <w:highlight w:val="none"/>
        </w:rPr>
        <w:t>配备必要的检测设备。项目监理机构的主要人员应具有相应的资格条件。</w:t>
      </w:r>
    </w:p>
    <w:p w14:paraId="207D31CB">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2.3.2</w:t>
      </w:r>
      <w:r>
        <w:rPr>
          <w:rFonts w:hint="eastAsia" w:ascii="仿宋" w:hAnsi="仿宋" w:eastAsia="仿宋" w:cs="仿宋"/>
          <w:color w:val="auto"/>
          <w:kern w:val="0"/>
          <w:sz w:val="24"/>
          <w:szCs w:val="24"/>
          <w:highlight w:val="none"/>
        </w:rPr>
        <w:t>本合同履行过程中，总监理工程师及重要岗位监理人员应保持相对稳定，以保证监理工作正常进行。</w:t>
      </w:r>
    </w:p>
    <w:p w14:paraId="153C3C2E">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2.3.3</w:t>
      </w:r>
      <w:r>
        <w:rPr>
          <w:rFonts w:hint="eastAsia" w:ascii="仿宋" w:hAnsi="仿宋" w:eastAsia="仿宋" w:cs="仿宋"/>
          <w:color w:val="auto"/>
          <w:kern w:val="0"/>
          <w:sz w:val="24"/>
          <w:szCs w:val="24"/>
          <w:highlight w:val="none"/>
        </w:rPr>
        <w:t>监理人可根据工程进展和工作需要调整项目监理机构人员。监理人更换总监理工程师时，应提前</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天向委托人书面报告，经委托人同意后方可更换；监理人更换项目监理机构其他监理人员，应以相当资格与能力的人员替换，并通知委托人。</w:t>
      </w:r>
    </w:p>
    <w:p w14:paraId="5002A125">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2.3.4 </w:t>
      </w:r>
      <w:r>
        <w:rPr>
          <w:rFonts w:hint="eastAsia" w:ascii="仿宋" w:hAnsi="仿宋" w:eastAsia="仿宋" w:cs="仿宋"/>
          <w:color w:val="auto"/>
          <w:kern w:val="0"/>
          <w:sz w:val="24"/>
          <w:szCs w:val="24"/>
          <w:highlight w:val="none"/>
        </w:rPr>
        <w:t>监理人应及时更换有下列情形之一的监理人员：</w:t>
      </w:r>
    </w:p>
    <w:p w14:paraId="51D95AB2">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）严重过失行为的；</w:t>
      </w:r>
    </w:p>
    <w:p w14:paraId="55FBC04D">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）有违法行为不能履行职责的；</w:t>
      </w:r>
    </w:p>
    <w:p w14:paraId="718D117D">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）涉嫌犯罪的；</w:t>
      </w:r>
    </w:p>
    <w:p w14:paraId="3D332122">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）不能胜任岗位职责的；</w:t>
      </w:r>
    </w:p>
    <w:p w14:paraId="3DBA4D6D">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）严重违反职业道德的；</w:t>
      </w:r>
    </w:p>
    <w:p w14:paraId="0F26C9A8">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）专用条款约定的其他情形。</w:t>
      </w:r>
    </w:p>
    <w:p w14:paraId="40CCFE29">
      <w:pPr>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2.3.5 </w:t>
      </w:r>
      <w:r>
        <w:rPr>
          <w:rFonts w:hint="eastAsia" w:ascii="仿宋" w:hAnsi="仿宋" w:eastAsia="仿宋" w:cs="仿宋"/>
          <w:color w:val="auto"/>
          <w:kern w:val="0"/>
          <w:sz w:val="24"/>
          <w:szCs w:val="24"/>
          <w:highlight w:val="none"/>
        </w:rPr>
        <w:t>委托人可要求监理人更换不能胜任本职工作的项目监理机构人员。</w:t>
      </w:r>
    </w:p>
    <w:p w14:paraId="22FB22C6">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履行职责</w:t>
      </w:r>
    </w:p>
    <w:p w14:paraId="36BE605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监理人应遵循职业道德准则和行为规范，严格按照法律法规、工程建设有关标准及本合同履行职责。</w:t>
      </w:r>
    </w:p>
    <w:p w14:paraId="5FF9042C">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2.4.1 </w:t>
      </w:r>
      <w:r>
        <w:rPr>
          <w:rFonts w:hint="eastAsia" w:ascii="仿宋" w:hAnsi="仿宋" w:eastAsia="仿宋" w:cs="仿宋"/>
          <w:color w:val="auto"/>
          <w:kern w:val="0"/>
          <w:sz w:val="24"/>
          <w:szCs w:val="24"/>
          <w:highlight w:val="none"/>
        </w:rPr>
        <w:t>在监理与相关服务范围内，委托人和承包人提出的意见和要求，监理人应及时提出处置意见。当委托人与承包人之间发生合同争议时，监理人应协助委托人、承包人协商解决。</w:t>
      </w:r>
    </w:p>
    <w:p w14:paraId="384188AE">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2.4.2 </w:t>
      </w:r>
      <w:r>
        <w:rPr>
          <w:rFonts w:hint="eastAsia" w:ascii="仿宋" w:hAnsi="仿宋" w:eastAsia="仿宋" w:cs="仿宋"/>
          <w:color w:val="auto"/>
          <w:kern w:val="0"/>
          <w:sz w:val="24"/>
          <w:szCs w:val="24"/>
          <w:highlight w:val="none"/>
        </w:rPr>
        <w:t>当委托人与承包人之间的合同争议提交仲裁机构仲裁或人民法院审理时，监理人应提供必要的证明资料。</w:t>
      </w:r>
    </w:p>
    <w:p w14:paraId="240F1C27">
      <w:pPr>
        <w:adjustRightInd w:val="0"/>
        <w:snapToGrid w:val="0"/>
        <w:spacing w:line="640" w:lineRule="exact"/>
        <w:ind w:firstLine="320" w:firstLineChars="133"/>
        <w:rPr>
          <w:rFonts w:ascii="仿宋" w:hAnsi="仿宋" w:eastAsia="仿宋" w:cs="Times New Roman"/>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2.4.3 </w:t>
      </w:r>
      <w:r>
        <w:rPr>
          <w:rFonts w:hint="eastAsia" w:ascii="仿宋" w:hAnsi="仿宋" w:eastAsia="仿宋" w:cs="仿宋"/>
          <w:color w:val="auto"/>
          <w:kern w:val="0"/>
          <w:sz w:val="24"/>
          <w:szCs w:val="24"/>
          <w:highlight w:val="none"/>
        </w:rPr>
        <w:t>监理人应在专用条款约定的授权范围内，处理委托人与承包人所签订合同的变更事宜。如果变更超过授权范围，应以书面形式报委托人批准。</w:t>
      </w:r>
    </w:p>
    <w:p w14:paraId="58740ABF">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在紧急情况下，为了保护财产和人身安全，监理人所发出的指令未能事先报委托人批准时，应在发出指令后的</w:t>
      </w:r>
      <w:r>
        <w:rPr>
          <w:rFonts w:ascii="仿宋" w:hAnsi="仿宋" w:eastAsia="仿宋" w:cs="仿宋"/>
          <w:color w:val="auto"/>
          <w:kern w:val="0"/>
          <w:sz w:val="24"/>
          <w:szCs w:val="24"/>
          <w:highlight w:val="none"/>
        </w:rPr>
        <w:t>24</w:t>
      </w:r>
      <w:r>
        <w:rPr>
          <w:rFonts w:hint="eastAsia" w:ascii="仿宋" w:hAnsi="仿宋" w:eastAsia="仿宋" w:cs="仿宋"/>
          <w:color w:val="auto"/>
          <w:kern w:val="0"/>
          <w:sz w:val="24"/>
          <w:szCs w:val="24"/>
          <w:highlight w:val="none"/>
        </w:rPr>
        <w:t>小时内以书面形式报委托人。</w:t>
      </w:r>
    </w:p>
    <w:p w14:paraId="74FC1E53">
      <w:pPr>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2.4.4</w:t>
      </w:r>
      <w:r>
        <w:rPr>
          <w:rFonts w:hint="eastAsia" w:ascii="仿宋" w:hAnsi="仿宋" w:eastAsia="仿宋" w:cs="仿宋"/>
          <w:color w:val="auto"/>
          <w:kern w:val="0"/>
          <w:sz w:val="24"/>
          <w:szCs w:val="24"/>
          <w:highlight w:val="none"/>
        </w:rPr>
        <w:t>监理人发现工程承包人的人员不能胜任本职工作的，应将此情况及时反映给</w:t>
      </w:r>
      <w:r>
        <w:rPr>
          <w:rFonts w:hint="eastAsia" w:ascii="仿宋" w:hAnsi="仿宋" w:eastAsia="仿宋" w:cs="仿宋"/>
          <w:color w:val="auto"/>
          <w:kern w:val="0"/>
          <w:sz w:val="24"/>
          <w:szCs w:val="24"/>
          <w:highlight w:val="none"/>
          <w:lang w:eastAsia="zh-CN"/>
        </w:rPr>
        <w:t>委托人</w:t>
      </w:r>
      <w:r>
        <w:rPr>
          <w:rFonts w:hint="eastAsia" w:ascii="仿宋" w:hAnsi="仿宋" w:eastAsia="仿宋" w:cs="仿宋"/>
          <w:color w:val="auto"/>
          <w:kern w:val="0"/>
          <w:sz w:val="24"/>
          <w:szCs w:val="24"/>
          <w:highlight w:val="none"/>
        </w:rPr>
        <w:t>，并建议工程承包人予以调换。</w:t>
      </w:r>
    </w:p>
    <w:p w14:paraId="209F7F99">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提交报告</w:t>
      </w:r>
    </w:p>
    <w:p w14:paraId="444E3F82">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监理人应按专用条款约定的种类、时间和份数向委托人提交监理与相关服务的报告。</w:t>
      </w:r>
    </w:p>
    <w:p w14:paraId="00EF10F1">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sz w:val="24"/>
          <w:szCs w:val="24"/>
          <w:highlight w:val="none"/>
        </w:rPr>
        <w:t>文件资料</w:t>
      </w:r>
    </w:p>
    <w:p w14:paraId="67795B25">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在本合同履行期内，监理人应在现场保留工作所用的图纸、报告及记录监理工</w:t>
      </w:r>
      <w:r>
        <w:rPr>
          <w:rFonts w:hint="eastAsia" w:ascii="仿宋" w:hAnsi="仿宋" w:eastAsia="仿宋" w:cs="仿宋"/>
          <w:color w:val="auto"/>
          <w:sz w:val="24"/>
          <w:szCs w:val="24"/>
          <w:highlight w:val="none"/>
        </w:rPr>
        <w:t>作的相关文件。工程竣工后，应当按照档案管理规定将监理有关文件归档。</w:t>
      </w:r>
    </w:p>
    <w:p w14:paraId="11C67BE4">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使用委托人的财产</w:t>
      </w:r>
    </w:p>
    <w:p w14:paraId="7F758476">
      <w:pPr>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监理人无偿使用附录</w:t>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中由委托人派遣的人员和提供的房屋、资料、设备。除专用条款另有约定外，委托人提供的房屋、设备属于委托人的财产，监理人应妥善使用和保管，在本合同终止时将这些房屋、设备的清单提交委托人，并按专用条款约定的时间和方式移交。</w:t>
      </w:r>
    </w:p>
    <w:p w14:paraId="02EEF40B">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履约担保</w:t>
      </w:r>
    </w:p>
    <w:p w14:paraId="41C1E1D7">
      <w:pPr>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双方可在专用条款中约定履约保函、履约保证保险的具体内容。</w:t>
      </w:r>
    </w:p>
    <w:p w14:paraId="1B738CCD">
      <w:pPr>
        <w:spacing w:line="640" w:lineRule="exact"/>
        <w:ind w:firstLine="600" w:firstLineChars="2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应委托人的需求，要求监理人在合同签订期间向委托人提交银行金融机构出具的履约保函或保险机构出具的履约保证保险。如果监理人日后未能在施工监理期内按合同约定完成其所监理的工作内容，则委托人可根据责任情况与监理人按违约责任条款的约定确认违约金，可从履约保函、履约保证保险中扣除。</w:t>
      </w:r>
    </w:p>
    <w:p w14:paraId="0FBB19CF">
      <w:pPr>
        <w:spacing w:line="640" w:lineRule="exact"/>
        <w:outlineLvl w:val="1"/>
        <w:rPr>
          <w:rFonts w:ascii="仿宋" w:hAnsi="仿宋" w:eastAsia="仿宋" w:cs="仿宋"/>
          <w:b/>
          <w:bCs/>
          <w:color w:val="auto"/>
          <w:sz w:val="24"/>
          <w:szCs w:val="24"/>
          <w:highlight w:val="none"/>
        </w:rPr>
      </w:pPr>
      <w:bookmarkStart w:id="59" w:name="_Toc13114"/>
      <w:r>
        <w:rPr>
          <w:rFonts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rPr>
        <w:t>．委托人的义务</w:t>
      </w:r>
      <w:bookmarkEnd w:id="59"/>
    </w:p>
    <w:p w14:paraId="19CD4C4A">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告知</w:t>
      </w:r>
    </w:p>
    <w:p w14:paraId="51582473">
      <w:pPr>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委托人应在委托人与承包人签订的合同中明确监理人、总监理工程师和授予项目监理机构的权限。如有变更，应及时通知承包人。</w:t>
      </w:r>
    </w:p>
    <w:p w14:paraId="616F2D7C">
      <w:pPr>
        <w:spacing w:line="640" w:lineRule="exact"/>
        <w:ind w:left="142" w:hanging="1"/>
        <w:rPr>
          <w:rFonts w:ascii="仿宋" w:hAnsi="仿宋" w:eastAsia="仿宋" w:cs="Times New Roman"/>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提供资料</w:t>
      </w:r>
    </w:p>
    <w:p w14:paraId="79DE86ED">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委托人应按照附录</w:t>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约定，无偿向监理人提供工程有关的资料。</w:t>
      </w:r>
      <w:r>
        <w:rPr>
          <w:rFonts w:hint="eastAsia" w:ascii="仿宋" w:hAnsi="仿宋" w:eastAsia="仿宋" w:cs="仿宋"/>
          <w:color w:val="auto"/>
          <w:sz w:val="24"/>
          <w:szCs w:val="24"/>
          <w:highlight w:val="none"/>
        </w:rPr>
        <w:t>在本合同履行过程中，委托人应及时向监理人提供最新的与工程有关的资料。</w:t>
      </w:r>
    </w:p>
    <w:p w14:paraId="1CE0028C">
      <w:pPr>
        <w:spacing w:line="640" w:lineRule="exact"/>
        <w:ind w:left="210" w:leftChars="100"/>
        <w:rPr>
          <w:rFonts w:ascii="仿宋" w:hAnsi="仿宋" w:eastAsia="仿宋" w:cs="Times New Roman"/>
          <w:color w:val="auto"/>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提供工作条件</w:t>
      </w:r>
    </w:p>
    <w:p w14:paraId="2EDA1572">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委托人应为监理人完成监理与相关服务提供必要的条件。</w:t>
      </w:r>
    </w:p>
    <w:p w14:paraId="28FF8C86">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3.3.1 </w:t>
      </w:r>
      <w:r>
        <w:rPr>
          <w:rFonts w:hint="eastAsia" w:ascii="仿宋" w:hAnsi="仿宋" w:eastAsia="仿宋" w:cs="仿宋"/>
          <w:color w:val="auto"/>
          <w:sz w:val="24"/>
          <w:szCs w:val="24"/>
          <w:highlight w:val="none"/>
        </w:rPr>
        <w:t>委托人应按照附录</w:t>
      </w:r>
      <w:r>
        <w:rPr>
          <w:rFonts w:ascii="仿宋" w:hAnsi="仿宋" w:eastAsia="仿宋" w:cs="仿宋"/>
          <w:color w:val="auto"/>
          <w:sz w:val="24"/>
          <w:szCs w:val="24"/>
          <w:highlight w:val="none"/>
        </w:rPr>
        <w:t>B</w:t>
      </w:r>
      <w:r>
        <w:rPr>
          <w:rFonts w:hint="eastAsia" w:ascii="仿宋" w:hAnsi="仿宋" w:eastAsia="仿宋" w:cs="仿宋"/>
          <w:color w:val="auto"/>
          <w:sz w:val="24"/>
          <w:szCs w:val="24"/>
          <w:highlight w:val="none"/>
        </w:rPr>
        <w:t>约定，派遣相应的人员，提供房屋、设备，供监理人</w:t>
      </w:r>
      <w:r>
        <w:rPr>
          <w:rFonts w:hint="eastAsia" w:ascii="仿宋" w:hAnsi="仿宋" w:eastAsia="仿宋" w:cs="仿宋"/>
          <w:color w:val="auto"/>
          <w:kern w:val="0"/>
          <w:sz w:val="24"/>
          <w:szCs w:val="24"/>
          <w:highlight w:val="none"/>
        </w:rPr>
        <w:t>无偿</w:t>
      </w:r>
      <w:r>
        <w:rPr>
          <w:rFonts w:hint="eastAsia" w:ascii="仿宋" w:hAnsi="仿宋" w:eastAsia="仿宋" w:cs="仿宋"/>
          <w:color w:val="auto"/>
          <w:sz w:val="24"/>
          <w:szCs w:val="24"/>
          <w:highlight w:val="none"/>
        </w:rPr>
        <w:t>使用。</w:t>
      </w:r>
    </w:p>
    <w:p w14:paraId="59F3C4BC">
      <w:pPr>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rPr>
        <w:t xml:space="preserve">3.3.2 </w:t>
      </w:r>
      <w:r>
        <w:rPr>
          <w:rFonts w:hint="eastAsia" w:ascii="仿宋" w:hAnsi="仿宋" w:eastAsia="仿宋" w:cs="仿宋"/>
          <w:color w:val="auto"/>
          <w:sz w:val="24"/>
          <w:szCs w:val="24"/>
          <w:highlight w:val="none"/>
        </w:rPr>
        <w:t>委托人应负责协调工程建设中所有外部关系，为监理人履行本合同提供必要的外部条件。</w:t>
      </w:r>
    </w:p>
    <w:p w14:paraId="02773BAE">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委托人代表</w:t>
      </w:r>
    </w:p>
    <w:p w14:paraId="50621A0B">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委托人应授权一名熟悉工程情况的代表，负责与监理人联系。委托人应在双方签订本合同后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天内，将委托人代表的姓名和职责书面告知监理人。当委托人更换委托人代表时，应提前</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天通知监理人。</w:t>
      </w:r>
    </w:p>
    <w:p w14:paraId="1E61E7CF">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sz w:val="24"/>
          <w:szCs w:val="24"/>
          <w:highlight w:val="none"/>
        </w:rPr>
        <w:t>委托人意见或要求</w:t>
      </w:r>
    </w:p>
    <w:p w14:paraId="4D5252E7">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在本合同约定的监理与相关服务工作范围内，委托人对承包人的任何意见或要求应通知监理人，由监理人向承包人发出相应指令。</w:t>
      </w:r>
    </w:p>
    <w:p w14:paraId="507127B9">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rPr>
        <w:t>答复</w:t>
      </w:r>
    </w:p>
    <w:p w14:paraId="4FD29E0C">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委托人应在专用条款约定的时间内，对监理人以书面形式提交并要求作出决定的事宜，给予书面答复。逾期未答复的，视为委托人认可。</w:t>
      </w:r>
    </w:p>
    <w:p w14:paraId="268941CF">
      <w:pPr>
        <w:spacing w:line="640" w:lineRule="exact"/>
        <w:ind w:left="210" w:leftChars="100"/>
        <w:rPr>
          <w:rFonts w:hint="eastAsia" w:ascii="仿宋" w:hAnsi="仿宋" w:eastAsia="仿宋" w:cs="Times New Roman"/>
          <w:color w:val="auto"/>
          <w:sz w:val="24"/>
          <w:szCs w:val="24"/>
          <w:highlight w:val="none"/>
          <w:lang w:eastAsia="zh-CN"/>
        </w:rPr>
      </w:pPr>
      <w:r>
        <w:rPr>
          <w:rFonts w:ascii="仿宋" w:hAnsi="仿宋" w:eastAsia="仿宋" w:cs="仿宋"/>
          <w:color w:val="auto"/>
          <w:sz w:val="24"/>
          <w:szCs w:val="24"/>
          <w:highlight w:val="none"/>
        </w:rPr>
        <w:t xml:space="preserve">3.7 </w:t>
      </w:r>
      <w:r>
        <w:rPr>
          <w:rFonts w:hint="eastAsia" w:ascii="仿宋" w:hAnsi="仿宋" w:eastAsia="仿宋" w:cs="仿宋"/>
          <w:color w:val="auto"/>
          <w:sz w:val="24"/>
          <w:szCs w:val="24"/>
          <w:highlight w:val="none"/>
          <w:lang w:eastAsia="zh-CN"/>
        </w:rPr>
        <w:t>考核</w:t>
      </w:r>
    </w:p>
    <w:p w14:paraId="3FF65E93">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bookmarkStart w:id="60" w:name="_Toc5628164"/>
      <w:r>
        <w:rPr>
          <w:rFonts w:hint="eastAsia" w:ascii="仿宋" w:hAnsi="仿宋" w:eastAsia="仿宋" w:cs="仿宋"/>
          <w:color w:val="auto"/>
          <w:sz w:val="24"/>
          <w:szCs w:val="24"/>
          <w:highlight w:val="none"/>
        </w:rPr>
        <w:t>委托人应按本合同约定，向监理人</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酬金。如委托人未能按期</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酬金，监理人应及时报告住房城乡建设主管部门。</w:t>
      </w:r>
      <w:bookmarkEnd w:id="60"/>
    </w:p>
    <w:p w14:paraId="4AE2CE00">
      <w:pPr>
        <w:spacing w:line="640" w:lineRule="exact"/>
        <w:ind w:left="210" w:leftChars="1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3.8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担保</w:t>
      </w:r>
    </w:p>
    <w:p w14:paraId="0D0A5116">
      <w:pPr>
        <w:snapToGrid w:val="0"/>
        <w:spacing w:line="640" w:lineRule="exact"/>
        <w:ind w:firstLine="120" w:firstLineChars="5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监理人按照要求提交了履约担保，委托人应向承包人提交与履约担保等值的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担保，</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担保采用</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保函、</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保证保险的形式。</w:t>
      </w:r>
    </w:p>
    <w:p w14:paraId="288F8DE2">
      <w:pPr>
        <w:spacing w:line="640" w:lineRule="exact"/>
        <w:outlineLvl w:val="1"/>
        <w:rPr>
          <w:rFonts w:ascii="仿宋" w:hAnsi="仿宋" w:eastAsia="仿宋" w:cs="Times New Roman"/>
          <w:b/>
          <w:bCs/>
          <w:color w:val="auto"/>
          <w:sz w:val="24"/>
          <w:szCs w:val="24"/>
          <w:highlight w:val="none"/>
        </w:rPr>
      </w:pPr>
      <w:bookmarkStart w:id="61" w:name="_Toc683"/>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违约责任</w:t>
      </w:r>
      <w:bookmarkEnd w:id="61"/>
    </w:p>
    <w:p w14:paraId="3E66E16D">
      <w:pPr>
        <w:spacing w:line="640" w:lineRule="exact"/>
        <w:ind w:left="210" w:leftChars="100"/>
        <w:outlineLvl w:val="2"/>
        <w:rPr>
          <w:rFonts w:hint="eastAsia" w:ascii="仿宋" w:hAnsi="仿宋" w:eastAsia="仿宋" w:cs="Times New Roman"/>
          <w:color w:val="auto"/>
          <w:sz w:val="24"/>
          <w:szCs w:val="24"/>
          <w:highlight w:val="none"/>
        </w:rPr>
      </w:pPr>
      <w:bookmarkStart w:id="62" w:name="_Toc6592"/>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监理人的违约责任</w:t>
      </w:r>
      <w:bookmarkEnd w:id="62"/>
    </w:p>
    <w:p w14:paraId="0D157CDE">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rPr>
        <w:t>监理人未履行本合同义务的，应承担相应的责任。</w:t>
      </w:r>
    </w:p>
    <w:p w14:paraId="0643FBA9">
      <w:pPr>
        <w:adjustRightInd w:val="0"/>
        <w:snapToGrid w:val="0"/>
        <w:spacing w:line="640" w:lineRule="exact"/>
        <w:ind w:firstLine="320" w:firstLineChars="133"/>
        <w:rPr>
          <w:rFonts w:ascii="仿宋" w:hAnsi="仿宋" w:eastAsia="仿宋" w:cs="Times New Roman"/>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4.1.1 </w:t>
      </w:r>
      <w:r>
        <w:rPr>
          <w:rFonts w:hint="eastAsia" w:ascii="仿宋" w:hAnsi="仿宋" w:eastAsia="仿宋" w:cs="仿宋"/>
          <w:color w:val="auto"/>
          <w:kern w:val="0"/>
          <w:sz w:val="24"/>
          <w:szCs w:val="24"/>
          <w:highlight w:val="none"/>
        </w:rPr>
        <w:t>因监理人违反本合同约定</w:t>
      </w:r>
      <w:r>
        <w:rPr>
          <w:rFonts w:hint="eastAsia" w:ascii="仿宋" w:hAnsi="仿宋" w:eastAsia="仿宋" w:cs="仿宋"/>
          <w:color w:val="auto"/>
          <w:sz w:val="24"/>
          <w:szCs w:val="24"/>
          <w:highlight w:val="none"/>
        </w:rPr>
        <w:t>给委托人造成损失的，监理人应当赔偿委托人损失</w:t>
      </w:r>
      <w:r>
        <w:rPr>
          <w:rFonts w:hint="eastAsia" w:ascii="仿宋" w:hAnsi="仿宋" w:eastAsia="仿宋" w:cs="仿宋"/>
          <w:color w:val="auto"/>
          <w:kern w:val="0"/>
          <w:sz w:val="24"/>
          <w:szCs w:val="24"/>
          <w:highlight w:val="none"/>
        </w:rPr>
        <w:t>。赔偿金额的确定方法在专用条款中约定。监理人承担部分赔偿责任的，其承担赔偿金额由双方协商确定。</w:t>
      </w:r>
    </w:p>
    <w:p w14:paraId="44626637">
      <w:pPr>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4.1.2 </w:t>
      </w:r>
      <w:r>
        <w:rPr>
          <w:rFonts w:hint="eastAsia" w:ascii="仿宋" w:hAnsi="仿宋" w:eastAsia="仿宋" w:cs="仿宋"/>
          <w:color w:val="auto"/>
          <w:kern w:val="0"/>
          <w:sz w:val="24"/>
          <w:szCs w:val="24"/>
          <w:highlight w:val="none"/>
        </w:rPr>
        <w:t>监理人向委托人的索赔不成立时，监理人应赔偿委托人由此发生的费用。</w:t>
      </w:r>
    </w:p>
    <w:p w14:paraId="7F8ED28D">
      <w:pPr>
        <w:spacing w:line="640" w:lineRule="exact"/>
        <w:ind w:left="210" w:leftChars="100"/>
        <w:outlineLvl w:val="2"/>
        <w:rPr>
          <w:rFonts w:ascii="仿宋" w:hAnsi="仿宋" w:eastAsia="仿宋" w:cs="Times New Roman"/>
          <w:color w:val="auto"/>
          <w:sz w:val="24"/>
          <w:szCs w:val="24"/>
          <w:highlight w:val="none"/>
        </w:rPr>
      </w:pPr>
      <w:bookmarkStart w:id="63" w:name="_Toc20341"/>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委托人的违约责任</w:t>
      </w:r>
      <w:bookmarkEnd w:id="63"/>
    </w:p>
    <w:p w14:paraId="4A2D4541">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委托人未履行本合同义务的，应承担相应的责任。</w:t>
      </w:r>
    </w:p>
    <w:p w14:paraId="7C13E934">
      <w:pPr>
        <w:adjustRightInd w:val="0"/>
        <w:snapToGrid w:val="0"/>
        <w:spacing w:line="640" w:lineRule="exact"/>
        <w:ind w:firstLine="320" w:firstLineChars="133"/>
        <w:rPr>
          <w:rFonts w:ascii="仿宋" w:hAnsi="仿宋" w:eastAsia="仿宋" w:cs="Times New Roman"/>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kern w:val="0"/>
          <w:sz w:val="24"/>
          <w:szCs w:val="24"/>
          <w:highlight w:val="none"/>
        </w:rPr>
        <w:t xml:space="preserve">4.2.1 </w:t>
      </w:r>
      <w:r>
        <w:rPr>
          <w:rFonts w:hint="eastAsia" w:ascii="仿宋" w:hAnsi="仿宋" w:eastAsia="仿宋" w:cs="仿宋"/>
          <w:color w:val="auto"/>
          <w:kern w:val="0"/>
          <w:sz w:val="24"/>
          <w:szCs w:val="24"/>
          <w:highlight w:val="none"/>
        </w:rPr>
        <w:t>委托人违反本合同约定造成监理人损失的，委托人应予以赔偿。赔偿金额的确定方法在专用条款中约定。</w:t>
      </w:r>
    </w:p>
    <w:p w14:paraId="6E6E0391">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4.2.2 </w:t>
      </w:r>
      <w:r>
        <w:rPr>
          <w:rFonts w:hint="eastAsia" w:ascii="仿宋" w:hAnsi="仿宋" w:eastAsia="仿宋" w:cs="仿宋"/>
          <w:color w:val="auto"/>
          <w:kern w:val="0"/>
          <w:sz w:val="24"/>
          <w:szCs w:val="24"/>
          <w:highlight w:val="none"/>
        </w:rPr>
        <w:t>委托人向监理人的索赔不成立时，委托人应赔偿监理人由此发生的费用。</w:t>
      </w:r>
    </w:p>
    <w:p w14:paraId="285E530B">
      <w:pPr>
        <w:spacing w:line="640" w:lineRule="exact"/>
        <w:ind w:firstLine="320" w:firstLineChars="133"/>
        <w:rPr>
          <w:rFonts w:ascii="仿宋" w:hAnsi="仿宋" w:eastAsia="仿宋" w:cs="Times New Roman"/>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4.2.3 </w:t>
      </w:r>
      <w:r>
        <w:rPr>
          <w:rFonts w:hint="eastAsia" w:ascii="仿宋" w:hAnsi="仿宋" w:eastAsia="仿宋" w:cs="仿宋"/>
          <w:color w:val="auto"/>
          <w:kern w:val="0"/>
          <w:sz w:val="24"/>
          <w:szCs w:val="24"/>
          <w:highlight w:val="none"/>
        </w:rPr>
        <w:t>委托人未能按期</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sz w:val="24"/>
          <w:szCs w:val="24"/>
          <w:highlight w:val="none"/>
        </w:rPr>
        <w:t>酬金</w:t>
      </w:r>
      <w:r>
        <w:rPr>
          <w:rFonts w:hint="eastAsia" w:ascii="仿宋" w:hAnsi="仿宋" w:eastAsia="仿宋" w:cs="仿宋"/>
          <w:color w:val="auto"/>
          <w:kern w:val="0"/>
          <w:sz w:val="24"/>
          <w:szCs w:val="24"/>
          <w:highlight w:val="none"/>
        </w:rPr>
        <w:t>超过</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天，应按专用条款约定</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逾期付款利息。</w:t>
      </w:r>
    </w:p>
    <w:p w14:paraId="271F6450">
      <w:pPr>
        <w:spacing w:line="640" w:lineRule="exact"/>
        <w:ind w:left="210" w:leftChars="100"/>
        <w:outlineLvl w:val="2"/>
        <w:rPr>
          <w:rFonts w:ascii="仿宋" w:hAnsi="仿宋" w:eastAsia="仿宋" w:cs="Times New Roman"/>
          <w:color w:val="auto"/>
          <w:sz w:val="24"/>
          <w:szCs w:val="24"/>
          <w:highlight w:val="none"/>
        </w:rPr>
      </w:pPr>
      <w:bookmarkStart w:id="64" w:name="_Toc23526"/>
      <w:r>
        <w:rPr>
          <w:rFonts w:ascii="仿宋" w:hAnsi="仿宋" w:eastAsia="仿宋" w:cs="仿宋"/>
          <w:color w:val="auto"/>
          <w:sz w:val="24"/>
          <w:szCs w:val="24"/>
          <w:highlight w:val="none"/>
        </w:rPr>
        <w:t xml:space="preserve">4.3 </w:t>
      </w:r>
      <w:r>
        <w:rPr>
          <w:rFonts w:hint="eastAsia" w:ascii="仿宋" w:hAnsi="仿宋" w:eastAsia="仿宋" w:cs="仿宋"/>
          <w:color w:val="auto"/>
          <w:sz w:val="24"/>
          <w:szCs w:val="24"/>
          <w:highlight w:val="none"/>
        </w:rPr>
        <w:t>除外责任</w:t>
      </w:r>
      <w:bookmarkEnd w:id="64"/>
    </w:p>
    <w:p w14:paraId="04541BE4">
      <w:pPr>
        <w:adjustRightInd w:val="0"/>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因非监理人的原因，且监理人无过错，发生工程质量事故、安全事故、工期延误等造成的损失，监理人不承担赔偿责任。</w:t>
      </w:r>
    </w:p>
    <w:p w14:paraId="5D94E696">
      <w:pPr>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因不可抗力导致本合同全部或部分不能履行时，双方各自承担其因此而造成的损失、损害。</w:t>
      </w:r>
    </w:p>
    <w:p w14:paraId="1280C76C">
      <w:pPr>
        <w:spacing w:line="640" w:lineRule="exact"/>
        <w:outlineLvl w:val="1"/>
        <w:rPr>
          <w:rFonts w:hint="eastAsia" w:ascii="仿宋" w:hAnsi="仿宋" w:eastAsia="仿宋" w:cs="Times New Roman"/>
          <w:b/>
          <w:bCs/>
          <w:color w:val="auto"/>
          <w:sz w:val="24"/>
          <w:szCs w:val="24"/>
          <w:highlight w:val="none"/>
          <w:lang w:eastAsia="zh-CN"/>
        </w:rPr>
      </w:pPr>
      <w:bookmarkStart w:id="65" w:name="_Toc4751"/>
      <w:r>
        <w:rPr>
          <w:rFonts w:hint="eastAsia" w:ascii="仿宋" w:hAnsi="仿宋" w:eastAsia="仿宋" w:cs="Arial Unicode MS"/>
          <w:b/>
          <w:bCs/>
          <w:color w:val="auto"/>
          <w:kern w:val="0"/>
          <w:sz w:val="24"/>
          <w:szCs w:val="24"/>
          <w:highlight w:val="none"/>
        </w:rPr>
        <w:t>★</w:t>
      </w:r>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lang w:eastAsia="zh-CN"/>
        </w:rPr>
        <w:t>考核</w:t>
      </w:r>
      <w:bookmarkEnd w:id="65"/>
    </w:p>
    <w:p w14:paraId="4B7F09ED">
      <w:pPr>
        <w:spacing w:line="640" w:lineRule="exact"/>
        <w:ind w:left="210" w:leftChars="100"/>
        <w:outlineLvl w:val="2"/>
        <w:rPr>
          <w:rFonts w:ascii="仿宋" w:hAnsi="仿宋" w:eastAsia="仿宋" w:cs="Times New Roman"/>
          <w:color w:val="auto"/>
          <w:sz w:val="24"/>
          <w:szCs w:val="24"/>
          <w:highlight w:val="none"/>
        </w:rPr>
      </w:pPr>
      <w:bookmarkStart w:id="66" w:name="_Toc27793"/>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货币</w:t>
      </w:r>
      <w:bookmarkEnd w:id="66"/>
    </w:p>
    <w:p w14:paraId="7B7B8AF1">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除专用条款另有约定外，酬金均以人民币</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。涉及外币</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的，所采用的货币种类、比例和汇率在专用条款中约定。</w:t>
      </w:r>
    </w:p>
    <w:p w14:paraId="230B26ED">
      <w:pPr>
        <w:spacing w:line="640" w:lineRule="exact"/>
        <w:ind w:left="210" w:leftChars="100"/>
        <w:outlineLvl w:val="2"/>
        <w:rPr>
          <w:rFonts w:ascii="仿宋" w:hAnsi="仿宋" w:eastAsia="仿宋" w:cs="Times New Roman"/>
          <w:color w:val="auto"/>
          <w:sz w:val="24"/>
          <w:szCs w:val="24"/>
          <w:highlight w:val="none"/>
        </w:rPr>
      </w:pPr>
      <w:bookmarkStart w:id="67" w:name="_Toc28357"/>
      <w:r>
        <w:rPr>
          <w:rFonts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w:t>
      </w:r>
      <w:bookmarkEnd w:id="67"/>
    </w:p>
    <w:p w14:paraId="7D3FBBC4">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监理人应在本合同约定的每次应付款时间的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天前，向委托人提交</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申请书。</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申请书应当说明当期应付款总额，并列出当期应</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的款项及其金额。</w:t>
      </w:r>
    </w:p>
    <w:p w14:paraId="57839B5F">
      <w:pPr>
        <w:spacing w:line="640" w:lineRule="exact"/>
        <w:ind w:left="210" w:leftChars="100"/>
        <w:outlineLvl w:val="2"/>
        <w:rPr>
          <w:rFonts w:ascii="仿宋" w:hAnsi="仿宋" w:eastAsia="仿宋" w:cs="Times New Roman"/>
          <w:color w:val="auto"/>
          <w:sz w:val="24"/>
          <w:szCs w:val="24"/>
          <w:highlight w:val="none"/>
        </w:rPr>
      </w:pPr>
      <w:bookmarkStart w:id="68" w:name="_Toc22766"/>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酬金</w:t>
      </w:r>
      <w:bookmarkEnd w:id="68"/>
    </w:p>
    <w:p w14:paraId="4F7C9307">
      <w:pPr>
        <w:snapToGrid w:val="0"/>
        <w:spacing w:line="640" w:lineRule="exact"/>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的酬金包括正常工作酬金、附加工作酬金、合理化建议奖励金额及费用。</w:t>
      </w:r>
    </w:p>
    <w:p w14:paraId="54E78BE0">
      <w:pPr>
        <w:spacing w:line="640" w:lineRule="exact"/>
        <w:ind w:left="210" w:leftChars="100"/>
        <w:outlineLvl w:val="2"/>
        <w:rPr>
          <w:rFonts w:ascii="仿宋" w:hAnsi="仿宋" w:eastAsia="仿宋" w:cs="Times New Roman"/>
          <w:color w:val="auto"/>
          <w:sz w:val="24"/>
          <w:szCs w:val="24"/>
          <w:highlight w:val="none"/>
        </w:rPr>
      </w:pPr>
      <w:bookmarkStart w:id="69" w:name="_Toc9175"/>
      <w:r>
        <w:rPr>
          <w:rFonts w:ascii="仿宋" w:hAnsi="仿宋" w:eastAsia="仿宋" w:cs="仿宋"/>
          <w:color w:val="auto"/>
          <w:sz w:val="24"/>
          <w:szCs w:val="24"/>
          <w:highlight w:val="none"/>
        </w:rPr>
        <w:t xml:space="preserve">5.4 </w:t>
      </w:r>
      <w:r>
        <w:rPr>
          <w:rFonts w:hint="eastAsia" w:ascii="仿宋" w:hAnsi="仿宋" w:eastAsia="仿宋" w:cs="仿宋"/>
          <w:color w:val="auto"/>
          <w:sz w:val="24"/>
          <w:szCs w:val="24"/>
          <w:highlight w:val="none"/>
        </w:rPr>
        <w:t>有争议部分的付款</w:t>
      </w:r>
      <w:bookmarkEnd w:id="69"/>
    </w:p>
    <w:p w14:paraId="1BD9B7B3">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委托人对监理人提交的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申请书有异议时，应当在收到监理人提交的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申请书后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天内，以书面形式向监理人发出异议通知。无异议部分的款项应按期</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，有异议部分的款项按第</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条约定办理。</w:t>
      </w:r>
    </w:p>
    <w:p w14:paraId="7DB597B5">
      <w:pPr>
        <w:spacing w:line="640" w:lineRule="exact"/>
        <w:outlineLvl w:val="1"/>
        <w:rPr>
          <w:rFonts w:ascii="仿宋" w:hAnsi="仿宋" w:eastAsia="仿宋" w:cs="Times New Roman"/>
          <w:b/>
          <w:bCs/>
          <w:color w:val="auto"/>
          <w:sz w:val="24"/>
          <w:szCs w:val="24"/>
          <w:highlight w:val="none"/>
        </w:rPr>
      </w:pPr>
      <w:bookmarkStart w:id="70" w:name="_Toc21465"/>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合同生效、变更、暂停、解除与终止</w:t>
      </w:r>
      <w:bookmarkEnd w:id="70"/>
    </w:p>
    <w:p w14:paraId="7CF3853E">
      <w:pPr>
        <w:spacing w:line="640" w:lineRule="exact"/>
        <w:ind w:left="210" w:leftChars="100"/>
        <w:outlineLvl w:val="2"/>
        <w:rPr>
          <w:rFonts w:ascii="仿宋" w:hAnsi="仿宋" w:eastAsia="仿宋" w:cs="Times New Roman"/>
          <w:color w:val="auto"/>
          <w:sz w:val="24"/>
          <w:szCs w:val="24"/>
          <w:highlight w:val="none"/>
        </w:rPr>
      </w:pPr>
      <w:bookmarkStart w:id="71" w:name="_Toc19151"/>
      <w:r>
        <w:rPr>
          <w:rFonts w:ascii="仿宋" w:hAnsi="仿宋" w:eastAsia="仿宋" w:cs="仿宋"/>
          <w:color w:val="auto"/>
          <w:sz w:val="24"/>
          <w:szCs w:val="24"/>
          <w:highlight w:val="none"/>
        </w:rPr>
        <w:t>6.1</w:t>
      </w:r>
      <w:r>
        <w:rPr>
          <w:rFonts w:hint="eastAsia" w:ascii="仿宋" w:hAnsi="仿宋" w:eastAsia="仿宋" w:cs="仿宋"/>
          <w:color w:val="auto"/>
          <w:sz w:val="24"/>
          <w:szCs w:val="24"/>
          <w:highlight w:val="none"/>
        </w:rPr>
        <w:t>生效</w:t>
      </w:r>
      <w:bookmarkEnd w:id="71"/>
    </w:p>
    <w:p w14:paraId="2439085E">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除法律另有规定或者专用条款另有约定外，委托人和监理人的法定代表人或其授权代理人在协议书上签字并盖单位章后本合同生效。</w:t>
      </w:r>
    </w:p>
    <w:p w14:paraId="43E2CBFA">
      <w:pPr>
        <w:spacing w:line="640" w:lineRule="exact"/>
        <w:ind w:left="210" w:leftChars="100"/>
        <w:outlineLvl w:val="2"/>
        <w:rPr>
          <w:rFonts w:ascii="仿宋" w:hAnsi="仿宋" w:eastAsia="仿宋" w:cs="Times New Roman"/>
          <w:color w:val="auto"/>
          <w:sz w:val="24"/>
          <w:szCs w:val="24"/>
          <w:highlight w:val="none"/>
        </w:rPr>
      </w:pPr>
      <w:bookmarkStart w:id="72" w:name="_Toc25965"/>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变更</w:t>
      </w:r>
      <w:bookmarkEnd w:id="72"/>
    </w:p>
    <w:p w14:paraId="02F12A22">
      <w:pPr>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6.2.1 </w:t>
      </w:r>
      <w:r>
        <w:rPr>
          <w:rFonts w:hint="eastAsia" w:ascii="仿宋" w:hAnsi="仿宋" w:eastAsia="仿宋" w:cs="仿宋"/>
          <w:color w:val="auto"/>
          <w:sz w:val="24"/>
          <w:szCs w:val="24"/>
          <w:highlight w:val="none"/>
        </w:rPr>
        <w:t>任何一方提出变更请求时，双方经协商一致后可进行变更。</w:t>
      </w:r>
    </w:p>
    <w:p w14:paraId="4B982B00">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6.2.2</w:t>
      </w:r>
      <w:r>
        <w:rPr>
          <w:rFonts w:hint="eastAsia" w:ascii="仿宋" w:hAnsi="仿宋" w:eastAsia="仿宋" w:cs="仿宋"/>
          <w:color w:val="auto"/>
          <w:sz w:val="24"/>
          <w:szCs w:val="24"/>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14:paraId="24BEC92F">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6.2.3</w:t>
      </w:r>
      <w:r>
        <w:rPr>
          <w:rFonts w:hint="eastAsia" w:ascii="仿宋" w:hAnsi="仿宋" w:eastAsia="仿宋" w:cs="仿宋"/>
          <w:color w:val="auto"/>
          <w:sz w:val="24"/>
          <w:szCs w:val="24"/>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w:t>
      </w:r>
    </w:p>
    <w:p w14:paraId="1152FBBA">
      <w:pPr>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6.2.4</w:t>
      </w:r>
      <w:r>
        <w:rPr>
          <w:rFonts w:hint="eastAsia" w:ascii="仿宋" w:hAnsi="仿宋" w:eastAsia="仿宋" w:cs="仿宋"/>
          <w:color w:val="auto"/>
          <w:sz w:val="24"/>
          <w:szCs w:val="24"/>
          <w:highlight w:val="none"/>
        </w:rPr>
        <w:t>合同签订后，遇有与工程相关的法律法规、标准颁布或修订的，双方应遵照执行。由此引起监理与相关服务的范围、时间、酬金变化的，双方应通过协商进行相应调整。</w:t>
      </w:r>
    </w:p>
    <w:p w14:paraId="6116B29B">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6.2.5 </w:t>
      </w:r>
      <w:r>
        <w:rPr>
          <w:rFonts w:hint="eastAsia" w:ascii="仿宋" w:hAnsi="仿宋" w:eastAsia="仿宋" w:cs="仿宋"/>
          <w:color w:val="auto"/>
          <w:sz w:val="24"/>
          <w:szCs w:val="24"/>
          <w:highlight w:val="none"/>
        </w:rPr>
        <w:t>因非监理人原因造成工程概算投资额或建筑安装工程费增加时，正常工作酬金应作相应调整。调整方法在专用条款中约定。</w:t>
      </w:r>
    </w:p>
    <w:p w14:paraId="61BD5310">
      <w:pPr>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6.2.6 </w:t>
      </w:r>
      <w:r>
        <w:rPr>
          <w:rFonts w:hint="eastAsia" w:ascii="仿宋" w:hAnsi="仿宋" w:eastAsia="仿宋" w:cs="仿宋"/>
          <w:color w:val="auto"/>
          <w:sz w:val="24"/>
          <w:szCs w:val="24"/>
          <w:highlight w:val="none"/>
        </w:rPr>
        <w:t>因工程规模、监理范围的变化导致监理人的正常工作量减少时，正常工作酬金应作相应调整。调整方法在专用条款中约定。</w:t>
      </w:r>
    </w:p>
    <w:p w14:paraId="1A14AAB9">
      <w:pPr>
        <w:spacing w:line="640" w:lineRule="exact"/>
        <w:ind w:left="210" w:leftChars="100"/>
        <w:outlineLvl w:val="2"/>
        <w:rPr>
          <w:rFonts w:ascii="仿宋" w:hAnsi="仿宋" w:eastAsia="仿宋" w:cs="Times New Roman"/>
          <w:color w:val="auto"/>
          <w:sz w:val="24"/>
          <w:szCs w:val="24"/>
          <w:highlight w:val="none"/>
        </w:rPr>
      </w:pPr>
      <w:bookmarkStart w:id="73" w:name="_Toc10289"/>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6.3 </w:t>
      </w:r>
      <w:r>
        <w:rPr>
          <w:rFonts w:hint="eastAsia" w:ascii="仿宋" w:hAnsi="仿宋" w:eastAsia="仿宋" w:cs="仿宋"/>
          <w:color w:val="auto"/>
          <w:sz w:val="24"/>
          <w:szCs w:val="24"/>
          <w:highlight w:val="none"/>
        </w:rPr>
        <w:t>暂停与解除</w:t>
      </w:r>
      <w:bookmarkEnd w:id="73"/>
    </w:p>
    <w:p w14:paraId="2C47092A">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除双方协商一致可以解除本合同外，当一方无正当理由未履行本合同约定的义务时，另一方可以根据本合同约定暂停履行本合同直至解除本合同。</w:t>
      </w:r>
    </w:p>
    <w:p w14:paraId="30810FB8">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6.3.1 </w:t>
      </w:r>
      <w:r>
        <w:rPr>
          <w:rFonts w:hint="eastAsia" w:ascii="仿宋" w:hAnsi="仿宋" w:eastAsia="仿宋" w:cs="仿宋"/>
          <w:color w:val="auto"/>
          <w:sz w:val="24"/>
          <w:szCs w:val="24"/>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108139AA">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因解除本合同或解除监理人的部分义务导致监理人遭受的损失，除依法可以免除责任的情况外，应由委托人予以补偿，补偿金额由双方协商确定。</w:t>
      </w:r>
    </w:p>
    <w:p w14:paraId="73A6289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解除本合同的协议必须采取书面形式，协议未达成之前，本合同仍然有效。</w:t>
      </w:r>
    </w:p>
    <w:p w14:paraId="5504BC0F">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6.3.2 </w:t>
      </w:r>
      <w:r>
        <w:rPr>
          <w:rFonts w:hint="eastAsia" w:ascii="仿宋" w:hAnsi="仿宋" w:eastAsia="仿宋" w:cs="仿宋"/>
          <w:color w:val="auto"/>
          <w:sz w:val="24"/>
          <w:szCs w:val="24"/>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14C09F2E">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暂停部分监理与相关服务时间超过</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天，监理人可发出解除本合同约定的该部分义务的通知；暂停全部工作时间超过</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天，监理人可发出解除本合同的通知，本合同自通知到达委托人时解除。委托人应将监理与相关服务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酬金</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至本合同解除日，且应承担第</w:t>
      </w: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款约定的责任。</w:t>
      </w:r>
    </w:p>
    <w:p w14:paraId="568BC11C">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6.3.3 </w:t>
      </w:r>
      <w:r>
        <w:rPr>
          <w:rFonts w:hint="eastAsia" w:ascii="仿宋" w:hAnsi="仿宋" w:eastAsia="仿宋" w:cs="仿宋"/>
          <w:color w:val="auto"/>
          <w:sz w:val="24"/>
          <w:szCs w:val="24"/>
          <w:highlight w:val="none"/>
        </w:rPr>
        <w:t>当监理人无正当理由未履行本合同约定的义务时，委托人应通知监理人限期改正。若委托人在监理人接到通知后的</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天内未收到监理人书面形式的合理解释，则可在</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天内发出解除本合同的通知，自通知到达监理人时本合同解除。委托人应将监理与相关服务</w:t>
      </w:r>
      <w:r>
        <w:rPr>
          <w:rFonts w:hint="eastAsia" w:ascii="仿宋" w:hAnsi="仿宋" w:eastAsia="仿宋" w:cs="仿宋"/>
          <w:color w:val="auto"/>
          <w:kern w:val="0"/>
          <w:sz w:val="24"/>
          <w:szCs w:val="24"/>
          <w:highlight w:val="none"/>
        </w:rPr>
        <w:t>的</w:t>
      </w:r>
      <w:r>
        <w:rPr>
          <w:rFonts w:hint="eastAsia" w:ascii="仿宋" w:hAnsi="仿宋" w:eastAsia="仿宋" w:cs="仿宋"/>
          <w:color w:val="auto"/>
          <w:sz w:val="24"/>
          <w:szCs w:val="24"/>
          <w:highlight w:val="none"/>
        </w:rPr>
        <w:t>酬金</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至</w:t>
      </w:r>
      <w:r>
        <w:rPr>
          <w:rFonts w:hint="eastAsia" w:ascii="仿宋" w:hAnsi="仿宋" w:eastAsia="仿宋" w:cs="仿宋"/>
          <w:color w:val="auto"/>
          <w:kern w:val="0"/>
          <w:sz w:val="24"/>
          <w:szCs w:val="24"/>
          <w:highlight w:val="none"/>
        </w:rPr>
        <w:t>限期改正通知到达监理人之日</w:t>
      </w:r>
      <w:r>
        <w:rPr>
          <w:rFonts w:hint="eastAsia" w:ascii="仿宋" w:hAnsi="仿宋" w:eastAsia="仿宋" w:cs="仿宋"/>
          <w:color w:val="auto"/>
          <w:sz w:val="24"/>
          <w:szCs w:val="24"/>
          <w:highlight w:val="none"/>
        </w:rPr>
        <w:t>，同时监理人应承担第</w:t>
      </w: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款约定的责任。</w:t>
      </w:r>
    </w:p>
    <w:p w14:paraId="0BE3FD98">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6.3.4 </w:t>
      </w:r>
      <w:r>
        <w:rPr>
          <w:rFonts w:hint="eastAsia" w:ascii="仿宋" w:hAnsi="仿宋" w:eastAsia="仿宋" w:cs="仿宋"/>
          <w:color w:val="auto"/>
          <w:sz w:val="24"/>
          <w:szCs w:val="24"/>
          <w:highlight w:val="none"/>
        </w:rPr>
        <w:t>监理人在专用条款</w:t>
      </w: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中约定的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之日起</w:t>
      </w:r>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天后仍未收到委托人按本合同约定应付的款项，可向委托人发出催付通知。委托人接到通知</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天后仍未</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或未提出监理人可以接受的延期</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安排，监理人可向委托人发出暂停工作的通知并可自行暂停全部或部分工作。暂停工作后</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天内监理人仍未获得委托人应付酬金或委托人的合理答复，监理人可向委托人发出解除本合同的通知，自通知到达委托人时本合同解除。委托人应承担第</w:t>
      </w:r>
      <w:r>
        <w:rPr>
          <w:rFonts w:ascii="仿宋" w:hAnsi="仿宋" w:eastAsia="仿宋" w:cs="仿宋"/>
          <w:color w:val="auto"/>
          <w:sz w:val="24"/>
          <w:szCs w:val="24"/>
          <w:highlight w:val="none"/>
        </w:rPr>
        <w:t>4.2.3</w:t>
      </w:r>
      <w:r>
        <w:rPr>
          <w:rFonts w:hint="eastAsia" w:ascii="仿宋" w:hAnsi="仿宋" w:eastAsia="仿宋" w:cs="仿宋"/>
          <w:color w:val="auto"/>
          <w:sz w:val="24"/>
          <w:szCs w:val="24"/>
          <w:highlight w:val="none"/>
        </w:rPr>
        <w:t>款约定的责任。</w:t>
      </w:r>
    </w:p>
    <w:p w14:paraId="782C3376">
      <w:pPr>
        <w:snapToGrid w:val="0"/>
        <w:spacing w:line="640" w:lineRule="exact"/>
        <w:ind w:firstLine="480" w:firstLineChars="200"/>
        <w:rPr>
          <w:rFonts w:ascii="仿宋" w:hAnsi="仿宋" w:eastAsia="仿宋" w:cs="Times New Roman"/>
          <w:color w:val="auto"/>
          <w:kern w:val="0"/>
          <w:sz w:val="24"/>
          <w:szCs w:val="24"/>
          <w:highlight w:val="none"/>
        </w:rPr>
      </w:pPr>
      <w:r>
        <w:rPr>
          <w:rFonts w:ascii="仿宋" w:hAnsi="仿宋" w:eastAsia="仿宋" w:cs="仿宋"/>
          <w:color w:val="auto"/>
          <w:sz w:val="24"/>
          <w:szCs w:val="24"/>
          <w:highlight w:val="none"/>
        </w:rPr>
        <w:t xml:space="preserve">6.3.5 </w:t>
      </w:r>
      <w:r>
        <w:rPr>
          <w:rFonts w:hint="eastAsia" w:ascii="仿宋" w:hAnsi="仿宋" w:eastAsia="仿宋" w:cs="仿宋"/>
          <w:color w:val="auto"/>
          <w:sz w:val="24"/>
          <w:szCs w:val="24"/>
          <w:highlight w:val="none"/>
        </w:rPr>
        <w:t>因不可抗力致使本合同部分或全部不能履行时，一方应立即通知另一方，可暂停或解除本合同。</w:t>
      </w:r>
    </w:p>
    <w:p w14:paraId="287E2EEB">
      <w:pPr>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6.3.6 </w:t>
      </w:r>
      <w:r>
        <w:rPr>
          <w:rFonts w:hint="eastAsia" w:ascii="仿宋" w:hAnsi="仿宋" w:eastAsia="仿宋" w:cs="仿宋"/>
          <w:color w:val="auto"/>
          <w:sz w:val="24"/>
          <w:szCs w:val="24"/>
          <w:highlight w:val="none"/>
        </w:rPr>
        <w:t>本合同解除后，本合同约定的有关结算、清理、争议解决方式的条件仍然有效。</w:t>
      </w:r>
    </w:p>
    <w:p w14:paraId="013373A4">
      <w:pPr>
        <w:spacing w:line="640" w:lineRule="exact"/>
        <w:ind w:left="210" w:leftChars="100" w:firstLine="240" w:firstLineChars="100"/>
        <w:outlineLvl w:val="2"/>
        <w:rPr>
          <w:rFonts w:ascii="仿宋" w:hAnsi="仿宋" w:eastAsia="仿宋" w:cs="Times New Roman"/>
          <w:color w:val="auto"/>
          <w:sz w:val="24"/>
          <w:szCs w:val="24"/>
          <w:highlight w:val="none"/>
        </w:rPr>
      </w:pPr>
      <w:bookmarkStart w:id="74" w:name="_Toc4820"/>
      <w:r>
        <w:rPr>
          <w:rFonts w:ascii="仿宋" w:hAnsi="仿宋" w:eastAsia="仿宋" w:cs="仿宋"/>
          <w:color w:val="auto"/>
          <w:sz w:val="24"/>
          <w:szCs w:val="24"/>
          <w:highlight w:val="none"/>
        </w:rPr>
        <w:t xml:space="preserve">6.4 </w:t>
      </w:r>
      <w:r>
        <w:rPr>
          <w:rFonts w:hint="eastAsia" w:ascii="仿宋" w:hAnsi="仿宋" w:eastAsia="仿宋" w:cs="仿宋"/>
          <w:color w:val="auto"/>
          <w:sz w:val="24"/>
          <w:szCs w:val="24"/>
          <w:highlight w:val="none"/>
        </w:rPr>
        <w:t>终止</w:t>
      </w:r>
      <w:bookmarkEnd w:id="74"/>
    </w:p>
    <w:p w14:paraId="5BD3136C">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以下条件全部满足时，本合同即告终止：</w:t>
      </w:r>
    </w:p>
    <w:p w14:paraId="4B10BB15">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）监理人完成本合同约定的全部工作；</w:t>
      </w:r>
    </w:p>
    <w:p w14:paraId="23C441E8">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）委托人与监理人结清并</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全部酬金。</w:t>
      </w:r>
    </w:p>
    <w:p w14:paraId="7C5569B9">
      <w:pPr>
        <w:spacing w:line="640" w:lineRule="exact"/>
        <w:outlineLvl w:val="1"/>
        <w:rPr>
          <w:rFonts w:ascii="仿宋" w:hAnsi="仿宋" w:eastAsia="仿宋" w:cs="Times New Roman"/>
          <w:b/>
          <w:bCs/>
          <w:color w:val="auto"/>
          <w:sz w:val="24"/>
          <w:szCs w:val="24"/>
          <w:highlight w:val="none"/>
        </w:rPr>
      </w:pPr>
      <w:bookmarkStart w:id="75" w:name="_Toc2166"/>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争议解决</w:t>
      </w:r>
      <w:bookmarkEnd w:id="75"/>
    </w:p>
    <w:p w14:paraId="415B7D04">
      <w:pPr>
        <w:spacing w:line="640" w:lineRule="exact"/>
        <w:ind w:left="210" w:leftChars="100"/>
        <w:outlineLvl w:val="2"/>
        <w:rPr>
          <w:rFonts w:ascii="仿宋" w:hAnsi="仿宋" w:eastAsia="仿宋" w:cs="Times New Roman"/>
          <w:color w:val="auto"/>
          <w:sz w:val="24"/>
          <w:szCs w:val="24"/>
          <w:highlight w:val="none"/>
        </w:rPr>
      </w:pPr>
      <w:bookmarkStart w:id="76" w:name="_Toc24734"/>
      <w:r>
        <w:rPr>
          <w:rFonts w:ascii="仿宋" w:hAnsi="仿宋" w:eastAsia="仿宋" w:cs="仿宋"/>
          <w:color w:val="auto"/>
          <w:sz w:val="24"/>
          <w:szCs w:val="24"/>
          <w:highlight w:val="none"/>
        </w:rPr>
        <w:t>7.1</w:t>
      </w:r>
      <w:r>
        <w:rPr>
          <w:rFonts w:hint="eastAsia" w:ascii="仿宋" w:hAnsi="仿宋" w:eastAsia="仿宋" w:cs="仿宋"/>
          <w:color w:val="auto"/>
          <w:sz w:val="24"/>
          <w:szCs w:val="24"/>
          <w:highlight w:val="none"/>
        </w:rPr>
        <w:t>协商</w:t>
      </w:r>
      <w:bookmarkEnd w:id="76"/>
    </w:p>
    <w:p w14:paraId="352005C9">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双方应本着诚信原则协商解决彼此间的争议。</w:t>
      </w:r>
    </w:p>
    <w:p w14:paraId="0AD509A2">
      <w:pPr>
        <w:spacing w:line="640" w:lineRule="exact"/>
        <w:ind w:left="210" w:leftChars="100"/>
        <w:outlineLvl w:val="2"/>
        <w:rPr>
          <w:rFonts w:ascii="仿宋" w:hAnsi="仿宋" w:eastAsia="仿宋" w:cs="Times New Roman"/>
          <w:color w:val="auto"/>
          <w:sz w:val="24"/>
          <w:szCs w:val="24"/>
          <w:highlight w:val="none"/>
        </w:rPr>
      </w:pPr>
      <w:bookmarkStart w:id="77" w:name="_Toc24551"/>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调解</w:t>
      </w:r>
      <w:bookmarkEnd w:id="77"/>
    </w:p>
    <w:p w14:paraId="52492EF8">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如果双方不能在</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天内或双方商定的其他时间内解决本合同争议，可以将其提交给专用条款约定的或事后达成协议的调解人进行调解。</w:t>
      </w:r>
    </w:p>
    <w:p w14:paraId="31EE3D2D">
      <w:pPr>
        <w:spacing w:line="640" w:lineRule="exact"/>
        <w:ind w:left="210" w:leftChars="100"/>
        <w:outlineLvl w:val="2"/>
        <w:rPr>
          <w:rFonts w:ascii="仿宋" w:hAnsi="仿宋" w:eastAsia="仿宋" w:cs="Times New Roman"/>
          <w:color w:val="auto"/>
          <w:sz w:val="24"/>
          <w:szCs w:val="24"/>
          <w:highlight w:val="none"/>
        </w:rPr>
      </w:pPr>
      <w:bookmarkStart w:id="78" w:name="_Toc29182"/>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仲裁或诉讼</w:t>
      </w:r>
      <w:bookmarkEnd w:id="78"/>
    </w:p>
    <w:p w14:paraId="0933BC4F">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双方均有权不经调解直接向专用条款约定的仲裁机构申请仲裁或向有管辖权的人民法院提起诉讼。</w:t>
      </w:r>
    </w:p>
    <w:p w14:paraId="7CCE14D5">
      <w:pPr>
        <w:spacing w:line="640" w:lineRule="exact"/>
        <w:outlineLvl w:val="1"/>
        <w:rPr>
          <w:rFonts w:ascii="仿宋" w:hAnsi="仿宋" w:eastAsia="仿宋" w:cs="Times New Roman"/>
          <w:b/>
          <w:bCs/>
          <w:color w:val="auto"/>
          <w:sz w:val="24"/>
          <w:szCs w:val="24"/>
          <w:highlight w:val="none"/>
        </w:rPr>
      </w:pPr>
      <w:bookmarkStart w:id="79" w:name="_Toc22104"/>
      <w:r>
        <w:rPr>
          <w:rFonts w:ascii="仿宋" w:hAnsi="仿宋" w:eastAsia="仿宋" w:cs="仿宋"/>
          <w:b/>
          <w:bCs/>
          <w:color w:val="auto"/>
          <w:sz w:val="24"/>
          <w:szCs w:val="24"/>
          <w:highlight w:val="none"/>
        </w:rPr>
        <w:t xml:space="preserve">8. </w:t>
      </w:r>
      <w:r>
        <w:rPr>
          <w:rFonts w:hint="eastAsia" w:ascii="仿宋" w:hAnsi="仿宋" w:eastAsia="仿宋" w:cs="仿宋"/>
          <w:b/>
          <w:bCs/>
          <w:color w:val="auto"/>
          <w:sz w:val="24"/>
          <w:szCs w:val="24"/>
          <w:highlight w:val="none"/>
        </w:rPr>
        <w:t>其他</w:t>
      </w:r>
      <w:bookmarkEnd w:id="79"/>
    </w:p>
    <w:p w14:paraId="37598139">
      <w:pPr>
        <w:spacing w:line="640" w:lineRule="exact"/>
        <w:ind w:left="210" w:leftChars="100"/>
        <w:outlineLvl w:val="2"/>
        <w:rPr>
          <w:rFonts w:ascii="仿宋" w:hAnsi="仿宋" w:eastAsia="仿宋" w:cs="Times New Roman"/>
          <w:color w:val="auto"/>
          <w:sz w:val="24"/>
          <w:szCs w:val="24"/>
          <w:highlight w:val="none"/>
        </w:rPr>
      </w:pPr>
      <w:bookmarkStart w:id="80" w:name="_Toc14873"/>
      <w:r>
        <w:rPr>
          <w:rFonts w:ascii="仿宋" w:hAnsi="仿宋" w:eastAsia="仿宋" w:cs="仿宋"/>
          <w:color w:val="auto"/>
          <w:sz w:val="24"/>
          <w:szCs w:val="24"/>
          <w:highlight w:val="none"/>
        </w:rPr>
        <w:t xml:space="preserve">8.1 </w:t>
      </w:r>
      <w:r>
        <w:rPr>
          <w:rFonts w:hint="eastAsia" w:ascii="仿宋" w:hAnsi="仿宋" w:eastAsia="仿宋" w:cs="仿宋"/>
          <w:color w:val="auto"/>
          <w:sz w:val="24"/>
          <w:szCs w:val="24"/>
          <w:highlight w:val="none"/>
        </w:rPr>
        <w:t>外出考察费用</w:t>
      </w:r>
      <w:bookmarkEnd w:id="80"/>
    </w:p>
    <w:p w14:paraId="1310D28A">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经委托人同意，监理人员外出考察发生的费用由委托人审核后</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w:t>
      </w:r>
    </w:p>
    <w:p w14:paraId="09A2E94F">
      <w:pPr>
        <w:spacing w:line="640" w:lineRule="exact"/>
        <w:ind w:left="210" w:leftChars="100"/>
        <w:outlineLvl w:val="2"/>
        <w:rPr>
          <w:rFonts w:ascii="仿宋" w:hAnsi="仿宋" w:eastAsia="仿宋" w:cs="Times New Roman"/>
          <w:color w:val="auto"/>
          <w:sz w:val="24"/>
          <w:szCs w:val="24"/>
          <w:highlight w:val="none"/>
        </w:rPr>
      </w:pPr>
      <w:bookmarkStart w:id="81" w:name="_Toc31323"/>
      <w:r>
        <w:rPr>
          <w:rFonts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rPr>
        <w:t>检测费用</w:t>
      </w:r>
      <w:bookmarkEnd w:id="81"/>
    </w:p>
    <w:p w14:paraId="699FA650">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委托人要求监理人进行的材料和设备检测所发生的费用，由委托人</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时间在专用条款中约定。</w:t>
      </w:r>
    </w:p>
    <w:p w14:paraId="16259E8E">
      <w:pPr>
        <w:spacing w:line="640" w:lineRule="exact"/>
        <w:ind w:left="210" w:leftChars="100"/>
        <w:outlineLvl w:val="2"/>
        <w:rPr>
          <w:rFonts w:ascii="仿宋" w:hAnsi="仿宋" w:eastAsia="仿宋" w:cs="Times New Roman"/>
          <w:color w:val="auto"/>
          <w:sz w:val="24"/>
          <w:szCs w:val="24"/>
          <w:highlight w:val="none"/>
        </w:rPr>
      </w:pPr>
      <w:bookmarkStart w:id="82" w:name="_Toc23865"/>
      <w:r>
        <w:rPr>
          <w:rFonts w:ascii="仿宋" w:hAnsi="仿宋" w:eastAsia="仿宋" w:cs="仿宋"/>
          <w:color w:val="auto"/>
          <w:sz w:val="24"/>
          <w:szCs w:val="24"/>
          <w:highlight w:val="none"/>
        </w:rPr>
        <w:t xml:space="preserve">8.3 </w:t>
      </w:r>
      <w:r>
        <w:rPr>
          <w:rFonts w:hint="eastAsia" w:ascii="仿宋" w:hAnsi="仿宋" w:eastAsia="仿宋" w:cs="仿宋"/>
          <w:color w:val="auto"/>
          <w:sz w:val="24"/>
          <w:szCs w:val="24"/>
          <w:highlight w:val="none"/>
        </w:rPr>
        <w:t>咨询费用</w:t>
      </w:r>
      <w:bookmarkEnd w:id="82"/>
    </w:p>
    <w:p w14:paraId="157678B1">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经委托人同意，根据工程需要由监理人组织的相关咨询论证会以及聘请相关专家等发生的费用由委托人</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时间在专用条款中约定。</w:t>
      </w:r>
    </w:p>
    <w:p w14:paraId="3D116ECB">
      <w:pPr>
        <w:spacing w:line="640" w:lineRule="exact"/>
        <w:ind w:left="210" w:leftChars="100"/>
        <w:outlineLvl w:val="2"/>
        <w:rPr>
          <w:rFonts w:ascii="仿宋" w:hAnsi="仿宋" w:eastAsia="仿宋" w:cs="Times New Roman"/>
          <w:color w:val="auto"/>
          <w:sz w:val="24"/>
          <w:szCs w:val="24"/>
          <w:highlight w:val="none"/>
        </w:rPr>
      </w:pPr>
      <w:bookmarkStart w:id="83" w:name="_Toc22304"/>
      <w:r>
        <w:rPr>
          <w:rFonts w:ascii="仿宋" w:hAnsi="仿宋" w:eastAsia="仿宋" w:cs="仿宋"/>
          <w:color w:val="auto"/>
          <w:sz w:val="24"/>
          <w:szCs w:val="24"/>
          <w:highlight w:val="none"/>
        </w:rPr>
        <w:t xml:space="preserve">8.4 </w:t>
      </w:r>
      <w:r>
        <w:rPr>
          <w:rFonts w:hint="eastAsia" w:ascii="仿宋" w:hAnsi="仿宋" w:eastAsia="仿宋" w:cs="仿宋"/>
          <w:color w:val="auto"/>
          <w:sz w:val="24"/>
          <w:szCs w:val="24"/>
          <w:highlight w:val="none"/>
        </w:rPr>
        <w:t>奖励</w:t>
      </w:r>
      <w:bookmarkEnd w:id="83"/>
    </w:p>
    <w:p w14:paraId="6B19A8F0">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监理人在服务过程中提出的合理化建议，使委托人获得经济效益的，双方在专用条款中约定奖励金额的确定方法。奖励金额在合理化建议被采纳后，与最近一期的正常工作酬金同期</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w:t>
      </w:r>
    </w:p>
    <w:p w14:paraId="3ACD777F">
      <w:pPr>
        <w:spacing w:line="640" w:lineRule="exact"/>
        <w:ind w:left="210" w:leftChars="100"/>
        <w:outlineLvl w:val="2"/>
        <w:rPr>
          <w:rFonts w:ascii="仿宋" w:hAnsi="仿宋" w:eastAsia="仿宋" w:cs="Times New Roman"/>
          <w:color w:val="auto"/>
          <w:sz w:val="24"/>
          <w:szCs w:val="24"/>
          <w:highlight w:val="none"/>
        </w:rPr>
      </w:pPr>
      <w:bookmarkStart w:id="84" w:name="_Toc6549"/>
      <w:r>
        <w:rPr>
          <w:rFonts w:ascii="仿宋" w:hAnsi="仿宋" w:eastAsia="仿宋" w:cs="仿宋"/>
          <w:color w:val="auto"/>
          <w:sz w:val="24"/>
          <w:szCs w:val="24"/>
          <w:highlight w:val="none"/>
        </w:rPr>
        <w:t xml:space="preserve">8.5 </w:t>
      </w:r>
      <w:r>
        <w:rPr>
          <w:rFonts w:hint="eastAsia" w:ascii="仿宋" w:hAnsi="仿宋" w:eastAsia="仿宋" w:cs="仿宋"/>
          <w:color w:val="auto"/>
          <w:sz w:val="24"/>
          <w:szCs w:val="24"/>
          <w:highlight w:val="none"/>
        </w:rPr>
        <w:t>守法诚信</w:t>
      </w:r>
      <w:bookmarkEnd w:id="84"/>
    </w:p>
    <w:p w14:paraId="49B69D58">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监理人及其工作人员不得从与实施工程有关的第三方处获得任何经济利益。</w:t>
      </w:r>
    </w:p>
    <w:p w14:paraId="10B9A6C1">
      <w:pPr>
        <w:spacing w:line="640" w:lineRule="exact"/>
        <w:ind w:left="210" w:leftChars="100"/>
        <w:outlineLvl w:val="2"/>
        <w:rPr>
          <w:rFonts w:ascii="仿宋" w:hAnsi="仿宋" w:eastAsia="仿宋" w:cs="Times New Roman"/>
          <w:color w:val="auto"/>
          <w:sz w:val="24"/>
          <w:szCs w:val="24"/>
          <w:highlight w:val="none"/>
        </w:rPr>
      </w:pPr>
      <w:bookmarkStart w:id="85" w:name="_Toc15016"/>
      <w:r>
        <w:rPr>
          <w:rFonts w:ascii="仿宋" w:hAnsi="仿宋" w:eastAsia="仿宋" w:cs="仿宋"/>
          <w:color w:val="auto"/>
          <w:sz w:val="24"/>
          <w:szCs w:val="24"/>
          <w:highlight w:val="none"/>
        </w:rPr>
        <w:t xml:space="preserve">8.6 </w:t>
      </w:r>
      <w:r>
        <w:rPr>
          <w:rFonts w:hint="eastAsia" w:ascii="仿宋" w:hAnsi="仿宋" w:eastAsia="仿宋" w:cs="仿宋"/>
          <w:color w:val="auto"/>
          <w:sz w:val="24"/>
          <w:szCs w:val="24"/>
          <w:highlight w:val="none"/>
        </w:rPr>
        <w:t>保密</w:t>
      </w:r>
      <w:bookmarkEnd w:id="85"/>
    </w:p>
    <w:p w14:paraId="0E26669A">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双方不得泄露对方申明的保密资料，亦不得泄露与实施工程有关的第三方所提供的保密资料，保密事项在专用条款中约定。</w:t>
      </w:r>
    </w:p>
    <w:p w14:paraId="43149930">
      <w:pPr>
        <w:spacing w:line="640" w:lineRule="exact"/>
        <w:ind w:left="210" w:leftChars="100"/>
        <w:outlineLvl w:val="2"/>
        <w:rPr>
          <w:rFonts w:ascii="仿宋" w:hAnsi="仿宋" w:eastAsia="仿宋" w:cs="Times New Roman"/>
          <w:color w:val="auto"/>
          <w:sz w:val="24"/>
          <w:szCs w:val="24"/>
          <w:highlight w:val="none"/>
        </w:rPr>
      </w:pPr>
      <w:bookmarkStart w:id="86" w:name="_Toc29509"/>
      <w:r>
        <w:rPr>
          <w:rFonts w:ascii="仿宋" w:hAnsi="仿宋" w:eastAsia="仿宋" w:cs="仿宋"/>
          <w:color w:val="auto"/>
          <w:sz w:val="24"/>
          <w:szCs w:val="24"/>
          <w:highlight w:val="none"/>
        </w:rPr>
        <w:t xml:space="preserve">8.7 </w:t>
      </w:r>
      <w:r>
        <w:rPr>
          <w:rFonts w:hint="eastAsia" w:ascii="仿宋" w:hAnsi="仿宋" w:eastAsia="仿宋" w:cs="仿宋"/>
          <w:color w:val="auto"/>
          <w:sz w:val="24"/>
          <w:szCs w:val="24"/>
          <w:highlight w:val="none"/>
        </w:rPr>
        <w:t>通知</w:t>
      </w:r>
      <w:bookmarkEnd w:id="86"/>
    </w:p>
    <w:p w14:paraId="21BEF79E">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本合同涉及的通知均应当采用书面形式，并在送达对方时生效，收件人应书面签收。</w:t>
      </w:r>
    </w:p>
    <w:p w14:paraId="55C2A73A">
      <w:pPr>
        <w:spacing w:line="640" w:lineRule="exact"/>
        <w:ind w:left="210" w:leftChars="100"/>
        <w:outlineLvl w:val="2"/>
        <w:rPr>
          <w:rFonts w:ascii="仿宋" w:hAnsi="仿宋" w:eastAsia="仿宋" w:cs="Times New Roman"/>
          <w:color w:val="auto"/>
          <w:sz w:val="24"/>
          <w:szCs w:val="24"/>
          <w:highlight w:val="none"/>
        </w:rPr>
      </w:pPr>
      <w:bookmarkStart w:id="87" w:name="_Toc13919"/>
      <w:r>
        <w:rPr>
          <w:rFonts w:ascii="仿宋" w:hAnsi="仿宋" w:eastAsia="仿宋" w:cs="仿宋"/>
          <w:color w:val="auto"/>
          <w:sz w:val="24"/>
          <w:szCs w:val="24"/>
          <w:highlight w:val="none"/>
        </w:rPr>
        <w:t xml:space="preserve">8.8 </w:t>
      </w:r>
      <w:r>
        <w:rPr>
          <w:rFonts w:hint="eastAsia" w:ascii="仿宋" w:hAnsi="仿宋" w:eastAsia="仿宋" w:cs="仿宋"/>
          <w:color w:val="auto"/>
          <w:sz w:val="24"/>
          <w:szCs w:val="24"/>
          <w:highlight w:val="none"/>
        </w:rPr>
        <w:t>著作权</w:t>
      </w:r>
      <w:bookmarkEnd w:id="87"/>
    </w:p>
    <w:p w14:paraId="0EE64917">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合同涉及的著作权的归属由双方在专用条款另行约定。</w:t>
      </w:r>
    </w:p>
    <w:p w14:paraId="35AA1A12">
      <w:pPr>
        <w:spacing w:line="640" w:lineRule="exact"/>
        <w:ind w:left="210" w:leftChars="100"/>
        <w:outlineLvl w:val="2"/>
        <w:rPr>
          <w:rFonts w:ascii="仿宋" w:hAnsi="仿宋" w:eastAsia="仿宋" w:cs="Times New Roman"/>
          <w:color w:val="auto"/>
          <w:sz w:val="24"/>
          <w:szCs w:val="24"/>
          <w:highlight w:val="none"/>
        </w:rPr>
      </w:pPr>
      <w:bookmarkStart w:id="88" w:name="_Toc9458"/>
      <w:r>
        <w:rPr>
          <w:rFonts w:ascii="仿宋" w:hAnsi="仿宋" w:eastAsia="仿宋" w:cs="仿宋"/>
          <w:color w:val="auto"/>
          <w:sz w:val="24"/>
          <w:szCs w:val="24"/>
          <w:highlight w:val="none"/>
        </w:rPr>
        <w:t>8.9</w:t>
      </w:r>
      <w:r>
        <w:rPr>
          <w:rFonts w:hint="eastAsia" w:ascii="仿宋" w:hAnsi="仿宋" w:eastAsia="仿宋" w:cs="仿宋"/>
          <w:color w:val="auto"/>
          <w:sz w:val="24"/>
          <w:szCs w:val="24"/>
          <w:highlight w:val="none"/>
        </w:rPr>
        <w:t>工程获奖奖励</w:t>
      </w:r>
      <w:bookmarkEnd w:id="88"/>
    </w:p>
    <w:p w14:paraId="7FB39227">
      <w:pPr>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根据工程获得的不同级别的质量或管理奖项，按次数给予监理人一定的奖励。</w:t>
      </w:r>
    </w:p>
    <w:p w14:paraId="5991FC03">
      <w:pPr>
        <w:snapToGrid w:val="0"/>
        <w:spacing w:line="640" w:lineRule="exact"/>
        <w:rPr>
          <w:rFonts w:hint="eastAsia" w:ascii="仿宋" w:hAnsi="仿宋" w:eastAsia="仿宋" w:cs="仿宋"/>
          <w:color w:val="auto"/>
          <w:sz w:val="24"/>
          <w:szCs w:val="24"/>
          <w:highlight w:val="none"/>
        </w:rPr>
      </w:pPr>
    </w:p>
    <w:p w14:paraId="5F03C85D">
      <w:pPr>
        <w:snapToGrid w:val="0"/>
        <w:spacing w:line="640" w:lineRule="exact"/>
        <w:rPr>
          <w:rFonts w:hint="eastAsia" w:ascii="仿宋" w:hAnsi="仿宋" w:eastAsia="仿宋" w:cs="仿宋"/>
          <w:color w:val="auto"/>
          <w:sz w:val="24"/>
          <w:szCs w:val="24"/>
          <w:highlight w:val="none"/>
        </w:rPr>
      </w:pPr>
    </w:p>
    <w:p w14:paraId="5FD608EA">
      <w:pPr>
        <w:snapToGrid w:val="0"/>
        <w:spacing w:line="640" w:lineRule="exact"/>
        <w:rPr>
          <w:rFonts w:hint="eastAsia" w:ascii="仿宋" w:hAnsi="仿宋" w:eastAsia="仿宋" w:cs="仿宋"/>
          <w:color w:val="auto"/>
          <w:sz w:val="24"/>
          <w:szCs w:val="24"/>
          <w:highlight w:val="none"/>
        </w:rPr>
      </w:pPr>
    </w:p>
    <w:p w14:paraId="72378C03">
      <w:pPr>
        <w:snapToGrid w:val="0"/>
        <w:spacing w:line="640" w:lineRule="exact"/>
        <w:rPr>
          <w:rFonts w:hint="eastAsia" w:ascii="仿宋" w:hAnsi="仿宋" w:eastAsia="仿宋" w:cs="仿宋"/>
          <w:color w:val="auto"/>
          <w:sz w:val="24"/>
          <w:szCs w:val="24"/>
          <w:highlight w:val="none"/>
        </w:rPr>
      </w:pPr>
    </w:p>
    <w:p w14:paraId="6E738955">
      <w:pPr>
        <w:snapToGrid w:val="0"/>
        <w:spacing w:line="640" w:lineRule="exact"/>
        <w:rPr>
          <w:rFonts w:hint="eastAsia" w:ascii="仿宋" w:hAnsi="仿宋" w:eastAsia="仿宋" w:cs="仿宋"/>
          <w:color w:val="auto"/>
          <w:sz w:val="24"/>
          <w:szCs w:val="24"/>
          <w:highlight w:val="none"/>
        </w:rPr>
      </w:pPr>
    </w:p>
    <w:p w14:paraId="64CAFF76">
      <w:pPr>
        <w:snapToGrid w:val="0"/>
        <w:spacing w:line="640" w:lineRule="exact"/>
        <w:rPr>
          <w:rFonts w:hint="eastAsia" w:ascii="仿宋" w:hAnsi="仿宋" w:eastAsia="仿宋" w:cs="仿宋"/>
          <w:color w:val="auto"/>
          <w:sz w:val="24"/>
          <w:szCs w:val="24"/>
          <w:highlight w:val="none"/>
        </w:rPr>
      </w:pPr>
    </w:p>
    <w:p w14:paraId="3D7D5173">
      <w:pPr>
        <w:snapToGrid w:val="0"/>
        <w:spacing w:line="640" w:lineRule="exact"/>
        <w:rPr>
          <w:rFonts w:hint="eastAsia" w:ascii="仿宋" w:hAnsi="仿宋" w:eastAsia="仿宋" w:cs="仿宋"/>
          <w:color w:val="auto"/>
          <w:sz w:val="24"/>
          <w:szCs w:val="24"/>
          <w:highlight w:val="none"/>
        </w:rPr>
      </w:pPr>
    </w:p>
    <w:p w14:paraId="74D10C27">
      <w:pPr>
        <w:snapToGrid w:val="0"/>
        <w:spacing w:line="640" w:lineRule="exact"/>
        <w:rPr>
          <w:rFonts w:hint="eastAsia" w:ascii="仿宋" w:hAnsi="仿宋" w:eastAsia="仿宋" w:cs="仿宋"/>
          <w:color w:val="auto"/>
          <w:sz w:val="24"/>
          <w:szCs w:val="24"/>
          <w:highlight w:val="none"/>
        </w:rPr>
      </w:pPr>
    </w:p>
    <w:p w14:paraId="02C5753C">
      <w:pPr>
        <w:snapToGrid w:val="0"/>
        <w:spacing w:line="640" w:lineRule="exact"/>
        <w:rPr>
          <w:rFonts w:hint="eastAsia" w:ascii="仿宋" w:hAnsi="仿宋" w:eastAsia="仿宋" w:cs="仿宋"/>
          <w:color w:val="auto"/>
          <w:sz w:val="24"/>
          <w:szCs w:val="24"/>
          <w:highlight w:val="none"/>
        </w:rPr>
      </w:pPr>
    </w:p>
    <w:p w14:paraId="2EA24948">
      <w:pPr>
        <w:snapToGrid w:val="0"/>
        <w:spacing w:line="640" w:lineRule="exact"/>
        <w:rPr>
          <w:rFonts w:hint="eastAsia" w:ascii="仿宋" w:hAnsi="仿宋" w:eastAsia="仿宋" w:cs="仿宋"/>
          <w:color w:val="auto"/>
          <w:sz w:val="24"/>
          <w:szCs w:val="24"/>
          <w:highlight w:val="none"/>
        </w:rPr>
      </w:pPr>
    </w:p>
    <w:p w14:paraId="066B6D8F">
      <w:pPr>
        <w:snapToGrid w:val="0"/>
        <w:spacing w:line="640" w:lineRule="exact"/>
        <w:rPr>
          <w:rFonts w:hint="eastAsia" w:ascii="仿宋" w:hAnsi="仿宋" w:eastAsia="仿宋" w:cs="仿宋"/>
          <w:color w:val="auto"/>
          <w:sz w:val="24"/>
          <w:szCs w:val="24"/>
          <w:highlight w:val="none"/>
        </w:rPr>
      </w:pPr>
    </w:p>
    <w:p w14:paraId="2E11F074">
      <w:pPr>
        <w:snapToGrid w:val="0"/>
        <w:spacing w:line="640" w:lineRule="exact"/>
        <w:rPr>
          <w:rFonts w:hint="eastAsia" w:ascii="仿宋" w:hAnsi="仿宋" w:eastAsia="仿宋" w:cs="仿宋"/>
          <w:color w:val="auto"/>
          <w:sz w:val="24"/>
          <w:szCs w:val="24"/>
          <w:highlight w:val="none"/>
        </w:rPr>
      </w:pPr>
    </w:p>
    <w:p w14:paraId="7A417E31">
      <w:pPr>
        <w:snapToGrid w:val="0"/>
        <w:spacing w:line="640" w:lineRule="exact"/>
        <w:rPr>
          <w:rFonts w:hint="eastAsia" w:ascii="仿宋" w:hAnsi="仿宋" w:eastAsia="仿宋" w:cs="仿宋"/>
          <w:color w:val="auto"/>
          <w:sz w:val="24"/>
          <w:szCs w:val="24"/>
          <w:highlight w:val="none"/>
        </w:rPr>
      </w:pPr>
    </w:p>
    <w:p w14:paraId="321DD7F1">
      <w:pPr>
        <w:jc w:val="center"/>
        <w:outlineLvl w:val="0"/>
        <w:rPr>
          <w:rFonts w:hAnsi="宋体"/>
          <w:b/>
          <w:bCs/>
          <w:color w:val="auto"/>
          <w:sz w:val="36"/>
          <w:szCs w:val="36"/>
          <w:highlight w:val="none"/>
        </w:rPr>
      </w:pPr>
      <w:r>
        <w:rPr>
          <w:rFonts w:hint="eastAsia" w:hAnsi="宋体"/>
          <w:b/>
          <w:bCs/>
          <w:color w:val="auto"/>
          <w:sz w:val="36"/>
          <w:szCs w:val="36"/>
          <w:highlight w:val="none"/>
        </w:rPr>
        <w:br w:type="page"/>
      </w:r>
      <w:bookmarkStart w:id="89" w:name="_Toc30087"/>
      <w:r>
        <w:rPr>
          <w:rFonts w:hint="eastAsia" w:hAnsi="宋体"/>
          <w:b/>
          <w:bCs/>
          <w:color w:val="auto"/>
          <w:sz w:val="36"/>
          <w:szCs w:val="36"/>
          <w:highlight w:val="none"/>
        </w:rPr>
        <w:t>第三部分</w:t>
      </w:r>
      <w:r>
        <w:rPr>
          <w:rFonts w:hAnsi="宋体"/>
          <w:b/>
          <w:bCs/>
          <w:color w:val="auto"/>
          <w:sz w:val="36"/>
          <w:szCs w:val="36"/>
          <w:highlight w:val="none"/>
        </w:rPr>
        <w:t xml:space="preserve">  </w:t>
      </w:r>
      <w:r>
        <w:rPr>
          <w:rFonts w:hint="eastAsia" w:hAnsi="宋体"/>
          <w:b/>
          <w:bCs/>
          <w:color w:val="auto"/>
          <w:sz w:val="36"/>
          <w:szCs w:val="36"/>
          <w:highlight w:val="none"/>
        </w:rPr>
        <w:t>专用条款</w:t>
      </w:r>
      <w:bookmarkEnd w:id="89"/>
    </w:p>
    <w:p w14:paraId="72CAA60D">
      <w:pPr>
        <w:pStyle w:val="105"/>
        <w:spacing w:line="480" w:lineRule="exact"/>
        <w:ind w:firstLine="498"/>
        <w:jc w:val="center"/>
        <w:outlineLvl w:val="1"/>
        <w:rPr>
          <w:b/>
          <w:bCs/>
          <w:color w:val="auto"/>
          <w:highlight w:val="none"/>
        </w:rPr>
      </w:pPr>
      <w:bookmarkStart w:id="90" w:name="_Toc8969"/>
      <w:r>
        <w:rPr>
          <w:rFonts w:hint="eastAsia" w:hAnsi="宋体"/>
          <w:b/>
          <w:bCs/>
          <w:color w:val="auto"/>
          <w:highlight w:val="none"/>
        </w:rPr>
        <w:t>总</w:t>
      </w:r>
      <w:r>
        <w:rPr>
          <w:rFonts w:hint="eastAsia"/>
          <w:b/>
          <w:bCs/>
          <w:color w:val="auto"/>
          <w:highlight w:val="none"/>
        </w:rPr>
        <w:t xml:space="preserve">  </w:t>
      </w:r>
      <w:r>
        <w:rPr>
          <w:rFonts w:hint="eastAsia" w:hAnsi="宋体"/>
          <w:b/>
          <w:bCs/>
          <w:color w:val="auto"/>
          <w:highlight w:val="none"/>
        </w:rPr>
        <w:t>则</w:t>
      </w:r>
      <w:bookmarkEnd w:id="90"/>
    </w:p>
    <w:p w14:paraId="0821F8F6">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a．根据监理规范和建设项目管理实际，本项目将实行社会化、专业化、系统化的管理模式。委托人将授权监理人，依据有关法律、法规、政策及标准，充分行使其严格控制工程进度、质量、安全和投资的权力，充分行使工程合同、工程信息管理和协调处理现场有关工程问题的权力。</w:t>
      </w:r>
    </w:p>
    <w:p w14:paraId="3ED3AC4A">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b．委托人通过监理人下达指令，监督承包人履约行为，承包人所有请求事项由监理人协调并在一般情况下均通过监理人接受或提出处理意见（委托人有特别要求和规定的除外）。</w:t>
      </w:r>
    </w:p>
    <w:p w14:paraId="5225FB53">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c．考虑到本项目时间相对紧张，委托人将采取较为严密的组织管理形式，监理人需投入有别于其他项目的人力、物力进行集中现场管理服务。</w:t>
      </w:r>
    </w:p>
    <w:p w14:paraId="44D979C9">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d．全员培训是工程管理的重要组成部分，监理人承诺按照工程推进的情况，不间断地对监理人员进行培训。</w:t>
      </w:r>
    </w:p>
    <w:p w14:paraId="43AEB233">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e．为保证建设项目有序、规范和顺利进行，监理人必须主动支持委托人工作，对委托人的指令和书面通知，若无正当理由又未提前报告、得到认可，而公开或变相拒不执行，由监理人按本合同专用条款中第4条“违约责任”的有关约定承担违约责任并赔偿由此给委托人所造成的一切损失。</w:t>
      </w:r>
    </w:p>
    <w:p w14:paraId="155406D3">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f．监理人承诺遵守委托人所制订的针对本合同工程建设管理的各项制度、规定，这些管理制度、规定必须符合下列原则：</w:t>
      </w:r>
    </w:p>
    <w:p w14:paraId="27653EE2">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（1）符合国家、广东省、广州市的有关法律、法规、政策和标准；</w:t>
      </w:r>
    </w:p>
    <w:p w14:paraId="76032F4E">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（2）符合对本合同工程进行有效管理的基本精神和要求；</w:t>
      </w:r>
    </w:p>
    <w:p w14:paraId="69B264AA">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（3）为确保工程质量、进度、安全文明及职业健康管理所必须；</w:t>
      </w:r>
    </w:p>
    <w:p w14:paraId="484C7658">
      <w:pPr>
        <w:topLinePunct/>
        <w:adjustRightInd w:val="0"/>
        <w:snapToGrid w:val="0"/>
        <w:spacing w:line="360" w:lineRule="auto"/>
        <w:ind w:firstLine="496" w:firstLineChars="200"/>
        <w:rPr>
          <w:rFonts w:hint="eastAsia" w:ascii="仿宋" w:hAnsi="仿宋" w:eastAsia="仿宋" w:cs="仿宋"/>
          <w:color w:val="auto"/>
          <w:spacing w:val="4"/>
          <w:kern w:val="0"/>
          <w:sz w:val="24"/>
          <w:highlight w:val="none"/>
        </w:rPr>
      </w:pPr>
      <w:r>
        <w:rPr>
          <w:rFonts w:hint="eastAsia" w:ascii="仿宋" w:hAnsi="仿宋" w:eastAsia="仿宋" w:cs="仿宋"/>
          <w:color w:val="auto"/>
          <w:spacing w:val="4"/>
          <w:kern w:val="0"/>
          <w:sz w:val="24"/>
          <w:highlight w:val="none"/>
        </w:rPr>
        <w:t>（4）不是针对某一特定的监理人或承包人。</w:t>
      </w:r>
    </w:p>
    <w:p w14:paraId="634043B4">
      <w:pPr>
        <w:spacing w:line="360" w:lineRule="auto"/>
        <w:jc w:val="center"/>
        <w:rPr>
          <w:rFonts w:ascii="仿宋_GB2312" w:hAnsi="宋体" w:eastAsia="仿宋_GB2312" w:cs="Times New Roman"/>
          <w:b/>
          <w:bCs/>
          <w:color w:val="auto"/>
          <w:sz w:val="24"/>
          <w:szCs w:val="24"/>
          <w:highlight w:val="none"/>
        </w:rPr>
      </w:pPr>
    </w:p>
    <w:p w14:paraId="19A45240">
      <w:pPr>
        <w:spacing w:line="640" w:lineRule="exact"/>
        <w:outlineLvl w:val="1"/>
        <w:rPr>
          <w:rFonts w:ascii="仿宋" w:hAnsi="仿宋" w:eastAsia="仿宋" w:cs="Times New Roman"/>
          <w:b/>
          <w:bCs/>
          <w:color w:val="auto"/>
          <w:sz w:val="24"/>
          <w:szCs w:val="24"/>
          <w:highlight w:val="none"/>
        </w:rPr>
      </w:pPr>
      <w:bookmarkStart w:id="91" w:name="_Toc8237"/>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定义与解释</w:t>
      </w:r>
      <w:bookmarkEnd w:id="91"/>
    </w:p>
    <w:p w14:paraId="3A8A436D">
      <w:pPr>
        <w:spacing w:line="640" w:lineRule="exact"/>
        <w:ind w:left="210" w:leftChars="100"/>
        <w:outlineLvl w:val="2"/>
        <w:rPr>
          <w:rFonts w:ascii="仿宋" w:hAnsi="仿宋" w:eastAsia="仿宋" w:cs="Times New Roman"/>
          <w:color w:val="auto"/>
          <w:sz w:val="24"/>
          <w:szCs w:val="24"/>
          <w:highlight w:val="none"/>
        </w:rPr>
      </w:pPr>
      <w:bookmarkStart w:id="92" w:name="_Toc11638"/>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解释</w:t>
      </w:r>
      <w:bookmarkEnd w:id="92"/>
    </w:p>
    <w:p w14:paraId="5BCA616E">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rPr>
        <w:t>本合同文件除使用中文外，还可用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AE6C67F">
      <w:pPr>
        <w:adjustRightInd w:val="0"/>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rPr>
        <w:t>其他文件：</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7528CCD">
      <w:pPr>
        <w:spacing w:line="640" w:lineRule="exact"/>
        <w:outlineLvl w:val="1"/>
        <w:rPr>
          <w:rFonts w:ascii="仿宋" w:hAnsi="仿宋" w:eastAsia="仿宋" w:cs="Times New Roman"/>
          <w:b/>
          <w:bCs/>
          <w:color w:val="auto"/>
          <w:sz w:val="24"/>
          <w:szCs w:val="24"/>
          <w:highlight w:val="none"/>
        </w:rPr>
      </w:pPr>
      <w:bookmarkStart w:id="93" w:name="_Toc30321"/>
      <w:r>
        <w:rPr>
          <w:rFonts w:ascii="仿宋" w:hAnsi="仿宋" w:eastAsia="仿宋" w:cs="仿宋"/>
          <w:b/>
          <w:bCs/>
          <w:color w:val="auto"/>
          <w:sz w:val="24"/>
          <w:szCs w:val="24"/>
          <w:highlight w:val="none"/>
        </w:rPr>
        <w:t xml:space="preserve">2. </w:t>
      </w:r>
      <w:r>
        <w:rPr>
          <w:rFonts w:hint="eastAsia" w:ascii="仿宋" w:hAnsi="仿宋" w:eastAsia="仿宋" w:cs="仿宋"/>
          <w:b/>
          <w:bCs/>
          <w:color w:val="auto"/>
          <w:sz w:val="24"/>
          <w:szCs w:val="24"/>
          <w:highlight w:val="none"/>
        </w:rPr>
        <w:t>监理人义务</w:t>
      </w:r>
      <w:bookmarkEnd w:id="93"/>
    </w:p>
    <w:p w14:paraId="31E3D128">
      <w:pPr>
        <w:spacing w:line="640" w:lineRule="exact"/>
        <w:ind w:left="210" w:leftChars="100"/>
        <w:outlineLvl w:val="2"/>
        <w:rPr>
          <w:rFonts w:ascii="仿宋" w:hAnsi="仿宋" w:eastAsia="仿宋" w:cs="Times New Roman"/>
          <w:color w:val="auto"/>
          <w:sz w:val="24"/>
          <w:szCs w:val="24"/>
          <w:highlight w:val="none"/>
        </w:rPr>
      </w:pPr>
      <w:bookmarkStart w:id="94" w:name="_Toc3115"/>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监理的范围和内容</w:t>
      </w:r>
      <w:bookmarkEnd w:id="94"/>
    </w:p>
    <w:p w14:paraId="12E64787">
      <w:pPr>
        <w:pStyle w:val="105"/>
        <w:ind w:firstLine="496"/>
        <w:rPr>
          <w:rFonts w:hint="eastAsia" w:ascii="仿宋" w:hAnsi="仿宋" w:eastAsia="仿宋" w:cs="仿宋"/>
          <w:color w:val="auto"/>
          <w:highlight w:val="none"/>
          <w:u w:val="single"/>
        </w:rPr>
      </w:pPr>
      <w:r>
        <w:rPr>
          <w:rFonts w:ascii="仿宋" w:hAnsi="仿宋" w:eastAsia="仿宋" w:cs="仿宋"/>
          <w:color w:val="auto"/>
          <w:sz w:val="24"/>
          <w:szCs w:val="24"/>
          <w:highlight w:val="none"/>
        </w:rPr>
        <w:t xml:space="preserve">2.1.1 </w:t>
      </w:r>
      <w:r>
        <w:rPr>
          <w:rFonts w:hint="eastAsia" w:ascii="仿宋" w:hAnsi="仿宋" w:eastAsia="仿宋" w:cs="仿宋"/>
          <w:color w:val="auto"/>
          <w:sz w:val="24"/>
          <w:szCs w:val="24"/>
          <w:highlight w:val="none"/>
        </w:rPr>
        <w:t>监理范围包括：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本项目立项及可研批复的所有工程（总承包及专业分包）、服务内容的监理，包括超前钻工程、临时用水、临时用电、围墙、管线迁改等前期工程的施工监理，具体以实际实施的监理范围为准。</w:t>
      </w:r>
    </w:p>
    <w:p w14:paraId="336F541E">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监理内容包括但不限于以下内容：</w:t>
      </w:r>
      <w:r>
        <w:rPr>
          <w:rFonts w:hint="eastAsia" w:ascii="仿宋" w:hAnsi="仿宋" w:eastAsia="仿宋" w:cs="仿宋"/>
          <w:color w:val="auto"/>
          <w:highlight w:val="none"/>
          <w:u w:val="single"/>
        </w:rPr>
        <w:t>施工准备阶段、施工阶段、工程收尾阶段（包括但不限于竣工验收、整改、工程移交、工程结算等）及工程质量保修阶段的质量控制、职业健康安全及环境监督管理、投资控制、进度控制、合同管理、</w:t>
      </w:r>
      <w:r>
        <w:rPr>
          <w:rFonts w:hint="eastAsia" w:ascii="仿宋" w:hAnsi="仿宋" w:eastAsia="仿宋" w:cs="仿宋"/>
          <w:color w:val="auto"/>
          <w:highlight w:val="none"/>
          <w:u w:val="single"/>
          <w:lang w:val="en-US" w:eastAsia="zh-CN"/>
        </w:rPr>
        <w:t>变更管理、</w:t>
      </w:r>
      <w:r>
        <w:rPr>
          <w:rFonts w:hint="eastAsia" w:ascii="仿宋" w:hAnsi="仿宋" w:eastAsia="仿宋" w:cs="仿宋"/>
          <w:color w:val="auto"/>
          <w:highlight w:val="none"/>
          <w:u w:val="single"/>
        </w:rPr>
        <w:t>信息管理、组织协调、工程创优、设备监造以及协调建设单位和工程建设有关各方的工作关系等</w:t>
      </w:r>
      <w:r>
        <w:rPr>
          <w:rFonts w:hint="eastAsia" w:ascii="仿宋" w:hAnsi="仿宋" w:eastAsia="仿宋" w:cs="仿宋"/>
          <w:color w:val="auto"/>
          <w:highlight w:val="none"/>
        </w:rPr>
        <w:t>。此外，投标人还须按招标人的要求提前进场参与开工前期的准备和筹划工作，协助招标人制定工程管理办法</w:t>
      </w:r>
      <w:r>
        <w:rPr>
          <w:rFonts w:hint="eastAsia" w:ascii="仿宋" w:hAnsi="仿宋" w:eastAsia="仿宋" w:cs="仿宋"/>
          <w:b/>
          <w:color w:val="auto"/>
          <w:highlight w:val="none"/>
        </w:rPr>
        <w:t>、</w:t>
      </w:r>
      <w:r>
        <w:rPr>
          <w:rFonts w:hint="eastAsia" w:ascii="仿宋" w:hAnsi="仿宋" w:eastAsia="仿宋" w:cs="仿宋"/>
          <w:color w:val="auto"/>
          <w:highlight w:val="none"/>
        </w:rPr>
        <w:t>各参建方职责及有关事务性工作等。</w:t>
      </w:r>
    </w:p>
    <w:p w14:paraId="49020874">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（2）除上述工作范围外，监理人还须按委托人的要求提前进场参与开工前期的准备和筹划工作，协助委托人制定工程管理办法、各参建方职责及有关事务性工作等。</w:t>
      </w:r>
    </w:p>
    <w:p w14:paraId="4424ECCB">
      <w:pPr>
        <w:pStyle w:val="105"/>
        <w:ind w:firstLine="496"/>
        <w:rPr>
          <w:rFonts w:hint="eastAsia" w:ascii="仿宋" w:hAnsi="仿宋" w:eastAsia="仿宋" w:cs="仿宋"/>
          <w:color w:val="auto"/>
          <w:highlight w:val="none"/>
        </w:rPr>
      </w:pPr>
      <w:r>
        <w:rPr>
          <w:rFonts w:hint="eastAsia" w:ascii="仿宋" w:hAnsi="仿宋" w:eastAsia="仿宋" w:cs="仿宋"/>
          <w:color w:val="auto"/>
          <w:highlight w:val="none"/>
        </w:rPr>
        <w:t>（3）设备监造工作。</w:t>
      </w:r>
    </w:p>
    <w:p w14:paraId="4AC180C5">
      <w:pPr>
        <w:topLinePunct/>
        <w:adjustRightInd w:val="0"/>
        <w:snapToGrid w:val="0"/>
        <w:spacing w:line="360" w:lineRule="auto"/>
        <w:ind w:firstLine="480" w:firstLineChars="200"/>
        <w:rPr>
          <w:rFonts w:hint="eastAsia" w:ascii="仿宋" w:hAnsi="仿宋" w:eastAsia="仿宋" w:cs="仿宋"/>
          <w:color w:val="auto"/>
          <w:spacing w:val="4"/>
          <w:kern w:val="0"/>
          <w:sz w:val="24"/>
          <w:highlight w:val="none"/>
        </w:rPr>
      </w:pPr>
      <w:r>
        <w:rPr>
          <w:rFonts w:ascii="仿宋" w:hAnsi="仿宋" w:eastAsia="仿宋" w:cs="仿宋"/>
          <w:color w:val="auto"/>
          <w:sz w:val="24"/>
          <w:szCs w:val="24"/>
          <w:highlight w:val="none"/>
        </w:rPr>
        <w:t xml:space="preserve">2.1.2 </w:t>
      </w:r>
      <w:r>
        <w:rPr>
          <w:rFonts w:hint="eastAsia" w:ascii="仿宋" w:hAnsi="仿宋" w:eastAsia="仿宋" w:cs="仿宋"/>
          <w:color w:val="auto"/>
          <w:sz w:val="24"/>
          <w:szCs w:val="24"/>
          <w:highlight w:val="none"/>
        </w:rPr>
        <w:t>监理工作内容还包括：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pacing w:val="4"/>
          <w:kern w:val="0"/>
          <w:sz w:val="24"/>
          <w:highlight w:val="none"/>
          <w:u w:val="single"/>
        </w:rPr>
        <w:t>该项目立项（含可研）范围内所有工程（总承包及专业分包）、服务内容的监理，包括施工准备阶段、施工阶段、竣工结算阶段、保修阶段的质量、投资</w:t>
      </w:r>
      <w:r>
        <w:rPr>
          <w:rFonts w:hint="eastAsia" w:ascii="仿宋" w:hAnsi="仿宋" w:eastAsia="仿宋" w:cs="仿宋"/>
          <w:color w:val="auto"/>
          <w:spacing w:val="4"/>
          <w:kern w:val="0"/>
          <w:sz w:val="24"/>
          <w:highlight w:val="none"/>
          <w:u w:val="single"/>
          <w:lang w:eastAsia="zh-CN"/>
        </w:rPr>
        <w:t>造价</w:t>
      </w:r>
      <w:r>
        <w:rPr>
          <w:rFonts w:hint="eastAsia" w:ascii="仿宋" w:hAnsi="仿宋" w:eastAsia="仿宋" w:cs="仿宋"/>
          <w:color w:val="auto"/>
          <w:spacing w:val="4"/>
          <w:kern w:val="0"/>
          <w:sz w:val="24"/>
          <w:highlight w:val="none"/>
          <w:u w:val="single"/>
        </w:rPr>
        <w:t>、进度控制</w:t>
      </w:r>
      <w:r>
        <w:rPr>
          <w:rFonts w:hint="eastAsia" w:ascii="仿宋" w:hAnsi="仿宋" w:eastAsia="仿宋" w:cs="仿宋"/>
          <w:color w:val="auto"/>
          <w:spacing w:val="4"/>
          <w:kern w:val="0"/>
          <w:sz w:val="24"/>
          <w:highlight w:val="none"/>
        </w:rPr>
        <w:t>；监督、管理建设工程合同的履行，协调建设单位和工程建设有关各方的工作关系，以及配合项目移交等监理工作。</w:t>
      </w:r>
    </w:p>
    <w:p w14:paraId="4B366FA5">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（一） 建设工程监理一般规定</w:t>
      </w:r>
    </w:p>
    <w:p w14:paraId="7F1D7ED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（1）实行总监理工程师负责制。</w:t>
      </w:r>
    </w:p>
    <w:p w14:paraId="06437BE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（2）监理人应公正、独立、自主地开展监理工作，维护委托人和承包人的合法权益。</w:t>
      </w:r>
    </w:p>
    <w:p w14:paraId="521E8BF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（3）建设工程监理除应符合《建设工程监理规范》（GB/T 50319-2013）外，还应符合国家现行的有关强制性标准、规范的规定。</w:t>
      </w:r>
    </w:p>
    <w:p w14:paraId="14BBECD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（3）建设工程监理除应符合《建设工程监理规范》（GB/T 50319-2013）外，还应符合国家现行的有关强制性标准、规范的规定。</w:t>
      </w:r>
    </w:p>
    <w:p w14:paraId="7B3CF14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（3）完善监理规划与细则，并且针对项目实际建立可行的各项管理制度。</w:t>
      </w:r>
    </w:p>
    <w:p w14:paraId="1920B8B4">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（二） 施工准备阶段的监理工作</w:t>
      </w:r>
    </w:p>
    <w:p w14:paraId="683F6DC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施工准备阶段的监理工作包括但不限于以下内容：</w:t>
      </w:r>
    </w:p>
    <w:p w14:paraId="3D19C11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（1）在设计交底前，总监理工程师应组织监理人员熟悉设计文件，并对图纸中存在的问题通过委托人向设计单位提出书面意见和建议。</w:t>
      </w:r>
    </w:p>
    <w:p w14:paraId="0C6E4C4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（2）项目监理人员应参加由委托人组织的设计技术交底会，总监理工程师应组织人员编写设计技术交底会议纪要并提交给委托人。</w:t>
      </w:r>
    </w:p>
    <w:p w14:paraId="4BCAA73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（3）图纸会审由委托人组织，总监理工程师应组织人员做好图纸会审记录并提交给委托人。</w:t>
      </w:r>
    </w:p>
    <w:p w14:paraId="7BB8398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（4）工程项目开工前，总监理工程师应组织专业监理工程师审查承包人报送的施工组织设计（方案）报审表，提出审查意见，并经总监理工程师审核、签认后报委托人。</w:t>
      </w:r>
    </w:p>
    <w:p w14:paraId="0B5D619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14:paraId="3C93AAA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1）质量管理体系、环境管理体系和安全管理体系的组织及职责；</w:t>
      </w:r>
    </w:p>
    <w:p w14:paraId="6DF8C40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2）质量管理体系、环境管理体系和安全管理体系各过程的识别与管理；</w:t>
      </w:r>
    </w:p>
    <w:p w14:paraId="1405005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3）质量管理体系、环境管理体系和安全管理体系的持续改进措施。</w:t>
      </w:r>
    </w:p>
    <w:p w14:paraId="24AE259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（6）分包工程开工前，专业监理工程师应审查承包人报送的分包单位资格报审表和分包单位有关资质资料，符合有关规定后，由总监理工程师予以签认。对分包单位资格应审核以下内容：</w:t>
      </w:r>
    </w:p>
    <w:p w14:paraId="5A8BB3E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1）分包单位的营业执照、企业资质等级证书、特殊行业施工许可证、国外（境外）企业在国内承包工程许可证；</w:t>
      </w:r>
    </w:p>
    <w:p w14:paraId="5E25BB2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2）分包单位的业绩，尤其是类似工程施工的经验；</w:t>
      </w:r>
    </w:p>
    <w:p w14:paraId="1A2D3A0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3）拟分包工程的内容和范围；</w:t>
      </w:r>
    </w:p>
    <w:p w14:paraId="656C778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4）专职管理人员和特种作业人员的资格证、上岗证。</w:t>
      </w:r>
    </w:p>
    <w:p w14:paraId="654B24C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（7）专业监理工程师应按以下要求对承包人报送的测量放线控制方案成果及保护措施进行检查，符合要求时，专业监理工程师对承包人报送的施工测量资料予以签认：</w:t>
      </w:r>
    </w:p>
    <w:p w14:paraId="4BF2FD7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1）检查承包人专职测量人员的岗位证书及测量设备检定证书；</w:t>
      </w:r>
    </w:p>
    <w:p w14:paraId="04CDB94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2）审核承包人提交的控制测量方案；</w:t>
      </w:r>
    </w:p>
    <w:p w14:paraId="63FF36F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3）复核控制桩的校核成果、控制桩的保护措施以及平面控制网、高程控制网和临时水准点的测量成果。</w:t>
      </w:r>
    </w:p>
    <w:p w14:paraId="6BB50E2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（8）专业监理工程师应审查承包人报送的工程开工报审表及相关资料，具备以下开工条件时，由总监理工程师签发，并报委托人：</w:t>
      </w:r>
    </w:p>
    <w:p w14:paraId="3D1A937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1）施工许可证已获政府主管部门批准；</w:t>
      </w:r>
    </w:p>
    <w:p w14:paraId="2AFA906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2）征地拆迁工作能满足工程进度的需要；</w:t>
      </w:r>
    </w:p>
    <w:p w14:paraId="5BBA659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3）施工组织设计已获总监理工程师批准；</w:t>
      </w:r>
    </w:p>
    <w:p w14:paraId="12EE77C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4）承包人现场管理人员已到位，机具、施工人员已进场，主要工程材料已落实；</w:t>
      </w:r>
    </w:p>
    <w:p w14:paraId="72F6043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5）进场道路及水、电、通讯等已满足开工要求；</w:t>
      </w:r>
    </w:p>
    <w:p w14:paraId="396A453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6）施工测量、技术交底、作业指导书等各项技术准备工作已经完成。</w:t>
      </w:r>
    </w:p>
    <w:p w14:paraId="72E4C21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（9）工程项目开工前，监理人员应参加由委托人主持召开的第一次工地会议。工地会议应包括以下主要内容：</w:t>
      </w:r>
    </w:p>
    <w:p w14:paraId="4350D30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1）委托人、承包人和监理人分别介绍各自派驻现场的组织机构、人员及其分工；</w:t>
      </w:r>
    </w:p>
    <w:p w14:paraId="4095F53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2）委托人根据委托监理合同宣布对总监理工程师的授权；</w:t>
      </w:r>
    </w:p>
    <w:p w14:paraId="4C50535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3）委托人介绍工程开工准备情况；</w:t>
      </w:r>
    </w:p>
    <w:p w14:paraId="795817D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4）承包人介绍施工准备情况；</w:t>
      </w:r>
    </w:p>
    <w:p w14:paraId="264FC5E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5）委托人和总监理工程师对施工准备情况提出意见和要求；</w:t>
      </w:r>
    </w:p>
    <w:p w14:paraId="7DA29CA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6）总监理工程师介绍监理规划的主要内容；</w:t>
      </w:r>
    </w:p>
    <w:p w14:paraId="67E3408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7）研究确定各方在施工过程中参加工地例会的主要人员，召开工地例会周期、地点及主要议题。</w:t>
      </w:r>
    </w:p>
    <w:p w14:paraId="5A64F64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第一次工地会议纪要应由项目监理机构负责起草，并经与会各方代表会签。</w:t>
      </w:r>
    </w:p>
    <w:p w14:paraId="33EECBE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（10）制定监理规划</w:t>
      </w:r>
    </w:p>
    <w:p w14:paraId="41FDDD8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1）监理规划的编制应针对项目的实际情况，明确项目监理机构的工作目标，确定具体的监理工作制度、程序、方法和措施，并应具有可操作性。</w:t>
      </w:r>
    </w:p>
    <w:p w14:paraId="3EACB0B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2）监理规划编制的程序与依据应符合下列规定：</w:t>
      </w:r>
    </w:p>
    <w:p w14:paraId="097DDC38">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监理规划应在签订委托监理合同及收到设计文件后开始编制，完成后必须经监理人技术负责人审核批准，并应在召开第一次工地会议前报送委托人；</w:t>
      </w:r>
    </w:p>
    <w:p w14:paraId="78FBF52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监理规划应由总监理工程师主持、专业监理工程师参加编制；</w:t>
      </w:r>
    </w:p>
    <w:p w14:paraId="0F3D342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编制监理规划应依据为以下各项：</w:t>
      </w:r>
    </w:p>
    <w:p w14:paraId="0BF40F55">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建设工程的相关法律、法规及项目审批文件；</w:t>
      </w:r>
    </w:p>
    <w:p w14:paraId="14DCFCFA">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与建设工程项目有关的标准、设计文件、技术资料；</w:t>
      </w:r>
    </w:p>
    <w:p w14:paraId="69116F9D">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监理大纲、委托监理合同文件以及与建设工程项目相关的合同文件；</w:t>
      </w:r>
    </w:p>
    <w:p w14:paraId="5B616FE5">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委托人制定的有关本合同工程建设的管理制度。</w:t>
      </w:r>
    </w:p>
    <w:p w14:paraId="58B26FE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3）监理规划应包括以下主要内容：</w:t>
      </w:r>
    </w:p>
    <w:p w14:paraId="7B63BC4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工程项目概况；</w:t>
      </w:r>
    </w:p>
    <w:p w14:paraId="68FD996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监理工作范围；</w:t>
      </w:r>
    </w:p>
    <w:p w14:paraId="41CC405A">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监理工作内容；</w:t>
      </w:r>
    </w:p>
    <w:p w14:paraId="12D5FE05">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监理工作目标；</w:t>
      </w:r>
    </w:p>
    <w:p w14:paraId="6866C113">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监理工作依据；</w:t>
      </w:r>
    </w:p>
    <w:p w14:paraId="0788AF27">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highlight w:val="none"/>
        </w:rPr>
        <w:t xml:space="preserve"> 项目监理机构的组织形式；</w:t>
      </w:r>
    </w:p>
    <w:p w14:paraId="3608FB20">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⑦</w:t>
      </w:r>
      <w:r>
        <w:rPr>
          <w:rFonts w:hint="eastAsia" w:ascii="仿宋" w:hAnsi="仿宋" w:eastAsia="仿宋" w:cs="仿宋"/>
          <w:color w:val="auto"/>
          <w:highlight w:val="none"/>
        </w:rPr>
        <w:t xml:space="preserve"> 项目监理机构的人员配备计划；</w:t>
      </w:r>
    </w:p>
    <w:p w14:paraId="7CFCD33B">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⑧</w:t>
      </w:r>
      <w:r>
        <w:rPr>
          <w:rFonts w:hint="eastAsia" w:ascii="仿宋" w:hAnsi="仿宋" w:eastAsia="仿宋" w:cs="仿宋"/>
          <w:color w:val="auto"/>
          <w:highlight w:val="none"/>
        </w:rPr>
        <w:t xml:space="preserve"> 项目监理机构的人员岗位职责；</w:t>
      </w:r>
    </w:p>
    <w:p w14:paraId="5ABEF3F0">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⑨</w:t>
      </w:r>
      <w:r>
        <w:rPr>
          <w:rFonts w:hint="eastAsia" w:ascii="仿宋" w:hAnsi="仿宋" w:eastAsia="仿宋" w:cs="仿宋"/>
          <w:color w:val="auto"/>
          <w:highlight w:val="none"/>
        </w:rPr>
        <w:t xml:space="preserve"> 监理工作程序；</w:t>
      </w:r>
    </w:p>
    <w:p w14:paraId="325E54B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⑩</w:t>
      </w:r>
      <w:r>
        <w:rPr>
          <w:rFonts w:hint="eastAsia" w:ascii="仿宋" w:hAnsi="仿宋" w:eastAsia="仿宋" w:cs="仿宋"/>
          <w:color w:val="auto"/>
          <w:highlight w:val="none"/>
        </w:rPr>
        <w:t xml:space="preserve"> 监理工作方法及措施；</w:t>
      </w:r>
    </w:p>
    <w:p w14:paraId="6C30F076">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,11)</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监理工作制度；</w:t>
      </w:r>
    </w:p>
    <w:p w14:paraId="20CE07E9">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,12)</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监理设施。</w:t>
      </w:r>
    </w:p>
    <w:p w14:paraId="1F5A0BB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4）在监理工作实施过程中，如实际情况或条件发生重大变化而需要调整监理规划时，应由总监理工程师组织专业监理工程师研究修改，按原报审程序经过批准后报委托人。</w:t>
      </w:r>
    </w:p>
    <w:p w14:paraId="630B119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（11）制定监理实施细则</w:t>
      </w:r>
    </w:p>
    <w:p w14:paraId="136BFB83">
      <w:pPr>
        <w:pStyle w:val="105"/>
        <w:spacing w:line="480" w:lineRule="exact"/>
        <w:ind w:firstLine="496"/>
        <w:rPr>
          <w:rFonts w:hint="eastAsia" w:ascii="仿宋" w:hAnsi="仿宋" w:eastAsia="仿宋" w:cs="仿宋"/>
          <w:b/>
          <w:bCs/>
          <w:color w:val="auto"/>
          <w:highlight w:val="none"/>
        </w:rPr>
      </w:pPr>
      <w:r>
        <w:rPr>
          <w:rFonts w:hint="eastAsia" w:ascii="仿宋" w:hAnsi="仿宋" w:eastAsia="仿宋" w:cs="仿宋"/>
          <w:color w:val="auto"/>
          <w:highlight w:val="none"/>
        </w:rPr>
        <w:t>1）项目监理机构应编制监理实施细则。监理实施细则应符合监理规划的要求，并应结合工程项目的专业特点，</w:t>
      </w:r>
      <w:r>
        <w:rPr>
          <w:rFonts w:hint="eastAsia" w:ascii="仿宋" w:hAnsi="仿宋" w:eastAsia="仿宋" w:cs="仿宋"/>
          <w:b/>
          <w:bCs/>
          <w:color w:val="auto"/>
          <w:highlight w:val="none"/>
        </w:rPr>
        <w:t>做到详细具体、具有可操作性。</w:t>
      </w:r>
    </w:p>
    <w:p w14:paraId="451D872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2）监理实施细则的编制程序与依据应符合下列规定：</w:t>
      </w:r>
    </w:p>
    <w:p w14:paraId="2812B7A3">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监理实施细则应在相应工程施工开始前编制完成，并必须经总监理工程师批准；</w:t>
      </w:r>
    </w:p>
    <w:p w14:paraId="181DC456">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监理实施细则应由专业监理工程师编制；</w:t>
      </w:r>
    </w:p>
    <w:p w14:paraId="1B18F26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编制监理实施细则的依据为以下各项：</w:t>
      </w:r>
    </w:p>
    <w:p w14:paraId="540B784F">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已批准的监理规划；</w:t>
      </w:r>
    </w:p>
    <w:p w14:paraId="6CFB64F8">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与专业工程相关的标准、设计文件和技术资料；</w:t>
      </w:r>
    </w:p>
    <w:p w14:paraId="68743359">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施工组织设计；</w:t>
      </w:r>
    </w:p>
    <w:p w14:paraId="7FF4954A">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本合同工程的设计、施工、安装招投标文件及合同；</w:t>
      </w:r>
    </w:p>
    <w:p w14:paraId="185E10F3">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e. 委托人制定的有关本合同工程建设的管理制度。</w:t>
      </w:r>
    </w:p>
    <w:p w14:paraId="27600F3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3）监理实施细则应包括下列主要内容：</w:t>
      </w:r>
    </w:p>
    <w:p w14:paraId="302A4E6B">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专业工程的特点；</w:t>
      </w:r>
    </w:p>
    <w:p w14:paraId="336F9156">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监理工作的流程；</w:t>
      </w:r>
    </w:p>
    <w:p w14:paraId="0F12871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监理工作的控制要点及目标值；</w:t>
      </w:r>
    </w:p>
    <w:p w14:paraId="6C78F45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监理工作的方法及措施。</w:t>
      </w:r>
    </w:p>
    <w:p w14:paraId="4F5952F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4）在监理工作实施过程中，监理实施细则应根据实际情况进行补充、修改和完善。</w:t>
      </w:r>
    </w:p>
    <w:p w14:paraId="0C7E623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（12）</w:t>
      </w:r>
      <w:r>
        <w:rPr>
          <w:rFonts w:hint="eastAsia" w:ascii="仿宋" w:hAnsi="仿宋" w:eastAsia="仿宋" w:cs="仿宋"/>
          <w:color w:val="auto"/>
          <w:highlight w:val="none"/>
        </w:rPr>
        <w:t>对合同管理实施控制工作程序化、规范化，建立定期和不定期的协商会办制度，根据合同文件的约定及委托人要求的图纸批准程序、工程变更程序、承包人索赔程序、承包人的账单审查程序、进度付款账单的审查批准程序、工程问题的请示报告程序等制定相关表格。</w:t>
      </w:r>
    </w:p>
    <w:p w14:paraId="7463159E">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（三）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工程质量控制工作</w:t>
      </w:r>
    </w:p>
    <w:p w14:paraId="7A8DB40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（1）在施工过程中，当承包人对已批准的施工组织设计进行调整、补充或变动时，应经专业监理工程师审查，并应由总监理工程师签认。</w:t>
      </w:r>
    </w:p>
    <w:p w14:paraId="0F6D09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（2）专业监理工程师应要求承包人报送重点部位、关键工序的施工方案或作业指导和确保工程质量的措施，审核同意后予以签认。</w:t>
      </w:r>
    </w:p>
    <w:p w14:paraId="110DE77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（3）当承包人采用新材料、新工艺、新技术、新设备时，专业监理工程师应要求承包人报送相应的施工工艺措施和证明材料，组织专题论证，经审定后予以签认。</w:t>
      </w:r>
    </w:p>
    <w:p w14:paraId="03AE3F2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（4）项目监理机构应对承包人在施工过程中报送的施工测量放线成果进行复验和确认。</w:t>
      </w:r>
    </w:p>
    <w:p w14:paraId="74384B3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监理人应对材料、设备的进场验收负主要责任。专业监理工程师应对承包人报送的拟进场工程材料、构配件和设备的工程材料/构配件/设备报审表及其质量证明资料进行审核，并对进场的实物按照委托监理合同约定或有关工程质量管理文件规定的比例采用平行检验或见证取样方式进行抽检。</w:t>
      </w:r>
    </w:p>
    <w:p w14:paraId="72372BA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对未经监理人员验收或验收不合格的工程材料、构配件、设备，监理人员应拒绝签认，并应签发监理工程师通知单，书面通知承包人限期将不合格的工程材料、构配件、设备撤出现场。</w:t>
      </w:r>
    </w:p>
    <w:p w14:paraId="2298FA4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（6）项目监理机构应定期检查承包人的直接影响工程质量的计量设备的技术状况。</w:t>
      </w:r>
    </w:p>
    <w:p w14:paraId="2B04B21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总监理工程师应安排监理人员对建筑材料设备的进场检验的全过程进行见证，对施工过程进行巡视和检查（包括重点检查、抽查及专项检查）。对基础工程中土方回填，混凝土灌注桩浇筑，地下连续墙、土钉墙、后浇带及其他结构混凝土、防水混凝土浇筑，卷材防水层细部构造处理，钢结构安装和主体结构工程中梁柱节点钢筋隐蔽过程，混凝土浇筑，预应力张拉，装配式结构安装，钢结构安装，网架结构安装，索膜安装及委托人要求的其它旁站工作等，专业监理工程师应安排监理员进行旁站，主要职责是：</w:t>
      </w:r>
    </w:p>
    <w:p w14:paraId="4071AF0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1）检查施工企业现场质检人员到岗、特殊工种人员持证上岗以及施工机械、建筑材料准备情况；</w:t>
      </w:r>
    </w:p>
    <w:p w14:paraId="49344C5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2）在现场跟班监督关键部位、关键工序的施工执行施工方案以及工程建设强制性标准情况；</w:t>
      </w:r>
    </w:p>
    <w:p w14:paraId="4564BFE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3）核查进场建筑材料、建筑构配件、设备和商品混凝土的质量检验报告等，并可在现场监督施工企业进行检验或者委托具有资格的第三方进行复验；</w:t>
      </w:r>
    </w:p>
    <w:p w14:paraId="417B1CC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4）做好旁站监理记录和监理日记，保存旁站监理原始资料。</w:t>
      </w:r>
    </w:p>
    <w:p w14:paraId="0D6CE43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14:paraId="40F473D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旁站监理人员实施旁站监理时，发现施工企业有违反工程建设强制性标准行为的，有权责令施工企业立即整改；发现其施工活动已经或者可能危及工程质量的，应当及时向监理工程师或者总监理工程师报告，由总监理工程师下达局部暂停施工指令或者采取其他应急措施。</w:t>
      </w:r>
    </w:p>
    <w:p w14:paraId="28C08E9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14:paraId="6ABD3ED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（8）专业监理工程师应根据承包人报送的隐蔽工程报验申请表和自检结果进行现场检查，符合要求后予以签认。</w:t>
      </w:r>
    </w:p>
    <w:p w14:paraId="0C0D261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对未经监理人员验收或验收不合格的工序，监理人员应拒绝签认，并要求承包人严禁进行下一道工序的施工。</w:t>
      </w:r>
    </w:p>
    <w:p w14:paraId="2A92B09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14:paraId="2594DFE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（10）质量网络视频监控管理内容</w:t>
      </w:r>
    </w:p>
    <w:p w14:paraId="3433ECF9">
      <w:pPr>
        <w:pStyle w:val="105"/>
        <w:spacing w:line="480" w:lineRule="exact"/>
        <w:ind w:firstLine="496"/>
        <w:rPr>
          <w:rFonts w:hint="eastAsia" w:ascii="仿宋" w:hAnsi="仿宋" w:eastAsia="仿宋" w:cs="仿宋"/>
          <w:dstrike/>
          <w:color w:val="auto"/>
          <w:highlight w:val="none"/>
        </w:rPr>
      </w:pPr>
      <w:r>
        <w:rPr>
          <w:rFonts w:hint="eastAsia" w:ascii="仿宋" w:hAnsi="仿宋" w:eastAsia="仿宋" w:cs="仿宋"/>
          <w:color w:val="auto"/>
          <w:highlight w:val="none"/>
        </w:rPr>
        <w:t>1）监理单位组织监督施工单位必须遵照《关于广州市建筑工地安装视频监控装置的通知》（穗建筑[2006]551号）、《关于全面启动广州市社会治安视频监控系统建设有关问题的通知》（穗视频建字〔2006〕1号）、《广州市住房和城乡建设委员会关于全市建设工地纳入视频监管的通知》（穗建质【2017】116号）文件的要求，满足隐蔽工程、关键工序、重点部位的质量监控、隐蔽工程可视化验收的需要。</w:t>
      </w:r>
    </w:p>
    <w:p w14:paraId="6E16FE0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2）监理单位对视频监控系统反馈信息的分析、上报、决策、实施，严格按照质量控制流程及相关规定进行处理。</w:t>
      </w:r>
    </w:p>
    <w:p w14:paraId="4EF7DA3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3）监理单位建立专门的视频监控系统资料收集、查阅、检索、档案系统，并设置专人专职负责。</w:t>
      </w:r>
    </w:p>
    <w:p w14:paraId="5F8AC41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（11）监理单位按照基建程序从工程建设前期法定建设程序资料、施工过程质量控制技术资料、工程验收及备案资料按照与工程同步的原则进行及时收集，保证保管一套完整的工程技术资料。</w:t>
      </w:r>
    </w:p>
    <w:p w14:paraId="1ACA07B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（12）施工阶段的工程质量控制中的其他监理工作</w:t>
      </w:r>
    </w:p>
    <w:p w14:paraId="53AE64D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1）对施工过程中出现的质量缺陷，专业监理工程师应及时下达监理工程师通知，要求承包人整改，并检查整改结果。</w:t>
      </w:r>
    </w:p>
    <w:p w14:paraId="3945500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14:paraId="554D737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3）对需要返工处理或加固补强的质量事故，总监理工程师应责令承包人报送质量事故调查报告和经设计单位等相关单位认可的处理方案，项目监理机构应对质量事故的处理过程和处理结果进行跟踪检查和验收。</w:t>
      </w:r>
    </w:p>
    <w:p w14:paraId="16840A5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4）总监理工程师应及时向委托人及本监理单位提交有关质量事故的书面报告，并应将完整的质量事故处理记录整理归档。</w:t>
      </w:r>
    </w:p>
    <w:p w14:paraId="293E479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5）对承包人的试验室进行考核</w:t>
      </w:r>
    </w:p>
    <w:p w14:paraId="317E788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对承包人的试验室，专业监理工程师应从以下五个方面进行考核：</w:t>
      </w:r>
    </w:p>
    <w:p w14:paraId="46CBC89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试验室的资质等级及其试验范围；</w:t>
      </w:r>
    </w:p>
    <w:p w14:paraId="65A59FF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法定计量部门对试验设备出具的计量检定证明；</w:t>
      </w:r>
    </w:p>
    <w:p w14:paraId="6EAD99FC">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试验室的管理制度；</w:t>
      </w:r>
    </w:p>
    <w:p w14:paraId="6091C10D">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试验人员的资格证书；</w:t>
      </w:r>
    </w:p>
    <w:p w14:paraId="1F40C7F7">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本工程的试验项目及其要求。</w:t>
      </w:r>
    </w:p>
    <w:p w14:paraId="0CF19D8C">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（四）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工程造价控制工作</w:t>
      </w:r>
    </w:p>
    <w:p w14:paraId="28CFE41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监理人负责的投资控制工作为项目施工阶段全过程造价控制，包括但不限于：主材单价、综合单价、签证费用、工程预算审核、结算审核、工程量（含钢筋抽料）审核、费用索赔等。</w:t>
      </w:r>
    </w:p>
    <w:p w14:paraId="10F3257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（1）项目监理机构应按下列程序进行工程计量和工程款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工作：</w:t>
      </w:r>
    </w:p>
    <w:p w14:paraId="613C6E9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1）监理人应每日统计承包人实际完成的工程量，并记录于监理日志中；</w:t>
      </w:r>
    </w:p>
    <w:p w14:paraId="3DB0BA3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2）专业监理工程师进行现场计量，复核当期验收合格的工程量，按施工合同的约定审核承包人提交的工程量清单和工程款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申请表，并报总监理工程师审定；</w:t>
      </w:r>
    </w:p>
    <w:p w14:paraId="56302B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3）总监理工程师对工程量清单和工程款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申请表进行复核，并报委托人；</w:t>
      </w:r>
    </w:p>
    <w:p w14:paraId="7C722F4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4）提交月度分包工程</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建议书给委托人。</w:t>
      </w:r>
    </w:p>
    <w:p w14:paraId="356C1A8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（2）项目监理机构应依据施工合同有关条款、施工图，对工程项目造价目标进行风险分析，并应制定防范性对策。</w:t>
      </w:r>
    </w:p>
    <w:p w14:paraId="446ECC9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（3）项目监理机构应按施工合同约定的工程量计算规则和</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条款进行工程量计量和工程款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w:t>
      </w:r>
    </w:p>
    <w:p w14:paraId="3AAB946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（4）专业监理工程师应及时建立月完成工程量和工作量统计表，对实际完成量与计划完成量进行比较、分析，制定调整措施，并应在监理月报中向委托人报告。</w:t>
      </w:r>
    </w:p>
    <w:p w14:paraId="4A4F948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（5）未经监理人员质量验收合格的工程量，或不符合施工合同规定的工程量，监理人员应拒绝计量和该部分的工程款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申请。</w:t>
      </w:r>
    </w:p>
    <w:p w14:paraId="594A810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（6）工程变更的管理</w:t>
      </w:r>
    </w:p>
    <w:p w14:paraId="10DC9BF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总监理工程师应从造价、项目的功能要求、质量和工期等方面审查工程变更的方案，并在工程变更实施前与委托人、承包人协商确定工程变更的价款。</w:t>
      </w:r>
    </w:p>
    <w:p w14:paraId="64BA1BF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1）项目监理机构应按下列程序处理工程变更：</w:t>
      </w:r>
    </w:p>
    <w:p w14:paraId="6C1E76D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14:paraId="7F014B9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项目监理机构应了解实际情况和收集与工程变更有关的资料。</w:t>
      </w:r>
    </w:p>
    <w:p w14:paraId="305035C7">
      <w:pPr>
        <w:spacing w:line="480" w:lineRule="exact"/>
        <w:ind w:firstLine="560" w:firstLineChars="200"/>
        <w:rPr>
          <w:rFonts w:hint="eastAsia" w:ascii="仿宋" w:hAnsi="仿宋" w:eastAsia="仿宋" w:cs="仿宋"/>
          <w:color w:val="auto"/>
          <w:sz w:val="24"/>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4"/>
          <w:highlight w:val="none"/>
        </w:rPr>
        <w:t xml:space="preserve"> 总监理工程师必须根据实际情况、设计变更文件和其他有关资料，按照施工合同的有关条款，在指定专业监理工程师完成下列各项工作后，对工程变更的费用和工期作出评估：</w:t>
      </w:r>
    </w:p>
    <w:p w14:paraId="4FDEE8EE">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审核工程变更项目与原工程项目之间的类似程度和难易程度；</w:t>
      </w:r>
    </w:p>
    <w:p w14:paraId="28C28F8E">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审核工程变更项目的工程量；</w:t>
      </w:r>
    </w:p>
    <w:p w14:paraId="5B73495C">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审核工程变更的单价和总价；</w:t>
      </w:r>
    </w:p>
    <w:p w14:paraId="3263AC40">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审核工程变更所引起的工期变化。</w:t>
      </w:r>
    </w:p>
    <w:p w14:paraId="531EB34A">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总监理工程师应就工程变更费用及工期的评估情况与承包人和委托人进行协调。</w:t>
      </w:r>
    </w:p>
    <w:p w14:paraId="7207D677">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总监理工程师签发工程变更单。工程变更单应包括工程变更要求、工程变更说明、工程变更费用和工期、必要的附件等内容，有设计变更文件的工程变更应附设计变更文件。</w:t>
      </w:r>
    </w:p>
    <w:p w14:paraId="6EE90714">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highlight w:val="none"/>
        </w:rPr>
        <w:t xml:space="preserve"> 项目监理机构应根据工程变更单监督承包人实施。</w:t>
      </w:r>
    </w:p>
    <w:p w14:paraId="0AA145D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2）项目监理机构处理工程变更应符合下列要求：</w:t>
      </w:r>
    </w:p>
    <w:p w14:paraId="18F2104C">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项目监理机构在工程变更的质量、费用和工期方面取得委托人授权后，应按施工合同规定与承包人进行协商，经协商达成一致后，总监理工程师应将协商结果向委托人通报，并由委托人与承包人在变更文件上签字；</w:t>
      </w:r>
    </w:p>
    <w:p w14:paraId="3D17E405">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在项目监理机构未能就工程变更的质量、费用和工期方面取得委托人授权时，总监理工程师应协助委托人和承包人进行协商，并达成一致；</w:t>
      </w:r>
    </w:p>
    <w:p w14:paraId="5E25ABE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3）在总监理工程师签发工程变更单之前，承包人不得实施工程变更。</w:t>
      </w:r>
    </w:p>
    <w:p w14:paraId="3127D19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4）未经总监理工程师审查同意而实施的工程变更，项目监理机构不得予以计量。</w:t>
      </w:r>
    </w:p>
    <w:p w14:paraId="591AF44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 监理人必须按月度提交项目造价变更统计表给委托人。</w:t>
      </w:r>
    </w:p>
    <w:p w14:paraId="4380D3C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（7）工程签证的管理</w:t>
      </w:r>
    </w:p>
    <w:p w14:paraId="1BEB13B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按委托人工程签证管理的相关规定对工程的现场签证进行管理，因监理人把关不严，致使该部分工程签证所发生的费用超过合理费用的（以政府结算终审部门审定价对照为准），由监理人按本合同专用条款中第4条“违约责任”的有关约定承担违约责任。</w:t>
      </w:r>
    </w:p>
    <w:p w14:paraId="3239EC2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（8）分段结算工作的管理</w:t>
      </w:r>
    </w:p>
    <w:p w14:paraId="1E1C141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为确保本合同工程结算的顺利进行，甲方可能对本合同工程按分部分项或单位工程进行分段结算（单位工程、分部工程或分项工程），乙方在接到甲方关于分段结算配合工作的指令后7天内向甲方提交相关的分段结算配合服务工作计划，乙方应根据经过甲方批准的分段结算配合服务工作计划积极配合相关的分段结算工作。</w:t>
      </w:r>
    </w:p>
    <w:p w14:paraId="11E7145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应在承包人提交所完成的分部工程的结算文件（包括相关的结算资料）后15天内完成分段结算的审核工作并将向委托人提交审核报告。如承包人未能在施工合同规定的期限内提交相关结算文件，监理人应立即报告委托人裁处。</w:t>
      </w:r>
    </w:p>
    <w:p w14:paraId="626A03D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14:paraId="4265EB9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4）分段结算涉及到的资料（但不限于以下）：</w:t>
      </w:r>
    </w:p>
    <w:p w14:paraId="2960E1C6">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结算书；</w:t>
      </w:r>
    </w:p>
    <w:p w14:paraId="1577905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工程量计算书（即计算底稿）；</w:t>
      </w:r>
    </w:p>
    <w:p w14:paraId="19ABAB6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钢筋抽料表（建筑、市政、园林景观等工程适用）；</w:t>
      </w:r>
    </w:p>
    <w:p w14:paraId="6EB7F3EB">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图纸会审记录；</w:t>
      </w:r>
    </w:p>
    <w:p w14:paraId="2876AF4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设计变更单；</w:t>
      </w:r>
    </w:p>
    <w:p w14:paraId="21C237B4">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highlight w:val="none"/>
        </w:rPr>
        <w:t xml:space="preserve"> 工程洽商记录；</w:t>
      </w:r>
    </w:p>
    <w:p w14:paraId="7A92DB83">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⑦</w:t>
      </w:r>
      <w:r>
        <w:rPr>
          <w:rFonts w:hint="eastAsia" w:ascii="仿宋" w:hAnsi="仿宋" w:eastAsia="仿宋" w:cs="仿宋"/>
          <w:color w:val="auto"/>
          <w:highlight w:val="none"/>
        </w:rPr>
        <w:t xml:space="preserve"> 总监理工程师通知或委托人施工指令；</w:t>
      </w:r>
    </w:p>
    <w:p w14:paraId="00F1E557">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⑧</w:t>
      </w:r>
      <w:r>
        <w:rPr>
          <w:rFonts w:hint="eastAsia" w:ascii="仿宋" w:hAnsi="仿宋" w:eastAsia="仿宋" w:cs="仿宋"/>
          <w:color w:val="auto"/>
          <w:highlight w:val="none"/>
        </w:rPr>
        <w:t xml:space="preserve"> 会议纪要；</w:t>
      </w:r>
    </w:p>
    <w:p w14:paraId="2A00135C">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⑨</w:t>
      </w:r>
      <w:r>
        <w:rPr>
          <w:rFonts w:hint="eastAsia" w:ascii="仿宋" w:hAnsi="仿宋" w:eastAsia="仿宋" w:cs="仿宋"/>
          <w:color w:val="auto"/>
          <w:highlight w:val="none"/>
        </w:rPr>
        <w:t xml:space="preserve"> 工程签证；</w:t>
      </w:r>
    </w:p>
    <w:p w14:paraId="444CE88C">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⑩</w:t>
      </w:r>
      <w:r>
        <w:rPr>
          <w:rFonts w:hint="eastAsia" w:ascii="仿宋" w:hAnsi="仿宋" w:eastAsia="仿宋" w:cs="仿宋"/>
          <w:color w:val="auto"/>
          <w:highlight w:val="none"/>
        </w:rPr>
        <w:t xml:space="preserve"> 材料设备单价呈批审核单；</w:t>
      </w:r>
    </w:p>
    <w:p w14:paraId="2B50540A">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11</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综合单价呈批审核单；</w:t>
      </w:r>
    </w:p>
    <w:p w14:paraId="3CE7D020">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12</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委托人供应材料收货验收签收单；</w:t>
      </w:r>
    </w:p>
    <w:p w14:paraId="3388245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13</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验收记录或验收报告；</w:t>
      </w:r>
    </w:p>
    <w:p w14:paraId="6E1BAB20">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14</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其他分段结算资料；</w:t>
      </w:r>
    </w:p>
    <w:p w14:paraId="686A8E61">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15</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移交资料签收表。</w:t>
      </w:r>
    </w:p>
    <w:p w14:paraId="33289738">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（五）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工程进度控制工作</w:t>
      </w:r>
    </w:p>
    <w:p w14:paraId="250644B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（1）项目监理机构应按下列程序进行工程进度控制：</w:t>
      </w:r>
    </w:p>
    <w:p w14:paraId="1E3FC82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1）总监理工程师审批承包人报送的施工总进度计划；</w:t>
      </w:r>
    </w:p>
    <w:p w14:paraId="6D35DF0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2）总监理工程师审批承包人编制的年、季、月度施工进度计划；</w:t>
      </w:r>
    </w:p>
    <w:p w14:paraId="39639FF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3）专业监理工程师对进度计划实施情况检查、分析；</w:t>
      </w:r>
    </w:p>
    <w:p w14:paraId="6A96232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4）当实际进度符合计划进度时，应要求承包人编制下一期进度计划；当实际进度滞后于计划进度时，专业监理工程师应书面通知承包人采取纠偏措施并监督实施。</w:t>
      </w:r>
    </w:p>
    <w:p w14:paraId="25F4E2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（2）专业监理工程师应依据施工合同有关条款、施工图及经过批准的施工组织设计制定进度控制方案，对进度目标进行风险分析，制定防范性对策，经总监理工程师审定后报送委托人。</w:t>
      </w:r>
    </w:p>
    <w:p w14:paraId="1EF884A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（3）专业监理工程师应检查进度计划的实施，并记录实际进度及其相关情况。</w:t>
      </w:r>
    </w:p>
    <w:p w14:paraId="601CAB8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（4）施工阶段的工程进度控制中的其他监理工作</w:t>
      </w:r>
    </w:p>
    <w:p w14:paraId="3049EA2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当发现实际进度滞后于计划进度时，应签发监理工程师通知单指令承包人采取调整措施。当实际进度严重滞后于计划进度时应及时报总监理工程师，由总监理工程师与委托人商定采取进一步措施。</w:t>
      </w:r>
    </w:p>
    <w:p w14:paraId="437A7AC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总监理工程师应在监理月报中向委托人报告工程进度和所采取进度控制措施的执行情况，并提出合理预防由于委托人原因导致的工程延期及其相关费用索赔的建议。</w:t>
      </w:r>
    </w:p>
    <w:p w14:paraId="273628E0">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（六）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工程职业健康安全控制工作</w:t>
      </w:r>
    </w:p>
    <w:p w14:paraId="0EC8998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（1）工程职业健康安全控制应遵循下列程序：</w:t>
      </w:r>
    </w:p>
    <w:p w14:paraId="7E2CA1B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1）确定施工职业健康安全目标；</w:t>
      </w:r>
    </w:p>
    <w:p w14:paraId="7C17ACE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2）编制工程职业健康安全保证计划；</w:t>
      </w:r>
    </w:p>
    <w:p w14:paraId="4A7F0AE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3）实施工程职业健康安全计划；</w:t>
      </w:r>
    </w:p>
    <w:p w14:paraId="24674FD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4）工程职业健康安全保证计划验证；</w:t>
      </w:r>
    </w:p>
    <w:p w14:paraId="004A465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5）持续改进。</w:t>
      </w:r>
    </w:p>
    <w:p w14:paraId="2600D2B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（2）编制安全监理实施细则，对施工中人的不安全行为、物的不安全状态、作业环境的不安全因素和管理缺陷进行相应的安全控制。</w:t>
      </w:r>
    </w:p>
    <w:p w14:paraId="1BA6CF1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（3）检查项目施工安全目标的要求配置的资源是否满足需要。</w:t>
      </w:r>
    </w:p>
    <w:p w14:paraId="2D27A88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（4）要求承包人对结构复杂、施工难度大、专业性强的项目和达到一定规模的危险性较大的分部分项工程编制专项施工方案，必要时，组织专家进行论证、审查：</w:t>
      </w:r>
    </w:p>
    <w:p w14:paraId="1A0B15F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1）基坑支护及降水工程；</w:t>
      </w:r>
    </w:p>
    <w:p w14:paraId="58266E9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2）土方开挖工程；</w:t>
      </w:r>
    </w:p>
    <w:p w14:paraId="5D45D96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3）模板工程；</w:t>
      </w:r>
    </w:p>
    <w:p w14:paraId="1BF8A77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4）起重吊装工程；</w:t>
      </w:r>
    </w:p>
    <w:p w14:paraId="51F15F6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5）脚手架工程；</w:t>
      </w:r>
    </w:p>
    <w:p w14:paraId="2FAE2CD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6）拆除、爆破工程；</w:t>
      </w:r>
    </w:p>
    <w:p w14:paraId="2C7357F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7）其他危险性较大的工程。</w:t>
      </w:r>
    </w:p>
    <w:p w14:paraId="1D0776A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（5）定期组织安全控制计划的执行情况并进行检查考核和评价，对施工中存在的不安全行为和隐患，分析原因并制定相应整改防范措施。</w:t>
      </w:r>
    </w:p>
    <w:p w14:paraId="282B006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（6）采取随机抽样、现场观察、实地检测相结合的方法进行安全检查，并记录检测结果。对现场管理人员的违章指挥和操作人员的违章作业行为应进行纠正。</w:t>
      </w:r>
    </w:p>
    <w:p w14:paraId="593BD3C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（7）对检查结果进行分析，找出安全隐患部位，确定危险程度。</w:t>
      </w:r>
    </w:p>
    <w:p w14:paraId="089D21A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（8）对检查出的隐患立即发出安全隐患整改通知单。受检单位应对安全隐患原因进行分析，制定和落实纠正和预防措施。</w:t>
      </w:r>
    </w:p>
    <w:p w14:paraId="6967059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（9）对纠正预防措施的实施过程和实施效果应进行跟踪检查，保存验证记录。</w:t>
      </w:r>
    </w:p>
    <w:p w14:paraId="4A6EE70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（10）安全网络视频监控管理内容</w:t>
      </w:r>
    </w:p>
    <w:p w14:paraId="1EE93E9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理单位监督施工单位必须遵照《关于广州市建筑工地安装视频监控装置的通知》（穗建筑[2006]551号）和《关于全面启动广州市社会治安视频监控系统建设有关问题的通知》（穗视频建字〔2006〕1号）文件的要求，满足安全文明监控的需要。</w:t>
      </w:r>
    </w:p>
    <w:p w14:paraId="3634DFB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2）监理单位对视频监控系统反馈信息的分析、上报、决策、实施，严格按照安全控制流程及相关规定进行处理。</w:t>
      </w:r>
    </w:p>
    <w:p w14:paraId="7B1596A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3）监理单位建立专门的视频监控系统资料收集、查阅、检索、档案系统，并设置专人专职负责。</w:t>
      </w:r>
    </w:p>
    <w:p w14:paraId="0EEB079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（11）职业健康安全质量事故的处理</w:t>
      </w:r>
    </w:p>
    <w:p w14:paraId="247A79E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对于发生的安全质量事故，监理人及时的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14:paraId="6122B790">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（七）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工程材料设备控制工作</w:t>
      </w:r>
    </w:p>
    <w:p w14:paraId="323B9287">
      <w:pPr>
        <w:pStyle w:val="105"/>
        <w:spacing w:line="480" w:lineRule="exact"/>
        <w:ind w:firstLine="496"/>
        <w:rPr>
          <w:rFonts w:hint="eastAsia" w:ascii="仿宋" w:hAnsi="仿宋" w:eastAsia="仿宋" w:cs="仿宋"/>
          <w:color w:val="auto"/>
          <w:highlight w:val="none"/>
        </w:rPr>
      </w:pPr>
      <w:bookmarkStart w:id="95" w:name="_Toc122856772"/>
      <w:bookmarkStart w:id="96" w:name="_Toc123449962"/>
      <w:bookmarkStart w:id="97" w:name="_Toc122371761"/>
      <w:r>
        <w:rPr>
          <w:rFonts w:hint="eastAsia" w:ascii="仿宋" w:hAnsi="仿宋" w:eastAsia="仿宋" w:cs="仿宋"/>
          <w:color w:val="auto"/>
          <w:highlight w:val="none"/>
        </w:rPr>
        <w:t>（1）甲供材料设备</w:t>
      </w:r>
      <w:bookmarkEnd w:id="95"/>
      <w:bookmarkEnd w:id="96"/>
      <w:bookmarkEnd w:id="97"/>
      <w:r>
        <w:rPr>
          <w:rFonts w:hint="eastAsia" w:ascii="仿宋" w:hAnsi="仿宋" w:eastAsia="仿宋" w:cs="仿宋"/>
          <w:color w:val="auto"/>
          <w:highlight w:val="none"/>
        </w:rPr>
        <w:t>的管理，包括：</w:t>
      </w:r>
    </w:p>
    <w:p w14:paraId="1C9523C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1）审核施工单位编制的机电设备安装、调试、验收计划；</w:t>
      </w:r>
    </w:p>
    <w:p w14:paraId="2CF799B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2）主持施工图交底审查会；</w:t>
      </w:r>
    </w:p>
    <w:p w14:paraId="6A6A7CF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3）检查施工单位为设备提供运输所需通道和卸货作业场地及设备仓库或符合要求的材料堆放场地的落实情况；</w:t>
      </w:r>
    </w:p>
    <w:p w14:paraId="76294EA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4）参加设备的到货验收、开箱检验，并签署相关文件；</w:t>
      </w:r>
    </w:p>
    <w:p w14:paraId="461AEFD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5）负责机电设备安装、调试、验收过程中的质量、安全、进度控制。</w:t>
      </w:r>
    </w:p>
    <w:p w14:paraId="31D5E4E3">
      <w:pPr>
        <w:pStyle w:val="105"/>
        <w:spacing w:line="480" w:lineRule="exact"/>
        <w:ind w:firstLine="496"/>
        <w:rPr>
          <w:rFonts w:hint="eastAsia" w:ascii="仿宋" w:hAnsi="仿宋" w:eastAsia="仿宋" w:cs="仿宋"/>
          <w:color w:val="auto"/>
          <w:highlight w:val="none"/>
        </w:rPr>
      </w:pPr>
      <w:bookmarkStart w:id="98" w:name="_Toc123449963"/>
      <w:bookmarkStart w:id="99" w:name="_Toc122371762"/>
      <w:bookmarkStart w:id="100" w:name="_Toc122856773"/>
      <w:r>
        <w:rPr>
          <w:rFonts w:hint="eastAsia" w:ascii="仿宋" w:hAnsi="仿宋" w:eastAsia="仿宋" w:cs="仿宋"/>
          <w:color w:val="auto"/>
          <w:highlight w:val="none"/>
        </w:rPr>
        <w:t>（2）甲招乙供材料设备的管理，包括：</w:t>
      </w:r>
    </w:p>
    <w:p w14:paraId="3EE5C75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1）协助委托人针对甲招乙供材料设备开展的公开招标活动；</w:t>
      </w:r>
    </w:p>
    <w:p w14:paraId="771D7CD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2）督促并审核施工单位签订材料设备供货合同及合同款的</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情况；</w:t>
      </w:r>
    </w:p>
    <w:p w14:paraId="2545D84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3）审核并批准施工单位编制的材料设备生产和到货进度计划；</w:t>
      </w:r>
    </w:p>
    <w:p w14:paraId="173F908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4）审核施工单位编制的机电设备安装、调试、验收计划；</w:t>
      </w:r>
    </w:p>
    <w:p w14:paraId="43FE181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5）检查施工单位为设备提供运输所需通道和卸货作业场地及设备仓库或符合要求的材料堆放场地的落实情况；</w:t>
      </w:r>
    </w:p>
    <w:p w14:paraId="6EAC807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6）参加设备的到货验收、开箱检验，并签署相关文件；</w:t>
      </w:r>
    </w:p>
    <w:p w14:paraId="11F81CA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7）负责机电设备安装、调试、验收过程中的投资、质量、进度控制；</w:t>
      </w:r>
    </w:p>
    <w:p w14:paraId="6E5CFA8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8）审核施工单位提供的材料设备的结算资料。</w:t>
      </w:r>
    </w:p>
    <w:p w14:paraId="100CAE2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（3）甲管乙供材料设备</w:t>
      </w:r>
      <w:bookmarkEnd w:id="98"/>
      <w:bookmarkEnd w:id="99"/>
      <w:bookmarkEnd w:id="100"/>
      <w:r>
        <w:rPr>
          <w:rFonts w:hint="eastAsia" w:ascii="仿宋" w:hAnsi="仿宋" w:eastAsia="仿宋" w:cs="仿宋"/>
          <w:color w:val="auto"/>
          <w:highlight w:val="none"/>
        </w:rPr>
        <w:t>的管理，包括：</w:t>
      </w:r>
    </w:p>
    <w:p w14:paraId="2A29D32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1）协助委托人针对甲管乙供材料设备的公开择优竞价活动；</w:t>
      </w:r>
    </w:p>
    <w:p w14:paraId="7902B46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2）督促并审核施工单位签订材料设备供货合同及合同款的</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情况；</w:t>
      </w:r>
    </w:p>
    <w:p w14:paraId="788F12D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3）审核施工单位提供的材料设备数量；</w:t>
      </w:r>
    </w:p>
    <w:p w14:paraId="366D06F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4）审核并批准施工单位编制的材料设备生产和到货进度计划；</w:t>
      </w:r>
    </w:p>
    <w:p w14:paraId="364B142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5）监督检查施工单位对材料设备生产的质量控制；</w:t>
      </w:r>
    </w:p>
    <w:p w14:paraId="5416B84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6）参加出厂验收；</w:t>
      </w:r>
    </w:p>
    <w:p w14:paraId="041394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7）审核施工单位编制的材料设备安装、调试、验收计划；</w:t>
      </w:r>
    </w:p>
    <w:p w14:paraId="35E7EFD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8）主持施工图交底审查会；</w:t>
      </w:r>
    </w:p>
    <w:p w14:paraId="1F12ADE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9）检查施工单位为材料设备提供运输所需通道和卸货作业场地及材料设备仓库或符合要求的材料堆放场地的落实情况；</w:t>
      </w:r>
    </w:p>
    <w:p w14:paraId="15F99F3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10）参加材料设备的到货验收、开箱检验，并签署相关文件；</w:t>
      </w:r>
    </w:p>
    <w:p w14:paraId="06CA342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11）负责材料设备安装、调试、验收过程中的投资、质量、进度控制；</w:t>
      </w:r>
    </w:p>
    <w:p w14:paraId="345A7A2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12）审核施工单位提供的材料设备的结算资料；</w:t>
      </w:r>
    </w:p>
    <w:p w14:paraId="2991D7C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13）检查质量保证期工作。</w:t>
      </w:r>
    </w:p>
    <w:p w14:paraId="28CF0E71">
      <w:pPr>
        <w:pStyle w:val="105"/>
        <w:spacing w:line="480" w:lineRule="exact"/>
        <w:ind w:firstLine="496"/>
        <w:rPr>
          <w:rFonts w:hint="eastAsia" w:ascii="仿宋" w:hAnsi="仿宋" w:eastAsia="仿宋" w:cs="仿宋"/>
          <w:color w:val="auto"/>
          <w:highlight w:val="none"/>
        </w:rPr>
      </w:pPr>
      <w:bookmarkStart w:id="101" w:name="_Toc122856774"/>
      <w:bookmarkStart w:id="102" w:name="_Toc123449964"/>
      <w:r>
        <w:rPr>
          <w:rFonts w:hint="eastAsia" w:ascii="仿宋" w:hAnsi="仿宋" w:eastAsia="仿宋" w:cs="仿宋"/>
          <w:color w:val="auto"/>
          <w:highlight w:val="none"/>
        </w:rPr>
        <w:t>（4）乙供</w:t>
      </w:r>
      <w:bookmarkEnd w:id="101"/>
      <w:bookmarkEnd w:id="102"/>
      <w:r>
        <w:rPr>
          <w:rFonts w:hint="eastAsia" w:ascii="仿宋" w:hAnsi="仿宋" w:eastAsia="仿宋" w:cs="仿宋"/>
          <w:color w:val="auto"/>
          <w:highlight w:val="none"/>
        </w:rPr>
        <w:t>材料设备的管理，包括：</w:t>
      </w:r>
    </w:p>
    <w:p w14:paraId="5164ECB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1）审核工程总体材料设备使用计划和月度材料设备分批使用计划；</w:t>
      </w:r>
    </w:p>
    <w:p w14:paraId="5E0693F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2）审核施工单位选定的材料设备合格供货商并对样品进行封存；</w:t>
      </w:r>
    </w:p>
    <w:p w14:paraId="30EFAD8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3）督促并审核施工单位签订材料设备供货合同；</w:t>
      </w:r>
    </w:p>
    <w:p w14:paraId="65313CA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4）组织施工单位拟定准确的材料设备进场计划，及时进行材料设备的采购及供货；</w:t>
      </w:r>
    </w:p>
    <w:p w14:paraId="33F40E3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5）组织施工单位认真清点到货材料设备，在安装材料设备过程中及安装后应进行监督、检验，把好质量关；</w:t>
      </w:r>
    </w:p>
    <w:p w14:paraId="5C9B6AE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6）对施工单位所定材料设备规格、型号、数量、质量必须严格把关，发现货不对板情况应及时向委托人汇报；</w:t>
      </w:r>
    </w:p>
    <w:p w14:paraId="5FF9DC2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7）负责材料设备安装、调试、验收过程中的投资、质量、进度控制；</w:t>
      </w:r>
    </w:p>
    <w:p w14:paraId="28BF6CC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8）审核施工单位提供的材料设备的结算资料；</w:t>
      </w:r>
    </w:p>
    <w:p w14:paraId="14235A4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9）检查质量保证期工作。</w:t>
      </w:r>
    </w:p>
    <w:p w14:paraId="4A07BAA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（5）建筑装饰材料的管理，包括：</w:t>
      </w:r>
    </w:p>
    <w:p w14:paraId="4D6045F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1）协助委托人进行材料管理及采购策划；</w:t>
      </w:r>
    </w:p>
    <w:p w14:paraId="4C50D80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2）协助委托人选定合格材料供货商；</w:t>
      </w:r>
    </w:p>
    <w:p w14:paraId="0A3014D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3）协助并督促施工单位签订材料供货合同；</w:t>
      </w:r>
    </w:p>
    <w:p w14:paraId="6ABD6F5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4）督促施工单位拟定准确的分批次订货计划，及时进行材料的采购及供货；</w:t>
      </w:r>
    </w:p>
    <w:p w14:paraId="0FDDA5A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5）对材料到货、施工过程中及施工后进行监督、检验，把好材料质量关；</w:t>
      </w:r>
    </w:p>
    <w:p w14:paraId="462B076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6）对材料变更费用进行预测及审核，提出专业意见及建议；</w:t>
      </w:r>
    </w:p>
    <w:p w14:paraId="6FC2B2E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7）负责供货单位与施工单位的协调。</w:t>
      </w:r>
    </w:p>
    <w:p w14:paraId="370FFE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（6）材料设备采购监理，包括：</w:t>
      </w:r>
    </w:p>
    <w:p w14:paraId="35A7C48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1）委托监理合同；</w:t>
      </w:r>
    </w:p>
    <w:p w14:paraId="1F26AC5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2）设备采购方案计划；</w:t>
      </w:r>
    </w:p>
    <w:p w14:paraId="074E38E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3）设计图纸和文件；</w:t>
      </w:r>
    </w:p>
    <w:p w14:paraId="51163B4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4）市场调查、考察报告；</w:t>
      </w:r>
    </w:p>
    <w:p w14:paraId="6C9CC8E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5）设备采购招投标文件；</w:t>
      </w:r>
    </w:p>
    <w:p w14:paraId="5B47BC7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6）设备采购订货合同；</w:t>
      </w:r>
    </w:p>
    <w:p w14:paraId="3063B2B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7）设备采购监理工作总结。</w:t>
      </w:r>
    </w:p>
    <w:p w14:paraId="4804213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（7）施工阶段材料设备控制中的其它监理工作，包括：</w:t>
      </w:r>
    </w:p>
    <w:p w14:paraId="6E8ADFE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1）根据委托人的委托实施设备监造工作（设备监造酬金包括在本合同价款中），具体工作如下：</w:t>
      </w:r>
    </w:p>
    <w:p w14:paraId="41498C95">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监理人应根据设备监造阶段的监理工作内容，成立由总监理工程师和专业监理工程师组成的项目监理机构。项目监理机构应进驻设备制造现场。</w:t>
      </w:r>
    </w:p>
    <w:p w14:paraId="559C1078">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总监理工程师应组织专业监理工程师熟悉设备制造图纸及有关技术说明和标准，掌握设计意图和各项设备制造的工艺规程以及设备采购订货合同中的各项规定，并应组织或参加委托人组织的设备制造图纸的设计交底。</w:t>
      </w:r>
    </w:p>
    <w:p w14:paraId="00228C08">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总监理工程师应组织专业监理工程师编制设备监造规划，经监理人技术负责人审核批准后，在设备制造开始前十天内报送委托人。</w:t>
      </w:r>
    </w:p>
    <w:p w14:paraId="2C0DE8F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总监理工程师应审查设备制造单位报送的设备制造生产计划和工艺方案，提出审查意见，符合要求后予以批准，并报委托人。</w:t>
      </w:r>
    </w:p>
    <w:p w14:paraId="0807B1B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总监理工程师应审核设备制造分包单位的资质情况、实际生产能力和质量保证体系，符合要求后予以确认。</w:t>
      </w:r>
    </w:p>
    <w:p w14:paraId="1107D5DC">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highlight w:val="none"/>
        </w:rPr>
        <w:t xml:space="preserve"> 专业监理工程师应审查设备制造的检验计划和检验要求，确认各阶段的检验时间、内容、方法、标准以及检测手段、检测设备和仪器。</w:t>
      </w:r>
    </w:p>
    <w:p w14:paraId="2F8C1D38">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⑦</w:t>
      </w:r>
      <w:r>
        <w:rPr>
          <w:rFonts w:hint="eastAsia" w:ascii="仿宋" w:hAnsi="仿宋" w:eastAsia="仿宋" w:cs="仿宋"/>
          <w:color w:val="auto"/>
          <w:highlight w:val="none"/>
        </w:rPr>
        <w:t xml:space="preserve"> 专业监理工程师必须对设备制造过程中拟采用的新技术、新材料、新工艺的鉴定书和试验报告进行审核，并签署意见。</w:t>
      </w:r>
    </w:p>
    <w:p w14:paraId="05BC239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⑧</w:t>
      </w:r>
      <w:r>
        <w:rPr>
          <w:rFonts w:hint="eastAsia" w:ascii="仿宋" w:hAnsi="仿宋" w:eastAsia="仿宋" w:cs="仿宋"/>
          <w:color w:val="auto"/>
          <w:highlight w:val="none"/>
        </w:rPr>
        <w:t xml:space="preserve"> 专业监理工程师应审查主要及关键零件的生产工艺设备、操作规程和相关生产人员的上岗资格，并对设备制造和装配场所的环境进行检查。</w:t>
      </w:r>
    </w:p>
    <w:p w14:paraId="7E680D4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⑨</w:t>
      </w:r>
      <w:r>
        <w:rPr>
          <w:rFonts w:hint="eastAsia" w:ascii="仿宋" w:hAnsi="仿宋" w:eastAsia="仿宋" w:cs="仿宋"/>
          <w:color w:val="auto"/>
          <w:highlight w:val="none"/>
        </w:rPr>
        <w:t xml:space="preserve"> 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14:paraId="59EA5A68">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⑩</w:t>
      </w:r>
      <w:r>
        <w:rPr>
          <w:rFonts w:hint="eastAsia" w:ascii="仿宋" w:hAnsi="仿宋" w:eastAsia="仿宋" w:cs="仿宋"/>
          <w:color w:val="auto"/>
          <w:highlight w:val="none"/>
        </w:rPr>
        <w:t xml:space="preserve"> 专业监理工程师应对设备制造过程进行监督和检查，对主要及关键零部件的制造工序应进行抽检或检验。</w:t>
      </w:r>
    </w:p>
    <w:p w14:paraId="513EB2F8">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11</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14:paraId="2E7DBBA7">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12</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专业监理工程师应检查和监督设备的装配过程，符合要求后予以签认。</w:t>
      </w:r>
    </w:p>
    <w:p w14:paraId="7BC4E2B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13</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在设备制造过程中如需要对设备的原设计进行变更，专业监理工程师应审核设计变更，并审查因变更引起的费用增减和制造工期的变化。</w:t>
      </w:r>
    </w:p>
    <w:p w14:paraId="38E51429">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14</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总监理工程师应组织专业监理工程师参加设备制造过程中的调试、整机性能检测和验证，符合要求后予以签认。</w:t>
      </w:r>
    </w:p>
    <w:p w14:paraId="75EA0EA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15</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在设备运往现场前，专业监理工程师应检查设备制造单位对待运设备采取的防护和包装措施，并应检查是否符合运输、装卸、储存、安装的要求，以及相关的随机文件、装箱单和附件是否齐全。</w:t>
      </w:r>
    </w:p>
    <w:p w14:paraId="4CC89BE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16</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设备全部运到现场后，总监理工程师应组织专业监理工程师参加由设备制造单位按合同规定与安装单位的交接工作，开箱清点、检查、验收、移交。</w:t>
      </w:r>
    </w:p>
    <w:p w14:paraId="0ECA0E2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17</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专业监理工程师应按设备采购合同的规定审核设备制造单位提交的进度付款单，提出审核意见，由总监理工程师复核后报委托人。</w:t>
      </w:r>
    </w:p>
    <w:p w14:paraId="0DB8BA5A">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18</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专业监理工程师应审查委托人或设备制造单位提出的索赔文件，提出意见后报总监理工程师，由总监理工程师与委托人、设备制造单位进行协商，并提出审核报告。</w:t>
      </w:r>
    </w:p>
    <w:p w14:paraId="6EE81E5C">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19</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专业监理工程师应审核设备制造单位报送的设备制造结算文件，并提出审核意见，报总监理工程师审核，由总监理工程师与委托人、设备制造单位进行协商，并提出审核报告。</w:t>
      </w:r>
    </w:p>
    <w:p w14:paraId="13BB0F57">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20</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在设备监造工作结束后，总监理工程师应组织编写设备监造工作总结。</w:t>
      </w:r>
    </w:p>
    <w:p w14:paraId="7BFD7BB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2）根据委托人委托的设备监造工作提交相关的监理资料（相关费用已包含在设备监造酬金之内），包括：</w:t>
      </w:r>
    </w:p>
    <w:p w14:paraId="39788C2D">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设备采购合同及委托监理合同；</w:t>
      </w:r>
    </w:p>
    <w:p w14:paraId="5D29A68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设备监造规划；</w:t>
      </w:r>
    </w:p>
    <w:p w14:paraId="62F4D1D5">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设备制造的生产计划和工艺方案；</w:t>
      </w:r>
    </w:p>
    <w:p w14:paraId="3AEF6F3B">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设备制造的检验计划和检验要求；</w:t>
      </w:r>
    </w:p>
    <w:p w14:paraId="30DD8C3F">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分包单位资格报审表；</w:t>
      </w:r>
    </w:p>
    <w:p w14:paraId="6EB93FEE">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highlight w:val="none"/>
        </w:rPr>
        <w:t xml:space="preserve"> 原材料、零配件等的质量证明文件和检验报告；</w:t>
      </w:r>
    </w:p>
    <w:p w14:paraId="481D57A5">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⑦</w:t>
      </w:r>
      <w:r>
        <w:rPr>
          <w:rFonts w:hint="eastAsia" w:ascii="仿宋" w:hAnsi="仿宋" w:eastAsia="仿宋" w:cs="仿宋"/>
          <w:color w:val="auto"/>
          <w:highlight w:val="none"/>
        </w:rPr>
        <w:t xml:space="preserve"> 开工／复工报审表、暂停令；</w:t>
      </w:r>
    </w:p>
    <w:p w14:paraId="43636D84">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⑧</w:t>
      </w:r>
      <w:r>
        <w:rPr>
          <w:rFonts w:hint="eastAsia" w:ascii="仿宋" w:hAnsi="仿宋" w:eastAsia="仿宋" w:cs="仿宋"/>
          <w:color w:val="auto"/>
          <w:highlight w:val="none"/>
        </w:rPr>
        <w:t xml:space="preserve"> 检验记录及试验报告；</w:t>
      </w:r>
    </w:p>
    <w:p w14:paraId="2E8388C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⑨</w:t>
      </w:r>
      <w:r>
        <w:rPr>
          <w:rFonts w:hint="eastAsia" w:ascii="仿宋" w:hAnsi="仿宋" w:eastAsia="仿宋" w:cs="仿宋"/>
          <w:color w:val="auto"/>
          <w:highlight w:val="none"/>
        </w:rPr>
        <w:t xml:space="preserve"> 报验申请表；</w:t>
      </w:r>
    </w:p>
    <w:p w14:paraId="24435100">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⑩</w:t>
      </w:r>
      <w:r>
        <w:rPr>
          <w:rFonts w:hint="eastAsia" w:ascii="仿宋" w:hAnsi="仿宋" w:eastAsia="仿宋" w:cs="仿宋"/>
          <w:color w:val="auto"/>
          <w:highlight w:val="none"/>
        </w:rPr>
        <w:t xml:space="preserve"> 设计变更文件；</w:t>
      </w:r>
    </w:p>
    <w:p w14:paraId="3CE895AA">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11</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会议纪要；</w:t>
      </w:r>
    </w:p>
    <w:p w14:paraId="520DA016">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12</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来往文件；</w:t>
      </w:r>
    </w:p>
    <w:p w14:paraId="0D0680BA">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13</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监理日记；</w:t>
      </w:r>
    </w:p>
    <w:p w14:paraId="683A49A7">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14</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监理工程师通知单；</w:t>
      </w:r>
    </w:p>
    <w:p w14:paraId="295C052D">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15</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监理工作联系单；</w:t>
      </w:r>
    </w:p>
    <w:p w14:paraId="36CF1293">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16</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监理月报；</w:t>
      </w:r>
    </w:p>
    <w:p w14:paraId="6119E77B">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17</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质量事故处理文件；</w:t>
      </w:r>
    </w:p>
    <w:p w14:paraId="0BB36FF4">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18</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设备制造索赔文件；</w:t>
      </w:r>
    </w:p>
    <w:p w14:paraId="29B8EE73">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19</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设备验收文件；</w:t>
      </w:r>
    </w:p>
    <w:p w14:paraId="24598D65">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20</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设备交接文件；</w:t>
      </w:r>
    </w:p>
    <w:p w14:paraId="071B4163">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21</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证书和设备制造结算审核文件；</w:t>
      </w:r>
    </w:p>
    <w:p w14:paraId="39DBAF45">
      <w:pPr>
        <w:pStyle w:val="105"/>
        <w:spacing w:line="480" w:lineRule="exact"/>
        <w:ind w:firstLine="558" w:firstLineChars="225"/>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eq \o\ac(</w:instrText>
      </w:r>
      <w:r>
        <w:rPr>
          <w:rFonts w:hint="eastAsia" w:ascii="仿宋" w:hAnsi="仿宋" w:eastAsia="仿宋" w:cs="仿宋"/>
          <w:color w:val="auto"/>
          <w:position w:val="-4"/>
          <w:sz w:val="36"/>
          <w:highlight w:val="none"/>
        </w:rPr>
        <w:instrText xml:space="preserve">○</w:instrText>
      </w:r>
      <w:r>
        <w:rPr>
          <w:rFonts w:hint="eastAsia" w:ascii="仿宋" w:hAnsi="仿宋" w:eastAsia="仿宋" w:cs="仿宋"/>
          <w:color w:val="auto"/>
          <w:highlight w:val="none"/>
        </w:rPr>
        <w:instrText xml:space="preserve">,</w:instrText>
      </w:r>
      <w:r>
        <w:rPr>
          <w:rFonts w:hint="eastAsia" w:ascii="仿宋" w:hAnsi="仿宋" w:eastAsia="仿宋" w:cs="仿宋"/>
          <w:color w:val="auto"/>
          <w:spacing w:val="0"/>
          <w:highlight w:val="none"/>
        </w:rPr>
        <w:instrText xml:space="preserve">22</w:instrText>
      </w:r>
      <w:r>
        <w:rPr>
          <w:rFonts w:hint="eastAsia" w:ascii="仿宋" w:hAnsi="仿宋" w:eastAsia="仿宋" w:cs="仿宋"/>
          <w:color w:val="auto"/>
          <w:highlight w:val="none"/>
        </w:rPr>
        <w:instrText xml:space="preserve">)</w:instrTex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 xml:space="preserve"> 设备监造工作总结。</w:t>
      </w:r>
    </w:p>
    <w:p w14:paraId="18EFAD8C">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（八）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工程合同管理工作</w:t>
      </w:r>
    </w:p>
    <w:p w14:paraId="44BB7B0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（1）建立合同实施的保证体系，使工程项目的全部合同事件处于控制中，保证合同目标的实现。</w:t>
      </w:r>
    </w:p>
    <w:p w14:paraId="7F5C94D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color w:val="auto"/>
          <w:highlight w:val="none"/>
        </w:rPr>
        <w:t>建立合同管理文档系统。应建立与相适应的编码系统和文档系统，便于各种合同资料的保存与查询。</w:t>
      </w:r>
    </w:p>
    <w:p w14:paraId="10C10E7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（3）</w:t>
      </w:r>
      <w:r>
        <w:rPr>
          <w:rFonts w:hint="eastAsia" w:ascii="仿宋" w:hAnsi="仿宋" w:eastAsia="仿宋" w:cs="仿宋"/>
          <w:color w:val="auto"/>
          <w:highlight w:val="none"/>
        </w:rPr>
        <w:t>建立合同文件沟通方式。承包人和委托人、监理工程师、分包人之间的有关合同的文件沟通都应以书面形式进行。</w:t>
      </w:r>
    </w:p>
    <w:p w14:paraId="3BA404E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（4）</w:t>
      </w:r>
      <w:r>
        <w:rPr>
          <w:rFonts w:hint="eastAsia" w:ascii="仿宋" w:hAnsi="仿宋" w:eastAsia="仿宋" w:cs="仿宋"/>
          <w:color w:val="auto"/>
          <w:highlight w:val="none"/>
        </w:rPr>
        <w:t>合同实施监督。包括：监督总承包人、分包人严格执行合同，并做好各分包人的协调和管理工作。同时也应督促委托人执行其合同责任，以保证工程顺利进行。</w:t>
      </w:r>
    </w:p>
    <w:p w14:paraId="60BE0B9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合同跟踪和诊断。包括：</w:t>
      </w:r>
    </w:p>
    <w:p w14:paraId="2C68A3F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1）全面收集并分析合同实施的信息与工程资料，将合同实施情况与合同分析资料进行对比分析，找出其中的偏离。</w:t>
      </w:r>
    </w:p>
    <w:p w14:paraId="26F0591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2）对合同履行情况做出诊断。合同诊断包括：合同执行差异的原因分析、合同差异责任分析、合同实施趋向预测。及时通报合同实施情况及问题，提出合同实施方面的意见、建议、甚至警告。</w:t>
      </w:r>
    </w:p>
    <w:p w14:paraId="129A8A8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3）对于发现的问题，及时采取对应的管理措施，防止问题的扩大和重复发生。</w:t>
      </w:r>
    </w:p>
    <w:p w14:paraId="3E37012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（6）严格合同变更管理。包括：变更谈判、变更的处理程序，落实变更的措施，修改变更相关的资料，检查变更措施的落实情况。</w:t>
      </w:r>
    </w:p>
    <w:p w14:paraId="2C30A4F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（7）</w:t>
      </w:r>
      <w:r>
        <w:rPr>
          <w:rFonts w:hint="eastAsia" w:ascii="仿宋" w:hAnsi="仿宋" w:eastAsia="仿宋" w:cs="仿宋"/>
          <w:color w:val="auto"/>
          <w:highlight w:val="none"/>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对收到的承包人的索赔报告应进行审查分析，收集反驳理由和证据，复核索赔值；如具备反索赔条件，应及时提出反索赔报告并附上相关证据。</w:t>
      </w:r>
    </w:p>
    <w:p w14:paraId="7460EFD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（8）</w:t>
      </w:r>
      <w:r>
        <w:rPr>
          <w:rFonts w:hint="eastAsia" w:ascii="仿宋" w:hAnsi="仿宋" w:eastAsia="仿宋" w:cs="仿宋"/>
          <w:color w:val="auto"/>
          <w:highlight w:val="none"/>
        </w:rPr>
        <w:t>合同终止和后评价工作，包括：合同按约定履行结束后，合同即告终止。监理人应及时进行合同后评价，总结合同签订和执行过程中的利弊得失、经验教训，作为改进以后工程合同管理工作的借鉴。</w:t>
      </w:r>
    </w:p>
    <w:p w14:paraId="646C194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（9）</w:t>
      </w:r>
      <w:r>
        <w:rPr>
          <w:rFonts w:hint="eastAsia" w:ascii="仿宋" w:hAnsi="仿宋" w:eastAsia="仿宋" w:cs="仿宋"/>
          <w:color w:val="auto"/>
          <w:highlight w:val="none"/>
        </w:rPr>
        <w:t>合同后评估应包括如下内容：</w:t>
      </w:r>
    </w:p>
    <w:p w14:paraId="4719859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1）合同签订情况评价；</w:t>
      </w:r>
    </w:p>
    <w:p w14:paraId="0691249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2）合同执行情况评价；</w:t>
      </w:r>
    </w:p>
    <w:p w14:paraId="077EF10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3）合同管理工作评价；</w:t>
      </w:r>
    </w:p>
    <w:p w14:paraId="358B8E9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4）对本项目有重大影响的合同条款的评价。</w:t>
      </w:r>
    </w:p>
    <w:p w14:paraId="5BDD59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（10）合同管理中的其他监理工作，包括：</w:t>
      </w:r>
    </w:p>
    <w:p w14:paraId="6E2D7AE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1）费用索赔的处理</w:t>
      </w:r>
    </w:p>
    <w:p w14:paraId="66502DC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专业监理工程师应及时收集、整理有关的施工和监理资料，为处理可能发生的费用索赔提供证据。</w:t>
      </w:r>
    </w:p>
    <w:p w14:paraId="367DB10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项目监理机构处理费用索赔应依据下列内容：</w:t>
      </w:r>
    </w:p>
    <w:p w14:paraId="2316723F">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国家有关的法律、法规和工程项目所在地的地方法规；</w:t>
      </w:r>
    </w:p>
    <w:p w14:paraId="672EDEAD">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本工程的施工合同文件；</w:t>
      </w:r>
    </w:p>
    <w:p w14:paraId="0FA52D70">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国家、部门和地方有关的标准、规范和定额；</w:t>
      </w:r>
    </w:p>
    <w:p w14:paraId="15468DEB">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施工合同履行过程中与索赔事件有关的凭证。</w:t>
      </w:r>
    </w:p>
    <w:p w14:paraId="6CB2DC54">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当承包人提出费用索赔的理由同时满足以下条件时，项目监理机构应予以受理：</w:t>
      </w:r>
    </w:p>
    <w:p w14:paraId="6C2293FA">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索赔事件造成了承包人直接经济损失；</w:t>
      </w:r>
    </w:p>
    <w:p w14:paraId="462DFA1D">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索赔事件是由于非承包人的责任发生的；</w:t>
      </w:r>
    </w:p>
    <w:p w14:paraId="4C80D5EB">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承包人已按照施工合同规定的期限和程序提出费用索赔申请表，并附有索赔凭证材料。</w:t>
      </w:r>
    </w:p>
    <w:p w14:paraId="6A658ED2">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承包人向委托人提出费用索赔，项目监理机构应按下列程序处理：</w:t>
      </w:r>
    </w:p>
    <w:p w14:paraId="6AF94D06">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承包人在施工合同规定的期限内向项目监理机构提交对委托人的费用索赔意向通知书；</w:t>
      </w:r>
    </w:p>
    <w:p w14:paraId="17672D07">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总监理工程师指定专业监理工程师收集与索赔有关的资料；</w:t>
      </w:r>
    </w:p>
    <w:p w14:paraId="4D2724CF">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承包人在承包合同规定的期限内向项目监理机构提交对委托人的费用索赔申请表；</w:t>
      </w:r>
    </w:p>
    <w:p w14:paraId="2C471265">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总监理工程师初步审查费用索赔申请表，符合</w:t>
      </w:r>
      <w:r>
        <w:rPr>
          <w:rFonts w:hint="eastAsia" w:ascii="仿宋" w:hAnsi="仿宋" w:eastAsia="仿宋" w:cs="仿宋"/>
          <w:color w:val="auto"/>
          <w:highlight w:val="none"/>
          <w:u w:val="wave"/>
        </w:rPr>
        <w:t>上述②款</w:t>
      </w:r>
      <w:r>
        <w:rPr>
          <w:rFonts w:hint="eastAsia" w:ascii="仿宋" w:hAnsi="仿宋" w:eastAsia="仿宋" w:cs="仿宋"/>
          <w:color w:val="auto"/>
          <w:highlight w:val="none"/>
        </w:rPr>
        <w:t>规定的条件时予以受理；</w:t>
      </w:r>
    </w:p>
    <w:p w14:paraId="78974BF9">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e. 总监理工程师进行费用索赔审查，并在初步确定一个额度后，与承包人和委托人进行协商；</w:t>
      </w:r>
    </w:p>
    <w:p w14:paraId="147EEB1A">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f. 总监理工程师应在施工合同规定的期限内签署费用索赔审批表，或在施工合同规定的期限内发出要求承包人提交有关索赔报告的进一步详细资料的通知，待收到承包人提交的详细资料后，按</w:t>
      </w:r>
      <w:r>
        <w:rPr>
          <w:rFonts w:hint="eastAsia" w:ascii="仿宋" w:hAnsi="仿宋" w:eastAsia="仿宋" w:cs="仿宋"/>
          <w:color w:val="auto"/>
          <w:highlight w:val="none"/>
          <w:u w:val="wave"/>
        </w:rPr>
        <w:t>上述的第d、e项</w:t>
      </w:r>
      <w:r>
        <w:rPr>
          <w:rFonts w:hint="eastAsia" w:ascii="仿宋" w:hAnsi="仿宋" w:eastAsia="仿宋" w:cs="仿宋"/>
          <w:color w:val="auto"/>
          <w:highlight w:val="none"/>
        </w:rPr>
        <w:t>的程序进行。</w:t>
      </w:r>
    </w:p>
    <w:p w14:paraId="4C6A46D4">
      <w:pPr>
        <w:pStyle w:val="105"/>
        <w:spacing w:line="480" w:lineRule="exact"/>
        <w:ind w:firstLine="720" w:firstLineChars="250"/>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当承包人的费用索赔要求与工程延期要求相关联时，总监理工程师在作出费用索赔的批准决定时，应与工程延期的批准联系起来，综合作出费用索赔和工程延期的决定。</w:t>
      </w:r>
    </w:p>
    <w:p w14:paraId="11B655AD">
      <w:pPr>
        <w:pStyle w:val="105"/>
        <w:spacing w:line="480" w:lineRule="exact"/>
        <w:ind w:firstLine="720" w:firstLineChars="250"/>
        <w:rPr>
          <w:rFonts w:hint="eastAsia" w:ascii="仿宋" w:hAnsi="仿宋" w:eastAsia="仿宋" w:cs="仿宋"/>
          <w:color w:val="auto"/>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highlight w:val="none"/>
        </w:rPr>
        <w:t xml:space="preserve"> 由于承包人的原因造成委托人的额外损失，委托人向承包人提出费用索赔时，总监理工程师在审查索赔报告后，应公正地与委托人和承包人进行协商，并及时作出答复。</w:t>
      </w:r>
    </w:p>
    <w:p w14:paraId="4DFD0DE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2）合同争议的调解</w:t>
      </w:r>
    </w:p>
    <w:p w14:paraId="0D4EC95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项目监理机构接到合同争议的调解要求后应进行以下工作：</w:t>
      </w:r>
    </w:p>
    <w:p w14:paraId="7D214FA1">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及时了解合同争议的全部情况，包括进行调查和取证；</w:t>
      </w:r>
    </w:p>
    <w:p w14:paraId="71D5C7A8">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及时与合同争议的双方进行磋商；</w:t>
      </w:r>
    </w:p>
    <w:p w14:paraId="577D9D7B">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在项目监理机构提出调解方案后，由总监理工程师进行争议调解；</w:t>
      </w:r>
    </w:p>
    <w:p w14:paraId="7AB7797D">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当调解未能达成一致时，总监理工程师应在施工合同规定的期限内提出处理该合同争议的意见；</w:t>
      </w:r>
    </w:p>
    <w:p w14:paraId="1A803E0F">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e. 在争议调解过程中，除已达到了施工合同规定的暂停履行合同的条件之外，项目监理机构应要求施工合同的双方继续履行施工合同。</w:t>
      </w:r>
    </w:p>
    <w:p w14:paraId="39B6B447">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在总监理工程师签发合同争议处理意见后，委托人或承包人在施工合同规定的期限内未对合同争议处理决定提出异议，在符合施工合同的前提下，此意见应成为最后的决定，双方必须执行。</w:t>
      </w:r>
    </w:p>
    <w:p w14:paraId="041B1DB1">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在合同争议的仲裁或诉讼过程中，项目监理机构接到仲裁机关或法院要求提供有关证据的通知后，应公正地向仲裁机关或法院提供与争议有关的证据。</w:t>
      </w:r>
    </w:p>
    <w:p w14:paraId="02976C3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3）合同解除的相关工作</w:t>
      </w:r>
    </w:p>
    <w:p w14:paraId="589D64B9">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highlight w:val="none"/>
        </w:rPr>
        <w:t xml:space="preserve"> 施工合同的解除必须符合法律程序。</w:t>
      </w:r>
    </w:p>
    <w:p w14:paraId="1B1A763A">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②</w:t>
      </w:r>
      <w:r>
        <w:rPr>
          <w:rFonts w:hint="eastAsia" w:ascii="仿宋" w:hAnsi="仿宋" w:eastAsia="仿宋" w:cs="仿宋"/>
          <w:color w:val="auto"/>
          <w:highlight w:val="none"/>
        </w:rPr>
        <w:t xml:space="preserve"> 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14:paraId="337B1AB6">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承包人已完成的工程量表中所列的各项工作所应得的款项；</w:t>
      </w:r>
    </w:p>
    <w:p w14:paraId="14AA4E28">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按批准的采购计划订购工程材料、设备、构配件的款项；</w:t>
      </w:r>
    </w:p>
    <w:p w14:paraId="614FB6E0">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承包人撤离施工设备至原基地或其他目的地的合理费用；</w:t>
      </w:r>
    </w:p>
    <w:p w14:paraId="197D84D9">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承包人所有人员的合理遣返费用；</w:t>
      </w:r>
    </w:p>
    <w:p w14:paraId="1BB196C8">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e. 合理的利润补偿；</w:t>
      </w:r>
    </w:p>
    <w:p w14:paraId="31E6427F">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f. 施工合同规定的委托人应</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的违约金。</w:t>
      </w:r>
    </w:p>
    <w:p w14:paraId="32CF715D">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highlight w:val="none"/>
        </w:rPr>
        <w:t xml:space="preserve"> 由于承包人违约导致施工合同终止后，项目监理机构应按下列程序清理承包人的应得款项，或偿还委托人的相关款项，并书面通知委托人和承包人：</w:t>
      </w:r>
    </w:p>
    <w:p w14:paraId="1795787E">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a. 施工合同终止时，清理承包人已按施工合同规定实际完成的工作所应得的款项和已经得到</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的款项；</w:t>
      </w:r>
    </w:p>
    <w:p w14:paraId="304D5903">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b. 施工现场余留的材料、设备及临时工程的价值；</w:t>
      </w:r>
    </w:p>
    <w:p w14:paraId="507154CC">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c. 检查和验收已完工工程，移交工程资料和对该部分工程的清理、质量缺陷修复等所需的费用；</w:t>
      </w:r>
    </w:p>
    <w:p w14:paraId="74A7CF65">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d. 施工合同规定的承包人应</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的违约金；</w:t>
      </w:r>
    </w:p>
    <w:p w14:paraId="6504BA17">
      <w:pPr>
        <w:pStyle w:val="105"/>
        <w:spacing w:line="480" w:lineRule="exact"/>
        <w:ind w:firstLine="620" w:firstLineChars="250"/>
        <w:rPr>
          <w:rFonts w:hint="eastAsia" w:ascii="仿宋" w:hAnsi="仿宋" w:eastAsia="仿宋" w:cs="仿宋"/>
          <w:color w:val="auto"/>
          <w:highlight w:val="none"/>
        </w:rPr>
      </w:pPr>
      <w:r>
        <w:rPr>
          <w:rFonts w:hint="eastAsia" w:ascii="仿宋" w:hAnsi="仿宋" w:eastAsia="仿宋" w:cs="仿宋"/>
          <w:color w:val="auto"/>
          <w:highlight w:val="none"/>
        </w:rPr>
        <w:t>e. 总监理工程师按照施工合同的规定，在与委托人和承包人协商后，书面提交承包人应得款项或偿还委托人款项的证明。</w:t>
      </w:r>
    </w:p>
    <w:p w14:paraId="152184EE">
      <w:pPr>
        <w:pStyle w:val="105"/>
        <w:spacing w:line="480" w:lineRule="exact"/>
        <w:ind w:firstLine="576"/>
        <w:rPr>
          <w:rFonts w:hint="eastAsia" w:ascii="仿宋" w:hAnsi="仿宋" w:eastAsia="仿宋" w:cs="仿宋"/>
          <w:color w:val="auto"/>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highlight w:val="none"/>
        </w:rPr>
        <w:t xml:space="preserve"> 由于不可抗力或非委托人、承包人原因导致施工合同终止时，项目监理机构应按施工合同规定处理合同解除后的有关事宜。</w:t>
      </w:r>
    </w:p>
    <w:p w14:paraId="38C8E7E9">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（九）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工程信息管理工作</w:t>
      </w:r>
    </w:p>
    <w:p w14:paraId="7148D26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项目信息是预测项目未来、决策项目实施方案以及追溯项目实施过程的依据，是项目管理的重要基础资源，监理人要全面掌握信息源，灵活运用信息处理工具，收集相关信息资料。监理人必须进行管理的工程信息资料包括但不限于：</w:t>
      </w:r>
    </w:p>
    <w:p w14:paraId="5EF1223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1）有关政策文件、法规、技术规范、质量标准等；</w:t>
      </w:r>
    </w:p>
    <w:p w14:paraId="0872405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2）设计及有关批准文件、图纸会审记录、设计变更设计文件等；</w:t>
      </w:r>
    </w:p>
    <w:p w14:paraId="2093D49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3）招投标文件、工程建设合同、协议、补充协议等；</w:t>
      </w:r>
    </w:p>
    <w:p w14:paraId="72A06B7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4）与委托人、承包人及工程有关单位之间的往来文件；</w:t>
      </w:r>
    </w:p>
    <w:p w14:paraId="1CE2A4E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5）承包人施工组织设计、临时工程设计、方案等资料；</w:t>
      </w:r>
    </w:p>
    <w:p w14:paraId="0A21B6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6）各种材料报验、材料、构配件、机械设备的技术资料、检测、试验报告等资料；</w:t>
      </w:r>
    </w:p>
    <w:p w14:paraId="18FDE9E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7）各种报验、验收、报告、报表、计量、</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、施工记录、现场签证、质量、进度状况记录等资料；</w:t>
      </w:r>
    </w:p>
    <w:p w14:paraId="6EE3410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8）监理日记、巡查、旁站记录、工程照片、事故处理资料、关键的检查资料；</w:t>
      </w:r>
    </w:p>
    <w:p w14:paraId="663FB25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9）监理通知、会议记要、备忘录、合同执行情况、监理月报、监理报告、总结、评估等；</w:t>
      </w:r>
    </w:p>
    <w:p w14:paraId="0472C24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10）工序验收、检验批验收、分项验收、分部（或子分部）验收、中间验收、竣工验收资料；</w:t>
      </w:r>
    </w:p>
    <w:p w14:paraId="184FF91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建设工程规划验收、建筑工程消防验收、环境保护验收、室内环境验收、卫生防疫验收、电梯安装工程质量验收、人防工程验收、燃气验收、建设工程竣工档案验收、防雷验收、建筑节能验收等专项验收资料；</w:t>
      </w:r>
    </w:p>
    <w:p w14:paraId="70A250E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12）监理制度、规定与管理办法等内部文件；</w:t>
      </w:r>
    </w:p>
    <w:p w14:paraId="60C4A6F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13）安全、文明生产控制资料等。</w:t>
      </w:r>
    </w:p>
    <w:p w14:paraId="5F417FE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color w:val="auto"/>
          <w:highlight w:val="none"/>
        </w:rPr>
        <w:t>建立信息管理制度，严格信息采集、编排、查阅、归档保存的管理办法，由专人实施。监理资料的管理必须满足以下要求：</w:t>
      </w:r>
    </w:p>
    <w:p w14:paraId="765725E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1）监理资料必须及时整理、真实完整、分类有序。</w:t>
      </w:r>
    </w:p>
    <w:p w14:paraId="1BB74D1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2）监理资料的管理应由总监理工程师负责，并指定专人具体实施。</w:t>
      </w:r>
    </w:p>
    <w:p w14:paraId="506A036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3）监理资料应在各阶段监理工作结束后及时整理归档。</w:t>
      </w:r>
    </w:p>
    <w:p w14:paraId="3B0551C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4）监理档案的编制及保存应按有关规定执行。</w:t>
      </w:r>
    </w:p>
    <w:p w14:paraId="69A4362C">
      <w:pPr>
        <w:pStyle w:val="105"/>
        <w:spacing w:line="480" w:lineRule="exact"/>
        <w:ind w:firstLine="496"/>
        <w:rPr>
          <w:rFonts w:hint="eastAsia" w:ascii="仿宋" w:hAnsi="仿宋" w:eastAsia="仿宋" w:cs="仿宋"/>
          <w:bCs/>
          <w:color w:val="auto"/>
          <w:highlight w:val="none"/>
        </w:rPr>
      </w:pPr>
      <w:bookmarkStart w:id="103" w:name="_Toc4071351"/>
      <w:bookmarkStart w:id="104" w:name="_Toc4051040"/>
      <w:bookmarkStart w:id="105" w:name="_Toc3908438"/>
      <w:bookmarkStart w:id="106" w:name="_Toc3517697"/>
      <w:bookmarkStart w:id="107" w:name="_Toc3518173"/>
      <w:bookmarkStart w:id="108" w:name="_Toc3979677"/>
      <w:bookmarkStart w:id="109" w:name="_Toc3831323"/>
      <w:bookmarkStart w:id="110" w:name="_Toc3636823"/>
      <w:bookmarkStart w:id="111" w:name="_Toc3633674"/>
      <w:r>
        <w:rPr>
          <w:rFonts w:hint="eastAsia" w:ascii="仿宋" w:hAnsi="仿宋" w:eastAsia="仿宋" w:cs="仿宋"/>
          <w:bCs/>
          <w:color w:val="auto"/>
          <w:highlight w:val="none"/>
        </w:rPr>
        <w:t>（3）计算机信息管理</w:t>
      </w:r>
    </w:p>
    <w:p w14:paraId="6C64B618">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bCs/>
          <w:color w:val="auto"/>
          <w:highlight w:val="none"/>
        </w:rPr>
        <w:t>1）计算机信息管理的内容和基本要求</w:t>
      </w:r>
      <w:bookmarkEnd w:id="103"/>
      <w:bookmarkEnd w:id="104"/>
      <w:bookmarkEnd w:id="105"/>
      <w:bookmarkEnd w:id="106"/>
      <w:bookmarkEnd w:id="107"/>
      <w:bookmarkEnd w:id="108"/>
      <w:bookmarkEnd w:id="109"/>
      <w:bookmarkEnd w:id="110"/>
      <w:bookmarkEnd w:id="111"/>
    </w:p>
    <w:p w14:paraId="570CE07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运用计算机技术对合同项目进行科学管理，全面提高合同工程施工管理水平。委托人开发了工程计算机管理信息系统（GZPPMS），监理人是该系统最基础的信息源之一，监理人应配置和运用该系统进行项目施工管理，包括进度、质量、安全、投资、资源、合同、结算、文档等管理系统。</w:t>
      </w:r>
    </w:p>
    <w:p w14:paraId="0968ED6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监理人的计算机系统规划、配置和人员培训与技术指导等工作，由委托人批准或指定的分包人按合同规定项目费用提供服务，以正确运用委托人的计算机工程信息管理系统，具体要求应按照委托人的有关文件。</w:t>
      </w:r>
    </w:p>
    <w:p w14:paraId="02F122E8">
      <w:pPr>
        <w:pStyle w:val="105"/>
        <w:spacing w:line="480" w:lineRule="exact"/>
        <w:ind w:firstLine="496"/>
        <w:rPr>
          <w:rFonts w:hint="eastAsia" w:ascii="仿宋" w:hAnsi="仿宋" w:eastAsia="仿宋" w:cs="仿宋"/>
          <w:bCs/>
          <w:color w:val="auto"/>
          <w:highlight w:val="none"/>
        </w:rPr>
      </w:pPr>
      <w:bookmarkStart w:id="112" w:name="_Toc523825990"/>
      <w:bookmarkStart w:id="113" w:name="_Toc3908439"/>
      <w:bookmarkStart w:id="114" w:name="_Toc522866705"/>
      <w:bookmarkStart w:id="115" w:name="_Toc923750"/>
      <w:bookmarkStart w:id="116" w:name="_Toc522940798"/>
      <w:bookmarkStart w:id="117" w:name="_Toc521924603"/>
      <w:bookmarkStart w:id="118" w:name="_Toc1877122"/>
      <w:bookmarkStart w:id="119" w:name="_Toc2071537"/>
      <w:bookmarkStart w:id="120" w:name="_Toc480258777"/>
      <w:bookmarkStart w:id="121" w:name="_Toc3633675"/>
      <w:bookmarkStart w:id="122" w:name="_Toc522249977"/>
      <w:bookmarkStart w:id="123" w:name="_Toc3517698"/>
      <w:bookmarkStart w:id="124" w:name="_Toc3831324"/>
      <w:bookmarkStart w:id="125" w:name="_Toc3636824"/>
      <w:bookmarkStart w:id="126" w:name="_Toc523542705"/>
      <w:bookmarkStart w:id="127" w:name="_Toc479500868"/>
      <w:bookmarkStart w:id="128" w:name="_Toc1876217"/>
      <w:bookmarkStart w:id="129" w:name="_Toc4071352"/>
      <w:bookmarkStart w:id="130" w:name="_Toc4051041"/>
      <w:bookmarkStart w:id="131" w:name="_Toc522250423"/>
      <w:bookmarkStart w:id="132" w:name="_Toc3518174"/>
      <w:bookmarkStart w:id="133" w:name="_Toc3979678"/>
      <w:r>
        <w:rPr>
          <w:rFonts w:hint="eastAsia" w:ascii="仿宋" w:hAnsi="仿宋" w:eastAsia="仿宋" w:cs="仿宋"/>
          <w:bCs/>
          <w:color w:val="auto"/>
          <w:highlight w:val="none"/>
        </w:rPr>
        <w:t>2）计算机网络</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8E7C95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监理人须以宽带形式接入委托人网站以保证信息传输速度要求。</w:t>
      </w:r>
    </w:p>
    <w:p w14:paraId="15264FE1">
      <w:pPr>
        <w:pStyle w:val="105"/>
        <w:spacing w:line="480" w:lineRule="exact"/>
        <w:ind w:firstLine="496"/>
        <w:rPr>
          <w:rFonts w:hint="eastAsia" w:ascii="仿宋" w:hAnsi="仿宋" w:eastAsia="仿宋" w:cs="仿宋"/>
          <w:bCs/>
          <w:color w:val="auto"/>
          <w:highlight w:val="none"/>
        </w:rPr>
      </w:pPr>
      <w:bookmarkStart w:id="134" w:name="_Toc522866706"/>
      <w:bookmarkStart w:id="135" w:name="_Toc4071353"/>
      <w:bookmarkStart w:id="136" w:name="_Toc1876218"/>
      <w:bookmarkStart w:id="137" w:name="_Toc522250424"/>
      <w:bookmarkStart w:id="138" w:name="_Toc3518175"/>
      <w:bookmarkStart w:id="139" w:name="_Toc3517699"/>
      <w:bookmarkStart w:id="140" w:name="_Toc1877123"/>
      <w:bookmarkStart w:id="141" w:name="_Toc3908440"/>
      <w:bookmarkStart w:id="142" w:name="_Toc522940799"/>
      <w:bookmarkStart w:id="143" w:name="_Toc523825991"/>
      <w:bookmarkStart w:id="144" w:name="_Toc3636825"/>
      <w:bookmarkStart w:id="145" w:name="_Toc522249978"/>
      <w:bookmarkStart w:id="146" w:name="_Toc521924604"/>
      <w:bookmarkStart w:id="147" w:name="_Toc3831325"/>
      <w:bookmarkStart w:id="148" w:name="_Toc3633676"/>
      <w:bookmarkStart w:id="149" w:name="_Toc923751"/>
      <w:bookmarkStart w:id="150" w:name="_Toc523542706"/>
      <w:bookmarkStart w:id="151" w:name="_Toc3979679"/>
      <w:bookmarkStart w:id="152" w:name="_Toc4051042"/>
      <w:bookmarkStart w:id="153" w:name="_Toc480258778"/>
      <w:bookmarkStart w:id="154" w:name="_Toc2071538"/>
      <w:bookmarkStart w:id="155" w:name="_Toc479500869"/>
      <w:r>
        <w:rPr>
          <w:rFonts w:hint="eastAsia" w:ascii="仿宋" w:hAnsi="仿宋" w:eastAsia="仿宋" w:cs="仿宋"/>
          <w:bCs/>
          <w:color w:val="auto"/>
          <w:highlight w:val="none"/>
        </w:rPr>
        <w:t>3）计算机硬件</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5614C5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监理人应配置满足GZPPMS运行要求的计算机和工作站来支持日常的合同项目施工管理工作。运行GZPPMS的计算机最低配置为：CPU主频1.6GHz以上、内存1G以上、硬盘120G。</w:t>
      </w:r>
    </w:p>
    <w:p w14:paraId="1BFC698A">
      <w:pPr>
        <w:pStyle w:val="105"/>
        <w:spacing w:line="480" w:lineRule="exact"/>
        <w:ind w:firstLine="496"/>
        <w:rPr>
          <w:rFonts w:hint="eastAsia" w:ascii="仿宋" w:hAnsi="仿宋" w:eastAsia="仿宋" w:cs="仿宋"/>
          <w:bCs/>
          <w:color w:val="auto"/>
          <w:highlight w:val="none"/>
        </w:rPr>
      </w:pPr>
      <w:bookmarkStart w:id="156" w:name="_Toc1876219"/>
      <w:bookmarkStart w:id="157" w:name="_Toc4071354"/>
      <w:bookmarkStart w:id="158" w:name="_Toc523542707"/>
      <w:bookmarkStart w:id="159" w:name="_Toc521924605"/>
      <w:bookmarkStart w:id="160" w:name="_Toc3831326"/>
      <w:bookmarkStart w:id="161" w:name="_Toc3633677"/>
      <w:bookmarkStart w:id="162" w:name="_Toc3636826"/>
      <w:bookmarkStart w:id="163" w:name="_Toc4051043"/>
      <w:bookmarkStart w:id="164" w:name="_Toc3908441"/>
      <w:bookmarkStart w:id="165" w:name="_Toc480258779"/>
      <w:bookmarkStart w:id="166" w:name="_Toc3518176"/>
      <w:bookmarkStart w:id="167" w:name="_Toc522940800"/>
      <w:bookmarkStart w:id="168" w:name="_Toc923752"/>
      <w:bookmarkStart w:id="169" w:name="_Toc522866707"/>
      <w:bookmarkStart w:id="170" w:name="_Toc522250425"/>
      <w:bookmarkStart w:id="171" w:name="_Toc523825992"/>
      <w:bookmarkStart w:id="172" w:name="_Toc2071539"/>
      <w:bookmarkStart w:id="173" w:name="_Toc3517700"/>
      <w:bookmarkStart w:id="174" w:name="_Toc479500870"/>
      <w:bookmarkStart w:id="175" w:name="_Toc3979680"/>
      <w:bookmarkStart w:id="176" w:name="_Toc522249979"/>
      <w:bookmarkStart w:id="177" w:name="_Toc1877124"/>
      <w:r>
        <w:rPr>
          <w:rFonts w:hint="eastAsia" w:ascii="仿宋" w:hAnsi="仿宋" w:eastAsia="仿宋" w:cs="仿宋"/>
          <w:bCs/>
          <w:color w:val="auto"/>
          <w:highlight w:val="none"/>
        </w:rPr>
        <w:t>4）计算机软件</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0E2E6E1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计算机工程信息管理系统运行在Windows2000或更高版本的操作系统上，这部分软件由监理人自己负责。计算机工程信息管理系统应用软件和进度计划管理软件由委托人统一免费配置。</w:t>
      </w:r>
    </w:p>
    <w:p w14:paraId="056C38F0">
      <w:pPr>
        <w:pStyle w:val="105"/>
        <w:spacing w:line="480" w:lineRule="exact"/>
        <w:ind w:firstLine="496"/>
        <w:rPr>
          <w:rFonts w:hint="eastAsia" w:ascii="仿宋" w:hAnsi="仿宋" w:eastAsia="仿宋" w:cs="仿宋"/>
          <w:bCs/>
          <w:color w:val="auto"/>
          <w:highlight w:val="none"/>
        </w:rPr>
      </w:pPr>
      <w:bookmarkStart w:id="178" w:name="_Toc521924606"/>
      <w:bookmarkStart w:id="179" w:name="_Toc3979681"/>
      <w:bookmarkStart w:id="180" w:name="_Toc522249980"/>
      <w:bookmarkStart w:id="181" w:name="_Toc923753"/>
      <w:bookmarkStart w:id="182" w:name="_Toc3636827"/>
      <w:bookmarkStart w:id="183" w:name="_Toc3831327"/>
      <w:bookmarkStart w:id="184" w:name="_Toc3633678"/>
      <w:bookmarkStart w:id="185" w:name="_Toc3517701"/>
      <w:bookmarkStart w:id="186" w:name="_Toc523542708"/>
      <w:bookmarkStart w:id="187" w:name="_Toc1876220"/>
      <w:bookmarkStart w:id="188" w:name="_Toc2071540"/>
      <w:bookmarkStart w:id="189" w:name="_Toc480258780"/>
      <w:bookmarkStart w:id="190" w:name="_Toc1877125"/>
      <w:bookmarkStart w:id="191" w:name="_Toc479500871"/>
      <w:bookmarkStart w:id="192" w:name="_Toc4051044"/>
      <w:bookmarkStart w:id="193" w:name="_Toc522250426"/>
      <w:bookmarkStart w:id="194" w:name="_Toc523825993"/>
      <w:bookmarkStart w:id="195" w:name="_Toc522866708"/>
      <w:bookmarkStart w:id="196" w:name="_Toc3518177"/>
      <w:bookmarkStart w:id="197" w:name="_Toc522940801"/>
      <w:bookmarkStart w:id="198" w:name="_Toc3908442"/>
      <w:bookmarkStart w:id="199" w:name="_Toc4071355"/>
      <w:r>
        <w:rPr>
          <w:rFonts w:hint="eastAsia" w:ascii="仿宋" w:hAnsi="仿宋" w:eastAsia="仿宋" w:cs="仿宋"/>
          <w:bCs/>
          <w:color w:val="auto"/>
          <w:highlight w:val="none"/>
        </w:rPr>
        <w:t>5）人员配备及培训</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084C9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监理人应配备一定数量的专门人员负责支持和维护计算机工程信息管理系统，并报委托人备案。监理人至少应有如下人员：</w:t>
      </w:r>
    </w:p>
    <w:p w14:paraId="6203CB4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① 计算机系统专门人员。要求熟悉计算机软硬件技术，能进行计算机工程信息管理系统，相关部分的日常维护，负责与委托人计算机系统人员协调解决计算机工程信息管理系统，应用中出现的问题。</w:t>
      </w:r>
    </w:p>
    <w:p w14:paraId="7BE0613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② 数据管理和录入人员2～3名。负责采集、录入、核对委托人和监理工程师要求提供的信息，并保证数据的及时准确。</w:t>
      </w:r>
    </w:p>
    <w:p w14:paraId="28D1BC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以上人员须参加岗位培训，经一定形式的考核后方能上岗。</w:t>
      </w:r>
    </w:p>
    <w:p w14:paraId="02F10B95">
      <w:pPr>
        <w:pStyle w:val="105"/>
        <w:spacing w:line="480" w:lineRule="exact"/>
        <w:ind w:firstLine="496"/>
        <w:rPr>
          <w:rFonts w:hint="eastAsia" w:ascii="仿宋" w:hAnsi="仿宋" w:eastAsia="仿宋" w:cs="仿宋"/>
          <w:bCs/>
          <w:color w:val="auto"/>
          <w:highlight w:val="none"/>
        </w:rPr>
      </w:pPr>
      <w:bookmarkStart w:id="200" w:name="_Toc522249981"/>
      <w:bookmarkStart w:id="201" w:name="_Toc3518178"/>
      <w:bookmarkStart w:id="202" w:name="_Toc522940802"/>
      <w:bookmarkStart w:id="203" w:name="_Toc479500872"/>
      <w:bookmarkStart w:id="204" w:name="_Toc3979682"/>
      <w:bookmarkStart w:id="205" w:name="_Toc523825994"/>
      <w:bookmarkStart w:id="206" w:name="_Toc522250427"/>
      <w:bookmarkStart w:id="207" w:name="_Toc480258781"/>
      <w:bookmarkStart w:id="208" w:name="_Toc3908443"/>
      <w:bookmarkStart w:id="209" w:name="_Toc3636828"/>
      <w:bookmarkStart w:id="210" w:name="_Toc521924607"/>
      <w:bookmarkStart w:id="211" w:name="_Toc1877126"/>
      <w:bookmarkStart w:id="212" w:name="_Toc3633679"/>
      <w:bookmarkStart w:id="213" w:name="_Toc2071541"/>
      <w:bookmarkStart w:id="214" w:name="_Toc522866709"/>
      <w:bookmarkStart w:id="215" w:name="_Toc4071356"/>
      <w:bookmarkStart w:id="216" w:name="_Toc1876221"/>
      <w:bookmarkStart w:id="217" w:name="_Toc4051045"/>
      <w:bookmarkStart w:id="218" w:name="_Toc3517702"/>
      <w:bookmarkStart w:id="219" w:name="_Toc523542709"/>
      <w:bookmarkStart w:id="220" w:name="_Toc923754"/>
      <w:bookmarkStart w:id="221" w:name="_Toc3831328"/>
      <w:r>
        <w:rPr>
          <w:rFonts w:hint="eastAsia" w:ascii="仿宋" w:hAnsi="仿宋" w:eastAsia="仿宋" w:cs="仿宋"/>
          <w:bCs/>
          <w:color w:val="auto"/>
          <w:highlight w:val="none"/>
        </w:rPr>
        <w:t>6）信息内容、格式及信息传递要求</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39C393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14:paraId="6561D55B">
      <w:pPr>
        <w:pStyle w:val="105"/>
        <w:spacing w:line="480" w:lineRule="exact"/>
        <w:ind w:firstLine="496"/>
        <w:rPr>
          <w:rFonts w:hint="eastAsia" w:ascii="仿宋" w:hAnsi="仿宋" w:eastAsia="仿宋" w:cs="仿宋"/>
          <w:bCs/>
          <w:color w:val="auto"/>
          <w:highlight w:val="none"/>
        </w:rPr>
      </w:pPr>
      <w:bookmarkStart w:id="222" w:name="_Toc1877127"/>
      <w:bookmarkStart w:id="223" w:name="_Toc522940803"/>
      <w:bookmarkStart w:id="224" w:name="_Toc4051046"/>
      <w:bookmarkStart w:id="225" w:name="_Toc522249982"/>
      <w:bookmarkStart w:id="226" w:name="_Toc522866710"/>
      <w:bookmarkStart w:id="227" w:name="_Toc2071542"/>
      <w:bookmarkStart w:id="228" w:name="_Toc3517703"/>
      <w:bookmarkStart w:id="229" w:name="_Toc522250428"/>
      <w:bookmarkStart w:id="230" w:name="_Toc523825995"/>
      <w:bookmarkStart w:id="231" w:name="_Toc3979683"/>
      <w:bookmarkStart w:id="232" w:name="_Toc4071357"/>
      <w:bookmarkStart w:id="233" w:name="_Toc3908444"/>
      <w:bookmarkStart w:id="234" w:name="_Toc479500873"/>
      <w:bookmarkStart w:id="235" w:name="_Toc1876222"/>
      <w:bookmarkStart w:id="236" w:name="_Toc923755"/>
      <w:bookmarkStart w:id="237" w:name="_Toc3633680"/>
      <w:bookmarkStart w:id="238" w:name="_Toc3636829"/>
      <w:bookmarkStart w:id="239" w:name="_Toc521924608"/>
      <w:bookmarkStart w:id="240" w:name="_Toc480258782"/>
      <w:bookmarkStart w:id="241" w:name="_Toc3831329"/>
      <w:bookmarkStart w:id="242" w:name="_Toc523542710"/>
      <w:bookmarkStart w:id="243" w:name="_Toc3518179"/>
      <w:r>
        <w:rPr>
          <w:rFonts w:hint="eastAsia" w:ascii="仿宋" w:hAnsi="仿宋" w:eastAsia="仿宋" w:cs="仿宋"/>
          <w:bCs/>
          <w:color w:val="auto"/>
          <w:highlight w:val="none"/>
        </w:rPr>
        <w:t>7）信息安全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37A367B">
      <w:pPr>
        <w:pStyle w:val="105"/>
        <w:spacing w:line="480" w:lineRule="exact"/>
        <w:ind w:firstLine="496"/>
        <w:rPr>
          <w:rFonts w:hint="eastAsia" w:ascii="仿宋" w:hAnsi="仿宋" w:eastAsia="仿宋" w:cs="仿宋"/>
          <w:color w:val="auto"/>
          <w:highlight w:val="none"/>
          <w:u w:val="single"/>
        </w:rPr>
      </w:pPr>
      <w:r>
        <w:rPr>
          <w:rFonts w:hint="eastAsia" w:ascii="仿宋" w:hAnsi="仿宋" w:eastAsia="仿宋" w:cs="仿宋"/>
          <w:color w:val="auto"/>
          <w:highlight w:val="none"/>
        </w:rPr>
        <w:t>计算机工程信息管理系统采用授权用户及密码验证以保证合法用户使用。监理人在使用计算机工程信息管理系统过程中，应采取必要的措施，以确保信息的完整、准确和安全。计算机工程信息管理系统中的信息资源所有权属于委托人，在本合同履行过程中，监理人可以访问使用与本合同相关的信息。</w:t>
      </w:r>
    </w:p>
    <w:p w14:paraId="69E65A7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（4）对所收集的信息必须进行分析，确保其准确、全面、来源可靠，且要求为正式资料。</w:t>
      </w:r>
    </w:p>
    <w:p w14:paraId="5921711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及时将采集到的信息进行筛选分类，分别通报给有关领导、职能部门和有关人员审阅和签署意见。</w:t>
      </w:r>
    </w:p>
    <w:p w14:paraId="1B6FF74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（6）</w:t>
      </w:r>
      <w:r>
        <w:rPr>
          <w:rFonts w:hint="eastAsia" w:ascii="仿宋" w:hAnsi="仿宋" w:eastAsia="仿宋" w:cs="仿宋"/>
          <w:color w:val="auto"/>
          <w:highlight w:val="none"/>
        </w:rPr>
        <w:t>建立主体数据库系统结构，及时对信息分类保存、要求列名事件、题目、来源、概要、经办人或其他基本情况。</w:t>
      </w:r>
    </w:p>
    <w:p w14:paraId="1F01C35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（7）</w:t>
      </w:r>
      <w:r>
        <w:rPr>
          <w:rFonts w:hint="eastAsia" w:ascii="仿宋" w:hAnsi="仿宋" w:eastAsia="仿宋" w:cs="仿宋"/>
          <w:color w:val="auto"/>
          <w:highlight w:val="none"/>
        </w:rPr>
        <w:t>对信息资料收集和反馈进行跟踪，对信息进行动态管理。</w:t>
      </w:r>
    </w:p>
    <w:p w14:paraId="6A46F92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（8）</w:t>
      </w:r>
      <w:r>
        <w:rPr>
          <w:rFonts w:hint="eastAsia" w:ascii="仿宋" w:hAnsi="仿宋" w:eastAsia="仿宋" w:cs="仿宋"/>
          <w:color w:val="auto"/>
          <w:highlight w:val="none"/>
        </w:rPr>
        <w:t>涉及国家机密或各单位商业秘密的信息资料保管工作应制订保密管理细则，防止机密泄漏，避免造成经济损失和政治影响。</w:t>
      </w:r>
    </w:p>
    <w:p w14:paraId="3B3C8FB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（9）</w:t>
      </w:r>
      <w:r>
        <w:rPr>
          <w:rFonts w:hint="eastAsia" w:ascii="仿宋" w:hAnsi="仿宋" w:eastAsia="仿宋" w:cs="仿宋"/>
          <w:color w:val="auto"/>
          <w:highlight w:val="none"/>
        </w:rPr>
        <w:t>有保留价值的信息，经请示有关领导后可以消除，但应做好登记。</w:t>
      </w:r>
    </w:p>
    <w:p w14:paraId="38C8563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（10）</w:t>
      </w:r>
      <w:r>
        <w:rPr>
          <w:rFonts w:hint="eastAsia" w:ascii="仿宋" w:hAnsi="仿宋" w:eastAsia="仿宋" w:cs="仿宋"/>
          <w:color w:val="auto"/>
          <w:highlight w:val="none"/>
        </w:rPr>
        <w:t>工程结束后，按有关规定进行信息整理存档、移交，并办理好移交签收手续。</w:t>
      </w:r>
    </w:p>
    <w:p w14:paraId="66F63DE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（11）监理人在提交相关信息的纸质文件的同时，须根据委托人的要求提交（</w:t>
      </w:r>
      <w:r>
        <w:rPr>
          <w:rFonts w:hint="eastAsia" w:ascii="仿宋" w:hAnsi="仿宋" w:eastAsia="仿宋" w:cs="仿宋"/>
          <w:bCs/>
          <w:color w:val="auto"/>
          <w:highlight w:val="none"/>
          <w:bdr w:val="single" w:color="auto" w:sz="4" w:space="0"/>
        </w:rPr>
        <w:t>√</w:t>
      </w:r>
      <w:r>
        <w:rPr>
          <w:rFonts w:hint="eastAsia" w:ascii="仿宋" w:hAnsi="仿宋" w:eastAsia="仿宋" w:cs="仿宋"/>
          <w:color w:val="auto"/>
          <w:highlight w:val="none"/>
        </w:rPr>
        <w:t xml:space="preserve"> 电子原版，</w:t>
      </w:r>
      <w:r>
        <w:rPr>
          <w:rFonts w:hint="eastAsia" w:ascii="仿宋" w:hAnsi="仿宋" w:eastAsia="仿宋" w:cs="仿宋"/>
          <w:bCs/>
          <w:color w:val="auto"/>
          <w:highlight w:val="none"/>
          <w:bdr w:val="single" w:color="auto" w:sz="4" w:space="0"/>
        </w:rPr>
        <w:t>√</w:t>
      </w:r>
      <w:r>
        <w:rPr>
          <w:rFonts w:hint="eastAsia" w:ascii="仿宋" w:hAnsi="仿宋" w:eastAsia="仿宋" w:cs="仿宋"/>
          <w:color w:val="auto"/>
          <w:highlight w:val="none"/>
        </w:rPr>
        <w:t>纸质文件扫描版）。</w:t>
      </w:r>
    </w:p>
    <w:p w14:paraId="73E9A51E">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（十）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工程项目沟通与协调</w:t>
      </w:r>
    </w:p>
    <w:p w14:paraId="0B1951E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建立项目沟通与协调管理系统，健全各项制度，并本着“严格守法、遵守公德”的原则，以维护各相关方的利益为前提，应用先进、实用的方法和手段，有效解决项目实施过程中的问题。</w:t>
      </w:r>
    </w:p>
    <w:p w14:paraId="3E9F5AD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color w:val="auto"/>
          <w:highlight w:val="none"/>
        </w:rPr>
        <w:t>制定项目沟通管理计划，按内容划分主要有：施工进度、质量、安全、成本、资金、环保、设计变更、索赔、材料供应、设备使用、人力资源、文明工地建设、思想政治工作等；按时间划分主要有：项目管理实施规划、年度计划、半年计划、季度计划、月计划、旬计划、周计划等。</w:t>
      </w:r>
    </w:p>
    <w:p w14:paraId="2D0DF0C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（3）</w:t>
      </w:r>
      <w:r>
        <w:rPr>
          <w:rFonts w:hint="eastAsia" w:ascii="仿宋" w:hAnsi="仿宋" w:eastAsia="仿宋" w:cs="仿宋"/>
          <w:color w:val="auto"/>
          <w:highlight w:val="none"/>
        </w:rPr>
        <w:t>项目沟通管理计划明确沟通的具体内容、对象、方式、目标、责任人、完成时间、奖罚措施等，并定期或不定期地进行检查、考核和评价，确保沟通计划落到实处。</w:t>
      </w:r>
    </w:p>
    <w:p w14:paraId="25B9631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（4）</w:t>
      </w:r>
      <w:r>
        <w:rPr>
          <w:rFonts w:hint="eastAsia" w:ascii="仿宋" w:hAnsi="仿宋" w:eastAsia="仿宋" w:cs="仿宋"/>
          <w:color w:val="auto"/>
          <w:highlight w:val="none"/>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0CAAF62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69F1B8F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（6）</w:t>
      </w:r>
      <w:r>
        <w:rPr>
          <w:rFonts w:hint="eastAsia" w:ascii="仿宋" w:hAnsi="仿宋" w:eastAsia="仿宋" w:cs="仿宋"/>
          <w:color w:val="auto"/>
          <w:highlight w:val="none"/>
        </w:rPr>
        <w:t>妥善处理各分项工程之间的施工配合，要求各承包人提出需要配合的问题，如施工场地的要求、施工用水、用电、交叉作业的相互影响，施工收口处理、建筑成品保护要求及需要采取的配合措施等。</w:t>
      </w:r>
    </w:p>
    <w:p w14:paraId="48D3C0F5">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（十一）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环境管理工作</w:t>
      </w:r>
    </w:p>
    <w:p w14:paraId="7EC3FC5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监理人应对施工过程中影响环境的活动进行监督管理，以满足相关的法律法规对环境保护的要求。监理人环境管理工作的主要工作内容如下：</w:t>
      </w:r>
    </w:p>
    <w:p w14:paraId="051F2D0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（1）制定相关的监督检查工作的程序及制度提交委托人及政府相关部门核准；</w:t>
      </w:r>
    </w:p>
    <w:p w14:paraId="26FC467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（2）根据相关的法律、法规、制度及程序等，对工程建设过程中污染环境、破坏生态的行为进行监督管理，如噪声、废气、污水等污染物排放应达标、粉尘控制达标、减少水土流失和生态环境破坏；</w:t>
      </w:r>
    </w:p>
    <w:p w14:paraId="05BE2D3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（3）对配套的环保工程进行施工监理，如对水处理设施、声屏障、绿化工程、水源保护区的保护等进行监理。</w:t>
      </w:r>
    </w:p>
    <w:p w14:paraId="0CB1F0B0">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 xml:space="preserve">（十二）  </w:t>
      </w:r>
      <w:r>
        <w:rPr>
          <w:rFonts w:hint="eastAsia" w:ascii="仿宋" w:hAnsi="仿宋" w:eastAsia="仿宋" w:cs="仿宋"/>
          <w:b/>
          <w:color w:val="auto"/>
          <w:highlight w:val="none"/>
          <w:lang w:eastAsia="zh-CN"/>
        </w:rPr>
        <w:t>施工阶段</w:t>
      </w:r>
      <w:r>
        <w:rPr>
          <w:rFonts w:hint="eastAsia" w:ascii="仿宋" w:hAnsi="仿宋" w:eastAsia="仿宋" w:cs="仿宋"/>
          <w:b/>
          <w:color w:val="auto"/>
          <w:highlight w:val="none"/>
        </w:rPr>
        <w:t>监理月报</w:t>
      </w:r>
    </w:p>
    <w:p w14:paraId="6601130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监理月报应包括以下内容：</w:t>
      </w:r>
    </w:p>
    <w:p w14:paraId="0DA7200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（1）本月工程概况；</w:t>
      </w:r>
    </w:p>
    <w:p w14:paraId="442420C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（2）本月工程形象进度；</w:t>
      </w:r>
    </w:p>
    <w:p w14:paraId="447091D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（3）工程进度，包括：</w:t>
      </w:r>
    </w:p>
    <w:p w14:paraId="14CF9FE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1）本月实际完成情况与计划进度比较；</w:t>
      </w:r>
    </w:p>
    <w:p w14:paraId="3F3CA93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2）对进度完成情况及采取措施效果的分析。</w:t>
      </w:r>
    </w:p>
    <w:p w14:paraId="7FEF599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（4）工程质量，包括：</w:t>
      </w:r>
    </w:p>
    <w:p w14:paraId="645C8FF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1）本月工程质量情况分析；</w:t>
      </w:r>
    </w:p>
    <w:p w14:paraId="4B1238B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2）本月采取的工程质量措施及效果。</w:t>
      </w:r>
    </w:p>
    <w:p w14:paraId="7A34FDB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（5）工程计量与工程款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，包括：</w:t>
      </w:r>
    </w:p>
    <w:p w14:paraId="23477FC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1）工程量审核情况；</w:t>
      </w:r>
    </w:p>
    <w:p w14:paraId="7F9C4A9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2）工程款审批情况及月</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情况；</w:t>
      </w:r>
    </w:p>
    <w:p w14:paraId="02D3C17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情况分析；</w:t>
      </w:r>
    </w:p>
    <w:p w14:paraId="6490239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4）本月采取的措施及效果。</w:t>
      </w:r>
    </w:p>
    <w:p w14:paraId="59793EF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（6）合同其他事项的处理情况，包括：</w:t>
      </w:r>
    </w:p>
    <w:p w14:paraId="048108C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1）工程变更；</w:t>
      </w:r>
    </w:p>
    <w:p w14:paraId="591A778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2）工程延期；</w:t>
      </w:r>
    </w:p>
    <w:p w14:paraId="44034F9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3）费用索赔。</w:t>
      </w:r>
    </w:p>
    <w:p w14:paraId="72C1480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（7）本月职业健康安全及环境等情况的综合评价及相关意见或建议。</w:t>
      </w:r>
    </w:p>
    <w:p w14:paraId="6E73E19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（8）本月监理工作小结，包括：</w:t>
      </w:r>
    </w:p>
    <w:p w14:paraId="47841E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1）对本月进度、质量、工程款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、安全文明施工等方面情况的综合评价；</w:t>
      </w:r>
    </w:p>
    <w:p w14:paraId="317526D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2）本月监理工作情况；</w:t>
      </w:r>
    </w:p>
    <w:p w14:paraId="2FCED9F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3）有关本工程的意见和建议；</w:t>
      </w:r>
    </w:p>
    <w:p w14:paraId="2931EE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4）下月监理工作的重点。</w:t>
      </w:r>
    </w:p>
    <w:p w14:paraId="324B567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监理月报应由总监理工程师组织编制及签认，签认后报委托人和本监理人总部。</w:t>
      </w:r>
    </w:p>
    <w:p w14:paraId="46F7BF88">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（十三）施工阶段的其他监理工作</w:t>
      </w:r>
    </w:p>
    <w:p w14:paraId="4E54858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（1）工地例会</w:t>
      </w:r>
    </w:p>
    <w:p w14:paraId="42EADCC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1）在施工过程中，总监理工程师应定期主持召开工地例会。工地例会应按委托人提供的例会细则执行。会议纪要应由项目监理机构负责起草，并经与会各方代表会签。</w:t>
      </w:r>
    </w:p>
    <w:p w14:paraId="2BB252F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2）工地例会应包括以下主要内容：</w:t>
      </w:r>
    </w:p>
    <w:p w14:paraId="3452E70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① 检查上次例会议定事项的落实情况，分析未完事项原因；</w:t>
      </w:r>
    </w:p>
    <w:p w14:paraId="10DA6E3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② 检查分析工程项目进度计划完成情况，提出下一阶段进度目标及其落实措施；</w:t>
      </w:r>
    </w:p>
    <w:p w14:paraId="637C19D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③ 检查分析工程项目质量状况，针对存在的质量问题提出改进措施；</w:t>
      </w:r>
    </w:p>
    <w:p w14:paraId="123F465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④ 检查工程量核定及工程款</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情况；</w:t>
      </w:r>
    </w:p>
    <w:p w14:paraId="5A0D297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⑤ 检讨工作联系单的相关内容的执行情况，解决需要协调的有关事项；</w:t>
      </w:r>
    </w:p>
    <w:p w14:paraId="201FBE0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⑥ 本月职业健康安全及环境、文明施工等方面的综合情况，解决需要协调的有关事项。</w:t>
      </w:r>
    </w:p>
    <w:p w14:paraId="460712A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⑦ 其他有关事宜。</w:t>
      </w:r>
    </w:p>
    <w:p w14:paraId="7556F5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3）总监理工程师或专业监理工程师应根据需要及时组织专题会议，解决施工过程中的各种专项问题。</w:t>
      </w:r>
    </w:p>
    <w:p w14:paraId="71B8318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4）对于工地例会上提出的有关设计问题，监理人应积极把关控制，不应随意对相关问题做出定论。工地例会上的相关结论必须以设计变更的方式确定后方可实施。</w:t>
      </w:r>
    </w:p>
    <w:p w14:paraId="2178CA0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5）监理人需参加由委托人组织的设计例会，提出合理化建议和配合完善设计变更手续等工作。</w:t>
      </w:r>
    </w:p>
    <w:p w14:paraId="1AB9000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（2）工程暂停及复工的相关工作</w:t>
      </w:r>
    </w:p>
    <w:p w14:paraId="5EEBB49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1）总监理工程师在签发工程暂停令时，应根据暂停工程的影响范围和影响程度，按照施工合同和委托监理合同的约定签发。</w:t>
      </w:r>
    </w:p>
    <w:p w14:paraId="163972C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2）在发生下列情况之一时，总监理工程师可签发工程暂停令：</w:t>
      </w:r>
    </w:p>
    <w:p w14:paraId="1FEE776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① 委托人要求暂停施工且工程需要暂停施工；</w:t>
      </w:r>
    </w:p>
    <w:p w14:paraId="721F886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② 为了保证工程质量而需要进行停工处理；</w:t>
      </w:r>
    </w:p>
    <w:p w14:paraId="562E792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③ 施工出现了安全隐患，总监理工程师认为有必要停工以消除隐患；</w:t>
      </w:r>
    </w:p>
    <w:p w14:paraId="2DFB7BB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④ 发生了必须暂时停止施工的紧急事件；</w:t>
      </w:r>
    </w:p>
    <w:p w14:paraId="504A426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⑤ 承包人未经许可擅自施工或拒绝项目监理机构管理。</w:t>
      </w:r>
    </w:p>
    <w:p w14:paraId="21E8815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3）总监理工程师在签发工程暂停令时，应根据停工原因的影响范围和影响程度，确定工程项目停工范围。</w:t>
      </w:r>
    </w:p>
    <w:p w14:paraId="668F516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4）由于非承包人且非</w:t>
      </w:r>
      <w:r>
        <w:rPr>
          <w:rFonts w:hint="eastAsia" w:ascii="仿宋" w:hAnsi="仿宋" w:eastAsia="仿宋" w:cs="仿宋"/>
          <w:color w:val="auto"/>
          <w:highlight w:val="none"/>
          <w:u w:val="wave"/>
        </w:rPr>
        <w:t>上述第2）-②、③、④、⑤项</w:t>
      </w:r>
      <w:r>
        <w:rPr>
          <w:rFonts w:hint="eastAsia" w:ascii="仿宋" w:hAnsi="仿宋" w:eastAsia="仿宋" w:cs="仿宋"/>
          <w:color w:val="auto"/>
          <w:highlight w:val="none"/>
        </w:rPr>
        <w:t>原因时，总监理工程师在签发工程暂停令之前，应就有关工期和费用等事宜与承包人进行协商。</w:t>
      </w:r>
    </w:p>
    <w:p w14:paraId="73B9407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5）由于委托人原因或其他非承包人原因导致工程暂停时，项目监理机构应如实记录所发生的实际情况。总监理工程师应在施工暂停原因消失、具备复工条件时，及时签署工程复工报审表，指令承包人继续施工。</w:t>
      </w:r>
    </w:p>
    <w:p w14:paraId="3D98F91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6）由于承包人原因导致工程暂停，在具备恢复施工条件时，项目监理机构应审查承包人报送的复工申请及有关材料，同意后由总监理工程师签署工程复工报审表，指令承包人继续施工。</w:t>
      </w:r>
    </w:p>
    <w:p w14:paraId="210C5CC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7）总监理工程师在签发工程暂停令到签发工程复工报审表之间的时间内，应会同有关各方按照施工合同的约定，处理因工程暂停引起的与工期、费用等有关的问题。</w:t>
      </w:r>
    </w:p>
    <w:p w14:paraId="58278D1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（3）工程延期及工程延误的处理工作</w:t>
      </w:r>
    </w:p>
    <w:p w14:paraId="013CEA5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1）当承包人提出工程延期要求符合施工合同文件的规定条件时，项目监理机构应予以受理。</w:t>
      </w:r>
    </w:p>
    <w:p w14:paraId="4B7D9AA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并由总监理工程师签署工程最终延期审批表。</w:t>
      </w:r>
    </w:p>
    <w:p w14:paraId="0E2A9AA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3）项目监理机构在作出临时工程延期批准或最终的工程延期批准之前，均应与委托人和承包人进行协商。</w:t>
      </w:r>
    </w:p>
    <w:p w14:paraId="256EF5B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4）项目监理机构在审查工程延期时，应依下列情况确定批准工程延期的时间：</w:t>
      </w:r>
    </w:p>
    <w:p w14:paraId="5E0527A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① 施工合同中有关工程延期的约定；</w:t>
      </w:r>
    </w:p>
    <w:p w14:paraId="53B5FFE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② 工期拖延和影响工期事件的事实和程度；</w:t>
      </w:r>
    </w:p>
    <w:p w14:paraId="1E50BD5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③ 影响工期事件对工期影响的量化程度。</w:t>
      </w:r>
    </w:p>
    <w:p w14:paraId="6E10619C">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5）工程延期造成承包人提出费用索赔时，项目监理机构应按本条第4.1.3.6-（10）-1）项的约定处理。</w:t>
      </w:r>
    </w:p>
    <w:p w14:paraId="0DFECCA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6）当承包人未能按照施工合同要求的工期竣工交付造成工期延误时，项目监理机构应按施工合同规定从承包人应得款项中扣除误期损害赔偿费。</w:t>
      </w:r>
    </w:p>
    <w:p w14:paraId="7301F228">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（十四）工程收尾阶段的监理工作（包括但不限于以下内容）</w:t>
      </w:r>
    </w:p>
    <w:p w14:paraId="758E4517">
      <w:pPr>
        <w:pStyle w:val="105"/>
        <w:spacing w:line="480" w:lineRule="exact"/>
        <w:ind w:firstLine="496"/>
        <w:outlineLvl w:val="4"/>
        <w:rPr>
          <w:rFonts w:hint="eastAsia" w:ascii="仿宋" w:hAnsi="仿宋" w:eastAsia="仿宋" w:cs="仿宋"/>
          <w:color w:val="auto"/>
          <w:highlight w:val="none"/>
        </w:rPr>
      </w:pPr>
      <w:r>
        <w:rPr>
          <w:rFonts w:hint="eastAsia" w:ascii="仿宋" w:hAnsi="仿宋" w:eastAsia="仿宋" w:cs="仿宋"/>
          <w:color w:val="auto"/>
          <w:highlight w:val="none"/>
        </w:rPr>
        <w:t>工程收尾阶段包括竣工扫尾、验收、整改、移交、结算、考核评价等方面的管理。监理人应制定工作计划，提出各项管理要求。工程收尾阶段管理应包括以下内容：</w:t>
      </w:r>
    </w:p>
    <w:p w14:paraId="1D33626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（1）</w:t>
      </w:r>
      <w:r>
        <w:rPr>
          <w:rFonts w:hint="eastAsia" w:ascii="仿宋" w:hAnsi="仿宋" w:eastAsia="仿宋" w:cs="仿宋"/>
          <w:color w:val="auto"/>
          <w:highlight w:val="none"/>
        </w:rPr>
        <w:t>项目的竣工扫尾；</w:t>
      </w:r>
    </w:p>
    <w:p w14:paraId="3889DAD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（2）</w:t>
      </w:r>
      <w:r>
        <w:rPr>
          <w:rFonts w:hint="eastAsia" w:ascii="仿宋" w:hAnsi="仿宋" w:eastAsia="仿宋" w:cs="仿宋"/>
          <w:color w:val="auto"/>
          <w:highlight w:val="none"/>
        </w:rPr>
        <w:t>项目的竣工验收、整改及移交；</w:t>
      </w:r>
    </w:p>
    <w:p w14:paraId="79D313E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（3）</w:t>
      </w:r>
      <w:r>
        <w:rPr>
          <w:rFonts w:hint="eastAsia" w:ascii="仿宋" w:hAnsi="仿宋" w:eastAsia="仿宋" w:cs="仿宋"/>
          <w:color w:val="auto"/>
          <w:highlight w:val="none"/>
        </w:rPr>
        <w:t>项目的竣工结算；</w:t>
      </w:r>
    </w:p>
    <w:p w14:paraId="5772947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（4）</w:t>
      </w:r>
      <w:r>
        <w:rPr>
          <w:rFonts w:hint="eastAsia" w:ascii="仿宋" w:hAnsi="仿宋" w:eastAsia="仿宋" w:cs="仿宋"/>
          <w:color w:val="auto"/>
          <w:highlight w:val="none"/>
        </w:rPr>
        <w:t>项目的回访维护；</w:t>
      </w:r>
    </w:p>
    <w:p w14:paraId="71245C7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bCs/>
          <w:color w:val="auto"/>
          <w:highlight w:val="none"/>
        </w:rPr>
        <w:t>（5）</w:t>
      </w:r>
      <w:r>
        <w:rPr>
          <w:rFonts w:hint="eastAsia" w:ascii="仿宋" w:hAnsi="仿宋" w:eastAsia="仿宋" w:cs="仿宋"/>
          <w:color w:val="auto"/>
          <w:highlight w:val="none"/>
        </w:rPr>
        <w:t>项目的考核评价。</w:t>
      </w:r>
    </w:p>
    <w:p w14:paraId="56E2B460">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（十五） 竣工验收</w:t>
      </w:r>
    </w:p>
    <w:p w14:paraId="15F25F3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14:paraId="578C2B6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14:paraId="41A5CA9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（3）组织或协助委托人、承包人和产权管理单位对项目进行移交。</w:t>
      </w:r>
    </w:p>
    <w:p w14:paraId="4086062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（4）根据现场的实际竣工情况对承包人提交的竣工图纸（包括设备移交资料等）进行复核确认。</w:t>
      </w:r>
    </w:p>
    <w:p w14:paraId="71096734">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（十六）审核竣工结算</w:t>
      </w:r>
    </w:p>
    <w:p w14:paraId="1EA6E68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（1）结算的总体要求</w:t>
      </w:r>
    </w:p>
    <w:p w14:paraId="34E44C7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人应根据有关合同约定及工程进展的实际情况，于竣工后2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14:paraId="614C7B5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（2）工程结算资料必须实事求是、完整、真实准确，工程资料的主要内容包括：</w:t>
      </w:r>
    </w:p>
    <w:p w14:paraId="4836130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1）合同（组成包括：协议书、中标通知书或委托书、投标文件澄清纪要、投标文件及其附件、合同专用条款、合同标准条件、招标文件及补遗书、本合同履行期间合同各方间签订的补充合同（协议）、其它）；</w:t>
      </w:r>
    </w:p>
    <w:p w14:paraId="56911EF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2）结算书及电子文档；</w:t>
      </w:r>
    </w:p>
    <w:p w14:paraId="1068CCD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3）招标图纸及竣工图纸；</w:t>
      </w:r>
    </w:p>
    <w:p w14:paraId="754B9B9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4）图纸会审（交底）的会议纪要；</w:t>
      </w:r>
    </w:p>
    <w:p w14:paraId="4685591B">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5）工程量计算书（或钢筋抽料表）及电子文档；</w:t>
      </w:r>
    </w:p>
    <w:p w14:paraId="13DA711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6）工程变更图纸、变更指令及工程变更申报审批表；</w:t>
      </w:r>
    </w:p>
    <w:p w14:paraId="70997D13">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7）施工现场变更签证及工程变更申报审批表；</w:t>
      </w:r>
    </w:p>
    <w:p w14:paraId="5FE72C5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8）工程竣工验收证明；</w:t>
      </w:r>
    </w:p>
    <w:p w14:paraId="5843467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9）开、竣工报告；</w:t>
      </w:r>
    </w:p>
    <w:p w14:paraId="73EB391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10）中间计量资料；</w:t>
      </w:r>
    </w:p>
    <w:p w14:paraId="07FBF27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11）其它竣工结算资料。</w:t>
      </w:r>
    </w:p>
    <w:p w14:paraId="5BB8DC7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（3）政府有权审核部门结算审核过程中的相关工作</w:t>
      </w:r>
    </w:p>
    <w:p w14:paraId="6D24062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1）监理人应积极组织并督促承包人配合政府主管部门对本合同工程结算书（结算资料）的审核工作，以推动结算工作的顺利进行。</w:t>
      </w:r>
    </w:p>
    <w:p w14:paraId="2631572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2）监理人应按委托人要求，派出相关人员参加政府主管部门组织的针对本合同工程结算审核工作的相关会议（如结算工作会议、结算工程量核对会议等）。</w:t>
      </w:r>
    </w:p>
    <w:p w14:paraId="5340016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3）监理人应根据政府主管部门对本合同工程结算提出的意见，向委托人提出解决本合同工程结算争议的合理建议。</w:t>
      </w:r>
    </w:p>
    <w:p w14:paraId="0A0028F6">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（十七）提交监理工作总结</w:t>
      </w:r>
    </w:p>
    <w:p w14:paraId="0D13E44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监理工作结束时，监理人应向委托人提交监理工作总结。监理工作总结包括但不限于以下内容：</w:t>
      </w:r>
    </w:p>
    <w:p w14:paraId="3905593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（1）工程概况；</w:t>
      </w:r>
    </w:p>
    <w:p w14:paraId="503A57B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（2）监理组织机构、监理人员和投入的监理设施；</w:t>
      </w:r>
    </w:p>
    <w:p w14:paraId="41C650C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（3）监理合同履行情况；</w:t>
      </w:r>
    </w:p>
    <w:p w14:paraId="7F2FB87D">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（4）监理工作成效；</w:t>
      </w:r>
    </w:p>
    <w:p w14:paraId="0D8E98C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（5）施工过程中出现的问题及其处理情况和建议；</w:t>
      </w:r>
    </w:p>
    <w:p w14:paraId="4127933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（6）工程照片（有必要时）。</w:t>
      </w:r>
    </w:p>
    <w:p w14:paraId="7D1CB1EB">
      <w:pPr>
        <w:pStyle w:val="105"/>
        <w:spacing w:line="480" w:lineRule="exact"/>
        <w:ind w:firstLine="498"/>
        <w:outlineLvl w:val="3"/>
        <w:rPr>
          <w:rFonts w:hint="eastAsia" w:ascii="仿宋" w:hAnsi="仿宋" w:eastAsia="仿宋" w:cs="仿宋"/>
          <w:b/>
          <w:color w:val="auto"/>
          <w:highlight w:val="none"/>
        </w:rPr>
      </w:pPr>
      <w:r>
        <w:rPr>
          <w:rFonts w:hint="eastAsia" w:ascii="仿宋" w:hAnsi="仿宋" w:eastAsia="仿宋" w:cs="仿宋"/>
          <w:b/>
          <w:color w:val="auto"/>
          <w:highlight w:val="none"/>
        </w:rPr>
        <w:t>（十八）工程质量保修期的监理工作</w:t>
      </w:r>
    </w:p>
    <w:p w14:paraId="65E4AB74">
      <w:pPr>
        <w:adjustRightInd w:val="0"/>
        <w:snapToGrid w:val="0"/>
        <w:spacing w:line="48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（1）监理人应依据委托监理合同约定的工程质量保修期监理工作的时间、范围和内容开展工作。</w:t>
      </w:r>
    </w:p>
    <w:p w14:paraId="47E20306">
      <w:pPr>
        <w:adjustRightInd w:val="0"/>
        <w:snapToGrid w:val="0"/>
        <w:spacing w:line="48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（2）承担质量保修期监理工作时，监理人应安排监理人员对委托人提出的工程质量缺陷进行检查和记录，对承包人进行修复的工程质量进行验收，合格后予以签认。</w:t>
      </w:r>
    </w:p>
    <w:p w14:paraId="11DC49CC">
      <w:pPr>
        <w:adjustRightInd w:val="0"/>
        <w:snapToGrid w:val="0"/>
        <w:spacing w:line="480" w:lineRule="exact"/>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（3）监理人员应对工程质量缺陷原因进行调查分析并确定责任归属，对非承包人原因造成的工程质量缺陷，监理人员应核实修复工程的费用和签署工程款</w:t>
      </w:r>
      <w:r>
        <w:rPr>
          <w:rFonts w:hint="eastAsia" w:ascii="仿宋" w:hAnsi="仿宋" w:eastAsia="仿宋" w:cs="仿宋"/>
          <w:snapToGrid w:val="0"/>
          <w:color w:val="auto"/>
          <w:kern w:val="0"/>
          <w:sz w:val="24"/>
          <w:highlight w:val="none"/>
          <w:lang w:eastAsia="zh-CN"/>
        </w:rPr>
        <w:t>考核</w:t>
      </w:r>
      <w:r>
        <w:rPr>
          <w:rFonts w:hint="eastAsia" w:ascii="仿宋" w:hAnsi="仿宋" w:eastAsia="仿宋" w:cs="仿宋"/>
          <w:snapToGrid w:val="0"/>
          <w:color w:val="auto"/>
          <w:kern w:val="0"/>
          <w:sz w:val="24"/>
          <w:highlight w:val="none"/>
        </w:rPr>
        <w:t>证书，并报委托人。</w:t>
      </w:r>
    </w:p>
    <w:p w14:paraId="077072BB">
      <w:pPr>
        <w:spacing w:line="640" w:lineRule="exact"/>
        <w:ind w:left="210" w:leftChars="100"/>
        <w:outlineLvl w:val="2"/>
        <w:rPr>
          <w:rFonts w:ascii="仿宋" w:hAnsi="仿宋" w:eastAsia="仿宋" w:cs="Times New Roman"/>
          <w:color w:val="auto"/>
          <w:sz w:val="24"/>
          <w:szCs w:val="24"/>
          <w:highlight w:val="none"/>
        </w:rPr>
      </w:pPr>
      <w:bookmarkStart w:id="244" w:name="_Toc28525"/>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监理与相关服务依据</w:t>
      </w:r>
      <w:bookmarkEnd w:id="244"/>
    </w:p>
    <w:p w14:paraId="54D78D62">
      <w:pPr>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监理依据包括：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5B51E3E2">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4E51E4D">
      <w:pPr>
        <w:adjustRightInd w:val="0"/>
        <w:snapToGrid w:val="0"/>
        <w:spacing w:line="640" w:lineRule="exact"/>
        <w:ind w:firstLine="480" w:firstLineChars="200"/>
        <w:rPr>
          <w:rFonts w:ascii="仿宋" w:hAnsi="仿宋" w:eastAsia="仿宋" w:cs="Times New Roman"/>
          <w:dstrike/>
          <w:color w:val="auto"/>
          <w:sz w:val="24"/>
          <w:szCs w:val="24"/>
          <w:highlight w:val="none"/>
        </w:rPr>
      </w:pPr>
      <w:r>
        <w:rPr>
          <w:rFonts w:ascii="仿宋" w:hAnsi="仿宋" w:eastAsia="仿宋" w:cs="仿宋"/>
          <w:color w:val="auto"/>
          <w:sz w:val="24"/>
          <w:szCs w:val="24"/>
          <w:highlight w:val="none"/>
        </w:rPr>
        <w:t xml:space="preserve">2.2.2 </w:t>
      </w:r>
      <w:r>
        <w:rPr>
          <w:rFonts w:hint="eastAsia" w:ascii="仿宋" w:hAnsi="仿宋" w:eastAsia="仿宋" w:cs="仿宋"/>
          <w:color w:val="auto"/>
          <w:sz w:val="24"/>
          <w:szCs w:val="24"/>
          <w:highlight w:val="none"/>
        </w:rPr>
        <w:t>相关服务依据包括：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6682D99">
      <w:pPr>
        <w:spacing w:line="640" w:lineRule="exact"/>
        <w:ind w:left="210" w:leftChars="100"/>
        <w:outlineLvl w:val="2"/>
        <w:rPr>
          <w:rFonts w:ascii="仿宋" w:hAnsi="仿宋" w:eastAsia="仿宋" w:cs="Times New Roman"/>
          <w:color w:val="auto"/>
          <w:sz w:val="24"/>
          <w:szCs w:val="24"/>
          <w:highlight w:val="none"/>
        </w:rPr>
      </w:pPr>
      <w:bookmarkStart w:id="245" w:name="_Toc13575"/>
      <w:r>
        <w:rPr>
          <w:rFonts w:ascii="仿宋" w:hAnsi="仿宋" w:eastAsia="仿宋" w:cs="仿宋"/>
          <w:color w:val="auto"/>
          <w:sz w:val="24"/>
          <w:szCs w:val="24"/>
          <w:highlight w:val="none"/>
        </w:rPr>
        <w:t>2.3</w:t>
      </w:r>
      <w:r>
        <w:rPr>
          <w:rFonts w:hint="eastAsia" w:ascii="仿宋" w:hAnsi="仿宋" w:eastAsia="仿宋" w:cs="仿宋"/>
          <w:color w:val="auto"/>
          <w:sz w:val="24"/>
          <w:szCs w:val="24"/>
          <w:highlight w:val="none"/>
        </w:rPr>
        <w:t>项目监理机构和人员</w:t>
      </w:r>
      <w:bookmarkEnd w:id="245"/>
    </w:p>
    <w:p w14:paraId="7CD151B2">
      <w:pPr>
        <w:adjustRightInd w:val="0"/>
        <w:snapToGrid w:val="0"/>
        <w:spacing w:line="640" w:lineRule="exact"/>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2.3.4 </w:t>
      </w:r>
      <w:r>
        <w:rPr>
          <w:rFonts w:hint="eastAsia" w:ascii="仿宋" w:hAnsi="仿宋" w:eastAsia="仿宋" w:cs="仿宋"/>
          <w:color w:val="auto"/>
          <w:kern w:val="0"/>
          <w:sz w:val="24"/>
          <w:szCs w:val="24"/>
          <w:highlight w:val="none"/>
        </w:rPr>
        <w:t>更换监理人员的其他情形：</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622FF1B">
      <w:pPr>
        <w:pStyle w:val="105"/>
        <w:spacing w:line="480" w:lineRule="exact"/>
        <w:ind w:firstLine="498"/>
        <w:outlineLvl w:val="2"/>
        <w:rPr>
          <w:rFonts w:hint="eastAsia" w:ascii="仿宋" w:hAnsi="仿宋" w:eastAsia="仿宋" w:cs="仿宋"/>
          <w:b/>
          <w:color w:val="auto"/>
          <w:highlight w:val="none"/>
        </w:rPr>
      </w:pPr>
      <w:bookmarkStart w:id="246" w:name="_Toc16388"/>
      <w:r>
        <w:rPr>
          <w:rFonts w:hint="eastAsia" w:ascii="仿宋" w:hAnsi="仿宋" w:eastAsia="仿宋" w:cs="仿宋"/>
          <w:b/>
          <w:color w:val="auto"/>
          <w:highlight w:val="none"/>
        </w:rPr>
        <w:t>（一）项目监理机构</w:t>
      </w:r>
      <w:bookmarkEnd w:id="246"/>
    </w:p>
    <w:p w14:paraId="12BAA14F">
      <w:pPr>
        <w:pStyle w:val="105"/>
        <w:spacing w:line="480" w:lineRule="exact"/>
        <w:ind w:firstLine="496"/>
        <w:rPr>
          <w:rFonts w:hint="eastAsia" w:ascii="仿宋" w:hAnsi="仿宋" w:eastAsia="仿宋" w:cs="仿宋"/>
          <w:color w:val="auto"/>
          <w:highlight w:val="none"/>
          <w:u w:val="single"/>
          <w:lang w:eastAsia="zh-CN"/>
        </w:rPr>
      </w:pPr>
      <w:r>
        <w:rPr>
          <w:rFonts w:hint="eastAsia" w:ascii="仿宋" w:hAnsi="仿宋" w:eastAsia="仿宋" w:cs="仿宋"/>
          <w:color w:val="auto"/>
          <w:highlight w:val="none"/>
        </w:rPr>
        <w:t>（1）监理人必须在施工现场建立项目监理机构。</w:t>
      </w:r>
      <w:r>
        <w:rPr>
          <w:rFonts w:hint="eastAsia" w:ascii="仿宋" w:hAnsi="仿宋" w:eastAsia="仿宋" w:cs="仿宋"/>
          <w:color w:val="auto"/>
          <w:highlight w:val="none"/>
          <w:u w:val="single"/>
        </w:rPr>
        <w:t>监理机构必须满足或优于下表的最低基本要求</w:t>
      </w:r>
      <w:r>
        <w:rPr>
          <w:rFonts w:hint="eastAsia" w:ascii="仿宋" w:hAnsi="仿宋" w:eastAsia="仿宋" w:cs="仿宋"/>
          <w:color w:val="auto"/>
          <w:highlight w:val="none"/>
          <w:u w:val="single"/>
          <w:lang w:eastAsia="zh-CN"/>
        </w:rPr>
        <w:t>：</w:t>
      </w:r>
    </w:p>
    <w:p w14:paraId="511B8E5B">
      <w:pPr>
        <w:spacing w:line="540" w:lineRule="exact"/>
        <w:ind w:firstLine="482" w:firstLineChars="20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项目监理人员组成配备要求表</w:t>
      </w:r>
    </w:p>
    <w:tbl>
      <w:tblPr>
        <w:tblStyle w:val="43"/>
        <w:tblW w:w="548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775"/>
        <w:gridCol w:w="606"/>
        <w:gridCol w:w="5052"/>
      </w:tblGrid>
      <w:tr w14:paraId="33D4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89" w:type="pct"/>
            <w:vAlign w:val="center"/>
          </w:tcPr>
          <w:p w14:paraId="3223865D">
            <w:pPr>
              <w:adjustRightInd w:val="0"/>
              <w:snapToGrid w:val="0"/>
              <w:jc w:val="center"/>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rPr>
              <w:t>序号</w:t>
            </w:r>
          </w:p>
        </w:tc>
        <w:tc>
          <w:tcPr>
            <w:tcW w:w="1484" w:type="pct"/>
            <w:vAlign w:val="center"/>
          </w:tcPr>
          <w:p w14:paraId="69100363">
            <w:pPr>
              <w:adjustRightInd w:val="0"/>
              <w:snapToGrid w:val="0"/>
              <w:jc w:val="center"/>
              <w:rPr>
                <w:rFonts w:hint="eastAsia" w:ascii="仿宋" w:hAnsi="仿宋" w:eastAsia="仿宋" w:cs="仿宋"/>
                <w:bCs/>
                <w:color w:val="auto"/>
                <w:kern w:val="44"/>
                <w:sz w:val="24"/>
                <w:szCs w:val="24"/>
                <w:highlight w:val="none"/>
              </w:rPr>
            </w:pPr>
            <w:r>
              <w:rPr>
                <w:rFonts w:hint="eastAsia" w:ascii="仿宋" w:hAnsi="仿宋" w:eastAsia="仿宋" w:cs="仿宋"/>
                <w:b/>
                <w:color w:val="auto"/>
                <w:kern w:val="44"/>
                <w:sz w:val="24"/>
                <w:szCs w:val="24"/>
                <w:highlight w:val="none"/>
              </w:rPr>
              <w:t>岗位名称</w:t>
            </w:r>
          </w:p>
        </w:tc>
        <w:tc>
          <w:tcPr>
            <w:tcW w:w="324" w:type="pct"/>
            <w:vAlign w:val="center"/>
          </w:tcPr>
          <w:p w14:paraId="6CA5B86F">
            <w:pPr>
              <w:adjustRightInd w:val="0"/>
              <w:snapToGrid w:val="0"/>
              <w:jc w:val="center"/>
              <w:rPr>
                <w:rFonts w:hint="eastAsia" w:ascii="仿宋" w:hAnsi="仿宋" w:eastAsia="仿宋" w:cs="仿宋"/>
                <w:bCs/>
                <w:color w:val="auto"/>
                <w:kern w:val="44"/>
                <w:sz w:val="24"/>
                <w:szCs w:val="24"/>
                <w:highlight w:val="none"/>
              </w:rPr>
            </w:pPr>
            <w:r>
              <w:rPr>
                <w:rFonts w:hint="eastAsia" w:ascii="仿宋" w:hAnsi="仿宋" w:eastAsia="仿宋" w:cs="仿宋"/>
                <w:b/>
                <w:color w:val="auto"/>
                <w:kern w:val="44"/>
                <w:sz w:val="24"/>
                <w:szCs w:val="24"/>
                <w:highlight w:val="none"/>
              </w:rPr>
              <w:t>数量</w:t>
            </w:r>
          </w:p>
        </w:tc>
        <w:tc>
          <w:tcPr>
            <w:tcW w:w="2701" w:type="pct"/>
            <w:vAlign w:val="center"/>
          </w:tcPr>
          <w:p w14:paraId="21F94E68">
            <w:pPr>
              <w:adjustRightInd w:val="0"/>
              <w:snapToGrid w:val="0"/>
              <w:jc w:val="center"/>
              <w:rPr>
                <w:rFonts w:hint="eastAsia" w:ascii="仿宋" w:hAnsi="仿宋" w:eastAsia="仿宋" w:cs="仿宋"/>
                <w:bCs/>
                <w:color w:val="auto"/>
                <w:kern w:val="44"/>
                <w:sz w:val="24"/>
                <w:szCs w:val="24"/>
                <w:highlight w:val="none"/>
              </w:rPr>
            </w:pPr>
            <w:r>
              <w:rPr>
                <w:rFonts w:hint="eastAsia" w:ascii="仿宋" w:hAnsi="仿宋" w:eastAsia="仿宋" w:cs="仿宋"/>
                <w:b/>
                <w:color w:val="auto"/>
                <w:kern w:val="44"/>
                <w:sz w:val="24"/>
                <w:szCs w:val="24"/>
                <w:highlight w:val="none"/>
              </w:rPr>
              <w:t>基本要求</w:t>
            </w:r>
          </w:p>
        </w:tc>
      </w:tr>
      <w:tr w14:paraId="24E1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769B5BFA">
            <w:pPr>
              <w:widowControl/>
              <w:adjustRightInd w:val="0"/>
              <w:snapToGrid w:val="0"/>
              <w:ind w:left="-361" w:leftChars="-172"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484" w:type="pct"/>
            <w:vAlign w:val="center"/>
          </w:tcPr>
          <w:p w14:paraId="6E81F929">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总监理工程师</w:t>
            </w:r>
          </w:p>
        </w:tc>
        <w:tc>
          <w:tcPr>
            <w:tcW w:w="324" w:type="pct"/>
            <w:vAlign w:val="center"/>
          </w:tcPr>
          <w:p w14:paraId="171CD29F">
            <w:pPr>
              <w:adjustRightInd w:val="0"/>
              <w:snapToGrid w:val="0"/>
              <w:jc w:val="center"/>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1</w:t>
            </w:r>
          </w:p>
        </w:tc>
        <w:tc>
          <w:tcPr>
            <w:tcW w:w="2701" w:type="pct"/>
            <w:vAlign w:val="center"/>
          </w:tcPr>
          <w:p w14:paraId="7A360718">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按招标公告要求。</w:t>
            </w:r>
          </w:p>
        </w:tc>
      </w:tr>
      <w:tr w14:paraId="770C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0F1550BE">
            <w:pPr>
              <w:widowControl/>
              <w:adjustRightInd w:val="0"/>
              <w:snapToGrid w:val="0"/>
              <w:ind w:left="-361" w:leftChars="-172" w:firstLine="480" w:firstLineChars="20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484" w:type="pct"/>
            <w:vAlign w:val="center"/>
          </w:tcPr>
          <w:p w14:paraId="2C0817B3">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总监理工程师代表</w:t>
            </w:r>
          </w:p>
        </w:tc>
        <w:tc>
          <w:tcPr>
            <w:tcW w:w="324" w:type="pct"/>
            <w:vAlign w:val="center"/>
          </w:tcPr>
          <w:p w14:paraId="41F863D8">
            <w:pPr>
              <w:adjustRightInd w:val="0"/>
              <w:snapToGrid w:val="0"/>
              <w:jc w:val="center"/>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1</w:t>
            </w:r>
          </w:p>
        </w:tc>
        <w:tc>
          <w:tcPr>
            <w:tcW w:w="2701" w:type="pct"/>
            <w:vAlign w:val="center"/>
          </w:tcPr>
          <w:p w14:paraId="55AF7881">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必须具有建设部2006年4月1日后颁发的中华人民共和国注册监理工程师注册执业证书，且其注册证书专业为房屋建筑工程，注册执业单位为本公司。</w:t>
            </w:r>
          </w:p>
        </w:tc>
      </w:tr>
      <w:tr w14:paraId="2D37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4C7F903C">
            <w:pPr>
              <w:pStyle w:val="108"/>
              <w:spacing w:line="240" w:lineRule="auto"/>
              <w:jc w:val="center"/>
              <w:rPr>
                <w:rFonts w:hint="eastAsia" w:ascii="仿宋" w:hAnsi="仿宋" w:eastAsia="仿宋" w:cs="仿宋"/>
                <w:bCs/>
                <w:color w:val="auto"/>
                <w:kern w:val="44"/>
                <w:sz w:val="24"/>
                <w:szCs w:val="24"/>
                <w:highlight w:val="none"/>
              </w:rPr>
            </w:pPr>
            <w:r>
              <w:rPr>
                <w:rFonts w:hint="eastAsia" w:ascii="仿宋" w:hAnsi="仿宋" w:eastAsia="仿宋" w:cs="仿宋"/>
                <w:bCs/>
                <w:color w:val="auto"/>
                <w:kern w:val="44"/>
                <w:sz w:val="24"/>
                <w:szCs w:val="24"/>
                <w:highlight w:val="none"/>
              </w:rPr>
              <w:t>3</w:t>
            </w:r>
          </w:p>
        </w:tc>
        <w:tc>
          <w:tcPr>
            <w:tcW w:w="1484" w:type="pct"/>
            <w:vAlign w:val="center"/>
          </w:tcPr>
          <w:p w14:paraId="2D34E591">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土建</w:t>
            </w:r>
            <w:r>
              <w:rPr>
                <w:rFonts w:hint="eastAsia" w:ascii="仿宋" w:hAnsi="仿宋" w:eastAsia="仿宋" w:cs="仿宋"/>
                <w:color w:val="auto"/>
                <w:sz w:val="24"/>
                <w:szCs w:val="24"/>
                <w:highlight w:val="none"/>
                <w:lang w:val="en-US" w:eastAsia="zh-CN" w:bidi="ar"/>
              </w:rPr>
              <w:t>专业</w:t>
            </w:r>
            <w:r>
              <w:rPr>
                <w:rFonts w:hint="eastAsia" w:ascii="仿宋" w:hAnsi="仿宋" w:eastAsia="仿宋" w:cs="仿宋"/>
                <w:color w:val="auto"/>
                <w:sz w:val="24"/>
                <w:szCs w:val="24"/>
                <w:highlight w:val="none"/>
                <w:lang w:val="zh-CN" w:bidi="ar"/>
              </w:rPr>
              <w:t>监理工程师</w:t>
            </w:r>
          </w:p>
        </w:tc>
        <w:tc>
          <w:tcPr>
            <w:tcW w:w="324" w:type="pct"/>
            <w:vAlign w:val="center"/>
          </w:tcPr>
          <w:p w14:paraId="7BE57F43">
            <w:pPr>
              <w:widowControl/>
              <w:adjustRightInd w:val="0"/>
              <w:snapToGrid w:val="0"/>
              <w:ind w:left="-361" w:leftChars="-172" w:firstLine="480" w:firstLineChars="200"/>
              <w:jc w:val="center"/>
              <w:rPr>
                <w:rFonts w:hint="eastAsia" w:ascii="仿宋" w:hAnsi="仿宋" w:eastAsia="仿宋" w:cs="仿宋"/>
                <w:color w:val="auto"/>
                <w:sz w:val="24"/>
                <w:szCs w:val="24"/>
                <w:highlight w:val="none"/>
                <w:lang w:val="zh-CN" w:eastAsia="zh-CN" w:bidi="ar"/>
              </w:rPr>
            </w:pPr>
            <w:r>
              <w:rPr>
                <w:rFonts w:hint="eastAsia" w:ascii="仿宋" w:hAnsi="仿宋" w:eastAsia="仿宋" w:cs="仿宋"/>
                <w:color w:val="auto"/>
                <w:sz w:val="24"/>
                <w:szCs w:val="24"/>
                <w:highlight w:val="none"/>
                <w:lang w:val="en-US" w:eastAsia="zh-CN" w:bidi="ar"/>
              </w:rPr>
              <w:t>1</w:t>
            </w:r>
          </w:p>
        </w:tc>
        <w:tc>
          <w:tcPr>
            <w:tcW w:w="2701" w:type="pct"/>
            <w:vAlign w:val="center"/>
          </w:tcPr>
          <w:p w14:paraId="25AE3701">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具有注册监理工程师证或专业监理工程师证，专业以注册监理工程师证或专业监理工程师证或职称证或毕业证中的专业名称（含相近专业）为准。</w:t>
            </w:r>
          </w:p>
        </w:tc>
      </w:tr>
      <w:tr w14:paraId="6083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2126BBD7">
            <w:pPr>
              <w:adjustRightInd w:val="0"/>
              <w:snapToGrid w:val="0"/>
              <w:jc w:val="center"/>
              <w:rPr>
                <w:rFonts w:hint="eastAsia" w:ascii="仿宋" w:hAnsi="仿宋" w:eastAsia="仿宋" w:cs="仿宋"/>
                <w:bCs/>
                <w:color w:val="auto"/>
                <w:kern w:val="44"/>
                <w:sz w:val="24"/>
                <w:szCs w:val="24"/>
                <w:highlight w:val="none"/>
                <w:lang w:eastAsia="zh-CN"/>
              </w:rPr>
            </w:pPr>
            <w:r>
              <w:rPr>
                <w:rFonts w:hint="eastAsia" w:ascii="仿宋" w:hAnsi="仿宋" w:eastAsia="仿宋" w:cs="仿宋"/>
                <w:bCs/>
                <w:color w:val="auto"/>
                <w:kern w:val="44"/>
                <w:sz w:val="24"/>
                <w:szCs w:val="24"/>
                <w:highlight w:val="none"/>
                <w:lang w:val="en-US" w:eastAsia="zh-CN"/>
              </w:rPr>
              <w:t>4</w:t>
            </w:r>
          </w:p>
        </w:tc>
        <w:tc>
          <w:tcPr>
            <w:tcW w:w="1484" w:type="pct"/>
            <w:vAlign w:val="center"/>
          </w:tcPr>
          <w:p w14:paraId="3729A84D">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2"/>
                <w:szCs w:val="22"/>
                <w:highlight w:val="none"/>
              </w:rPr>
              <w:t>机电设备</w:t>
            </w:r>
            <w:r>
              <w:rPr>
                <w:rFonts w:hint="eastAsia" w:ascii="仿宋" w:hAnsi="仿宋" w:eastAsia="仿宋" w:cs="仿宋"/>
                <w:color w:val="auto"/>
                <w:sz w:val="22"/>
                <w:szCs w:val="22"/>
                <w:highlight w:val="none"/>
                <w:lang w:val="en-US" w:eastAsia="zh-CN"/>
              </w:rPr>
              <w:t>专业</w:t>
            </w:r>
            <w:r>
              <w:rPr>
                <w:rFonts w:hint="eastAsia" w:ascii="仿宋" w:hAnsi="仿宋" w:eastAsia="仿宋" w:cs="仿宋"/>
                <w:color w:val="auto"/>
                <w:sz w:val="24"/>
                <w:szCs w:val="24"/>
                <w:highlight w:val="none"/>
                <w:lang w:val="en-US" w:eastAsia="zh-CN" w:bidi="ar"/>
              </w:rPr>
              <w:t>监理</w:t>
            </w:r>
            <w:r>
              <w:rPr>
                <w:rFonts w:hint="eastAsia" w:ascii="仿宋" w:hAnsi="仿宋" w:eastAsia="仿宋" w:cs="仿宋"/>
                <w:color w:val="auto"/>
                <w:sz w:val="24"/>
                <w:szCs w:val="24"/>
                <w:highlight w:val="none"/>
                <w:lang w:val="zh-CN" w:bidi="ar"/>
              </w:rPr>
              <w:t>工程师</w:t>
            </w:r>
          </w:p>
        </w:tc>
        <w:tc>
          <w:tcPr>
            <w:tcW w:w="324" w:type="pct"/>
            <w:vAlign w:val="center"/>
          </w:tcPr>
          <w:p w14:paraId="18C34C2D">
            <w:pPr>
              <w:adjustRightInd w:val="0"/>
              <w:snapToGrid w:val="0"/>
              <w:jc w:val="center"/>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1</w:t>
            </w:r>
          </w:p>
        </w:tc>
        <w:tc>
          <w:tcPr>
            <w:tcW w:w="2701" w:type="pct"/>
            <w:vAlign w:val="center"/>
          </w:tcPr>
          <w:p w14:paraId="127C723A">
            <w:pPr>
              <w:widowControl/>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具有注册监理工程师证或专业监理工程师证，专业以注册监理工程师证或专业监理工程师证或职称证或毕业证中的专业名称（含相近专业）为准。</w:t>
            </w:r>
          </w:p>
        </w:tc>
      </w:tr>
      <w:tr w14:paraId="78D3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104C8A79">
            <w:pPr>
              <w:adjustRightInd w:val="0"/>
              <w:snapToGrid w:val="0"/>
              <w:jc w:val="center"/>
              <w:rPr>
                <w:rFonts w:hint="eastAsia" w:ascii="仿宋" w:hAnsi="仿宋" w:eastAsia="仿宋" w:cs="仿宋"/>
                <w:bCs/>
                <w:color w:val="auto"/>
                <w:kern w:val="44"/>
                <w:sz w:val="24"/>
                <w:szCs w:val="24"/>
                <w:highlight w:val="none"/>
                <w:lang w:eastAsia="zh-CN"/>
              </w:rPr>
            </w:pPr>
            <w:r>
              <w:rPr>
                <w:rFonts w:hint="eastAsia" w:ascii="仿宋" w:hAnsi="仿宋" w:eastAsia="仿宋" w:cs="仿宋"/>
                <w:bCs/>
                <w:color w:val="auto"/>
                <w:kern w:val="44"/>
                <w:sz w:val="24"/>
                <w:szCs w:val="24"/>
                <w:highlight w:val="none"/>
                <w:lang w:val="en-US" w:eastAsia="zh-CN"/>
              </w:rPr>
              <w:t>5</w:t>
            </w:r>
          </w:p>
        </w:tc>
        <w:tc>
          <w:tcPr>
            <w:tcW w:w="1484" w:type="pct"/>
            <w:vAlign w:val="center"/>
          </w:tcPr>
          <w:p w14:paraId="2F8A1EC5">
            <w:pPr>
              <w:adjustRightInd w:val="0"/>
              <w:snapToGrid w:val="0"/>
              <w:jc w:val="left"/>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zh-CN" w:bidi="ar"/>
              </w:rPr>
              <w:t>安全</w:t>
            </w:r>
            <w:r>
              <w:rPr>
                <w:rFonts w:hint="eastAsia" w:ascii="仿宋" w:hAnsi="仿宋" w:eastAsia="仿宋" w:cs="仿宋"/>
                <w:color w:val="auto"/>
                <w:sz w:val="24"/>
                <w:szCs w:val="24"/>
                <w:highlight w:val="none"/>
                <w:lang w:val="en-US" w:eastAsia="zh-CN" w:bidi="ar"/>
              </w:rPr>
              <w:t>管理监理工程师</w:t>
            </w:r>
          </w:p>
        </w:tc>
        <w:tc>
          <w:tcPr>
            <w:tcW w:w="324" w:type="pct"/>
            <w:vAlign w:val="center"/>
          </w:tcPr>
          <w:p w14:paraId="629C2FA9">
            <w:pPr>
              <w:adjustRightInd w:val="0"/>
              <w:snapToGrid w:val="0"/>
              <w:jc w:val="center"/>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1</w:t>
            </w:r>
          </w:p>
        </w:tc>
        <w:tc>
          <w:tcPr>
            <w:tcW w:w="2701" w:type="pct"/>
            <w:vAlign w:val="center"/>
          </w:tcPr>
          <w:p w14:paraId="776DEC43">
            <w:pPr>
              <w:widowControl/>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具有安全员培训证书或上岗证。</w:t>
            </w:r>
          </w:p>
        </w:tc>
      </w:tr>
      <w:tr w14:paraId="1DCE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4C6D52CF">
            <w:pPr>
              <w:pStyle w:val="108"/>
              <w:spacing w:line="240" w:lineRule="auto"/>
              <w:jc w:val="center"/>
              <w:rPr>
                <w:rFonts w:hint="eastAsia" w:ascii="仿宋" w:hAnsi="仿宋" w:eastAsia="仿宋" w:cs="仿宋"/>
                <w:bCs/>
                <w:color w:val="auto"/>
                <w:kern w:val="44"/>
                <w:sz w:val="24"/>
                <w:szCs w:val="24"/>
                <w:highlight w:val="none"/>
                <w:lang w:eastAsia="zh-CN"/>
              </w:rPr>
            </w:pPr>
            <w:r>
              <w:rPr>
                <w:rFonts w:hint="eastAsia" w:ascii="仿宋" w:hAnsi="仿宋" w:eastAsia="仿宋" w:cs="仿宋"/>
                <w:bCs/>
                <w:color w:val="auto"/>
                <w:kern w:val="44"/>
                <w:sz w:val="24"/>
                <w:szCs w:val="24"/>
                <w:highlight w:val="none"/>
                <w:lang w:val="en-US" w:eastAsia="zh-CN"/>
              </w:rPr>
              <w:t>6</w:t>
            </w:r>
          </w:p>
        </w:tc>
        <w:tc>
          <w:tcPr>
            <w:tcW w:w="1484" w:type="pct"/>
            <w:vAlign w:val="center"/>
          </w:tcPr>
          <w:p w14:paraId="5AEB298D">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造价工程师</w:t>
            </w:r>
          </w:p>
        </w:tc>
        <w:tc>
          <w:tcPr>
            <w:tcW w:w="324" w:type="pct"/>
            <w:vAlign w:val="center"/>
          </w:tcPr>
          <w:p w14:paraId="6BD20CBE">
            <w:pPr>
              <w:adjustRightInd w:val="0"/>
              <w:snapToGrid w:val="0"/>
              <w:jc w:val="center"/>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1</w:t>
            </w:r>
          </w:p>
        </w:tc>
        <w:tc>
          <w:tcPr>
            <w:tcW w:w="2701" w:type="pct"/>
            <w:vAlign w:val="center"/>
          </w:tcPr>
          <w:p w14:paraId="5B90A930">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具有一级注册造价师证书。</w:t>
            </w:r>
          </w:p>
        </w:tc>
      </w:tr>
      <w:tr w14:paraId="29FE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790D0BB0">
            <w:pPr>
              <w:adjustRightInd w:val="0"/>
              <w:snapToGrid w:val="0"/>
              <w:jc w:val="center"/>
              <w:rPr>
                <w:rFonts w:hint="eastAsia" w:ascii="仿宋" w:hAnsi="仿宋" w:eastAsia="仿宋" w:cs="仿宋"/>
                <w:bCs/>
                <w:color w:val="auto"/>
                <w:kern w:val="44"/>
                <w:sz w:val="24"/>
                <w:szCs w:val="24"/>
                <w:highlight w:val="none"/>
                <w:lang w:eastAsia="zh-CN"/>
              </w:rPr>
            </w:pPr>
            <w:r>
              <w:rPr>
                <w:rFonts w:hint="eastAsia" w:ascii="仿宋" w:hAnsi="仿宋" w:eastAsia="仿宋" w:cs="仿宋"/>
                <w:bCs/>
                <w:color w:val="auto"/>
                <w:kern w:val="44"/>
                <w:sz w:val="24"/>
                <w:szCs w:val="24"/>
                <w:highlight w:val="none"/>
                <w:lang w:val="en-US" w:eastAsia="zh-CN"/>
              </w:rPr>
              <w:t>7</w:t>
            </w:r>
          </w:p>
        </w:tc>
        <w:tc>
          <w:tcPr>
            <w:tcW w:w="1484" w:type="pct"/>
            <w:vAlign w:val="center"/>
          </w:tcPr>
          <w:p w14:paraId="03DFD185">
            <w:pPr>
              <w:adjustRightInd w:val="0"/>
              <w:snapToGrid w:val="0"/>
              <w:jc w:val="left"/>
              <w:rPr>
                <w:rFonts w:hint="default"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zh-CN" w:bidi="ar"/>
              </w:rPr>
              <w:t>监理员</w:t>
            </w:r>
          </w:p>
        </w:tc>
        <w:tc>
          <w:tcPr>
            <w:tcW w:w="324" w:type="pct"/>
            <w:vAlign w:val="center"/>
          </w:tcPr>
          <w:p w14:paraId="71886279">
            <w:pPr>
              <w:adjustRightInd w:val="0"/>
              <w:snapToGrid w:val="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p>
        </w:tc>
        <w:tc>
          <w:tcPr>
            <w:tcW w:w="2701" w:type="pct"/>
            <w:vAlign w:val="center"/>
          </w:tcPr>
          <w:p w14:paraId="6195FA25">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具有监理员培训证书或上岗证。</w:t>
            </w:r>
            <w:r>
              <w:rPr>
                <w:rFonts w:hint="eastAsia" w:ascii="仿宋" w:hAnsi="仿宋" w:eastAsia="仿宋" w:cs="仿宋"/>
                <w:color w:val="auto"/>
                <w:sz w:val="24"/>
                <w:szCs w:val="24"/>
                <w:highlight w:val="none"/>
                <w:lang w:val="en-US" w:eastAsia="zh-CN" w:bidi="ar"/>
              </w:rPr>
              <w:t>协助委托人</w:t>
            </w:r>
            <w:r>
              <w:rPr>
                <w:rFonts w:hint="eastAsia" w:ascii="仿宋" w:hAnsi="仿宋" w:eastAsia="仿宋" w:cs="仿宋"/>
                <w:color w:val="auto"/>
                <w:sz w:val="24"/>
                <w:szCs w:val="24"/>
                <w:highlight w:val="none"/>
                <w:lang w:val="zh-CN" w:bidi="ar"/>
              </w:rPr>
              <w:t>协调</w:t>
            </w:r>
            <w:r>
              <w:rPr>
                <w:rFonts w:hint="eastAsia" w:ascii="仿宋" w:hAnsi="仿宋" w:eastAsia="仿宋" w:cs="仿宋"/>
                <w:color w:val="auto"/>
                <w:sz w:val="24"/>
                <w:szCs w:val="24"/>
                <w:highlight w:val="none"/>
                <w:lang w:val="en-US" w:eastAsia="zh-CN" w:bidi="ar"/>
              </w:rPr>
              <w:t>项目</w:t>
            </w:r>
            <w:r>
              <w:rPr>
                <w:rFonts w:hint="eastAsia" w:ascii="仿宋" w:hAnsi="仿宋" w:eastAsia="仿宋" w:cs="仿宋"/>
                <w:color w:val="auto"/>
                <w:sz w:val="24"/>
                <w:szCs w:val="24"/>
                <w:highlight w:val="none"/>
                <w:lang w:val="zh-CN" w:bidi="ar"/>
              </w:rPr>
              <w:t>周边及</w:t>
            </w:r>
            <w:r>
              <w:rPr>
                <w:rFonts w:hint="eastAsia" w:ascii="仿宋" w:hAnsi="仿宋" w:eastAsia="仿宋" w:cs="仿宋"/>
                <w:color w:val="auto"/>
                <w:sz w:val="24"/>
                <w:szCs w:val="24"/>
                <w:highlight w:val="none"/>
                <w:lang w:val="en-US" w:eastAsia="zh-CN" w:bidi="ar"/>
              </w:rPr>
              <w:t>附近</w:t>
            </w:r>
            <w:r>
              <w:rPr>
                <w:rFonts w:hint="eastAsia" w:ascii="仿宋" w:hAnsi="仿宋" w:eastAsia="仿宋" w:cs="仿宋"/>
                <w:color w:val="auto"/>
                <w:sz w:val="24"/>
                <w:szCs w:val="24"/>
                <w:highlight w:val="none"/>
                <w:lang w:val="zh-CN" w:bidi="ar"/>
              </w:rPr>
              <w:t>居民关系。</w:t>
            </w:r>
          </w:p>
        </w:tc>
      </w:tr>
      <w:tr w14:paraId="5341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4C62E882">
            <w:pPr>
              <w:adjustRightInd w:val="0"/>
              <w:snapToGrid w:val="0"/>
              <w:jc w:val="center"/>
              <w:rPr>
                <w:rFonts w:hint="default" w:ascii="仿宋" w:hAnsi="仿宋" w:eastAsia="仿宋" w:cs="仿宋"/>
                <w:bCs/>
                <w:color w:val="auto"/>
                <w:kern w:val="44"/>
                <w:sz w:val="24"/>
                <w:szCs w:val="24"/>
                <w:highlight w:val="none"/>
                <w:lang w:val="en-US" w:eastAsia="zh-CN"/>
              </w:rPr>
            </w:pPr>
            <w:r>
              <w:rPr>
                <w:rFonts w:hint="eastAsia" w:ascii="仿宋" w:hAnsi="仿宋" w:eastAsia="仿宋" w:cs="仿宋"/>
                <w:bCs/>
                <w:color w:val="auto"/>
                <w:kern w:val="44"/>
                <w:sz w:val="24"/>
                <w:szCs w:val="24"/>
                <w:highlight w:val="none"/>
                <w:lang w:val="en-US" w:eastAsia="zh-CN"/>
              </w:rPr>
              <w:t>8</w:t>
            </w:r>
          </w:p>
        </w:tc>
        <w:tc>
          <w:tcPr>
            <w:tcW w:w="1484" w:type="pct"/>
            <w:vAlign w:val="center"/>
          </w:tcPr>
          <w:p w14:paraId="347CD667">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监理员</w:t>
            </w:r>
          </w:p>
        </w:tc>
        <w:tc>
          <w:tcPr>
            <w:tcW w:w="324" w:type="pct"/>
            <w:vAlign w:val="center"/>
          </w:tcPr>
          <w:p w14:paraId="7EDD0D56">
            <w:pPr>
              <w:adjustRightInd w:val="0"/>
              <w:snapToGrid w:val="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w:t>
            </w:r>
          </w:p>
        </w:tc>
        <w:tc>
          <w:tcPr>
            <w:tcW w:w="2701" w:type="pct"/>
            <w:vAlign w:val="center"/>
          </w:tcPr>
          <w:p w14:paraId="071CEAC2">
            <w:pPr>
              <w:adjustRightInd w:val="0"/>
              <w:snapToGrid w:val="0"/>
              <w:jc w:val="left"/>
              <w:rPr>
                <w:rFonts w:hint="default"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zh-CN" w:bidi="ar"/>
              </w:rPr>
              <w:t>具有监理员培训证书或上岗证。</w:t>
            </w:r>
            <w:r>
              <w:rPr>
                <w:rFonts w:hint="eastAsia" w:ascii="仿宋" w:hAnsi="仿宋" w:eastAsia="仿宋" w:cs="仿宋"/>
                <w:color w:val="auto"/>
                <w:sz w:val="24"/>
                <w:szCs w:val="24"/>
                <w:highlight w:val="none"/>
                <w:lang w:val="en-US" w:eastAsia="zh-CN" w:bidi="ar"/>
              </w:rPr>
              <w:t>协助委托人完成项目过程中行政报建报批手续。</w:t>
            </w:r>
          </w:p>
        </w:tc>
      </w:tr>
      <w:tr w14:paraId="4360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9" w:type="pct"/>
            <w:vAlign w:val="center"/>
          </w:tcPr>
          <w:p w14:paraId="7ED73F17">
            <w:pPr>
              <w:adjustRightInd w:val="0"/>
              <w:snapToGrid w:val="0"/>
              <w:jc w:val="center"/>
              <w:rPr>
                <w:rFonts w:hint="eastAsia" w:ascii="仿宋" w:hAnsi="仿宋" w:eastAsia="仿宋" w:cs="仿宋"/>
                <w:bCs/>
                <w:color w:val="auto"/>
                <w:kern w:val="44"/>
                <w:sz w:val="24"/>
                <w:szCs w:val="24"/>
                <w:highlight w:val="none"/>
              </w:rPr>
            </w:pPr>
          </w:p>
        </w:tc>
        <w:tc>
          <w:tcPr>
            <w:tcW w:w="1484" w:type="pct"/>
            <w:vAlign w:val="center"/>
          </w:tcPr>
          <w:p w14:paraId="26697CF8">
            <w:pPr>
              <w:adjustRightInd w:val="0"/>
              <w:snapToGrid w:val="0"/>
              <w:jc w:val="left"/>
              <w:rPr>
                <w:rFonts w:hint="eastAsia" w:ascii="仿宋" w:hAnsi="仿宋" w:eastAsia="仿宋" w:cs="仿宋"/>
                <w:color w:val="auto"/>
                <w:sz w:val="24"/>
                <w:szCs w:val="24"/>
                <w:highlight w:val="none"/>
                <w:lang w:val="zh-CN" w:bidi="ar"/>
              </w:rPr>
            </w:pPr>
            <w:r>
              <w:rPr>
                <w:rFonts w:hint="eastAsia" w:ascii="仿宋" w:hAnsi="仿宋" w:eastAsia="仿宋" w:cs="仿宋"/>
                <w:color w:val="auto"/>
                <w:sz w:val="24"/>
                <w:szCs w:val="24"/>
                <w:highlight w:val="none"/>
                <w:lang w:val="zh-CN" w:bidi="ar"/>
              </w:rPr>
              <w:t>合计</w:t>
            </w:r>
          </w:p>
        </w:tc>
        <w:tc>
          <w:tcPr>
            <w:tcW w:w="324" w:type="pct"/>
            <w:vAlign w:val="center"/>
          </w:tcPr>
          <w:p w14:paraId="71A4D16E">
            <w:pPr>
              <w:adjustRightInd w:val="0"/>
              <w:snapToGrid w:val="0"/>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8</w:t>
            </w:r>
          </w:p>
        </w:tc>
        <w:tc>
          <w:tcPr>
            <w:tcW w:w="2701" w:type="pct"/>
            <w:vAlign w:val="center"/>
          </w:tcPr>
          <w:p w14:paraId="24B3312F">
            <w:pPr>
              <w:adjustRightInd w:val="0"/>
              <w:snapToGrid w:val="0"/>
              <w:jc w:val="left"/>
              <w:rPr>
                <w:rFonts w:hint="eastAsia" w:ascii="仿宋" w:hAnsi="仿宋" w:eastAsia="仿宋" w:cs="仿宋"/>
                <w:color w:val="auto"/>
                <w:sz w:val="24"/>
                <w:szCs w:val="24"/>
                <w:highlight w:val="none"/>
                <w:lang w:val="zh-CN" w:bidi="ar"/>
              </w:rPr>
            </w:pPr>
          </w:p>
        </w:tc>
      </w:tr>
    </w:tbl>
    <w:p w14:paraId="3BBB02A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（2）监理人必须在委托人发出进场通知后，按委托人具体的要求进场，并立即开始履行本合同约定的服务。监理人必须按照其投标文件和监理规划的承诺，足额、按时派驻监理人员和投入设备。</w:t>
      </w:r>
    </w:p>
    <w:p w14:paraId="0AD345D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（3）监理人员应包括总监理工程师、专业监理工程师和监理员，必要时可配备总监理工程师代表。</w:t>
      </w:r>
    </w:p>
    <w:p w14:paraId="56A2D52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总监理工程师应由具有八年以上同类工程监理工作经验的人员担任；副总监理工程师应由具有五年以上同类工程监理工作经验的人员担任；总监理工程师及副总监理工程师必须为注册监理工程师；专业监理工程师应由具有三年以上同类工程监理工作经验的人员担任；负责检测送检的监理人员必须由持有《见证员证书》的技术人员担任。</w:t>
      </w:r>
    </w:p>
    <w:p w14:paraId="6E7C79B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项目监理机构的监理人员应专业配套、数量满足工程项目监理工作的需要，保证足够的监理人员从事要求的施工准备期至工程收尾、工程整改、工程竣工、工程移交、工程结算、工程竣工备案、工程质量保修期的监理工作。</w:t>
      </w:r>
    </w:p>
    <w:p w14:paraId="7037BDF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（5）监理人派驻到项目所在地履行监理服务的监理人员，必须常驻现场。</w:t>
      </w:r>
    </w:p>
    <w:p w14:paraId="14D1A7D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14:paraId="368ABB9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监理人必须保证参与本项目监理人员的稳定性，未征得委托人同意不可撤换，否则必须承担相应责任。监理人因工作安排或其他原因，需要更换派驻到项目所在地履行监理服务的主要监理人员的，应事先得到委托人的同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原则上总监理工程师、总监理工程师代表在合同履约过程中，至多更换其中一人</w:t>
      </w:r>
      <w:r>
        <w:rPr>
          <w:rFonts w:hint="eastAsia" w:ascii="仿宋" w:hAnsi="仿宋" w:eastAsia="仿宋" w:cs="仿宋"/>
          <w:color w:val="auto"/>
          <w:highlight w:val="none"/>
        </w:rPr>
        <w:t>。</w:t>
      </w:r>
    </w:p>
    <w:p w14:paraId="5D6A186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（8）委托人有权以书面形式要求监理人更换不能按照本合同约定履行监理服务的派驻人员。</w:t>
      </w:r>
    </w:p>
    <w:p w14:paraId="7A994549">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（9）即使是委托人要求或同意更换的监理人员，其替代人员的资质仍应得到委托人的认可。由于更换人员引起的费用由监理人承担。</w:t>
      </w:r>
    </w:p>
    <w:p w14:paraId="0F62D06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（10）监理工程师在本监理合同授权范围内行使合同规定的权利，履行相应的职责。</w:t>
      </w:r>
    </w:p>
    <w:p w14:paraId="0D2B87D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11）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。必要时委托人有权从本合同监理酬金中直接</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w:t>
      </w:r>
    </w:p>
    <w:p w14:paraId="6CBE41F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（12）委托人根据工程推进实际情况，有权要求监理人的项目负责人必须调用其资源保证落实本项目监理工作。</w:t>
      </w:r>
    </w:p>
    <w:p w14:paraId="1D6FE2A5">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（13）监理人应对其驻地监理人员的人身安全承担责任。</w:t>
      </w:r>
    </w:p>
    <w:p w14:paraId="7F15A39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14）监理人应于委托监理合同签订后十天内将项目监理机构的组织形式、人员构成及对总监理工程师的任命书面通知委托人。当总监理工程师需要调整时，监理人应征事先书面征得得委托人的同意；当专业监理工程师需要调整时，总监理工程师应书面通知委托人和承包人。</w:t>
      </w:r>
    </w:p>
    <w:p w14:paraId="720C99E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（15）为了加强委托人与监理人的沟通与协调，委托人另行指定一名专业工程师（委托人监理代表）常驻项目监理机构，监督并协助项目监理机构工作。该名代表的主要职责是：</w:t>
      </w:r>
    </w:p>
    <w:p w14:paraId="63568CF2">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1）监督监理人的日常监理工作；</w:t>
      </w:r>
    </w:p>
    <w:p w14:paraId="3C2A8A2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2）负责每天对监理人人员及仪器设备的投入进行考勤考核；</w:t>
      </w:r>
    </w:p>
    <w:p w14:paraId="7F77FBD7">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3）检查监理人的旁站计划及旁站工作记录；</w:t>
      </w:r>
    </w:p>
    <w:p w14:paraId="2C2636A6">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4）检查监理人的监理日志及隐蔽工程验收记录；</w:t>
      </w:r>
    </w:p>
    <w:p w14:paraId="008EC79E">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5）检查监理人编制的承包人人、材、机投入及实物工程量统计报表；</w:t>
      </w:r>
    </w:p>
    <w:p w14:paraId="0F709BF8">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6）如发生安全质量事故，应立即向委托人工程部门领导汇报；</w:t>
      </w:r>
    </w:p>
    <w:p w14:paraId="0809F4C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7）审核签认监理酬金</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申请表；</w:t>
      </w:r>
    </w:p>
    <w:p w14:paraId="090A417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8）每天填写工作日志，不定期接受委托人工程部门检查；</w:t>
      </w:r>
    </w:p>
    <w:p w14:paraId="4D00E76F">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9）委托人要求其履行的其他职责。</w:t>
      </w:r>
    </w:p>
    <w:p w14:paraId="06982E3A">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（17）监理人应按照广州市建委的要求为监理人员办理平安卡。</w:t>
      </w:r>
    </w:p>
    <w:p w14:paraId="174821B1">
      <w:pPr>
        <w:pStyle w:val="105"/>
        <w:spacing w:line="480" w:lineRule="exact"/>
        <w:ind w:firstLine="498"/>
        <w:outlineLvl w:val="2"/>
        <w:rPr>
          <w:rFonts w:hint="eastAsia" w:ascii="仿宋" w:hAnsi="仿宋" w:eastAsia="仿宋" w:cs="仿宋"/>
          <w:b/>
          <w:color w:val="auto"/>
          <w:highlight w:val="none"/>
        </w:rPr>
      </w:pPr>
      <w:bookmarkStart w:id="247" w:name="_Toc19933"/>
      <w:r>
        <w:rPr>
          <w:rFonts w:hint="eastAsia" w:ascii="仿宋" w:hAnsi="仿宋" w:eastAsia="仿宋" w:cs="仿宋"/>
          <w:b/>
          <w:color w:val="auto"/>
          <w:highlight w:val="none"/>
        </w:rPr>
        <w:t>（二）总监理工程师的委派和指令</w:t>
      </w:r>
      <w:bookmarkEnd w:id="247"/>
    </w:p>
    <w:p w14:paraId="4F1495DF">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color w:val="auto"/>
          <w:highlight w:val="none"/>
        </w:rPr>
        <w:t>（1）</w:t>
      </w:r>
      <w:r>
        <w:rPr>
          <w:rFonts w:hint="eastAsia" w:ascii="仿宋" w:hAnsi="仿宋" w:eastAsia="仿宋" w:cs="仿宋"/>
          <w:bCs/>
          <w:color w:val="auto"/>
          <w:highlight w:val="none"/>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14:paraId="42A6C5CC">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bCs/>
          <w:color w:val="auto"/>
          <w:highlight w:val="none"/>
        </w:rPr>
        <w:t>除特别指明外，监理人员对承包人的任何工作、工程或其采用的材料和工程设备未提出否定意见的，不应视为已获批准，也不影响总监理工程师或监理人员在以后拒绝该项工作、工程、材料或工程设备的权利。</w:t>
      </w:r>
    </w:p>
    <w:p w14:paraId="5400987D">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color w:val="auto"/>
          <w:highlight w:val="none"/>
        </w:rPr>
        <w:t>（3）</w:t>
      </w:r>
      <w:r>
        <w:rPr>
          <w:rFonts w:hint="eastAsia" w:ascii="仿宋" w:hAnsi="仿宋" w:eastAsia="仿宋" w:cs="仿宋"/>
          <w:bCs/>
          <w:color w:val="auto"/>
          <w:highlight w:val="none"/>
        </w:rPr>
        <w:t>总监理工程师应按相关合同的约定向承包人发出指令，总监理工程师的指令应盖有监理人授权的施工场地机构章，并由总监理工程师或总监理工程师按上述（1）项约定授权的监理人员签字。</w:t>
      </w:r>
    </w:p>
    <w:p w14:paraId="6A9F52DF">
      <w:pPr>
        <w:pStyle w:val="105"/>
        <w:spacing w:line="480" w:lineRule="exact"/>
        <w:ind w:firstLine="496"/>
        <w:rPr>
          <w:rFonts w:hint="eastAsia" w:ascii="仿宋" w:hAnsi="仿宋" w:eastAsia="仿宋" w:cs="仿宋"/>
          <w:bCs/>
          <w:strike/>
          <w:color w:val="auto"/>
          <w:highlight w:val="none"/>
        </w:rPr>
      </w:pPr>
      <w:r>
        <w:rPr>
          <w:rFonts w:hint="eastAsia" w:ascii="仿宋" w:hAnsi="仿宋" w:eastAsia="仿宋" w:cs="仿宋"/>
          <w:bCs/>
          <w:color w:val="auto"/>
          <w:highlight w:val="none"/>
        </w:rPr>
        <w:t>（4）承包人收到总监理工程师按上述（3）项约定作出的指令后应遵照执行。承包人对总监理工程师的指令有异议的，可向总监理工程师提出书面意见，但应先遵照执行。总监理工程师研究承包人的书面意见后，应在48小时内对该指令予以确认、更改或撤销，并通知承包人。若总监理工程师再次决定继续执行原指令，承包人应遵照执行，承包人如仍有异议，可报委托人裁决。</w:t>
      </w:r>
    </w:p>
    <w:p w14:paraId="4B507D2C">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color w:val="auto"/>
          <w:highlight w:val="none"/>
        </w:rPr>
        <w:t>（5）</w:t>
      </w:r>
      <w:r>
        <w:rPr>
          <w:rFonts w:hint="eastAsia" w:ascii="仿宋" w:hAnsi="仿宋" w:eastAsia="仿宋" w:cs="仿宋"/>
          <w:bCs/>
          <w:color w:val="auto"/>
          <w:highlight w:val="none"/>
        </w:rPr>
        <w:t>在紧急情况下，总监理工程师或被授权的监理人员可以当场发出口头指令，承包人应遵照执行。监理人应在发出口头指令后24小时内发出书面指令予以确认。</w:t>
      </w:r>
    </w:p>
    <w:p w14:paraId="6B75321A">
      <w:pPr>
        <w:pStyle w:val="105"/>
        <w:spacing w:line="480" w:lineRule="exact"/>
        <w:ind w:firstLine="496"/>
        <w:rPr>
          <w:rFonts w:hint="eastAsia" w:ascii="仿宋" w:hAnsi="仿宋" w:eastAsia="仿宋" w:cs="仿宋"/>
          <w:bCs/>
          <w:color w:val="auto"/>
          <w:highlight w:val="none"/>
        </w:rPr>
      </w:pPr>
      <w:r>
        <w:rPr>
          <w:rFonts w:hint="eastAsia" w:ascii="仿宋" w:hAnsi="仿宋" w:eastAsia="仿宋" w:cs="仿宋"/>
          <w:color w:val="auto"/>
          <w:highlight w:val="none"/>
        </w:rPr>
        <w:t>（6）</w:t>
      </w:r>
      <w:r>
        <w:rPr>
          <w:rFonts w:hint="eastAsia" w:ascii="仿宋" w:hAnsi="仿宋" w:eastAsia="仿宋" w:cs="仿宋"/>
          <w:bCs/>
          <w:color w:val="auto"/>
          <w:highlight w:val="none"/>
        </w:rPr>
        <w:t>除合同另有约定外，承包人只从总监理工程师或按</w:t>
      </w:r>
      <w:r>
        <w:rPr>
          <w:rFonts w:hint="eastAsia" w:ascii="仿宋" w:hAnsi="仿宋" w:eastAsia="仿宋" w:cs="仿宋"/>
          <w:bCs/>
          <w:color w:val="auto"/>
          <w:highlight w:val="none"/>
          <w:u w:val="wave"/>
        </w:rPr>
        <w:t>上述（1）项</w:t>
      </w:r>
      <w:r>
        <w:rPr>
          <w:rFonts w:hint="eastAsia" w:ascii="仿宋" w:hAnsi="仿宋" w:eastAsia="仿宋" w:cs="仿宋"/>
          <w:bCs/>
          <w:color w:val="auto"/>
          <w:highlight w:val="none"/>
        </w:rPr>
        <w:t>被授权的监理人员处取得指令。</w:t>
      </w:r>
    </w:p>
    <w:p w14:paraId="104EB2F9">
      <w:pPr>
        <w:adjustRightInd w:val="0"/>
        <w:snapToGrid w:val="0"/>
        <w:spacing w:line="6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Cs/>
          <w:color w:val="auto"/>
          <w:sz w:val="24"/>
          <w:szCs w:val="24"/>
          <w:highlight w:val="none"/>
        </w:rPr>
        <w:t>由于总监理工程师未能按合同约定履行职责或总监理工程师指令错误而延误工期的，工期顺延情形只适用于一般节点工期。</w:t>
      </w:r>
    </w:p>
    <w:p w14:paraId="6FEF6948">
      <w:pPr>
        <w:adjustRightInd w:val="0"/>
        <w:snapToGrid w:val="0"/>
        <w:spacing w:line="640" w:lineRule="exact"/>
        <w:rPr>
          <w:rFonts w:hint="eastAsia" w:ascii="仿宋" w:hAnsi="仿宋" w:eastAsia="仿宋" w:cs="仿宋"/>
          <w:color w:val="auto"/>
          <w:sz w:val="24"/>
          <w:szCs w:val="24"/>
          <w:highlight w:val="none"/>
        </w:rPr>
      </w:pPr>
    </w:p>
    <w:p w14:paraId="0648128E">
      <w:pPr>
        <w:adjustRightInd w:val="0"/>
        <w:snapToGrid w:val="0"/>
        <w:spacing w:line="640" w:lineRule="exact"/>
        <w:rPr>
          <w:rFonts w:hint="eastAsia" w:ascii="仿宋" w:hAnsi="仿宋" w:eastAsia="仿宋" w:cs="仿宋"/>
          <w:color w:val="auto"/>
          <w:sz w:val="24"/>
          <w:szCs w:val="24"/>
          <w:highlight w:val="none"/>
        </w:rPr>
      </w:pPr>
    </w:p>
    <w:p w14:paraId="31733F3C">
      <w:pPr>
        <w:spacing w:line="640" w:lineRule="exact"/>
        <w:ind w:left="210" w:leftChars="100"/>
        <w:outlineLvl w:val="2"/>
        <w:rPr>
          <w:rFonts w:ascii="仿宋" w:hAnsi="仿宋" w:eastAsia="仿宋" w:cs="Times New Roman"/>
          <w:color w:val="auto"/>
          <w:sz w:val="24"/>
          <w:szCs w:val="24"/>
          <w:highlight w:val="none"/>
        </w:rPr>
      </w:pPr>
      <w:bookmarkStart w:id="248" w:name="_Toc4435"/>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履行职责</w:t>
      </w:r>
      <w:bookmarkEnd w:id="248"/>
    </w:p>
    <w:p w14:paraId="2ADC4CAF">
      <w:pPr>
        <w:adjustRightInd w:val="0"/>
        <w:snapToGrid w:val="0"/>
        <w:spacing w:line="640" w:lineRule="exact"/>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rPr>
        <w:t>对监理人的授权范围</w:t>
      </w:r>
    </w:p>
    <w:p w14:paraId="1ECF72FA">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（一）</w:t>
      </w:r>
      <w:r>
        <w:rPr>
          <w:rFonts w:hint="eastAsia" w:ascii="仿宋" w:hAnsi="仿宋" w:eastAsia="仿宋" w:cs="仿宋"/>
          <w:color w:val="auto"/>
          <w:highlight w:val="none"/>
        </w:rPr>
        <w:t>监理人应对其派驻的项目监理机构在监理业务范围内的工作全面负责，并提供一切必要的支持。</w:t>
      </w:r>
    </w:p>
    <w:p w14:paraId="5B8EDD94">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（二）</w:t>
      </w:r>
      <w:r>
        <w:rPr>
          <w:rFonts w:hint="eastAsia" w:ascii="仿宋" w:hAnsi="仿宋" w:eastAsia="仿宋" w:cs="仿宋"/>
          <w:color w:val="auto"/>
          <w:highlight w:val="none"/>
        </w:rPr>
        <w:t>监理人在本合同履行期内必须接受委托人有关项目管理机构职权规定的约束，监理人应对提供给本项目服务的人员经常进行检查、指导、管理及后方支持，对他们完成的服务承担责任。</w:t>
      </w:r>
    </w:p>
    <w:p w14:paraId="4BF895CD">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（三）</w:t>
      </w:r>
      <w:r>
        <w:rPr>
          <w:rFonts w:hint="eastAsia" w:ascii="仿宋" w:hAnsi="仿宋" w:eastAsia="仿宋" w:cs="仿宋"/>
          <w:color w:val="auto"/>
          <w:highlight w:val="none"/>
        </w:rPr>
        <w:t>监理人必须在收到图纸、勘察资料等技术文件后14个日内向委托人提供针对本合同工程特点、重点、难点的《监理规划》、相应的《监理实施细则》，经委托人审核批准后执行，委托人以此具体考核监理人的监理工作。如委托人要求监理人对《监理规划》等进行调整，监理人必须在3个日内完成调整并报委托人审批。</w:t>
      </w:r>
    </w:p>
    <w:p w14:paraId="65350702">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（四）</w:t>
      </w:r>
      <w:r>
        <w:rPr>
          <w:rFonts w:hint="eastAsia" w:ascii="仿宋" w:hAnsi="仿宋" w:eastAsia="仿宋" w:cs="仿宋"/>
          <w:color w:val="auto"/>
          <w:highlight w:val="none"/>
        </w:rPr>
        <w:t>委托人委托监理人代表委托人组织施工前期手续的办理工作，直至具备施工条件。委托人委托监理人承担本合同工程范围内的协调管理工作，包括工程施工的进场、设计、退场、质量、进度及其他相关工作。</w:t>
      </w:r>
    </w:p>
    <w:p w14:paraId="79254425">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（五）</w:t>
      </w:r>
      <w:r>
        <w:rPr>
          <w:rFonts w:hint="eastAsia" w:ascii="仿宋" w:hAnsi="仿宋" w:eastAsia="仿宋" w:cs="仿宋"/>
          <w:color w:val="auto"/>
          <w:highlight w:val="none"/>
        </w:rPr>
        <w:t>监理工程师在本合同工程中，对工程质量、投资与进度进行控制，办理合同约定的各项手续。监理工程师在办理各种手续时，不得扣压和延误。</w:t>
      </w:r>
    </w:p>
    <w:p w14:paraId="72A26F4E">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（六）</w:t>
      </w:r>
      <w:r>
        <w:rPr>
          <w:rFonts w:hint="eastAsia" w:ascii="仿宋" w:hAnsi="仿宋" w:eastAsia="仿宋" w:cs="仿宋"/>
          <w:color w:val="auto"/>
          <w:highlight w:val="none"/>
        </w:rPr>
        <w:t>在任何情况下（包括合同另有约定的情况），凡涉及工程变更、工程量增减、议价、索赔、处理事故、改变工期、改变技术标准、改变重大施工方案等及一切有关费用的问题，均需与委托人共同商定，报委托人批准。</w:t>
      </w:r>
    </w:p>
    <w:p w14:paraId="7EF725F7">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（七）</w:t>
      </w:r>
      <w:r>
        <w:rPr>
          <w:rFonts w:hint="eastAsia" w:ascii="仿宋" w:hAnsi="仿宋" w:eastAsia="仿宋" w:cs="仿宋"/>
          <w:color w:val="auto"/>
          <w:highlight w:val="none"/>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14:paraId="6ADC0AFC">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（八）</w:t>
      </w:r>
      <w:r>
        <w:rPr>
          <w:rFonts w:hint="eastAsia" w:ascii="仿宋" w:hAnsi="仿宋" w:eastAsia="仿宋" w:cs="仿宋"/>
          <w:color w:val="auto"/>
          <w:highlight w:val="none"/>
        </w:rPr>
        <w:t>监理人应尽一切努力，高效又经济地按照合同约定及行业通常接受的技术和惯例履行服务，遵守正确的管理和工程惯例，使用适当的先进技术和安全有效的设备、仪器、材料和方法，就与施工合同中服务有关的事宜，监理人始终作为委托人的忠实顾问，认真、充分履行其监理职责。在与承包人的交往中维护委托人的合法利益，力争使其服务达到委托人满意。</w:t>
      </w:r>
    </w:p>
    <w:p w14:paraId="0C04E7F7">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（九）</w:t>
      </w:r>
      <w:r>
        <w:rPr>
          <w:rFonts w:hint="eastAsia" w:ascii="仿宋" w:hAnsi="仿宋" w:eastAsia="仿宋" w:cs="仿宋"/>
          <w:color w:val="auto"/>
          <w:highlight w:val="none"/>
        </w:rPr>
        <w:t>监理人必须不折不扣地履行其工作职责，不得推托或耽误，不能有不履行或不完全履行职务的行为，否则，必须承担相应的违约责任。</w:t>
      </w:r>
    </w:p>
    <w:p w14:paraId="685E8979">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w:t>
      </w:r>
      <w:r>
        <w:rPr>
          <w:rFonts w:hint="eastAsia" w:ascii="仿宋" w:hAnsi="仿宋" w:eastAsia="仿宋" w:cs="仿宋"/>
          <w:color w:val="auto"/>
          <w:highlight w:val="none"/>
        </w:rPr>
        <w:t>对于委托人及承包人书面提交并要求作出决定的事宜，监理人应在3日内作出书面答复，对影响施工现场进度的事项应在24小时内作出具有明确处理意见的书面答复。</w:t>
      </w:r>
    </w:p>
    <w:p w14:paraId="130479DD">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（十一）</w:t>
      </w:r>
      <w:r>
        <w:rPr>
          <w:rFonts w:hint="eastAsia" w:ascii="仿宋" w:hAnsi="仿宋" w:eastAsia="仿宋" w:cs="仿宋"/>
          <w:color w:val="auto"/>
          <w:highlight w:val="none"/>
        </w:rPr>
        <w:t>监理人应在签订本合同后14天内按招标文件载明的格式向委托人提交由在中国注册的银行</w:t>
      </w:r>
      <w:r>
        <w:rPr>
          <w:rFonts w:hint="eastAsia" w:ascii="仿宋" w:hAnsi="仿宋" w:eastAsia="仿宋" w:cs="仿宋"/>
          <w:color w:val="auto"/>
          <w:highlight w:val="none"/>
          <w:lang w:eastAsia="zh-CN"/>
        </w:rPr>
        <w:t>（或担保公司）</w:t>
      </w:r>
      <w:r>
        <w:rPr>
          <w:rFonts w:hint="eastAsia" w:ascii="仿宋" w:hAnsi="仿宋" w:eastAsia="仿宋" w:cs="仿宋"/>
          <w:color w:val="auto"/>
          <w:highlight w:val="none"/>
        </w:rPr>
        <w:t>开出的担保金额为合同价款的10%，即人民币</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元的《履约银行保函》原件。</w:t>
      </w:r>
    </w:p>
    <w:p w14:paraId="067A4F3A">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（十二）</w:t>
      </w:r>
      <w:r>
        <w:rPr>
          <w:rFonts w:hint="eastAsia" w:ascii="仿宋" w:hAnsi="仿宋" w:eastAsia="仿宋" w:cs="仿宋"/>
          <w:color w:val="auto"/>
          <w:highlight w:val="none"/>
        </w:rPr>
        <w:t>监理人如未能在上述约定的时间内提交履约银行保函的，视为自动放弃中标资格，其所提交的投标保证金不予退还。</w:t>
      </w:r>
    </w:p>
    <w:p w14:paraId="409FFB3E">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（十三）</w:t>
      </w:r>
      <w:r>
        <w:rPr>
          <w:rFonts w:hint="eastAsia" w:ascii="仿宋" w:hAnsi="仿宋" w:eastAsia="仿宋" w:cs="仿宋"/>
          <w:color w:val="auto"/>
          <w:highlight w:val="none"/>
        </w:rPr>
        <w:t>监理人提交的履约银行保函是对本合同约定的监理人的全部义务（包括但不限于监理人违约后应</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的违约金和赔偿金）的担保，监理人的任何一次不履行或不完全履行合同义务的行为，委托人均有权向出函银行提出索赔。</w:t>
      </w:r>
    </w:p>
    <w:p w14:paraId="6D1352EE">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（十四）</w:t>
      </w:r>
      <w:r>
        <w:rPr>
          <w:rFonts w:hint="eastAsia" w:ascii="仿宋" w:hAnsi="仿宋" w:eastAsia="仿宋" w:cs="仿宋"/>
          <w:color w:val="auto"/>
          <w:highlight w:val="none"/>
        </w:rPr>
        <w:t>监理人不履行或不完全履行合同义务的行为导致委托人依据履约银行保函向银行索赔履约银行保函金额的一部分或者全部的，监理人必须在委托人规定的时间内补充提交履约银行保函，使得本合同履行期间有效的履约银行保函金额等于监理人第一次提交的履约银行保函金额。</w:t>
      </w:r>
    </w:p>
    <w:p w14:paraId="27C6391E">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（十五）</w:t>
      </w:r>
      <w:r>
        <w:rPr>
          <w:rFonts w:hint="eastAsia" w:ascii="仿宋" w:hAnsi="仿宋" w:eastAsia="仿宋" w:cs="仿宋"/>
          <w:color w:val="auto"/>
          <w:highlight w:val="none"/>
        </w:rPr>
        <w:t>如果监理人不按委托人的要求及时补充提交履约银行保函，则委托人有权单方面部分解除或解除本合同，并按合同专用条款的有关约定执行。</w:t>
      </w:r>
    </w:p>
    <w:p w14:paraId="6796A74C">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（十六）</w:t>
      </w:r>
      <w:r>
        <w:rPr>
          <w:rFonts w:hint="eastAsia" w:ascii="仿宋" w:hAnsi="仿宋" w:eastAsia="仿宋" w:cs="仿宋"/>
          <w:color w:val="auto"/>
          <w:highlight w:val="none"/>
        </w:rPr>
        <w:t>工程结算最终定审后，监理人可以向委托人申请退还履约银行保函。</w:t>
      </w:r>
    </w:p>
    <w:p w14:paraId="33932669">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（十七）</w:t>
      </w:r>
      <w:r>
        <w:rPr>
          <w:rFonts w:hint="eastAsia" w:ascii="仿宋" w:hAnsi="仿宋" w:eastAsia="仿宋" w:cs="仿宋"/>
          <w:color w:val="auto"/>
          <w:highlight w:val="none"/>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该尽一切合理的努力，按委托人可接受的条件对监理人的责任、第三方的责任以及委托人为监理服务提供的财产等进行保险。上述有关费用由监理人承担。</w:t>
      </w:r>
    </w:p>
    <w:p w14:paraId="05FAEA01">
      <w:pPr>
        <w:adjustRightInd w:val="0"/>
        <w:snapToGrid w:val="0"/>
        <w:spacing w:line="6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（十八）</w:t>
      </w:r>
      <w:r>
        <w:rPr>
          <w:rFonts w:hint="eastAsia" w:ascii="仿宋" w:hAnsi="仿宋" w:eastAsia="仿宋" w:cs="仿宋"/>
          <w:color w:val="auto"/>
          <w:sz w:val="24"/>
          <w:szCs w:val="24"/>
          <w:highlight w:val="none"/>
        </w:rPr>
        <w:t>监理人不按上述约定购买保险所产生的后果，由监理人自行承担。</w:t>
      </w:r>
    </w:p>
    <w:p w14:paraId="14E33CF1">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（十九）委托人根据需要有权指令监理人协调部分外部关系，委托人对此无需</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任何酬金。</w:t>
      </w:r>
    </w:p>
    <w:p w14:paraId="2FC2BA9C">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color w:val="auto"/>
          <w:highlight w:val="none"/>
        </w:rPr>
        <w:t>（二十）</w:t>
      </w:r>
      <w:r>
        <w:rPr>
          <w:rFonts w:hint="eastAsia" w:ascii="仿宋" w:hAnsi="仿宋" w:eastAsia="仿宋" w:cs="仿宋"/>
          <w:color w:val="auto"/>
          <w:highlight w:val="none"/>
        </w:rPr>
        <w:t>监理服务期自监理人收到中标通知书或</w:t>
      </w:r>
      <w:r>
        <w:rPr>
          <w:rFonts w:hint="eastAsia" w:ascii="仿宋" w:hAnsi="仿宋" w:eastAsia="仿宋" w:cs="仿宋"/>
          <w:bCs/>
          <w:color w:val="auto"/>
          <w:highlight w:val="none"/>
        </w:rPr>
        <w:t>参加由委托人组织的第一次进场动员会之日</w:t>
      </w:r>
      <w:r>
        <w:rPr>
          <w:rFonts w:hint="eastAsia" w:ascii="仿宋" w:hAnsi="仿宋" w:eastAsia="仿宋" w:cs="仿宋"/>
          <w:color w:val="auto"/>
          <w:highlight w:val="none"/>
        </w:rPr>
        <w:t>起算，至本项目工程保修期结束且本合同工程结算金额经政府结算终审部门审定之日止。监理服务期包括项目的施工准备阶段、施工阶段、工程收尾阶段和质量保修阶段，监理人须实行全过程监理服务。</w:t>
      </w:r>
    </w:p>
    <w:p w14:paraId="285AA742">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bCs/>
          <w:color w:val="auto"/>
          <w:highlight w:val="none"/>
        </w:rPr>
        <w:t>（二十一）监理人无法履约或部分履约</w:t>
      </w:r>
    </w:p>
    <w:p w14:paraId="00398940">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在实际情况发生变化，使得监理人不能全部或部分执行监理业务时，监理人应当立即通知委托人，该监理业务的完成时间应予延长。当恢复执行监理业务时，监理人应当立即恢复执行监理业务，监理人的酬金不变。</w:t>
      </w:r>
    </w:p>
    <w:p w14:paraId="0FC4AC29">
      <w:pPr>
        <w:pStyle w:val="105"/>
        <w:spacing w:line="480" w:lineRule="exact"/>
        <w:ind w:firstLine="498"/>
        <w:rPr>
          <w:rFonts w:hint="eastAsia" w:ascii="仿宋" w:hAnsi="仿宋" w:eastAsia="仿宋" w:cs="仿宋"/>
          <w:color w:val="auto"/>
          <w:highlight w:val="none"/>
        </w:rPr>
      </w:pPr>
      <w:r>
        <w:rPr>
          <w:rFonts w:hint="eastAsia" w:ascii="仿宋" w:hAnsi="仿宋" w:eastAsia="仿宋" w:cs="仿宋"/>
          <w:b/>
          <w:bCs/>
          <w:color w:val="auto"/>
          <w:highlight w:val="none"/>
        </w:rPr>
        <w:t>（二十二）工程保修期间的监理责任</w:t>
      </w:r>
    </w:p>
    <w:p w14:paraId="30E90CE4">
      <w:pPr>
        <w:pStyle w:val="105"/>
        <w:spacing w:line="480" w:lineRule="exact"/>
        <w:ind w:firstLine="496"/>
        <w:rPr>
          <w:rFonts w:hint="eastAsia" w:ascii="仿宋" w:hAnsi="仿宋" w:eastAsia="仿宋" w:cs="仿宋"/>
          <w:color w:val="auto"/>
          <w:highlight w:val="none"/>
        </w:rPr>
      </w:pPr>
      <w:r>
        <w:rPr>
          <w:rFonts w:hint="eastAsia" w:ascii="仿宋" w:hAnsi="仿宋" w:eastAsia="仿宋" w:cs="仿宋"/>
          <w:color w:val="auto"/>
          <w:highlight w:val="none"/>
        </w:rPr>
        <w:t>本合同的有效期一直至本合同工程收尾期间届满且竣工结算完成并同时双方的责任、义务履行完毕时才终止。本合同工程维护期间，监理人仍须承担监理责任。</w:t>
      </w:r>
    </w:p>
    <w:p w14:paraId="3B36B6EE">
      <w:pPr>
        <w:adjustRightInd w:val="0"/>
        <w:snapToGrid w:val="0"/>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在涉及工程延期</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天内和（或）金额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万元内的变更，监理人不需请示委托人即可向承包人发布变更通知。</w:t>
      </w:r>
    </w:p>
    <w:p w14:paraId="6B240467">
      <w:pPr>
        <w:spacing w:line="640" w:lineRule="exact"/>
        <w:ind w:left="210" w:leftChars="100"/>
        <w:outlineLvl w:val="2"/>
        <w:rPr>
          <w:rFonts w:ascii="仿宋" w:hAnsi="仿宋" w:eastAsia="仿宋" w:cs="Times New Roman"/>
          <w:color w:val="auto"/>
          <w:sz w:val="24"/>
          <w:szCs w:val="24"/>
          <w:highlight w:val="none"/>
        </w:rPr>
      </w:pPr>
      <w:bookmarkStart w:id="249" w:name="_Toc21406"/>
      <w:r>
        <w:rPr>
          <w:rFonts w:ascii="仿宋" w:hAnsi="仿宋" w:eastAsia="仿宋" w:cs="仿宋"/>
          <w:color w:val="auto"/>
          <w:sz w:val="24"/>
          <w:szCs w:val="24"/>
          <w:highlight w:val="none"/>
        </w:rPr>
        <w:t xml:space="preserve">2.5 </w:t>
      </w:r>
      <w:r>
        <w:rPr>
          <w:rFonts w:hint="eastAsia" w:ascii="仿宋" w:hAnsi="仿宋" w:eastAsia="仿宋" w:cs="仿宋"/>
          <w:color w:val="auto"/>
          <w:sz w:val="24"/>
          <w:szCs w:val="24"/>
          <w:highlight w:val="none"/>
        </w:rPr>
        <w:t>提交报告</w:t>
      </w:r>
      <w:bookmarkEnd w:id="249"/>
    </w:p>
    <w:p w14:paraId="4751B5AF">
      <w:pPr>
        <w:adjustRightInd w:val="0"/>
        <w:snapToGrid w:val="0"/>
        <w:spacing w:line="640" w:lineRule="exact"/>
        <w:ind w:firstLine="52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监理人应提交报告的种类</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包括监理规划、监理月报及约定的专项报告</w:t>
      </w:r>
      <w:r>
        <w:rPr>
          <w:rFonts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、时间和份数</w:t>
      </w:r>
      <w:r>
        <w:rPr>
          <w:rFonts w:hint="eastAsia" w:ascii="仿宋" w:hAnsi="仿宋" w:eastAsia="仿宋" w:cs="仿宋"/>
          <w:color w:val="auto"/>
          <w:kern w:val="0"/>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2D8E3CC0">
      <w:pPr>
        <w:adjustRightInd w:val="0"/>
        <w:snapToGrid w:val="0"/>
        <w:spacing w:line="640" w:lineRule="exac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p>
    <w:p w14:paraId="54D6A807">
      <w:pPr>
        <w:adjustRightInd w:val="0"/>
        <w:snapToGrid w:val="0"/>
        <w:spacing w:line="640" w:lineRule="exact"/>
        <w:rPr>
          <w:rFonts w:ascii="仿宋" w:hAnsi="仿宋" w:eastAsia="仿宋" w:cs="Times New Roman"/>
          <w:color w:val="auto"/>
          <w:sz w:val="24"/>
          <w:szCs w:val="24"/>
          <w:highlight w:val="none"/>
          <w:u w:val="singl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847BB4">
      <w:pPr>
        <w:spacing w:line="640" w:lineRule="exact"/>
        <w:ind w:left="210" w:leftChars="100"/>
        <w:outlineLvl w:val="2"/>
        <w:rPr>
          <w:rFonts w:ascii="仿宋" w:hAnsi="仿宋" w:eastAsia="仿宋" w:cs="Times New Roman"/>
          <w:color w:val="auto"/>
          <w:sz w:val="24"/>
          <w:szCs w:val="24"/>
          <w:highlight w:val="none"/>
        </w:rPr>
      </w:pPr>
      <w:bookmarkStart w:id="250" w:name="_Toc11176"/>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使用委托人的财产</w:t>
      </w:r>
      <w:bookmarkEnd w:id="250"/>
    </w:p>
    <w:p w14:paraId="2B6CF867">
      <w:pPr>
        <w:spacing w:line="640" w:lineRule="exac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附录</w:t>
      </w:r>
      <w:r>
        <w:rPr>
          <w:rFonts w:ascii="仿宋" w:hAnsi="仿宋" w:eastAsia="仿宋" w:cs="仿宋"/>
          <w:color w:val="auto"/>
          <w:sz w:val="24"/>
          <w:szCs w:val="24"/>
          <w:highlight w:val="none"/>
        </w:rPr>
        <w:t>B</w:t>
      </w:r>
      <w:r>
        <w:rPr>
          <w:rFonts w:hint="eastAsia" w:ascii="仿宋" w:hAnsi="仿宋" w:eastAsia="仿宋" w:cs="仿宋"/>
          <w:color w:val="auto"/>
          <w:sz w:val="24"/>
          <w:szCs w:val="24"/>
          <w:highlight w:val="none"/>
        </w:rPr>
        <w:t>中由委托人无偿提供的房屋、设备的所有权属于：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710A134">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监理人应在本合同终止后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天内移交委托人无偿提供的房屋、设备，移交的时间和方式为：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F0AE2AC">
      <w:pPr>
        <w:spacing w:line="640" w:lineRule="exact"/>
        <w:ind w:left="210" w:leftChars="100"/>
        <w:outlineLvl w:val="2"/>
        <w:rPr>
          <w:rFonts w:ascii="仿宋" w:hAnsi="仿宋" w:eastAsia="仿宋" w:cs="Times New Roman"/>
          <w:color w:val="auto"/>
          <w:sz w:val="24"/>
          <w:szCs w:val="24"/>
          <w:highlight w:val="none"/>
        </w:rPr>
      </w:pPr>
      <w:bookmarkStart w:id="251" w:name="_Toc14330"/>
      <w:r>
        <w:rPr>
          <w:rFonts w:ascii="仿宋" w:hAnsi="仿宋" w:eastAsia="仿宋" w:cs="仿宋"/>
          <w:color w:val="auto"/>
          <w:sz w:val="24"/>
          <w:szCs w:val="24"/>
          <w:highlight w:val="none"/>
        </w:rPr>
        <w:t>2.8</w:t>
      </w:r>
      <w:r>
        <w:rPr>
          <w:rFonts w:hint="eastAsia" w:ascii="仿宋" w:hAnsi="仿宋" w:eastAsia="仿宋" w:cs="仿宋"/>
          <w:color w:val="auto"/>
          <w:sz w:val="24"/>
          <w:szCs w:val="24"/>
          <w:highlight w:val="none"/>
        </w:rPr>
        <w:t>履约担保</w:t>
      </w:r>
      <w:bookmarkEnd w:id="251"/>
    </w:p>
    <w:p w14:paraId="3E40CCBB">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履约担保按下列方式</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②</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进行办理：</w:t>
      </w:r>
    </w:p>
    <w:p w14:paraId="78E104D5">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①委托人不需要监理人出具履约保函；</w:t>
      </w:r>
    </w:p>
    <w:p w14:paraId="2D9D3449">
      <w:pPr>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②委托人需要监理人出具履约保函的，监理人应在签订本合同后二个月内向委托人提交在中国注册的银行</w:t>
      </w:r>
      <w:r>
        <w:rPr>
          <w:rFonts w:hint="eastAsia" w:ascii="仿宋" w:hAnsi="仿宋" w:eastAsia="仿宋" w:cs="仿宋"/>
          <w:color w:val="auto"/>
          <w:sz w:val="24"/>
          <w:szCs w:val="24"/>
          <w:highlight w:val="none"/>
          <w:lang w:eastAsia="zh-CN"/>
        </w:rPr>
        <w:t>（或担保公司）</w:t>
      </w:r>
      <w:r>
        <w:rPr>
          <w:rFonts w:hint="eastAsia" w:ascii="仿宋" w:hAnsi="仿宋" w:eastAsia="仿宋" w:cs="仿宋"/>
          <w:color w:val="auto"/>
          <w:sz w:val="24"/>
          <w:szCs w:val="24"/>
          <w:highlight w:val="none"/>
        </w:rPr>
        <w:t>开出的担保金额为合同价款的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（不高于</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即人民币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元的《施工监理期履约保函》原件。保函期限以壹年为期限，根据工期每年到期后再续开下一年度的保函，可连续出具</w:t>
      </w:r>
      <w:r>
        <w:rPr>
          <w:rFonts w:ascii="仿宋" w:hAnsi="仿宋" w:eastAsia="仿宋" w:cs="仿宋"/>
          <w:color w:val="auto"/>
          <w:sz w:val="24"/>
          <w:szCs w:val="24"/>
          <w:highlight w:val="none"/>
        </w:rPr>
        <w:t>.</w:t>
      </w:r>
    </w:p>
    <w:p w14:paraId="3A7D78C0">
      <w:pPr>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在监理人签署质量合格文件后，履约保函解除</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80</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（不低于</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，在工程竣工验收合格时或交付使用时，应予以办理退回履约保函。</w:t>
      </w:r>
    </w:p>
    <w:p w14:paraId="2722F445">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③委托人不需要监理人出具履约保证保险；</w:t>
      </w:r>
    </w:p>
    <w:p w14:paraId="473FBB65">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④委托人需要监理人出具履约保证保险的，监理人应在签订本合同后二个月内向委托人提交履约保证保险资料原件，保证保险担保金额：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；保证保险期限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1E3F51">
      <w:pPr>
        <w:spacing w:line="640" w:lineRule="exact"/>
        <w:outlineLvl w:val="1"/>
        <w:rPr>
          <w:rFonts w:ascii="仿宋" w:hAnsi="仿宋" w:eastAsia="仿宋" w:cs="仿宋"/>
          <w:b/>
          <w:bCs/>
          <w:color w:val="auto"/>
          <w:sz w:val="24"/>
          <w:szCs w:val="24"/>
          <w:highlight w:val="none"/>
        </w:rPr>
      </w:pPr>
      <w:bookmarkStart w:id="252" w:name="_Toc16932"/>
      <w:r>
        <w:rPr>
          <w:rFonts w:ascii="仿宋" w:hAnsi="仿宋" w:eastAsia="仿宋" w:cs="仿宋"/>
          <w:b/>
          <w:bCs/>
          <w:color w:val="auto"/>
          <w:sz w:val="24"/>
          <w:szCs w:val="24"/>
          <w:highlight w:val="none"/>
        </w:rPr>
        <w:t xml:space="preserve">3. </w:t>
      </w:r>
      <w:r>
        <w:rPr>
          <w:rFonts w:hint="eastAsia" w:ascii="仿宋" w:hAnsi="仿宋" w:eastAsia="仿宋" w:cs="仿宋"/>
          <w:b/>
          <w:bCs/>
          <w:color w:val="auto"/>
          <w:sz w:val="24"/>
          <w:szCs w:val="24"/>
          <w:highlight w:val="none"/>
        </w:rPr>
        <w:t>委托人义务</w:t>
      </w:r>
      <w:bookmarkEnd w:id="252"/>
      <w:r>
        <w:rPr>
          <w:rFonts w:ascii="仿宋" w:hAnsi="仿宋" w:eastAsia="仿宋" w:cs="仿宋"/>
          <w:b/>
          <w:bCs/>
          <w:color w:val="auto"/>
          <w:sz w:val="24"/>
          <w:szCs w:val="24"/>
          <w:highlight w:val="none"/>
        </w:rPr>
        <w:t xml:space="preserve">  </w:t>
      </w:r>
    </w:p>
    <w:p w14:paraId="12765E55">
      <w:pPr>
        <w:spacing w:line="640" w:lineRule="exact"/>
        <w:ind w:left="210" w:leftChars="100"/>
        <w:outlineLvl w:val="2"/>
        <w:rPr>
          <w:rFonts w:ascii="仿宋" w:hAnsi="仿宋" w:eastAsia="仿宋" w:cs="Times New Roman"/>
          <w:color w:val="auto"/>
          <w:sz w:val="24"/>
          <w:szCs w:val="24"/>
          <w:highlight w:val="none"/>
        </w:rPr>
      </w:pPr>
      <w:bookmarkStart w:id="253" w:name="_Toc4344"/>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委托人代表</w:t>
      </w:r>
      <w:bookmarkEnd w:id="253"/>
    </w:p>
    <w:p w14:paraId="7A9AB860">
      <w:pPr>
        <w:adjustRightInd w:val="0"/>
        <w:snapToGrid w:val="0"/>
        <w:spacing w:line="64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委托人代表为：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3655E66">
      <w:pPr>
        <w:spacing w:line="640" w:lineRule="exact"/>
        <w:ind w:left="210" w:leftChars="100"/>
        <w:outlineLvl w:val="2"/>
        <w:rPr>
          <w:rFonts w:ascii="仿宋" w:hAnsi="仿宋" w:eastAsia="仿宋" w:cs="Times New Roman"/>
          <w:color w:val="auto"/>
          <w:sz w:val="24"/>
          <w:szCs w:val="24"/>
          <w:highlight w:val="none"/>
        </w:rPr>
      </w:pPr>
      <w:bookmarkStart w:id="254" w:name="_Toc11378"/>
      <w:r>
        <w:rPr>
          <w:rFonts w:ascii="仿宋" w:hAnsi="仿宋" w:eastAsia="仿宋" w:cs="仿宋"/>
          <w:color w:val="auto"/>
          <w:sz w:val="24"/>
          <w:szCs w:val="24"/>
          <w:highlight w:val="none"/>
        </w:rPr>
        <w:t xml:space="preserve">3.6 </w:t>
      </w:r>
      <w:r>
        <w:rPr>
          <w:rFonts w:hint="eastAsia" w:ascii="仿宋" w:hAnsi="仿宋" w:eastAsia="仿宋" w:cs="仿宋"/>
          <w:color w:val="auto"/>
          <w:sz w:val="24"/>
          <w:szCs w:val="24"/>
          <w:highlight w:val="none"/>
        </w:rPr>
        <w:t>答复</w:t>
      </w:r>
      <w:bookmarkEnd w:id="254"/>
    </w:p>
    <w:p w14:paraId="73AC95C2">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委托人同意在</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7</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天内，对监理人书面提交并要求做出决定的事宜给予书面答复。</w:t>
      </w:r>
    </w:p>
    <w:p w14:paraId="6ED9F1A9">
      <w:pPr>
        <w:spacing w:line="640" w:lineRule="exact"/>
        <w:ind w:left="210" w:leftChars="100"/>
        <w:outlineLvl w:val="2"/>
        <w:rPr>
          <w:rFonts w:ascii="仿宋" w:hAnsi="仿宋" w:eastAsia="仿宋" w:cs="Times New Roman"/>
          <w:color w:val="auto"/>
          <w:sz w:val="24"/>
          <w:szCs w:val="24"/>
          <w:highlight w:val="none"/>
        </w:rPr>
      </w:pPr>
      <w:bookmarkStart w:id="255" w:name="_Toc4689"/>
      <w:r>
        <w:rPr>
          <w:rFonts w:ascii="仿宋" w:hAnsi="仿宋" w:eastAsia="仿宋" w:cs="仿宋"/>
          <w:color w:val="auto"/>
          <w:sz w:val="24"/>
          <w:szCs w:val="24"/>
          <w:highlight w:val="none"/>
        </w:rPr>
        <w:t xml:space="preserve">3.8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担保</w:t>
      </w:r>
      <w:bookmarkEnd w:id="255"/>
    </w:p>
    <w:p w14:paraId="4576D2DD">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担保按下列方式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①</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进行办理：</w:t>
      </w:r>
    </w:p>
    <w:p w14:paraId="088BC8E9">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①委托人不需要出具</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保函；</w:t>
      </w:r>
    </w:p>
    <w:p w14:paraId="5ED497CF">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②委托人需要出具</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保函的，委托人应在签订本合同后二个月内向监理人提交在中国注册的银行开出的担保金额为合同价款的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（不高于</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即人民币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元的</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保函原件。保函期限以壹年为期限，根据工期每年到期后再续开下一年度的保函，可连续出具。</w:t>
      </w:r>
    </w:p>
    <w:p w14:paraId="19A6ED1C">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委托人</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保函解除条件：</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保函解除</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办理退回</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保函条件：</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14:paraId="22E45FD0">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③委托人不需要出具</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保证保险；</w:t>
      </w:r>
    </w:p>
    <w:p w14:paraId="44EFCD35">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④委托人需要出具</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保证保险的，委托人应在签订本合同后二个月内向监理人提交</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保证保险资料原件，保证保险担保金额：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；保证保险期限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30A893C">
      <w:pPr>
        <w:spacing w:line="640" w:lineRule="exact"/>
        <w:outlineLvl w:val="1"/>
        <w:rPr>
          <w:rFonts w:ascii="仿宋" w:hAnsi="仿宋" w:eastAsia="仿宋" w:cs="Times New Roman"/>
          <w:b/>
          <w:bCs/>
          <w:color w:val="auto"/>
          <w:sz w:val="24"/>
          <w:szCs w:val="24"/>
          <w:highlight w:val="none"/>
        </w:rPr>
      </w:pPr>
      <w:bookmarkStart w:id="256" w:name="_Toc1853"/>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违约责任</w:t>
      </w:r>
      <w:bookmarkEnd w:id="256"/>
    </w:p>
    <w:p w14:paraId="22C68E56">
      <w:pPr>
        <w:spacing w:line="640" w:lineRule="exact"/>
        <w:ind w:left="210" w:leftChars="100"/>
        <w:outlineLvl w:val="2"/>
        <w:rPr>
          <w:rFonts w:ascii="仿宋" w:hAnsi="仿宋" w:eastAsia="仿宋" w:cs="Times New Roman"/>
          <w:color w:val="auto"/>
          <w:sz w:val="24"/>
          <w:szCs w:val="24"/>
          <w:highlight w:val="none"/>
        </w:rPr>
      </w:pPr>
      <w:bookmarkStart w:id="257" w:name="_Toc1679"/>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监理人的违约责任</w:t>
      </w:r>
      <w:bookmarkEnd w:id="257"/>
    </w:p>
    <w:p w14:paraId="44D764C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4.1.1监理人赔偿金额的计算方法： </w:t>
      </w:r>
      <w:r>
        <w:rPr>
          <w:rFonts w:hint="eastAsia" w:ascii="仿宋" w:hAnsi="仿宋" w:eastAsia="仿宋" w:cs="仿宋"/>
          <w:color w:val="auto"/>
          <w:spacing w:val="0"/>
          <w:kern w:val="2"/>
          <w:sz w:val="24"/>
          <w:szCs w:val="24"/>
          <w:highlight w:val="none"/>
          <w:u w:val="single"/>
          <w:lang w:val="en-US" w:eastAsia="zh-CN" w:bidi="ar-SA"/>
        </w:rPr>
        <w:t xml:space="preserve"> 按以下约定方法计算    </w:t>
      </w:r>
      <w:r>
        <w:rPr>
          <w:rFonts w:hint="eastAsia" w:ascii="仿宋" w:hAnsi="仿宋" w:eastAsia="仿宋" w:cs="仿宋"/>
          <w:color w:val="auto"/>
          <w:spacing w:val="0"/>
          <w:kern w:val="2"/>
          <w:sz w:val="24"/>
          <w:szCs w:val="24"/>
          <w:highlight w:val="none"/>
          <w:lang w:val="en-US" w:eastAsia="zh-CN" w:bidi="ar-SA"/>
        </w:rPr>
        <w:t xml:space="preserve"> 。        </w:t>
      </w:r>
    </w:p>
    <w:p w14:paraId="401954F3">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（一）违约责任的约定</w:t>
      </w:r>
    </w:p>
    <w:p w14:paraId="3B07F8F0">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 监理人违反本合同的约定，应当按约定向委托人承担相应的违约责任，承担违约责任方式包括但不限于：</w:t>
      </w:r>
    </w:p>
    <w:p w14:paraId="5DA34C30">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书面警告。监理人未履行或未按时履行或未按质履行义务或不执行委托人（含主管人员）的指令时，委托人有权向监理人发出书面警告。监理人必须在书面警告限定的时间内履行义务，否则应承担1次一般违约责任。</w:t>
      </w:r>
    </w:p>
    <w:p w14:paraId="673E873A">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（2）一般违约责任。监理人按本合同约定应当承担一般违约责任时，从工程款(结算款)罚扣（□1000元、□2000元、</w:t>
      </w:r>
      <w:r>
        <w:rPr>
          <w:rFonts w:hint="eastAsia" w:ascii="仿宋" w:hAnsi="仿宋" w:eastAsia="仿宋" w:cs="仿宋"/>
          <w:color w:val="auto"/>
          <w:spacing w:val="0"/>
          <w:kern w:val="2"/>
          <w:sz w:val="24"/>
          <w:szCs w:val="24"/>
          <w:highlight w:val="none"/>
          <w:lang w:val="en-US" w:eastAsia="zh-CN" w:bidi="ar-SA"/>
        </w:rPr>
        <w:sym w:font="Wingdings 2" w:char="0052"/>
      </w:r>
      <w:r>
        <w:rPr>
          <w:rFonts w:hint="eastAsia" w:ascii="仿宋" w:hAnsi="仿宋" w:eastAsia="仿宋" w:cs="仿宋"/>
          <w:color w:val="auto"/>
          <w:spacing w:val="0"/>
          <w:kern w:val="2"/>
          <w:sz w:val="24"/>
          <w:szCs w:val="24"/>
          <w:highlight w:val="none"/>
          <w:lang w:val="en-US" w:eastAsia="zh-CN" w:bidi="ar-SA"/>
        </w:rPr>
        <w:t>5000元）/次；第二次承担同一违约性质的一般违约责任时，从工程款(结算款)罚扣的违约金为第一次罚扣金额的2倍；第三次承担同一违约性质的一般违约责任时，从工程款(结算款)罚扣的违约金为第一次罚扣金额的3倍；以此类推，但每次罚扣的金额最高不超过第一次罚扣金额的5倍。</w:t>
      </w:r>
    </w:p>
    <w:p w14:paraId="027893D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（3）严重违约责任。监理人按本合同约定应当承担严重违约责任时，从工程款(结算款)罚扣（□5000元、□10000元、</w:t>
      </w:r>
      <w:r>
        <w:rPr>
          <w:rFonts w:hint="eastAsia" w:ascii="仿宋" w:hAnsi="仿宋" w:eastAsia="仿宋" w:cs="仿宋"/>
          <w:color w:val="auto"/>
          <w:spacing w:val="0"/>
          <w:kern w:val="2"/>
          <w:sz w:val="24"/>
          <w:szCs w:val="24"/>
          <w:highlight w:val="none"/>
          <w:lang w:val="en-US" w:eastAsia="zh-CN" w:bidi="ar-SA"/>
        </w:rPr>
        <w:sym w:font="Wingdings 2" w:char="0052"/>
      </w:r>
      <w:r>
        <w:rPr>
          <w:rFonts w:hint="eastAsia" w:ascii="仿宋" w:hAnsi="仿宋" w:eastAsia="仿宋" w:cs="仿宋"/>
          <w:color w:val="auto"/>
          <w:spacing w:val="0"/>
          <w:kern w:val="2"/>
          <w:sz w:val="24"/>
          <w:szCs w:val="24"/>
          <w:highlight w:val="none"/>
          <w:lang w:val="en-US" w:eastAsia="zh-CN" w:bidi="ar-SA"/>
        </w:rPr>
        <w:t>15000元）/次。</w:t>
      </w:r>
    </w:p>
    <w:p w14:paraId="6D58BCF1">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部分解除合同。委托人依本合同约定向监理人发出部分解除合同的通知后，本合同部分解除即生效。于此情形下，监理人必须在收到委托人部分解除合同通知之日起3日内停止被解除部分的工作，5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2B4858D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解除合同。委托人依本合同约定向监理人发出解除合同的通知后，本合同即宣告解除。于此情形下，监理人必须在收到委托人解除合同通知之日起3日内停止全部工作，5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00DDCD1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赔偿损失。因监理人违约或工作失误给委托人造成损失的，监理人应向委托人赔偿经济损失，但损失赔偿总额不应超过该阶段的监理酬金总额。如果损失是由于监理人故意或严重渎职造成的，监理人应承担全部赔偿责任。这里的“阶段”是指本合同双方约定划分的施工准备阶段、施工阶段、施工收尾阶段和质量保修阶段等。</w:t>
      </w:r>
    </w:p>
    <w:p w14:paraId="16A5308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监理人累计承担书面警告达3次的，则另行追加一般违约责任1次；监理人累计承担一般违约责任达3次的，则另行追加严重违约责任1次；监理人累计承担严重违约责任达3次或者工程进度严重滞后的，委托人有权要求监理人的法定代表人驻场办公，代行项目总监职责，直至委托人满意其监理工作时方可离场。</w:t>
      </w:r>
    </w:p>
    <w:p w14:paraId="784DEA5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8）当监理人违约被罚扣违约金时，委托人将书面通知其保证人交纳，其保证人拒绝交纳的，委托人将从应考核给监理人的监理酬金中直接扣除，扣除款项计入累计监理酬金进度款，结算时不予退还，监理人不得有异议。同时，委托人保留进一步依法追究监理人及其保证人有关责任的权利。</w:t>
      </w:r>
    </w:p>
    <w:p w14:paraId="36A583FD">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（9）当监理人无正当理由而不履行或没有全面且适当履行其相关承诺及监理义务时，委托人有权书面通知监理人，指明其未能履约的内容和委托人要求其承担违约责任的等级。</w:t>
      </w:r>
    </w:p>
    <w:p w14:paraId="5EAB739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（二）监理组织管理方面的违约责任</w:t>
      </w:r>
    </w:p>
    <w:p w14:paraId="2CF1348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监理人承诺主动支持委托人的工作。若无正当理由又未提前向委托人报告且未得到委托人同意的，而对委托人的指令和书面通知，公开或变相拒不执行的，属于违约，监理人承担一般违约1次；监理人因此而再次违约的，每违约一次，监理人承担严重违约责任1次；情节特别严重的，委托人有权单方面部分解除合同或解除合同。同时，监理人还须承担由此造成的一切经济损失。</w:t>
      </w:r>
    </w:p>
    <w:p w14:paraId="2413FDF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（2）监理人不遵守委托人依据本合同专用条款总则第6款约定所制订的各项制度、规定的，由监理人按所违反制度、规定的有关规定承担违约责任。相应制度、规定没有明确规定的，由委托人参照本条约定处理。</w:t>
      </w:r>
    </w:p>
    <w:p w14:paraId="7E36423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（3）监理人未按承诺建立组织架构、派驻监理人员和投入设备，监理人必须按委托人要求限期整改，并承担相应违约责任。具体约定为：</w:t>
      </w:r>
    </w:p>
    <w:p w14:paraId="2CF70783">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在委托人书面通知监理人进场后3日内，监理人在投标文件中承诺的除项目总监、总监代表、造价人员、资料员4类人员以外的主要监理人员（指专业监理工程师等同等级别以上的监理人员）未能足额到位，或到位后又离开，造成该岗位空缺，或未按承诺依时、足额投入有关设备的，监理人应向委托人书面解释并保证人员、设备如期到位；如果监理人拒不配合，未在委托人提出限期改正的期限内进行整改的，监理人承担严重违约责任1次，于此情形下，委托人有权单方面解除合同，并要求监理人承担由此造成的损失。</w:t>
      </w:r>
    </w:p>
    <w:p w14:paraId="59188FF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监理人必须严格按照投标承诺投入监理人员，调换监理人员必须提出书面报告并附上替代人员的所有证明资料，经委托人审核书面同意后才能调换；虽经委托人书面同意调换，但监理人仍应按下表的约定承担违约责任。委托人要求监理人更换监理人员时，监理人在接到委托人通知后三天内安排更换到位，否则，委托人将有权延期考核监理酬金，并由委托人直接聘请，聘请人员所需费用按本合同专用条款的约定执行。同时，监理人按下表的约定承担违约责任；情节严重的，委托人有权单方面解除合同。</w:t>
      </w: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00"/>
        <w:gridCol w:w="4073"/>
      </w:tblGrid>
      <w:tr w14:paraId="1CA3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20" w:type="dxa"/>
            <w:noWrap w:val="0"/>
            <w:vAlign w:val="center"/>
          </w:tcPr>
          <w:p w14:paraId="29C60505">
            <w:pPr>
              <w:pStyle w:val="88"/>
              <w:spacing w:line="4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4500" w:type="dxa"/>
            <w:noWrap w:val="0"/>
            <w:vAlign w:val="center"/>
          </w:tcPr>
          <w:p w14:paraId="3BEFCD9F">
            <w:pPr>
              <w:pStyle w:val="88"/>
              <w:spacing w:line="4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违约项目</w:t>
            </w:r>
          </w:p>
        </w:tc>
        <w:tc>
          <w:tcPr>
            <w:tcW w:w="4073" w:type="dxa"/>
            <w:noWrap w:val="0"/>
            <w:vAlign w:val="center"/>
          </w:tcPr>
          <w:p w14:paraId="7E6026EB">
            <w:pPr>
              <w:pStyle w:val="88"/>
              <w:spacing w:line="48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违约金</w:t>
            </w:r>
          </w:p>
        </w:tc>
      </w:tr>
      <w:tr w14:paraId="4E99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20" w:type="dxa"/>
            <w:noWrap w:val="0"/>
            <w:vAlign w:val="center"/>
          </w:tcPr>
          <w:p w14:paraId="67A5E91C">
            <w:pPr>
              <w:pStyle w:val="88"/>
              <w:numPr>
                <w:ilvl w:val="0"/>
                <w:numId w:val="4"/>
              </w:numPr>
              <w:spacing w:line="480" w:lineRule="exact"/>
              <w:jc w:val="center"/>
              <w:rPr>
                <w:rFonts w:hint="eastAsia" w:ascii="仿宋" w:hAnsi="仿宋" w:eastAsia="仿宋" w:cs="仿宋"/>
                <w:color w:val="auto"/>
                <w:highlight w:val="none"/>
              </w:rPr>
            </w:pPr>
          </w:p>
        </w:tc>
        <w:tc>
          <w:tcPr>
            <w:tcW w:w="4500" w:type="dxa"/>
            <w:noWrap w:val="0"/>
            <w:vAlign w:val="center"/>
          </w:tcPr>
          <w:p w14:paraId="766E8F40">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lang w:eastAsia="zh-CN"/>
              </w:rPr>
              <w:t>未</w:t>
            </w:r>
            <w:r>
              <w:rPr>
                <w:rFonts w:hint="eastAsia" w:ascii="仿宋" w:hAnsi="仿宋" w:eastAsia="仿宋" w:cs="仿宋"/>
                <w:color w:val="auto"/>
                <w:highlight w:val="none"/>
              </w:rPr>
              <w:t>经委托人同意后监理人调换监理人员</w:t>
            </w:r>
          </w:p>
        </w:tc>
        <w:tc>
          <w:tcPr>
            <w:tcW w:w="4073" w:type="dxa"/>
            <w:noWrap w:val="0"/>
            <w:vAlign w:val="center"/>
          </w:tcPr>
          <w:p w14:paraId="27D76820">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项目总监：</w:t>
            </w:r>
            <w:r>
              <w:rPr>
                <w:rFonts w:hint="eastAsia" w:ascii="仿宋" w:hAnsi="仿宋" w:eastAsia="仿宋" w:cs="仿宋"/>
                <w:color w:val="auto"/>
                <w:highlight w:val="none"/>
                <w:u w:val="single"/>
              </w:rPr>
              <w:t>20000</w:t>
            </w:r>
            <w:r>
              <w:rPr>
                <w:rFonts w:hint="eastAsia" w:ascii="仿宋" w:hAnsi="仿宋" w:eastAsia="仿宋" w:cs="仿宋"/>
                <w:color w:val="auto"/>
                <w:highlight w:val="none"/>
              </w:rPr>
              <w:t>（元/人·次）</w:t>
            </w:r>
          </w:p>
          <w:p w14:paraId="7EAACD06">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总监代表：</w:t>
            </w:r>
            <w:r>
              <w:rPr>
                <w:rFonts w:hint="eastAsia" w:ascii="仿宋" w:hAnsi="仿宋" w:eastAsia="仿宋" w:cs="仿宋"/>
                <w:color w:val="auto"/>
                <w:highlight w:val="none"/>
                <w:u w:val="single"/>
              </w:rPr>
              <w:t>10000</w:t>
            </w:r>
            <w:r>
              <w:rPr>
                <w:rFonts w:hint="eastAsia" w:ascii="仿宋" w:hAnsi="仿宋" w:eastAsia="仿宋" w:cs="仿宋"/>
                <w:color w:val="auto"/>
                <w:highlight w:val="none"/>
              </w:rPr>
              <w:t>（元/人·次）</w:t>
            </w:r>
          </w:p>
          <w:p w14:paraId="712E126F">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专业工程师：</w:t>
            </w:r>
            <w:r>
              <w:rPr>
                <w:rFonts w:hint="eastAsia" w:ascii="仿宋" w:hAnsi="仿宋" w:eastAsia="仿宋" w:cs="仿宋"/>
                <w:color w:val="auto"/>
                <w:highlight w:val="none"/>
                <w:u w:val="single"/>
              </w:rPr>
              <w:t>5000</w:t>
            </w:r>
            <w:r>
              <w:rPr>
                <w:rFonts w:hint="eastAsia" w:ascii="仿宋" w:hAnsi="仿宋" w:eastAsia="仿宋" w:cs="仿宋"/>
                <w:color w:val="auto"/>
                <w:highlight w:val="none"/>
              </w:rPr>
              <w:t>（元/人·次）</w:t>
            </w:r>
          </w:p>
          <w:p w14:paraId="736C7C89">
            <w:pPr>
              <w:pStyle w:val="88"/>
              <w:spacing w:line="480" w:lineRule="exact"/>
              <w:rPr>
                <w:rFonts w:hint="eastAsia" w:ascii="仿宋" w:hAnsi="仿宋" w:eastAsia="仿宋" w:cs="仿宋"/>
                <w:color w:val="auto"/>
                <w:highlight w:val="none"/>
                <w:u w:val="single"/>
              </w:rPr>
            </w:pPr>
            <w:r>
              <w:rPr>
                <w:rFonts w:hint="eastAsia" w:ascii="仿宋" w:hAnsi="仿宋" w:eastAsia="仿宋" w:cs="仿宋"/>
                <w:color w:val="auto"/>
                <w:highlight w:val="none"/>
              </w:rPr>
              <w:t>监理员：</w:t>
            </w:r>
            <w:r>
              <w:rPr>
                <w:rFonts w:hint="eastAsia" w:ascii="仿宋" w:hAnsi="仿宋" w:eastAsia="仿宋" w:cs="仿宋"/>
                <w:color w:val="auto"/>
                <w:highlight w:val="none"/>
                <w:u w:val="single"/>
              </w:rPr>
              <w:t>2000</w:t>
            </w:r>
            <w:r>
              <w:rPr>
                <w:rFonts w:hint="eastAsia" w:ascii="仿宋" w:hAnsi="仿宋" w:eastAsia="仿宋" w:cs="仿宋"/>
                <w:color w:val="auto"/>
                <w:highlight w:val="none"/>
              </w:rPr>
              <w:t>（元/人·次）</w:t>
            </w:r>
          </w:p>
        </w:tc>
      </w:tr>
      <w:tr w14:paraId="3F564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20" w:type="dxa"/>
            <w:noWrap w:val="0"/>
            <w:vAlign w:val="center"/>
          </w:tcPr>
          <w:p w14:paraId="5B524C55">
            <w:pPr>
              <w:pStyle w:val="88"/>
              <w:numPr>
                <w:ilvl w:val="0"/>
                <w:numId w:val="4"/>
              </w:numPr>
              <w:spacing w:line="480" w:lineRule="exact"/>
              <w:jc w:val="center"/>
              <w:rPr>
                <w:rFonts w:hint="eastAsia" w:ascii="仿宋" w:hAnsi="仿宋" w:eastAsia="仿宋" w:cs="仿宋"/>
                <w:color w:val="auto"/>
                <w:highlight w:val="none"/>
              </w:rPr>
            </w:pPr>
          </w:p>
        </w:tc>
        <w:tc>
          <w:tcPr>
            <w:tcW w:w="4500" w:type="dxa"/>
            <w:noWrap w:val="0"/>
            <w:vAlign w:val="center"/>
          </w:tcPr>
          <w:p w14:paraId="57591390">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监理人自行调换或未按照委托人要求及时更换项目总监</w:t>
            </w:r>
          </w:p>
        </w:tc>
        <w:tc>
          <w:tcPr>
            <w:tcW w:w="4073" w:type="dxa"/>
            <w:noWrap w:val="0"/>
            <w:vAlign w:val="center"/>
          </w:tcPr>
          <w:p w14:paraId="720345DC">
            <w:pPr>
              <w:pStyle w:val="88"/>
              <w:spacing w:line="480" w:lineRule="exact"/>
              <w:rPr>
                <w:rFonts w:hint="eastAsia" w:ascii="仿宋" w:hAnsi="仿宋" w:eastAsia="仿宋" w:cs="仿宋"/>
                <w:color w:val="auto"/>
                <w:highlight w:val="none"/>
              </w:rPr>
            </w:pPr>
            <w:r>
              <w:rPr>
                <w:rFonts w:hint="eastAsia" w:ascii="仿宋" w:hAnsi="仿宋" w:eastAsia="仿宋" w:cs="仿宋"/>
                <w:bCs/>
                <w:color w:val="auto"/>
                <w:highlight w:val="none"/>
              </w:rPr>
              <w:t>本合同监理酬金总额的2%</w:t>
            </w:r>
          </w:p>
        </w:tc>
      </w:tr>
      <w:tr w14:paraId="2831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20" w:type="dxa"/>
            <w:noWrap w:val="0"/>
            <w:vAlign w:val="center"/>
          </w:tcPr>
          <w:p w14:paraId="06DD9B60">
            <w:pPr>
              <w:pStyle w:val="88"/>
              <w:numPr>
                <w:ilvl w:val="0"/>
                <w:numId w:val="4"/>
              </w:numPr>
              <w:spacing w:line="480" w:lineRule="exact"/>
              <w:jc w:val="center"/>
              <w:rPr>
                <w:rFonts w:hint="eastAsia" w:ascii="仿宋" w:hAnsi="仿宋" w:eastAsia="仿宋" w:cs="仿宋"/>
                <w:color w:val="auto"/>
                <w:highlight w:val="none"/>
              </w:rPr>
            </w:pPr>
          </w:p>
        </w:tc>
        <w:tc>
          <w:tcPr>
            <w:tcW w:w="4500" w:type="dxa"/>
            <w:noWrap w:val="0"/>
            <w:vAlign w:val="center"/>
          </w:tcPr>
          <w:p w14:paraId="785D068A">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监理人自行调换或未按照委托人要求及时更换项目副总监、项目总工（如有）或总监代表</w:t>
            </w:r>
          </w:p>
        </w:tc>
        <w:tc>
          <w:tcPr>
            <w:tcW w:w="4073" w:type="dxa"/>
            <w:noWrap w:val="0"/>
            <w:vAlign w:val="center"/>
          </w:tcPr>
          <w:p w14:paraId="716F9D2D">
            <w:pPr>
              <w:pStyle w:val="88"/>
              <w:spacing w:line="480" w:lineRule="exact"/>
              <w:rPr>
                <w:rFonts w:hint="eastAsia" w:ascii="仿宋" w:hAnsi="仿宋" w:eastAsia="仿宋" w:cs="仿宋"/>
                <w:color w:val="auto"/>
                <w:highlight w:val="none"/>
              </w:rPr>
            </w:pPr>
            <w:r>
              <w:rPr>
                <w:rFonts w:hint="eastAsia" w:ascii="仿宋" w:hAnsi="仿宋" w:eastAsia="仿宋" w:cs="仿宋"/>
                <w:bCs/>
                <w:color w:val="auto"/>
                <w:highlight w:val="none"/>
              </w:rPr>
              <w:t>本合同监理酬金总额的1%</w:t>
            </w:r>
          </w:p>
        </w:tc>
      </w:tr>
      <w:tr w14:paraId="074D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0" w:type="dxa"/>
            <w:noWrap w:val="0"/>
            <w:vAlign w:val="center"/>
          </w:tcPr>
          <w:p w14:paraId="787AF677">
            <w:pPr>
              <w:pStyle w:val="88"/>
              <w:numPr>
                <w:ilvl w:val="0"/>
                <w:numId w:val="4"/>
              </w:numPr>
              <w:spacing w:line="480" w:lineRule="exact"/>
              <w:jc w:val="center"/>
              <w:rPr>
                <w:rFonts w:hint="eastAsia" w:ascii="仿宋" w:hAnsi="仿宋" w:eastAsia="仿宋" w:cs="仿宋"/>
                <w:color w:val="auto"/>
                <w:highlight w:val="none"/>
              </w:rPr>
            </w:pPr>
          </w:p>
        </w:tc>
        <w:tc>
          <w:tcPr>
            <w:tcW w:w="4500" w:type="dxa"/>
            <w:noWrap w:val="0"/>
            <w:vAlign w:val="center"/>
          </w:tcPr>
          <w:p w14:paraId="6808F643">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监理人自行调换或未按照委托人要求及时更换专业监理工程师</w:t>
            </w:r>
          </w:p>
        </w:tc>
        <w:tc>
          <w:tcPr>
            <w:tcW w:w="4073" w:type="dxa"/>
            <w:noWrap w:val="0"/>
            <w:vAlign w:val="center"/>
          </w:tcPr>
          <w:p w14:paraId="3EC78C94">
            <w:pPr>
              <w:pStyle w:val="88"/>
              <w:spacing w:line="480" w:lineRule="exact"/>
              <w:rPr>
                <w:rFonts w:hint="eastAsia" w:ascii="仿宋" w:hAnsi="仿宋" w:eastAsia="仿宋" w:cs="仿宋"/>
                <w:color w:val="auto"/>
                <w:highlight w:val="none"/>
              </w:rPr>
            </w:pPr>
            <w:r>
              <w:rPr>
                <w:rFonts w:hint="eastAsia" w:ascii="仿宋" w:hAnsi="仿宋" w:eastAsia="仿宋" w:cs="仿宋"/>
                <w:bCs/>
                <w:color w:val="auto"/>
                <w:highlight w:val="none"/>
              </w:rPr>
              <w:t>本合同监理酬金总额的0.5%</w:t>
            </w:r>
          </w:p>
        </w:tc>
      </w:tr>
      <w:tr w14:paraId="3105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20" w:type="dxa"/>
            <w:noWrap w:val="0"/>
            <w:vAlign w:val="center"/>
          </w:tcPr>
          <w:p w14:paraId="7957B451">
            <w:pPr>
              <w:pStyle w:val="88"/>
              <w:numPr>
                <w:ilvl w:val="0"/>
                <w:numId w:val="4"/>
              </w:numPr>
              <w:spacing w:line="480" w:lineRule="exact"/>
              <w:jc w:val="center"/>
              <w:rPr>
                <w:rFonts w:hint="eastAsia" w:ascii="仿宋" w:hAnsi="仿宋" w:eastAsia="仿宋" w:cs="仿宋"/>
                <w:color w:val="auto"/>
                <w:highlight w:val="none"/>
              </w:rPr>
            </w:pPr>
          </w:p>
        </w:tc>
        <w:tc>
          <w:tcPr>
            <w:tcW w:w="4500" w:type="dxa"/>
            <w:noWrap w:val="0"/>
            <w:vAlign w:val="center"/>
          </w:tcPr>
          <w:p w14:paraId="1C69DEAF">
            <w:pPr>
              <w:pStyle w:val="88"/>
              <w:spacing w:line="480" w:lineRule="exact"/>
              <w:rPr>
                <w:rFonts w:hint="eastAsia" w:ascii="仿宋" w:hAnsi="仿宋" w:eastAsia="仿宋" w:cs="仿宋"/>
                <w:color w:val="auto"/>
                <w:highlight w:val="none"/>
              </w:rPr>
            </w:pPr>
            <w:r>
              <w:rPr>
                <w:rFonts w:hint="eastAsia" w:ascii="仿宋" w:hAnsi="仿宋" w:eastAsia="仿宋" w:cs="仿宋"/>
                <w:color w:val="auto"/>
                <w:highlight w:val="none"/>
              </w:rPr>
              <w:t>监理人自行调换或未按照委托人要求及时更换造价工程师</w:t>
            </w:r>
          </w:p>
        </w:tc>
        <w:tc>
          <w:tcPr>
            <w:tcW w:w="4073" w:type="dxa"/>
            <w:noWrap w:val="0"/>
            <w:vAlign w:val="center"/>
          </w:tcPr>
          <w:p w14:paraId="2BDD5F8C">
            <w:pPr>
              <w:pStyle w:val="88"/>
              <w:spacing w:line="480" w:lineRule="exact"/>
              <w:rPr>
                <w:rFonts w:hint="eastAsia" w:ascii="仿宋" w:hAnsi="仿宋" w:eastAsia="仿宋" w:cs="仿宋"/>
                <w:color w:val="auto"/>
                <w:highlight w:val="none"/>
              </w:rPr>
            </w:pPr>
            <w:r>
              <w:rPr>
                <w:rFonts w:hint="eastAsia" w:ascii="仿宋" w:hAnsi="仿宋" w:eastAsia="仿宋" w:cs="仿宋"/>
                <w:bCs/>
                <w:color w:val="auto"/>
                <w:highlight w:val="none"/>
              </w:rPr>
              <w:t>本合同监理酬金总额的0.5%</w:t>
            </w:r>
          </w:p>
        </w:tc>
      </w:tr>
    </w:tbl>
    <w:p w14:paraId="2776BCD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项目总监若需离开施工现场需报委托人批准，在其请假离开的时间段内应书面委托其他驻场监理工程师（需具有相应资质和能力）全权代表其行使职权；否则视为违约，每违约一次，监理人承担一般违约责任1次。</w:t>
      </w:r>
    </w:p>
    <w:p w14:paraId="0A65D20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（6）其他监理人员需离开施工现场1日以上需报委托人批准，在其请假离开的时间段内应书面委托其他驻场监理代表全权代表其行使相应职权；否则视为违约，每违约一次，监理人承担一般违约责任1次。</w:t>
      </w:r>
    </w:p>
    <w:p w14:paraId="5791B68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委托人将对驻场监理人员进行考勤。除项目总监、总监代表、造价人员、资料员4类人员以外的其他监理人员每月请假日数累计超过6日，且请假总人数全月累计超过监理人数的10%，视为违约，监理人承担一般违约责任1次。</w:t>
      </w:r>
    </w:p>
    <w:p w14:paraId="4F78F3F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8）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项目总监、项目副总监等）未经委托人书面同意自行缺席的，每缺席一人次乙方承担1次一般违约责任。</w:t>
      </w:r>
    </w:p>
    <w:p w14:paraId="4281EE9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（9）监理人应该定期或不定期组织、主持召开工地例会及各种技术专题会，以及监理大纲、监理规划、监理实施细则和委托人要求必须召开的会议，否则视为违约，每违约一次，监理人承担一般违约责任1次。</w:t>
      </w:r>
    </w:p>
    <w:p w14:paraId="278C248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（10）如监理人违反本委托监理协议书第七条、第八条的约定，未在相关信息发生变化时及时将变更情况书面报告委托人的，每确认1次，监理人承担1次一般违约责任。</w:t>
      </w:r>
    </w:p>
    <w:p w14:paraId="6627D5B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（三）履行监理职责方面的违约责任</w:t>
      </w:r>
    </w:p>
    <w:p w14:paraId="7D114711">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监理人在自己职责范围内对应当作出决定的事项故意拖延或者不作出明确的处理意见，在委托人书面警告后监理人在整改期限内仍不加以改正的，是为违约，监理人承担一般违约责任1次；因此造成损失的，监理人承担赔偿责任。</w:t>
      </w:r>
    </w:p>
    <w:p w14:paraId="20F5403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监理人对于承包人现场的管理机构人员不到位、擅自离场，管理人员工作能力存在严重不足等存在的问题不进行有效检查、督促、处理，且不向委托人报告的，在委托人书面警告并要求限期改正后，拒不限期改正的，承担1次一般违约责任。</w:t>
      </w:r>
    </w:p>
    <w:p w14:paraId="0294740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监理人对于承包人未按投标文件所作的承诺投入机械、设备、材料等存在的问题不进行有效检查、督促、处理，且不向委托人报告的，在委托人书面警告并要求限期改正后，拒不限期改正的，承担1次一般违约责任。</w:t>
      </w:r>
    </w:p>
    <w:p w14:paraId="156D8D1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监理人对于承包人每次进场材料不进行检查和登记，或者对已进场的材料不按有关规定及时进行抽查、送检的，承担一般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委托人有权视情况的严重程度部分解除合同或解除合同，同时，委托人保留追究监理人的其他法律责任的权利。</w:t>
      </w:r>
    </w:p>
    <w:p w14:paraId="5BA1721D">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监理人在编制项目实施细则中，应按监理规范列明需监理人旁站的工序，并应得到委托人的批准。工程施工过程中，需要监理人进行旁站监督的，监理人没有到场，或者到场后没有进行监督，或发现质量问题后没有及时处理，且没有向委托人报告，在委托人书面警告并要求限期改正后，拒不限期改正的，承担一般违约责任1次。</w:t>
      </w:r>
    </w:p>
    <w:p w14:paraId="319665CF">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（6）监理人不按本合同专用条款的约定办理有关保险事宜的，在委托人书面警告并要求限期改正后，监理人拒不限期改正的，承担严重违约责任1次，并承担由此产生的一切后果。</w:t>
      </w:r>
    </w:p>
    <w:p w14:paraId="3FDA387F">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监理人对承包人的施工质量应每月定期或不定期组织大检查并同时定期组织召开质量会议，将质量检查的情况报告委托人。承包人的施工质量经监理人检验为合格，但经委托人或工程质量监督机构抽查，发现存在质量不合格或未按设计要求和有关规范进行施工情形的，监理人承担一般违约1次；情节严重的，监理人承担严重违约责任1次。同时，监理人应赔偿委托人的经济损失。</w:t>
      </w:r>
    </w:p>
    <w:p w14:paraId="0EA5F06D">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8）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3日（含3日）以上的，监理人承担一般违约责任1次；出现关键工期滞后5日（含5日）以上的，监理人承担严重违约责任1次；出现关键线路工期滞后10日（含10日）以上的，委托人有权部分解除合同或解除合同。</w:t>
      </w:r>
    </w:p>
    <w:p w14:paraId="2B5D6542">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9）对于承包人提交的现场签证资料，监理人没有准确、真实的现场原始记录或不进行现场复核即予签认，致使签认的文件有错误的，监理人应立即纠正，并承担一般违约责任1次；由于该签证错误因此可能给委托人造成10万元（含10万元）以上的直接经济损失的，监理人承担严重违约责任1次，如果这种经济损失是由于监理人故意造成的，则按本合同专用条款处理。</w:t>
      </w:r>
    </w:p>
    <w:p w14:paraId="2B5F79D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对于现场签证（含工程数量、单价等）未经过注册造价工程师审核即报送委托人，或者虽经过注册造价工程师审核但未在规定时间内报送委托人的，监理人应限期改正；以上情形累计出现2次的，监理人承担一般违约责任1次。</w:t>
      </w:r>
    </w:p>
    <w:p w14:paraId="0FAF9E0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10）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1次；情节严重的，承担严重违约责任1次。</w:t>
      </w:r>
    </w:p>
    <w:p w14:paraId="7A57A0D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监理人对承包人提交的施工方案、设计变更等技术文件，应当在3日内予以批复；须转报委托人审批的，监理人应在3日内出具审核意见报委托人。由于监理人未及时批复而影响工程进度或者工程质量的，监理人承担严重违约责任1次；须转报委托人审批的，监理人未在3日内报委托人或未出具审核意见的，应限期改正，承担一般违约责任1次。</w:t>
      </w:r>
    </w:p>
    <w:p w14:paraId="4CD5E79D">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1次。</w:t>
      </w:r>
    </w:p>
    <w:p w14:paraId="0EF6D52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监理人应当按时对承包人的申请计量事项予以审批，申请计量事项在正常情况下应在_2_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1次；情节严重的，承担严重违约责任1次；给委托人造成损失的，应当赔偿损失。</w:t>
      </w:r>
    </w:p>
    <w:p w14:paraId="5BA8B911">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监理人对于承包人提交的请款报告，不按实际完成的工作量进行审核，或不按本合同要求签署拨款意见的，应限期改正；累计出现达2次的，承担一般违约责任1次；如造成委托人超形象进度、超合同考核工程款达10万元（含10万元）以上，或监理人审核的当期考核金额与经过委托人复核的实际应付金额存在正负10％以上误差的，承担一般违约责任1次，情节严重的，承担严重违约责任1次；若由此给委托人造成10万元（含10万元）以上损失的，监理人应当赔偿委托人的损失，委托人将视情况部分解除合同或解除合同。</w:t>
      </w:r>
    </w:p>
    <w:p w14:paraId="0EC0747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监理人同时发生本合同专用条款约定的违约行为且情节严重的，视为监理人和承包人串通作假，委托人有权单方解除合同；因此造成委托人损失的，委托人有权按本合同专用条款的约定要求监理人承担赔偿责任。</w:t>
      </w:r>
    </w:p>
    <w:p w14:paraId="6D5340B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监理人未及时发现，或发现后不督促承包人进行整改，不作及时处理并及时向委托人报告，在委托人书面警告并要求限期改正后，监理人拒不限期改正的，承担一般违约责任1次；因此而发生安全生产事故，或被上级主管部门通报批评，或被新闻媒体曝光的，监理人承担严重违约责任1次；情节严重的，委托人有权部分解除合同或解除合同；因此而发生重大安全质量事故（按国家及本合同有关规定界定）的，监理人承担赔偿责任，赔偿金为本合同监理酬金的1%～5%。</w:t>
      </w:r>
    </w:p>
    <w:p w14:paraId="54A4D70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（15）由于下列原因，使本合同工程在投资、工期、质量等方面给委托人造成损失的，监理人承担赔偿赔偿，但累计赔偿总额不应超过本合同监理酬金总额（除去税金）：</w:t>
      </w:r>
    </w:p>
    <w:p w14:paraId="6385DBC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1）在施工过程中，监理人发出错误指令；</w:t>
      </w:r>
    </w:p>
    <w:p w14:paraId="39C62141">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2）监理人越权审批设计变更；</w:t>
      </w:r>
    </w:p>
    <w:p w14:paraId="394C27C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3）其他因监理人自身失误或失职。</w:t>
      </w:r>
    </w:p>
    <w:p w14:paraId="311B767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具体约定为：</w:t>
      </w:r>
    </w:p>
    <w:p w14:paraId="16D2F17F">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① 由于监理人上述原因致使工程投资额较原计划投资额增加的，委托人将根据该增加额双倍扣减与之相应比例的监理酬金；若增加工程投资比例超过原计划投资额的20%时，委托人有权单方解除本合同，并要求监理人赔偿委托人由此遭受的实际损失中的50%。</w:t>
      </w:r>
    </w:p>
    <w:p w14:paraId="4D751C1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② 因监理人责任导致工期延误，其中分段工期延误日数占该段总工期的30%时，则委托人有权扣除该分段工程监理酬金的60%；分段工期延误日数达到该段总工期的50%时，则委托人有权单方解除本合同。因监理人责任导致工程竣工拖延的，依据拖延的日数，监理人应每日按监理酬金总额的1%向委托人考核违约金。由于监理人责任导致工期延误，致使委托人要承担赔偿第三方责任的，监理人承担赔偿委托人由此遭受的实际损失中的50%。</w:t>
      </w:r>
    </w:p>
    <w:p w14:paraId="131CFB1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③ 因监理人责任造成质量事故，需要返工的，监理人承担严重违约责任1次，由委托人双倍扣减该部分的监理酬金，同时监理人应赔偿委托人的实际损失；情节严重的，委托人有权单方面解除合同，并有权要求监理人赔偿委托人由此遭受的经济损失。</w:t>
      </w:r>
    </w:p>
    <w:p w14:paraId="3574FF4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④ 因监理人责任导致工程（含各分部、单位及整体工程，下同）质量一次性验收不符合质量目标的，委托人按相应工程占总工程的比例扣除监理人监理酬金；若导致工程质量一次性验收不合格而造成委托人的直接损失达100万元以上时，委托人有权单方解除本合同并要求监理人赔偿相应经济损失。</w:t>
      </w:r>
    </w:p>
    <w:p w14:paraId="7C4AB7B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16）监理人提供的《监理规划》和相应的《监理实施细则》，经委托人审核认为未能针对本合同工程特点、难点和重点，需要退回修改的，若连续两次修改后仍未能达到委托人要求的，监理人应承担一般违约责任1次。</w:t>
      </w:r>
    </w:p>
    <w:p w14:paraId="625F5AC0">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（17）如果监理人在服务期内未能按要求提供本合同约定的监理服务（包括监理人员缺额、监理深度不足及监理资料不齐等）的，委托人有权酌情扣减监理酬金。</w:t>
      </w:r>
    </w:p>
    <w:p w14:paraId="7CBDAB1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18）对于工程施工过程中出现的工程变更，如当月由委托人确定的工程变更的单价较监理人审定的单价的差值大于正负10%以上的情况累计出现8宗以上，或由委托人确定的工程变更的总价较监理人审定的总价的差值大于正负10%以上的情况累计出现3宗以上，监理人承担一般违约责任1次。</w:t>
      </w:r>
    </w:p>
    <w:p w14:paraId="58CCA203">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19）因监理人原因，造成竣工图纸（包括设备移交资料等）与竣工时现场的实际情况不符，导致相关的工程结算出现偏差的，监理人承担一般违约责任1次；如由此可能给委托人造成直接经济损失10万元（含10万元）以上的，监理人承担严重违约责任1次；如该经济损失是监理人故意造成的，则按本合同专用条款约定执行。</w:t>
      </w:r>
    </w:p>
    <w:p w14:paraId="4F61A5E5">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（20）对于承包人不按合同约定提交分项工程的结算文件，监理人不按合同约定采取有效措施或未及时向委托人报告的，监理人承担一般违约责任1次。</w:t>
      </w:r>
    </w:p>
    <w:p w14:paraId="75D941CA">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21）监理人根据合同约定对承包人提交的工程结算书（结算资料）进行审核，如最终由政府终审部门审定的结算金额较由监理人审定的结算金额的差值大于5%，则由监理人按下列计算方法向委托人考核违约金，最多不超过本合同监理酬金总额的10%：</w:t>
      </w:r>
    </w:p>
    <w:p w14:paraId="47997EB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违约金=[（〡A－B〡/B）%-5%]×C</w:t>
      </w:r>
    </w:p>
    <w:p w14:paraId="093D082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其中：A-监理人审定的工程结算金额；</w:t>
      </w:r>
    </w:p>
    <w:p w14:paraId="494EC2A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B-政府结算终审部门审定的工程结算金额；</w:t>
      </w:r>
    </w:p>
    <w:p w14:paraId="03C9FD38">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C-监理合同酬金总额。</w:t>
      </w:r>
    </w:p>
    <w:p w14:paraId="01D798C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（四）其他方面的违约责任</w:t>
      </w:r>
    </w:p>
    <w:p w14:paraId="770D38A9">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（1）监理人必须加强对监理人员职业操守、廉政建设的培训和教育，本项目监理人员需共同遵守监理人员职业道德守则，并严格遵守以下规定：</w:t>
      </w:r>
    </w:p>
    <w:p w14:paraId="79CCAC44">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1）禁止向委托人及承包人推销材料、设备，或以倾向性、排他性变相推销；</w:t>
      </w:r>
    </w:p>
    <w:p w14:paraId="0A4EFAC1">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2）禁止与承包人串通，对不合格材料、产品、工程进行包庇及验收；</w:t>
      </w:r>
    </w:p>
    <w:p w14:paraId="76EC027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3）禁止与承包人串通，对材料用量、工程量进行虚假签认；</w:t>
      </w:r>
    </w:p>
    <w:p w14:paraId="6C9B13FD">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4）禁止与承包人串通，不合理提高施工难度及增加材料用量，以增大施工费用，获取不正当收益；</w:t>
      </w:r>
    </w:p>
    <w:p w14:paraId="60E6F750">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5）禁止接受承包人的请吃送礼或变相受礼；</w:t>
      </w:r>
    </w:p>
    <w:p w14:paraId="28D6000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6）禁止向承包人介绍分包或推销材料、设备等；</w:t>
      </w:r>
    </w:p>
    <w:p w14:paraId="16B6975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7）禁止故意刁难承包人以谋取私利，损害委托人的合法利益。</w:t>
      </w:r>
    </w:p>
    <w:p w14:paraId="1639C51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凡违反以上任一项约定者，一经查实，监理人应立即清退该监理人员，承担严重违约责任 1次；情节严重的，委托人有权部分解除合同或解除合同，向有关部门反映情况，追究监理人及有关责任人相关责任，要求赔偿相应损失，同时将上述违反职业道德的行为通过新闻媒体公诸于众，甚至移交司法机关处理。</w:t>
      </w:r>
    </w:p>
    <w:p w14:paraId="068B2D8E">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监理人违约行为的直接责任人，其行为致使监理人承担严重违约责任（或相当于严重违约责任）1次，或主管人员因其下属的行为致使监理人承担严重违约责任（或相当于严重违约责任）累计次数达到3次，委托人认为该直接责任人或主管人员已不适于继续担任本合同工程的监理工作的，有权要求监理人限期更换该人员。于此情形下，监理人应无条件接受，并承担由此引起的后果及费用；如监理人拒不执行，则自向监理人发出更换要求7日后起算，委托人可认为该岗位已空缺，并按本合同专用条款的约定处理。</w:t>
      </w:r>
    </w:p>
    <w:p w14:paraId="7D64ACC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除上述约定之外，监理人违反合同约定的其他义务的，均构成违约，委托人有权视具体情况给予监理人书面警告并要求限期改正。于此情形下，若监理人拒不限期改正的，承担一般违约责任1次；情节严重的，承担严重违约责任1次。</w:t>
      </w:r>
    </w:p>
    <w:p w14:paraId="394C6ECF">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（五）监理人违约责任的认定方式及送达程序</w:t>
      </w:r>
    </w:p>
    <w:p w14:paraId="6AA56946">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（1）认定方式：以委托人发出的通知、通报、会议纪要等书面文件确定的内容为准。</w:t>
      </w:r>
    </w:p>
    <w:p w14:paraId="3800E187">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（2）送达程序：委托人通过下列方式之一将书面违约处理决定送达监理人：</w:t>
      </w:r>
    </w:p>
    <w:p w14:paraId="501E2ADA">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1）监理人现场管理机构工作人员签收；</w:t>
      </w:r>
    </w:p>
    <w:p w14:paraId="2FAB25C2">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2）监理人其他工作人员签收；</w:t>
      </w:r>
    </w:p>
    <w:p w14:paraId="1D65D5EC">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3）委托人邮寄送达。</w:t>
      </w:r>
    </w:p>
    <w:p w14:paraId="031F3EEF">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作出书面决定并通知监理人。</w:t>
      </w:r>
    </w:p>
    <w:p w14:paraId="19C8A24B">
      <w:pPr>
        <w:pStyle w:val="105"/>
        <w:spacing w:line="480" w:lineRule="exact"/>
        <w:ind w:firstLine="498"/>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 xml:space="preserve">（4）监理人承诺严格按照合同和招投标文件规定履行义务，并同意委托人将其执行国家强制性规范、标准和履行合同、招投标文件义务的情况（包括但不限于由委托人组织的考核、考评通报、违约责任处理决定等）在委托人网站和建设项目合法继承人网站及其他媒体上公开披露。  </w:t>
      </w:r>
    </w:p>
    <w:p w14:paraId="07C4D7A5">
      <w:pPr>
        <w:spacing w:line="640" w:lineRule="exact"/>
        <w:ind w:left="210" w:leftChars="100"/>
        <w:outlineLvl w:val="2"/>
        <w:rPr>
          <w:rFonts w:ascii="仿宋" w:hAnsi="仿宋" w:eastAsia="仿宋" w:cs="Times New Roman"/>
          <w:color w:val="auto"/>
          <w:sz w:val="24"/>
          <w:szCs w:val="24"/>
          <w:highlight w:val="none"/>
        </w:rPr>
      </w:pPr>
      <w:bookmarkStart w:id="258" w:name="_Toc14665"/>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4.2 </w:t>
      </w:r>
      <w:r>
        <w:rPr>
          <w:rFonts w:hint="eastAsia" w:ascii="仿宋" w:hAnsi="仿宋" w:eastAsia="仿宋" w:cs="仿宋"/>
          <w:color w:val="auto"/>
          <w:sz w:val="24"/>
          <w:szCs w:val="24"/>
          <w:highlight w:val="none"/>
        </w:rPr>
        <w:t>委托人的违约责任</w:t>
      </w:r>
      <w:bookmarkEnd w:id="258"/>
    </w:p>
    <w:p w14:paraId="267162C3">
      <w:pPr>
        <w:adjustRightInd w:val="0"/>
        <w:snapToGrid w:val="0"/>
        <w:spacing w:line="640" w:lineRule="exact"/>
        <w:ind w:firstLine="480" w:firstLineChars="200"/>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4.2.1</w:t>
      </w:r>
      <w:r>
        <w:rPr>
          <w:rFonts w:hint="eastAsia" w:ascii="仿宋" w:hAnsi="仿宋" w:eastAsia="仿宋" w:cs="仿宋"/>
          <w:color w:val="auto"/>
          <w:kern w:val="0"/>
          <w:sz w:val="24"/>
          <w:szCs w:val="24"/>
          <w:highlight w:val="none"/>
        </w:rPr>
        <w:t>委托人赔偿金额的计算方法：</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6DFA700">
      <w:pPr>
        <w:spacing w:line="640" w:lineRule="exact"/>
        <w:ind w:firstLine="320" w:firstLineChars="133"/>
        <w:rPr>
          <w:rFonts w:ascii="仿宋" w:hAnsi="仿宋" w:eastAsia="仿宋" w:cs="Times New Roman"/>
          <w:color w:val="auto"/>
          <w:kern w:val="0"/>
          <w:sz w:val="24"/>
          <w:szCs w:val="24"/>
          <w:highlight w:val="none"/>
        </w:rPr>
      </w:pPr>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委托人</w:t>
      </w:r>
      <w:r>
        <w:rPr>
          <w:rFonts w:hint="eastAsia" w:ascii="仿宋" w:hAnsi="仿宋" w:eastAsia="仿宋" w:cs="仿宋"/>
          <w:color w:val="auto"/>
          <w:kern w:val="0"/>
          <w:sz w:val="24"/>
          <w:szCs w:val="24"/>
          <w:highlight w:val="none"/>
        </w:rPr>
        <w:t>逾期付款利息按下列方法确定：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2D196E3">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）逾期付款利息＝当期应付款总额×银行同期贷款利率×拖延</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天数</w:t>
      </w:r>
    </w:p>
    <w:p w14:paraId="3E90C576">
      <w:pPr>
        <w:spacing w:line="6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其它计算方法</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701538">
      <w:pPr>
        <w:spacing w:line="640" w:lineRule="exact"/>
        <w:ind w:firstLine="319" w:firstLineChars="133"/>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本项目为财政资金，均须遵守财政国库集中</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制度，在</w:t>
      </w:r>
      <w:r>
        <w:rPr>
          <w:rFonts w:hint="eastAsia" w:ascii="仿宋" w:hAnsi="仿宋" w:eastAsia="仿宋" w:cs="仿宋"/>
          <w:color w:val="auto"/>
          <w:kern w:val="0"/>
          <w:sz w:val="24"/>
          <w:szCs w:val="24"/>
          <w:highlight w:val="none"/>
          <w:lang w:eastAsia="zh-CN"/>
        </w:rPr>
        <w:t>委托人</w:t>
      </w:r>
      <w:r>
        <w:rPr>
          <w:rFonts w:hint="eastAsia" w:ascii="仿宋" w:hAnsi="仿宋" w:eastAsia="仿宋" w:cs="仿宋"/>
          <w:color w:val="auto"/>
          <w:kern w:val="0"/>
          <w:sz w:val="24"/>
          <w:szCs w:val="24"/>
          <w:highlight w:val="none"/>
        </w:rPr>
        <w:t>完成各项</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手续报财政审批时，财局审批导致</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时间延长的，不属</w:t>
      </w:r>
      <w:r>
        <w:rPr>
          <w:rFonts w:hint="eastAsia" w:ascii="仿宋" w:hAnsi="仿宋" w:eastAsia="仿宋" w:cs="仿宋"/>
          <w:color w:val="auto"/>
          <w:kern w:val="0"/>
          <w:sz w:val="24"/>
          <w:szCs w:val="24"/>
          <w:highlight w:val="none"/>
          <w:lang w:eastAsia="zh-CN"/>
        </w:rPr>
        <w:t>委托人</w:t>
      </w:r>
      <w:r>
        <w:rPr>
          <w:rFonts w:hint="eastAsia" w:ascii="仿宋" w:hAnsi="仿宋" w:eastAsia="仿宋" w:cs="仿宋"/>
          <w:color w:val="auto"/>
          <w:kern w:val="0"/>
          <w:sz w:val="24"/>
          <w:szCs w:val="24"/>
          <w:highlight w:val="none"/>
        </w:rPr>
        <w:t xml:space="preserve">违约。 </w:t>
      </w:r>
    </w:p>
    <w:p w14:paraId="51680FA1">
      <w:pPr>
        <w:spacing w:line="640" w:lineRule="exact"/>
        <w:outlineLvl w:val="1"/>
        <w:rPr>
          <w:rFonts w:hint="eastAsia" w:ascii="仿宋" w:hAnsi="仿宋" w:eastAsia="仿宋" w:cs="Times New Roman"/>
          <w:b/>
          <w:bCs/>
          <w:color w:val="auto"/>
          <w:sz w:val="24"/>
          <w:szCs w:val="24"/>
          <w:highlight w:val="none"/>
          <w:lang w:eastAsia="zh-CN"/>
        </w:rPr>
      </w:pPr>
      <w:bookmarkStart w:id="259" w:name="_Toc28225"/>
      <w:r>
        <w:rPr>
          <w:rFonts w:hint="eastAsia" w:ascii="仿宋" w:hAnsi="仿宋" w:eastAsia="仿宋" w:cs="Arial Unicode MS"/>
          <w:b/>
          <w:bCs/>
          <w:color w:val="auto"/>
          <w:kern w:val="0"/>
          <w:sz w:val="24"/>
          <w:szCs w:val="24"/>
          <w:highlight w:val="none"/>
        </w:rPr>
        <w:t>★</w:t>
      </w:r>
      <w:r>
        <w:rPr>
          <w:rFonts w:ascii="仿宋" w:hAnsi="仿宋" w:eastAsia="仿宋" w:cs="仿宋"/>
          <w:b/>
          <w:bCs/>
          <w:color w:val="auto"/>
          <w:sz w:val="24"/>
          <w:szCs w:val="24"/>
          <w:highlight w:val="none"/>
        </w:rPr>
        <w:t xml:space="preserve">5. </w:t>
      </w:r>
      <w:r>
        <w:rPr>
          <w:rFonts w:hint="eastAsia" w:ascii="仿宋" w:hAnsi="仿宋" w:eastAsia="仿宋" w:cs="仿宋"/>
          <w:b/>
          <w:bCs/>
          <w:color w:val="auto"/>
          <w:sz w:val="24"/>
          <w:szCs w:val="24"/>
          <w:highlight w:val="none"/>
          <w:lang w:eastAsia="zh-CN"/>
        </w:rPr>
        <w:t>考核</w:t>
      </w:r>
      <w:bookmarkEnd w:id="259"/>
    </w:p>
    <w:p w14:paraId="1D12FAAB">
      <w:pPr>
        <w:spacing w:line="640" w:lineRule="exact"/>
        <w:ind w:left="210" w:leftChars="100"/>
        <w:outlineLvl w:val="2"/>
        <w:rPr>
          <w:rFonts w:ascii="仿宋" w:hAnsi="仿宋" w:eastAsia="仿宋" w:cs="Times New Roman"/>
          <w:color w:val="auto"/>
          <w:sz w:val="24"/>
          <w:szCs w:val="24"/>
          <w:highlight w:val="none"/>
        </w:rPr>
      </w:pPr>
      <w:bookmarkStart w:id="260" w:name="_Toc2647"/>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货币</w:t>
      </w:r>
      <w:bookmarkEnd w:id="260"/>
    </w:p>
    <w:p w14:paraId="2034E359">
      <w:pPr>
        <w:snapToGrid w:val="0"/>
        <w:spacing w:line="64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，比例为：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，汇率为：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14:paraId="5A246598">
      <w:pPr>
        <w:spacing w:line="640" w:lineRule="exact"/>
        <w:ind w:left="210" w:leftChars="100"/>
        <w:outlineLvl w:val="2"/>
        <w:rPr>
          <w:rFonts w:ascii="仿宋" w:hAnsi="仿宋" w:eastAsia="仿宋" w:cs="Times New Roman"/>
          <w:color w:val="auto"/>
          <w:sz w:val="24"/>
          <w:szCs w:val="24"/>
          <w:highlight w:val="none"/>
        </w:rPr>
      </w:pPr>
      <w:bookmarkStart w:id="261" w:name="_Toc24008"/>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酬金</w:t>
      </w:r>
      <w:bookmarkEnd w:id="261"/>
    </w:p>
    <w:p w14:paraId="0B5DDEFB">
      <w:pPr>
        <w:pStyle w:val="105"/>
        <w:tabs>
          <w:tab w:val="left" w:pos="0"/>
        </w:tabs>
        <w:spacing w:line="640" w:lineRule="exact"/>
        <w:ind w:firstLine="0" w:firstLineChars="0"/>
        <w:rPr>
          <w:rFonts w:ascii="仿宋" w:hAnsi="仿宋" w:eastAsia="仿宋"/>
          <w:color w:val="auto"/>
          <w:highlight w:val="none"/>
        </w:rPr>
      </w:pPr>
      <w:r>
        <w:rPr>
          <w:rFonts w:hint="eastAsia" w:ascii="仿宋" w:hAnsi="仿宋" w:eastAsia="仿宋" w:cs="仿宋"/>
          <w:color w:val="auto"/>
          <w:highlight w:val="none"/>
        </w:rPr>
        <w:t>正常工作酬金（以暂定合同价计算）的</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按下列</w:t>
      </w:r>
      <w:r>
        <w:rPr>
          <w:rFonts w:ascii="仿宋" w:hAnsi="仿宋" w:eastAsia="仿宋" w:cs="仿宋"/>
          <w:color w:val="auto"/>
          <w:highlight w:val="none"/>
          <w:u w:val="single"/>
        </w:rPr>
        <w:t xml:space="preserve">  </w:t>
      </w:r>
      <w:r>
        <w:rPr>
          <w:rFonts w:hint="eastAsia" w:ascii="仿宋" w:hAnsi="仿宋" w:eastAsia="仿宋" w:cs="仿宋"/>
          <w:b/>
          <w:bCs/>
          <w:color w:val="auto"/>
          <w:highlight w:val="none"/>
          <w:u w:val="single"/>
          <w:lang w:val="en-US" w:eastAsia="zh-CN"/>
        </w:rPr>
        <w:t>（2）</w:t>
      </w:r>
      <w:r>
        <w:rPr>
          <w:rFonts w:ascii="仿宋" w:hAnsi="仿宋" w:eastAsia="仿宋" w:cs="仿宋"/>
          <w:b/>
          <w:bCs/>
          <w:color w:val="auto"/>
          <w:highlight w:val="none"/>
          <w:u w:val="single"/>
        </w:rPr>
        <w:t xml:space="preserve"> </w:t>
      </w:r>
      <w:r>
        <w:rPr>
          <w:rFonts w:ascii="仿宋" w:hAnsi="仿宋" w:eastAsia="仿宋" w:cs="仿宋"/>
          <w:color w:val="auto"/>
          <w:highlight w:val="none"/>
          <w:u w:val="single"/>
        </w:rPr>
        <w:t xml:space="preserve"> </w:t>
      </w:r>
      <w:r>
        <w:rPr>
          <w:rFonts w:hint="eastAsia" w:ascii="仿宋" w:hAnsi="仿宋" w:eastAsia="仿宋" w:cs="仿宋"/>
          <w:color w:val="auto"/>
          <w:highlight w:val="none"/>
        </w:rPr>
        <w:t>方法确定：</w:t>
      </w:r>
    </w:p>
    <w:p w14:paraId="1D13B47C">
      <w:pPr>
        <w:snapToGrid w:val="0"/>
        <w:spacing w:line="640" w:lineRule="exact"/>
        <w:ind w:left="640"/>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按</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季度或</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月度等比例</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w:t>
      </w:r>
    </w:p>
    <w:p w14:paraId="08AB2799">
      <w:pPr>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本合同签订后</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首期监理酬金，首期监理酬金为监理酬金总额的</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不低于</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w:t>
      </w:r>
    </w:p>
    <w:p w14:paraId="683D8108">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首期监理酬金后，</w:t>
      </w:r>
      <w:r>
        <w:rPr>
          <w:rFonts w:hint="eastAsia" w:ascii="仿宋" w:hAnsi="仿宋" w:eastAsia="仿宋" w:cs="仿宋"/>
          <w:color w:val="auto"/>
          <w:sz w:val="24"/>
          <w:szCs w:val="24"/>
          <w:highlight w:val="none"/>
        </w:rPr>
        <w:t>在监理期限内按□季度或</w:t>
      </w: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月度等比例于</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日前</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kern w:val="0"/>
          <w:sz w:val="24"/>
          <w:szCs w:val="24"/>
          <w:highlight w:val="none"/>
        </w:rPr>
        <w:t>监理酬金为：</w:t>
      </w:r>
    </w:p>
    <w:p w14:paraId="7753EFC0">
      <w:pPr>
        <w:snapToGrid w:val="0"/>
        <w:spacing w:line="640" w:lineRule="exact"/>
        <w:ind w:firstLine="600" w:firstLineChars="250"/>
        <w:jc w:val="left"/>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每期（□季度或□月度）</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的监理酬金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监理酬金总额×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（不高于</w:t>
      </w:r>
      <w:r>
        <w:rPr>
          <w:rFonts w:ascii="仿宋" w:hAnsi="仿宋" w:eastAsia="仿宋" w:cs="仿宋"/>
          <w:color w:val="auto"/>
          <w:sz w:val="24"/>
          <w:szCs w:val="24"/>
          <w:highlight w:val="none"/>
        </w:rPr>
        <w:t>80%)</w:t>
      </w:r>
      <w:r>
        <w:rPr>
          <w:rFonts w:hint="eastAsia" w:ascii="仿宋" w:hAnsi="仿宋" w:eastAsia="仿宋" w:cs="仿宋"/>
          <w:color w:val="auto"/>
          <w:sz w:val="24"/>
          <w:szCs w:val="24"/>
          <w:highlight w:val="none"/>
        </w:rPr>
        <w:t>，累计</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监理酬金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不低于</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w:t>
      </w:r>
    </w:p>
    <w:p w14:paraId="032115ED">
      <w:pPr>
        <w:snapToGrid w:val="0"/>
        <w:spacing w:line="640" w:lineRule="exact"/>
        <w:ind w:firstLine="477" w:firstLineChars="199"/>
        <w:jc w:val="lef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余下</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的监理费，在工程竣工验收或交付使用时，</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监理酬金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不低于</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；在办理结算或监理与相关服务期届满</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天内，付清监理结算款。</w:t>
      </w:r>
    </w:p>
    <w:p w14:paraId="5418E074">
      <w:pPr>
        <w:snapToGrid w:val="0"/>
        <w:spacing w:line="640" w:lineRule="exact"/>
        <w:ind w:left="640"/>
        <w:rPr>
          <w:rFonts w:ascii="仿宋" w:hAnsi="仿宋" w:eastAsia="仿宋" w:cs="Times New Roman"/>
          <w:b/>
          <w:bCs/>
          <w:color w:val="auto"/>
          <w:kern w:val="0"/>
          <w:sz w:val="24"/>
          <w:szCs w:val="24"/>
          <w:highlight w:val="none"/>
        </w:rPr>
      </w:pPr>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按当期现场实际</w:t>
      </w:r>
      <w:r>
        <w:rPr>
          <w:rFonts w:hint="eastAsia" w:ascii="仿宋" w:hAnsi="仿宋" w:eastAsia="仿宋" w:cs="仿宋"/>
          <w:b/>
          <w:bCs/>
          <w:color w:val="auto"/>
          <w:kern w:val="0"/>
          <w:sz w:val="24"/>
          <w:szCs w:val="24"/>
          <w:highlight w:val="none"/>
        </w:rPr>
        <w:t>完成的工程量</w:t>
      </w:r>
      <w:r>
        <w:rPr>
          <w:rFonts w:hint="eastAsia" w:ascii="仿宋" w:hAnsi="仿宋" w:eastAsia="仿宋" w:cs="仿宋"/>
          <w:b/>
          <w:bCs/>
          <w:color w:val="auto"/>
          <w:kern w:val="0"/>
          <w:sz w:val="24"/>
          <w:szCs w:val="24"/>
          <w:highlight w:val="none"/>
          <w:lang w:eastAsia="zh-CN"/>
        </w:rPr>
        <w:t>考核</w:t>
      </w:r>
      <w:r>
        <w:rPr>
          <w:rFonts w:hint="eastAsia" w:ascii="仿宋" w:hAnsi="仿宋" w:eastAsia="仿宋" w:cs="仿宋"/>
          <w:b/>
          <w:bCs/>
          <w:color w:val="auto"/>
          <w:kern w:val="0"/>
          <w:sz w:val="24"/>
          <w:szCs w:val="24"/>
          <w:highlight w:val="none"/>
        </w:rPr>
        <w:t>：</w:t>
      </w:r>
    </w:p>
    <w:p w14:paraId="0C5250EE">
      <w:pPr>
        <w:spacing w:line="640" w:lineRule="exact"/>
        <w:ind w:firstLine="480" w:firstLineChars="200"/>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t>本合同签订后，</w:t>
      </w:r>
      <w:r>
        <w:rPr>
          <w:rFonts w:hint="eastAsia" w:ascii="仿宋" w:hAnsi="仿宋" w:eastAsia="仿宋" w:cs="仿宋"/>
          <w:color w:val="auto"/>
          <w:kern w:val="0"/>
          <w:sz w:val="24"/>
          <w:szCs w:val="24"/>
          <w:highlight w:val="none"/>
          <w:lang w:eastAsia="zh-CN"/>
        </w:rPr>
        <w:t>及时考核</w:t>
      </w:r>
      <w:r>
        <w:rPr>
          <w:rFonts w:hint="eastAsia" w:ascii="仿宋" w:hAnsi="仿宋" w:eastAsia="仿宋" w:cs="仿宋"/>
          <w:color w:val="auto"/>
          <w:kern w:val="0"/>
          <w:sz w:val="24"/>
          <w:szCs w:val="24"/>
          <w:highlight w:val="none"/>
        </w:rPr>
        <w:t>首期监理酬金，首期监理酬金为监理酬金总额的</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
          <w:bCs/>
          <w:color w:val="auto"/>
          <w:kern w:val="0"/>
          <w:sz w:val="24"/>
          <w:szCs w:val="24"/>
          <w:highlight w:val="none"/>
          <w:u w:val="single"/>
          <w:lang w:val="en-US" w:eastAsia="zh-CN"/>
        </w:rPr>
        <w:t>30</w:t>
      </w:r>
      <w:r>
        <w:rPr>
          <w:rFonts w:hint="eastAsia" w:ascii="仿宋" w:hAnsi="仿宋" w:eastAsia="仿宋" w:cs="仿宋"/>
          <w:b/>
          <w:bCs/>
          <w:color w:val="auto"/>
          <w:kern w:val="0"/>
          <w:sz w:val="24"/>
          <w:szCs w:val="24"/>
          <w:highlight w:val="none"/>
          <w:lang w:eastAsia="zh-CN"/>
        </w:rPr>
        <w:t>%（不低于10%）；</w:t>
      </w:r>
    </w:p>
    <w:p w14:paraId="62B7FD0E">
      <w:pPr>
        <w:snapToGrid w:val="0"/>
        <w:spacing w:line="640" w:lineRule="exact"/>
        <w:ind w:firstLine="480" w:firstLineChars="20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首期监理酬金后，</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施工阶段</w:t>
      </w:r>
      <w:r>
        <w:rPr>
          <w:rFonts w:hint="eastAsia" w:ascii="仿宋" w:hAnsi="仿宋" w:eastAsia="仿宋" w:cs="仿宋"/>
          <w:color w:val="auto"/>
          <w:sz w:val="24"/>
          <w:szCs w:val="24"/>
          <w:highlight w:val="none"/>
        </w:rPr>
        <w:t>内按</w:t>
      </w:r>
      <w:r>
        <w:rPr>
          <w:rFonts w:hint="eastAsia" w:ascii="仿宋" w:hAnsi="仿宋" w:eastAsia="仿宋" w:cs="仿宋"/>
          <w:color w:val="auto"/>
          <w:sz w:val="24"/>
          <w:szCs w:val="24"/>
          <w:highlight w:val="none"/>
          <w:lang w:eastAsia="zh-CN"/>
        </w:rPr>
        <w:t>工程</w:t>
      </w:r>
      <w:r>
        <w:rPr>
          <w:rFonts w:hint="eastAsia" w:ascii="仿宋" w:hAnsi="仿宋" w:eastAsia="仿宋" w:cs="仿宋"/>
          <w:color w:val="auto"/>
          <w:sz w:val="24"/>
          <w:szCs w:val="24"/>
          <w:highlight w:val="none"/>
        </w:rPr>
        <w:t>每期完成工程量的比例</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kern w:val="0"/>
          <w:sz w:val="24"/>
          <w:szCs w:val="24"/>
          <w:highlight w:val="none"/>
        </w:rPr>
        <w:t>监理酬金为：</w:t>
      </w:r>
    </w:p>
    <w:p w14:paraId="679C9F50">
      <w:pPr>
        <w:pStyle w:val="105"/>
        <w:tabs>
          <w:tab w:val="left" w:pos="0"/>
        </w:tabs>
        <w:spacing w:line="640" w:lineRule="exact"/>
        <w:ind w:firstLine="496"/>
        <w:rPr>
          <w:rFonts w:hint="eastAsia" w:ascii="仿宋" w:hAnsi="仿宋" w:eastAsia="仿宋"/>
          <w:b/>
          <w:bCs/>
          <w:color w:val="auto"/>
          <w:highlight w:val="none"/>
          <w:lang w:eastAsia="zh-CN"/>
        </w:rPr>
      </w:pPr>
      <w:r>
        <w:rPr>
          <w:rFonts w:hint="eastAsia" w:ascii="仿宋" w:hAnsi="仿宋" w:eastAsia="仿宋" w:cs="仿宋"/>
          <w:color w:val="auto"/>
          <w:highlight w:val="none"/>
        </w:rPr>
        <w:t>每期（□季度或□月度）</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的监理酬金</w:t>
      </w:r>
      <w:r>
        <w:rPr>
          <w:rFonts w:ascii="仿宋" w:hAnsi="仿宋" w:eastAsia="仿宋" w:cs="仿宋"/>
          <w:color w:val="auto"/>
          <w:highlight w:val="none"/>
        </w:rPr>
        <w:t>=</w:t>
      </w:r>
      <w:r>
        <w:rPr>
          <w:rFonts w:hint="eastAsia" w:ascii="仿宋" w:hAnsi="仿宋" w:eastAsia="仿宋" w:cs="仿宋"/>
          <w:color w:val="auto"/>
          <w:highlight w:val="none"/>
        </w:rPr>
        <w:t>当</w:t>
      </w:r>
      <w:r>
        <w:rPr>
          <w:rFonts w:ascii="仿宋" w:hAnsi="仿宋" w:eastAsia="仿宋" w:cs="仿宋"/>
          <w:color w:val="auto"/>
          <w:highlight w:val="none"/>
        </w:rPr>
        <w:t>(</w:t>
      </w:r>
      <w:r>
        <w:rPr>
          <w:rFonts w:hint="eastAsia" w:ascii="仿宋" w:hAnsi="仿宋" w:eastAsia="仿宋" w:cs="仿宋"/>
          <w:color w:val="auto"/>
          <w:highlight w:val="none"/>
        </w:rPr>
        <w:t>□季度或□月度）完成的工程量</w:t>
      </w:r>
      <w:r>
        <w:rPr>
          <w:rFonts w:ascii="仿宋" w:hAnsi="仿宋" w:eastAsia="仿宋" w:cs="仿宋"/>
          <w:color w:val="auto"/>
          <w:highlight w:val="none"/>
        </w:rPr>
        <w:t>/</w:t>
      </w:r>
      <w:r>
        <w:rPr>
          <w:rFonts w:hint="eastAsia" w:ascii="仿宋" w:hAnsi="仿宋" w:eastAsia="仿宋" w:cs="仿宋"/>
          <w:color w:val="auto"/>
          <w:highlight w:val="none"/>
        </w:rPr>
        <w:t>项目建筑安装</w:t>
      </w:r>
      <w:r>
        <w:rPr>
          <w:rFonts w:hint="eastAsia" w:ascii="仿宋" w:hAnsi="仿宋" w:eastAsia="仿宋" w:cs="仿宋"/>
          <w:b w:val="0"/>
          <w:bCs w:val="0"/>
          <w:color w:val="auto"/>
          <w:highlight w:val="none"/>
          <w:lang w:eastAsia="zh-CN"/>
        </w:rPr>
        <w:t>施工</w:t>
      </w:r>
      <w:r>
        <w:rPr>
          <w:rFonts w:hint="eastAsia" w:ascii="仿宋" w:hAnsi="仿宋" w:eastAsia="仿宋" w:cs="仿宋"/>
          <w:b w:val="0"/>
          <w:bCs w:val="0"/>
          <w:color w:val="auto"/>
          <w:highlight w:val="none"/>
        </w:rPr>
        <w:t>工程</w:t>
      </w:r>
      <w:r>
        <w:rPr>
          <w:rFonts w:hint="eastAsia" w:ascii="仿宋" w:hAnsi="仿宋" w:eastAsia="仿宋" w:cs="仿宋"/>
          <w:b w:val="0"/>
          <w:bCs w:val="0"/>
          <w:color w:val="auto"/>
          <w:highlight w:val="none"/>
          <w:lang w:eastAsia="zh-CN"/>
        </w:rPr>
        <w:t>合同价（扣除暂列金）</w:t>
      </w:r>
      <w:r>
        <w:rPr>
          <w:rFonts w:hint="eastAsia" w:ascii="仿宋" w:hAnsi="仿宋" w:eastAsia="仿宋" w:cs="仿宋"/>
          <w:b w:val="0"/>
          <w:bCs w:val="0"/>
          <w:color w:val="auto"/>
          <w:highlight w:val="none"/>
        </w:rPr>
        <w:t>×监理酬金总额</w:t>
      </w:r>
      <w:r>
        <w:rPr>
          <w:rFonts w:hint="eastAsia" w:ascii="仿宋" w:hAnsi="仿宋" w:eastAsia="仿宋" w:cs="仿宋"/>
          <w:b w:val="0"/>
          <w:bCs w:val="0"/>
          <w:color w:val="auto"/>
          <w:highlight w:val="none"/>
          <w:lang w:eastAsia="zh-CN"/>
        </w:rPr>
        <w:t>，完工后</w:t>
      </w:r>
      <w:r>
        <w:rPr>
          <w:rFonts w:hint="eastAsia" w:ascii="仿宋" w:hAnsi="仿宋" w:eastAsia="仿宋" w:cs="仿宋"/>
          <w:b w:val="0"/>
          <w:bCs w:val="0"/>
          <w:color w:val="auto"/>
          <w:spacing w:val="0"/>
          <w:kern w:val="2"/>
          <w:sz w:val="24"/>
          <w:szCs w:val="24"/>
          <w:highlight w:val="none"/>
          <w:lang w:val="en-US" w:eastAsia="zh-CN" w:bidi="ar-SA"/>
        </w:rPr>
        <w:t>累计</w:t>
      </w:r>
      <w:r>
        <w:rPr>
          <w:rFonts w:hint="eastAsia" w:ascii="仿宋" w:hAnsi="仿宋" w:eastAsia="仿宋" w:cs="仿宋"/>
          <w:b w:val="0"/>
          <w:bCs w:val="0"/>
          <w:color w:val="auto"/>
          <w:highlight w:val="none"/>
          <w:lang w:eastAsia="zh-CN"/>
        </w:rPr>
        <w:t>考核</w:t>
      </w:r>
      <w:r>
        <w:rPr>
          <w:rFonts w:hint="eastAsia" w:ascii="仿宋" w:hAnsi="仿宋" w:eastAsia="仿宋" w:cs="仿宋"/>
          <w:b w:val="0"/>
          <w:bCs w:val="0"/>
          <w:color w:val="auto"/>
          <w:highlight w:val="none"/>
        </w:rPr>
        <w:t>监理酬金</w:t>
      </w:r>
      <w:r>
        <w:rPr>
          <w:rFonts w:hint="eastAsia" w:ascii="仿宋" w:hAnsi="仿宋" w:eastAsia="仿宋" w:cs="仿宋"/>
          <w:b w:val="0"/>
          <w:bCs w:val="0"/>
          <w:color w:val="auto"/>
          <w:highlight w:val="none"/>
          <w:u w:val="single"/>
          <w:lang w:val="en-US" w:eastAsia="zh-CN"/>
        </w:rPr>
        <w:t>90</w:t>
      </w:r>
      <w:r>
        <w:rPr>
          <w:rFonts w:ascii="仿宋" w:hAnsi="仿宋" w:eastAsia="仿宋" w:cs="仿宋"/>
          <w:b w:val="0"/>
          <w:bCs w:val="0"/>
          <w:color w:val="auto"/>
          <w:highlight w:val="none"/>
        </w:rPr>
        <w:t>%(</w:t>
      </w:r>
      <w:r>
        <w:rPr>
          <w:rFonts w:hint="eastAsia" w:ascii="仿宋" w:hAnsi="仿宋" w:eastAsia="仿宋" w:cs="仿宋"/>
          <w:b w:val="0"/>
          <w:bCs w:val="0"/>
          <w:color w:val="auto"/>
          <w:spacing w:val="0"/>
          <w:kern w:val="2"/>
          <w:sz w:val="24"/>
          <w:szCs w:val="24"/>
          <w:highlight w:val="none"/>
          <w:lang w:val="en-US" w:eastAsia="zh-CN" w:bidi="ar-SA"/>
        </w:rPr>
        <w:t>不低于90%</w:t>
      </w:r>
      <w:r>
        <w:rPr>
          <w:rFonts w:ascii="仿宋" w:hAnsi="仿宋" w:eastAsia="仿宋" w:cs="仿宋"/>
          <w:b w:val="0"/>
          <w:bCs w:val="0"/>
          <w:color w:val="auto"/>
          <w:highlight w:val="none"/>
        </w:rPr>
        <w:t>)</w:t>
      </w:r>
      <w:r>
        <w:rPr>
          <w:rFonts w:hint="eastAsia" w:ascii="仿宋" w:hAnsi="仿宋" w:eastAsia="仿宋" w:cs="仿宋"/>
          <w:b w:val="0"/>
          <w:bCs w:val="0"/>
          <w:color w:val="auto"/>
          <w:highlight w:val="none"/>
        </w:rPr>
        <w:t>。</w:t>
      </w:r>
      <w:r>
        <w:rPr>
          <w:rFonts w:hint="eastAsia" w:ascii="仿宋" w:hAnsi="仿宋" w:eastAsia="仿宋" w:cs="仿宋"/>
          <w:b/>
          <w:bCs/>
          <w:color w:val="auto"/>
          <w:highlight w:val="none"/>
          <w:lang w:eastAsia="zh-CN"/>
        </w:rPr>
        <w:t>关于到岗履职服务费、约定工作完成服务费的考核与扣除，以协议书约定为准。</w:t>
      </w:r>
    </w:p>
    <w:p w14:paraId="1DAF26A7">
      <w:pPr>
        <w:snapToGrid w:val="0"/>
        <w:spacing w:line="640" w:lineRule="exact"/>
        <w:ind w:firstLine="598" w:firstLineChars="248"/>
        <w:jc w:val="left"/>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余下</w:t>
      </w:r>
      <w:r>
        <w:rPr>
          <w:rFonts w:ascii="仿宋" w:hAnsi="仿宋" w:eastAsia="仿宋" w:cs="仿宋"/>
          <w:b/>
          <w:bCs/>
          <w:color w:val="auto"/>
          <w:sz w:val="24"/>
          <w:szCs w:val="24"/>
          <w:highlight w:val="none"/>
        </w:rPr>
        <w:t>10%</w:t>
      </w:r>
      <w:r>
        <w:rPr>
          <w:rFonts w:hint="eastAsia" w:ascii="仿宋" w:hAnsi="仿宋" w:eastAsia="仿宋" w:cs="仿宋"/>
          <w:color w:val="auto"/>
          <w:sz w:val="24"/>
          <w:szCs w:val="24"/>
          <w:highlight w:val="none"/>
        </w:rPr>
        <w:t>的监理费，在工程</w:t>
      </w:r>
      <w:r>
        <w:rPr>
          <w:rFonts w:hint="eastAsia" w:ascii="仿宋" w:hAnsi="仿宋" w:eastAsia="仿宋" w:cs="仿宋"/>
          <w:b w:val="0"/>
          <w:bCs w:val="0"/>
          <w:color w:val="auto"/>
          <w:sz w:val="24"/>
          <w:szCs w:val="24"/>
          <w:highlight w:val="none"/>
        </w:rPr>
        <w:t>竣工验收或交付使用时，</w:t>
      </w:r>
      <w:r>
        <w:rPr>
          <w:rFonts w:hint="eastAsia" w:ascii="仿宋" w:hAnsi="仿宋" w:eastAsia="仿宋" w:cs="仿宋"/>
          <w:b/>
          <w:bCs/>
          <w:color w:val="auto"/>
          <w:sz w:val="24"/>
          <w:szCs w:val="24"/>
          <w:highlight w:val="none"/>
          <w:lang w:eastAsia="zh-CN"/>
        </w:rPr>
        <w:t>考核</w:t>
      </w:r>
      <w:r>
        <w:rPr>
          <w:rFonts w:hint="eastAsia" w:ascii="仿宋" w:hAnsi="仿宋" w:eastAsia="仿宋" w:cs="仿宋"/>
          <w:b/>
          <w:bCs/>
          <w:color w:val="auto"/>
          <w:sz w:val="24"/>
          <w:szCs w:val="24"/>
          <w:highlight w:val="none"/>
        </w:rPr>
        <w:t>监理酬金</w:t>
      </w:r>
      <w:r>
        <w:rPr>
          <w:rFonts w:hint="eastAsia" w:ascii="仿宋" w:hAnsi="仿宋" w:eastAsia="仿宋" w:cs="仿宋"/>
          <w:b/>
          <w:bCs/>
          <w:color w:val="auto"/>
          <w:sz w:val="24"/>
          <w:szCs w:val="24"/>
          <w:highlight w:val="none"/>
          <w:u w:val="single"/>
          <w:lang w:val="en-US" w:eastAsia="zh-CN"/>
        </w:rPr>
        <w:t>5</w:t>
      </w:r>
      <w:r>
        <w:rPr>
          <w:rFonts w:ascii="仿宋" w:hAnsi="仿宋" w:eastAsia="仿宋" w:cs="仿宋"/>
          <w:b/>
          <w:bCs/>
          <w:color w:val="auto"/>
          <w:sz w:val="24"/>
          <w:szCs w:val="24"/>
          <w:highlight w:val="none"/>
          <w:u w:val="single"/>
        </w:rPr>
        <w:t xml:space="preserve"> </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rPr>
        <w:t>不低于</w:t>
      </w:r>
      <w:r>
        <w:rPr>
          <w:rFonts w:ascii="仿宋" w:hAnsi="仿宋" w:eastAsia="仿宋" w:cs="仿宋"/>
          <w:b/>
          <w:bCs/>
          <w:color w:val="auto"/>
          <w:sz w:val="24"/>
          <w:szCs w:val="24"/>
          <w:highlight w:val="none"/>
        </w:rPr>
        <w:t>5%)</w:t>
      </w:r>
      <w:r>
        <w:rPr>
          <w:rFonts w:hint="eastAsia" w:ascii="仿宋" w:hAnsi="仿宋" w:eastAsia="仿宋" w:cs="仿宋"/>
          <w:b w:val="0"/>
          <w:bCs w:val="0"/>
          <w:color w:val="auto"/>
          <w:sz w:val="24"/>
          <w:szCs w:val="24"/>
          <w:highlight w:val="none"/>
        </w:rPr>
        <w:t>；在办理结算或监理与相关服务期届满</w:t>
      </w:r>
      <w:r>
        <w:rPr>
          <w:rFonts w:ascii="仿宋" w:hAnsi="仿宋" w:eastAsia="仿宋" w:cs="仿宋"/>
          <w:b w:val="0"/>
          <w:bCs w:val="0"/>
          <w:color w:val="auto"/>
          <w:sz w:val="24"/>
          <w:szCs w:val="24"/>
          <w:highlight w:val="none"/>
        </w:rPr>
        <w:t>14</w:t>
      </w:r>
      <w:r>
        <w:rPr>
          <w:rFonts w:hint="eastAsia" w:ascii="仿宋" w:hAnsi="仿宋" w:eastAsia="仿宋" w:cs="仿宋"/>
          <w:b w:val="0"/>
          <w:bCs w:val="0"/>
          <w:color w:val="auto"/>
          <w:sz w:val="24"/>
          <w:szCs w:val="24"/>
          <w:highlight w:val="none"/>
        </w:rPr>
        <w:t>天内，付清监理结算款。</w:t>
      </w:r>
    </w:p>
    <w:p w14:paraId="72BEB35F">
      <w:pPr>
        <w:pStyle w:val="105"/>
        <w:tabs>
          <w:tab w:val="left" w:pos="0"/>
        </w:tabs>
        <w:spacing w:line="640" w:lineRule="exact"/>
        <w:ind w:firstLine="498"/>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ascii="仿宋" w:hAnsi="仿宋" w:eastAsia="仿宋" w:cs="仿宋"/>
          <w:b w:val="0"/>
          <w:bCs w:val="0"/>
          <w:color w:val="auto"/>
          <w:highlight w:val="none"/>
        </w:rPr>
        <w:t>3</w:t>
      </w:r>
      <w:r>
        <w:rPr>
          <w:rFonts w:hint="eastAsia" w:ascii="仿宋" w:hAnsi="仿宋" w:eastAsia="仿宋" w:cs="仿宋"/>
          <w:b w:val="0"/>
          <w:bCs w:val="0"/>
          <w:color w:val="auto"/>
          <w:highlight w:val="none"/>
        </w:rPr>
        <w:t>）按工程量与相应比例单次</w:t>
      </w:r>
      <w:r>
        <w:rPr>
          <w:rFonts w:hint="eastAsia" w:ascii="仿宋" w:hAnsi="仿宋" w:eastAsia="仿宋" w:cs="仿宋"/>
          <w:b w:val="0"/>
          <w:bCs w:val="0"/>
          <w:color w:val="auto"/>
          <w:highlight w:val="none"/>
          <w:lang w:eastAsia="zh-CN"/>
        </w:rPr>
        <w:t>考核</w:t>
      </w:r>
      <w:r>
        <w:rPr>
          <w:rFonts w:hint="eastAsia" w:ascii="仿宋" w:hAnsi="仿宋" w:eastAsia="仿宋" w:cs="仿宋"/>
          <w:b w:val="0"/>
          <w:bCs w:val="0"/>
          <w:color w:val="auto"/>
          <w:highlight w:val="none"/>
        </w:rPr>
        <w:t>：</w:t>
      </w:r>
    </w:p>
    <w:p w14:paraId="2A90118B">
      <w:pPr>
        <w:pStyle w:val="105"/>
        <w:tabs>
          <w:tab w:val="left" w:pos="0"/>
        </w:tabs>
        <w:spacing w:line="640" w:lineRule="exact"/>
        <w:ind w:firstLine="496"/>
        <w:rPr>
          <w:rFonts w:hint="eastAsia" w:ascii="仿宋" w:hAnsi="仿宋" w:eastAsia="仿宋" w:cs="仿宋"/>
          <w:color w:val="auto"/>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383"/>
        <w:gridCol w:w="1623"/>
        <w:gridCol w:w="1597"/>
        <w:gridCol w:w="1399"/>
      </w:tblGrid>
      <w:tr w14:paraId="3782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blHeader/>
          <w:jc w:val="center"/>
        </w:trPr>
        <w:tc>
          <w:tcPr>
            <w:tcW w:w="1518" w:type="dxa"/>
            <w:noWrap w:val="0"/>
            <w:vAlign w:val="center"/>
          </w:tcPr>
          <w:p w14:paraId="704F10E0">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次数</w:t>
            </w:r>
          </w:p>
        </w:tc>
        <w:tc>
          <w:tcPr>
            <w:tcW w:w="2383" w:type="dxa"/>
            <w:noWrap w:val="0"/>
            <w:vAlign w:val="center"/>
          </w:tcPr>
          <w:p w14:paraId="20E7D44E">
            <w:pPr>
              <w:pStyle w:val="105"/>
              <w:tabs>
                <w:tab w:val="left" w:pos="0"/>
              </w:tabs>
              <w:spacing w:line="240" w:lineRule="auto"/>
              <w:ind w:firstLine="171" w:firstLineChars="69"/>
              <w:jc w:val="center"/>
              <w:rPr>
                <w:rFonts w:ascii="仿宋" w:hAnsi="仿宋" w:eastAsia="仿宋"/>
                <w:color w:val="auto"/>
                <w:highlight w:val="none"/>
              </w:rPr>
            </w:pP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时间</w:t>
            </w:r>
          </w:p>
        </w:tc>
        <w:tc>
          <w:tcPr>
            <w:tcW w:w="1623" w:type="dxa"/>
            <w:noWrap w:val="0"/>
            <w:vAlign w:val="center"/>
          </w:tcPr>
          <w:p w14:paraId="4C4068DF">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当次</w:t>
            </w:r>
          </w:p>
          <w:p w14:paraId="2DB86165">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比例</w:t>
            </w:r>
          </w:p>
        </w:tc>
        <w:tc>
          <w:tcPr>
            <w:tcW w:w="1597" w:type="dxa"/>
            <w:noWrap w:val="0"/>
            <w:vAlign w:val="center"/>
          </w:tcPr>
          <w:p w14:paraId="2438DF4D">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累计</w:t>
            </w:r>
          </w:p>
          <w:p w14:paraId="0445E774">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比例</w:t>
            </w:r>
          </w:p>
        </w:tc>
        <w:tc>
          <w:tcPr>
            <w:tcW w:w="1399" w:type="dxa"/>
            <w:noWrap w:val="0"/>
            <w:vAlign w:val="center"/>
          </w:tcPr>
          <w:p w14:paraId="2A83D940">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金额</w:t>
            </w:r>
          </w:p>
          <w:p w14:paraId="69F5287E">
            <w:pPr>
              <w:pStyle w:val="105"/>
              <w:tabs>
                <w:tab w:val="left" w:pos="0"/>
              </w:tabs>
              <w:spacing w:line="240" w:lineRule="auto"/>
              <w:ind w:firstLine="171" w:firstLineChars="69"/>
              <w:jc w:val="center"/>
              <w:rPr>
                <w:rFonts w:ascii="仿宋" w:hAnsi="仿宋" w:eastAsia="仿宋"/>
                <w:color w:val="auto"/>
                <w:highlight w:val="none"/>
              </w:rPr>
            </w:pPr>
            <w:r>
              <w:rPr>
                <w:rFonts w:hint="eastAsia" w:ascii="仿宋" w:hAnsi="仿宋" w:eastAsia="仿宋" w:cs="仿宋"/>
                <w:color w:val="auto"/>
                <w:highlight w:val="none"/>
              </w:rPr>
              <w:t>（万元）</w:t>
            </w:r>
          </w:p>
        </w:tc>
      </w:tr>
      <w:tr w14:paraId="5C6B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518" w:type="dxa"/>
            <w:noWrap w:val="0"/>
            <w:vAlign w:val="center"/>
          </w:tcPr>
          <w:p w14:paraId="118D9ADF">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首付款</w:t>
            </w:r>
          </w:p>
        </w:tc>
        <w:tc>
          <w:tcPr>
            <w:tcW w:w="2383" w:type="dxa"/>
            <w:noWrap w:val="0"/>
            <w:vAlign w:val="center"/>
          </w:tcPr>
          <w:p w14:paraId="09657541">
            <w:pPr>
              <w:pStyle w:val="105"/>
              <w:tabs>
                <w:tab w:val="left" w:pos="0"/>
              </w:tabs>
              <w:spacing w:line="240" w:lineRule="auto"/>
              <w:ind w:firstLine="0" w:firstLineChars="0"/>
              <w:rPr>
                <w:rFonts w:ascii="仿宋" w:hAnsi="仿宋" w:eastAsia="仿宋"/>
                <w:color w:val="auto"/>
                <w:highlight w:val="none"/>
              </w:rPr>
            </w:pPr>
            <w:r>
              <w:rPr>
                <w:rFonts w:hint="eastAsia" w:ascii="仿宋" w:hAnsi="仿宋" w:eastAsia="仿宋" w:cs="仿宋"/>
                <w:color w:val="auto"/>
                <w:highlight w:val="none"/>
              </w:rPr>
              <w:t>本合同签订后</w:t>
            </w:r>
            <w:r>
              <w:rPr>
                <w:rFonts w:ascii="仿宋" w:hAnsi="仿宋" w:eastAsia="仿宋" w:cs="仿宋"/>
                <w:color w:val="auto"/>
                <w:highlight w:val="none"/>
              </w:rPr>
              <w:t>7</w:t>
            </w:r>
            <w:r>
              <w:rPr>
                <w:rFonts w:hint="eastAsia" w:ascii="仿宋" w:hAnsi="仿宋" w:eastAsia="仿宋" w:cs="仿宋"/>
                <w:color w:val="auto"/>
                <w:highlight w:val="none"/>
              </w:rPr>
              <w:t>天内</w:t>
            </w:r>
          </w:p>
        </w:tc>
        <w:tc>
          <w:tcPr>
            <w:tcW w:w="1623" w:type="dxa"/>
            <w:noWrap w:val="0"/>
            <w:vAlign w:val="center"/>
          </w:tcPr>
          <w:p w14:paraId="19ECE52B">
            <w:pPr>
              <w:pStyle w:val="105"/>
              <w:tabs>
                <w:tab w:val="left" w:pos="0"/>
              </w:tabs>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ascii="仿宋" w:hAnsi="仿宋" w:eastAsia="仿宋" w:cs="仿宋"/>
                <w:color w:val="auto"/>
                <w:highlight w:val="none"/>
                <w:u w:val="single"/>
              </w:rPr>
              <w:t xml:space="preserve"> </w:t>
            </w:r>
            <w:r>
              <w:rPr>
                <w:rFonts w:ascii="仿宋" w:hAnsi="仿宋" w:eastAsia="仿宋" w:cs="仿宋"/>
                <w:color w:val="auto"/>
                <w:highlight w:val="none"/>
              </w:rPr>
              <w:t xml:space="preserve"> %(</w:t>
            </w:r>
            <w:r>
              <w:rPr>
                <w:rFonts w:hint="eastAsia" w:ascii="仿宋" w:hAnsi="仿宋" w:eastAsia="仿宋" w:cs="仿宋"/>
                <w:color w:val="auto"/>
                <w:highlight w:val="none"/>
              </w:rPr>
              <w:t>不低于</w:t>
            </w:r>
            <w:r>
              <w:rPr>
                <w:rFonts w:ascii="仿宋" w:hAnsi="仿宋" w:eastAsia="仿宋" w:cs="仿宋"/>
                <w:color w:val="auto"/>
                <w:highlight w:val="none"/>
              </w:rPr>
              <w:t>10%)</w:t>
            </w:r>
          </w:p>
        </w:tc>
        <w:tc>
          <w:tcPr>
            <w:tcW w:w="1597" w:type="dxa"/>
            <w:noWrap w:val="0"/>
            <w:vAlign w:val="center"/>
          </w:tcPr>
          <w:p w14:paraId="756CC646">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10%)</w:t>
            </w:r>
          </w:p>
        </w:tc>
        <w:tc>
          <w:tcPr>
            <w:tcW w:w="1399" w:type="dxa"/>
            <w:noWrap w:val="0"/>
            <w:vAlign w:val="center"/>
          </w:tcPr>
          <w:p w14:paraId="1B5EC861">
            <w:pPr>
              <w:pStyle w:val="105"/>
              <w:tabs>
                <w:tab w:val="left" w:pos="0"/>
              </w:tabs>
              <w:spacing w:line="240" w:lineRule="auto"/>
              <w:ind w:firstLine="0" w:firstLineChars="0"/>
              <w:jc w:val="center"/>
              <w:rPr>
                <w:rFonts w:ascii="仿宋" w:hAnsi="仿宋" w:eastAsia="仿宋" w:cs="仿宋"/>
                <w:color w:val="auto"/>
                <w:highlight w:val="none"/>
              </w:rPr>
            </w:pPr>
          </w:p>
        </w:tc>
      </w:tr>
      <w:tr w14:paraId="762B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518" w:type="dxa"/>
            <w:noWrap w:val="0"/>
            <w:vAlign w:val="center"/>
          </w:tcPr>
          <w:p w14:paraId="3899896D">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第二次</w:t>
            </w:r>
          </w:p>
          <w:p w14:paraId="5C4AB607">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付款</w:t>
            </w:r>
          </w:p>
        </w:tc>
        <w:tc>
          <w:tcPr>
            <w:tcW w:w="2383" w:type="dxa"/>
            <w:noWrap w:val="0"/>
            <w:vAlign w:val="center"/>
          </w:tcPr>
          <w:p w14:paraId="39A53F35">
            <w:pPr>
              <w:pStyle w:val="105"/>
              <w:tabs>
                <w:tab w:val="left" w:pos="0"/>
              </w:tabs>
              <w:spacing w:line="240" w:lineRule="auto"/>
              <w:ind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经委托人审核的已完成工程量达至施工合同价的</w:t>
            </w:r>
            <w:r>
              <w:rPr>
                <w:rFonts w:ascii="仿宋" w:hAnsi="仿宋" w:eastAsia="仿宋" w:cs="仿宋"/>
                <w:color w:val="auto"/>
                <w:highlight w:val="none"/>
              </w:rPr>
              <w:t>30%</w:t>
            </w:r>
          </w:p>
        </w:tc>
        <w:tc>
          <w:tcPr>
            <w:tcW w:w="1623" w:type="dxa"/>
            <w:noWrap w:val="0"/>
            <w:vAlign w:val="center"/>
          </w:tcPr>
          <w:p w14:paraId="13013563">
            <w:pPr>
              <w:pStyle w:val="105"/>
              <w:tabs>
                <w:tab w:val="left" w:pos="0"/>
              </w:tabs>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20%)</w:t>
            </w:r>
          </w:p>
        </w:tc>
        <w:tc>
          <w:tcPr>
            <w:tcW w:w="1597" w:type="dxa"/>
            <w:noWrap w:val="0"/>
            <w:vAlign w:val="center"/>
          </w:tcPr>
          <w:p w14:paraId="44320FC2">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30%)</w:t>
            </w:r>
          </w:p>
        </w:tc>
        <w:tc>
          <w:tcPr>
            <w:tcW w:w="1399" w:type="dxa"/>
            <w:noWrap w:val="0"/>
            <w:vAlign w:val="center"/>
          </w:tcPr>
          <w:p w14:paraId="29A948A0">
            <w:pPr>
              <w:pStyle w:val="105"/>
              <w:tabs>
                <w:tab w:val="left" w:pos="0"/>
              </w:tabs>
              <w:spacing w:line="240" w:lineRule="auto"/>
              <w:ind w:firstLine="496"/>
              <w:jc w:val="center"/>
              <w:rPr>
                <w:rFonts w:ascii="仿宋" w:hAnsi="仿宋" w:eastAsia="仿宋"/>
                <w:color w:val="auto"/>
                <w:highlight w:val="none"/>
              </w:rPr>
            </w:pPr>
          </w:p>
        </w:tc>
      </w:tr>
      <w:tr w14:paraId="229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518" w:type="dxa"/>
            <w:noWrap w:val="0"/>
            <w:vAlign w:val="center"/>
          </w:tcPr>
          <w:p w14:paraId="78C9CB28">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第三次</w:t>
            </w:r>
          </w:p>
          <w:p w14:paraId="51D888D6">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付款</w:t>
            </w:r>
          </w:p>
        </w:tc>
        <w:tc>
          <w:tcPr>
            <w:tcW w:w="2383" w:type="dxa"/>
            <w:noWrap w:val="0"/>
            <w:vAlign w:val="center"/>
          </w:tcPr>
          <w:p w14:paraId="2967438F">
            <w:pPr>
              <w:pStyle w:val="105"/>
              <w:tabs>
                <w:tab w:val="left" w:pos="0"/>
              </w:tabs>
              <w:spacing w:line="240" w:lineRule="auto"/>
              <w:ind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经委托人审核的已完成工程量达至施工合同价的</w:t>
            </w:r>
            <w:r>
              <w:rPr>
                <w:rFonts w:ascii="仿宋" w:hAnsi="仿宋" w:eastAsia="仿宋" w:cs="仿宋"/>
                <w:color w:val="auto"/>
                <w:highlight w:val="none"/>
              </w:rPr>
              <w:t>60%</w:t>
            </w:r>
          </w:p>
        </w:tc>
        <w:tc>
          <w:tcPr>
            <w:tcW w:w="1623" w:type="dxa"/>
            <w:noWrap w:val="0"/>
            <w:vAlign w:val="center"/>
          </w:tcPr>
          <w:p w14:paraId="596434EE">
            <w:pPr>
              <w:pStyle w:val="105"/>
              <w:tabs>
                <w:tab w:val="left" w:pos="0"/>
              </w:tabs>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30%)</w:t>
            </w:r>
          </w:p>
        </w:tc>
        <w:tc>
          <w:tcPr>
            <w:tcW w:w="1597" w:type="dxa"/>
            <w:noWrap w:val="0"/>
            <w:vAlign w:val="center"/>
          </w:tcPr>
          <w:p w14:paraId="0469920B">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60%)</w:t>
            </w:r>
          </w:p>
        </w:tc>
        <w:tc>
          <w:tcPr>
            <w:tcW w:w="1399" w:type="dxa"/>
            <w:noWrap w:val="0"/>
            <w:vAlign w:val="center"/>
          </w:tcPr>
          <w:p w14:paraId="65BAA9ED">
            <w:pPr>
              <w:pStyle w:val="105"/>
              <w:tabs>
                <w:tab w:val="left" w:pos="0"/>
              </w:tabs>
              <w:spacing w:line="240" w:lineRule="auto"/>
              <w:ind w:firstLine="496"/>
              <w:jc w:val="center"/>
              <w:rPr>
                <w:rFonts w:ascii="仿宋" w:hAnsi="仿宋" w:eastAsia="仿宋"/>
                <w:color w:val="auto"/>
                <w:highlight w:val="none"/>
              </w:rPr>
            </w:pPr>
          </w:p>
        </w:tc>
      </w:tr>
      <w:tr w14:paraId="62B8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518" w:type="dxa"/>
            <w:noWrap w:val="0"/>
            <w:vAlign w:val="center"/>
          </w:tcPr>
          <w:p w14:paraId="11AF7876">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第四次</w:t>
            </w:r>
          </w:p>
          <w:p w14:paraId="6BA92238">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付款</w:t>
            </w:r>
          </w:p>
        </w:tc>
        <w:tc>
          <w:tcPr>
            <w:tcW w:w="2383" w:type="dxa"/>
            <w:noWrap w:val="0"/>
            <w:vAlign w:val="center"/>
          </w:tcPr>
          <w:p w14:paraId="092368D5">
            <w:pPr>
              <w:pStyle w:val="105"/>
              <w:tabs>
                <w:tab w:val="left" w:pos="0"/>
              </w:tabs>
              <w:spacing w:line="240" w:lineRule="auto"/>
              <w:ind w:firstLine="0" w:firstLineChars="0"/>
              <w:jc w:val="left"/>
              <w:rPr>
                <w:rFonts w:ascii="仿宋" w:hAnsi="仿宋" w:eastAsia="仿宋" w:cs="仿宋"/>
                <w:color w:val="auto"/>
                <w:highlight w:val="none"/>
              </w:rPr>
            </w:pPr>
            <w:r>
              <w:rPr>
                <w:rFonts w:hint="eastAsia" w:ascii="仿宋" w:hAnsi="仿宋" w:eastAsia="仿宋" w:cs="仿宋"/>
                <w:color w:val="auto"/>
                <w:highlight w:val="none"/>
              </w:rPr>
              <w:t>经委托人审核的已完成工程量达至施工合同价的</w:t>
            </w:r>
            <w:r>
              <w:rPr>
                <w:rFonts w:ascii="仿宋" w:hAnsi="仿宋" w:eastAsia="仿宋" w:cs="仿宋"/>
                <w:color w:val="auto"/>
                <w:highlight w:val="none"/>
              </w:rPr>
              <w:t>90%</w:t>
            </w:r>
          </w:p>
        </w:tc>
        <w:tc>
          <w:tcPr>
            <w:tcW w:w="1623" w:type="dxa"/>
            <w:noWrap w:val="0"/>
            <w:vAlign w:val="center"/>
          </w:tcPr>
          <w:p w14:paraId="525F8170">
            <w:pPr>
              <w:pStyle w:val="105"/>
              <w:tabs>
                <w:tab w:val="left" w:pos="0"/>
              </w:tabs>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30%)</w:t>
            </w:r>
          </w:p>
        </w:tc>
        <w:tc>
          <w:tcPr>
            <w:tcW w:w="1597" w:type="dxa"/>
            <w:noWrap w:val="0"/>
            <w:vAlign w:val="center"/>
          </w:tcPr>
          <w:p w14:paraId="6CCC456B">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90%)</w:t>
            </w:r>
          </w:p>
        </w:tc>
        <w:tc>
          <w:tcPr>
            <w:tcW w:w="1399" w:type="dxa"/>
            <w:noWrap w:val="0"/>
            <w:vAlign w:val="center"/>
          </w:tcPr>
          <w:p w14:paraId="0B06DC6F">
            <w:pPr>
              <w:pStyle w:val="105"/>
              <w:tabs>
                <w:tab w:val="left" w:pos="0"/>
              </w:tabs>
              <w:spacing w:line="240" w:lineRule="auto"/>
              <w:ind w:firstLine="496"/>
              <w:jc w:val="center"/>
              <w:rPr>
                <w:rFonts w:ascii="仿宋" w:hAnsi="仿宋" w:eastAsia="仿宋"/>
                <w:color w:val="auto"/>
                <w:highlight w:val="none"/>
              </w:rPr>
            </w:pPr>
          </w:p>
        </w:tc>
      </w:tr>
      <w:tr w14:paraId="2BE29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518" w:type="dxa"/>
            <w:noWrap w:val="0"/>
            <w:vAlign w:val="center"/>
          </w:tcPr>
          <w:p w14:paraId="3E8D902A">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第五次</w:t>
            </w:r>
          </w:p>
          <w:p w14:paraId="617C3170">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付款</w:t>
            </w:r>
          </w:p>
        </w:tc>
        <w:tc>
          <w:tcPr>
            <w:tcW w:w="2383" w:type="dxa"/>
            <w:noWrap w:val="0"/>
            <w:vAlign w:val="center"/>
          </w:tcPr>
          <w:p w14:paraId="498D296D">
            <w:pPr>
              <w:pStyle w:val="105"/>
              <w:tabs>
                <w:tab w:val="left" w:pos="0"/>
              </w:tabs>
              <w:spacing w:line="240" w:lineRule="auto"/>
              <w:ind w:firstLine="0" w:firstLineChars="0"/>
              <w:rPr>
                <w:rFonts w:ascii="仿宋" w:hAnsi="仿宋" w:eastAsia="仿宋"/>
                <w:color w:val="auto"/>
                <w:highlight w:val="none"/>
              </w:rPr>
            </w:pPr>
            <w:r>
              <w:rPr>
                <w:rFonts w:hint="eastAsia" w:ascii="仿宋" w:hAnsi="仿宋" w:eastAsia="仿宋" w:cs="仿宋"/>
                <w:color w:val="auto"/>
                <w:highlight w:val="none"/>
              </w:rPr>
              <w:t>完成工程竣工验收或交付使用时</w:t>
            </w:r>
          </w:p>
        </w:tc>
        <w:tc>
          <w:tcPr>
            <w:tcW w:w="1623" w:type="dxa"/>
            <w:noWrap w:val="0"/>
            <w:vAlign w:val="center"/>
          </w:tcPr>
          <w:p w14:paraId="620C8800">
            <w:pPr>
              <w:pStyle w:val="105"/>
              <w:tabs>
                <w:tab w:val="left" w:pos="0"/>
              </w:tabs>
              <w:spacing w:line="240" w:lineRule="auto"/>
              <w:ind w:firstLine="0" w:firstLineChars="0"/>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5%)</w:t>
            </w:r>
          </w:p>
        </w:tc>
        <w:tc>
          <w:tcPr>
            <w:tcW w:w="1597" w:type="dxa"/>
            <w:noWrap w:val="0"/>
            <w:vAlign w:val="center"/>
          </w:tcPr>
          <w:p w14:paraId="5434D69F">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u w:val="single"/>
              </w:rPr>
              <w:t xml:space="preserve">    </w:t>
            </w:r>
            <w:r>
              <w:rPr>
                <w:rFonts w:ascii="仿宋" w:hAnsi="仿宋" w:eastAsia="仿宋" w:cs="仿宋"/>
                <w:color w:val="auto"/>
                <w:highlight w:val="none"/>
              </w:rPr>
              <w:t>%(</w:t>
            </w:r>
            <w:r>
              <w:rPr>
                <w:rFonts w:hint="eastAsia" w:ascii="仿宋" w:hAnsi="仿宋" w:eastAsia="仿宋" w:cs="仿宋"/>
                <w:color w:val="auto"/>
                <w:highlight w:val="none"/>
              </w:rPr>
              <w:t>不低于</w:t>
            </w:r>
            <w:r>
              <w:rPr>
                <w:rFonts w:ascii="仿宋" w:hAnsi="仿宋" w:eastAsia="仿宋" w:cs="仿宋"/>
                <w:color w:val="auto"/>
                <w:highlight w:val="none"/>
              </w:rPr>
              <w:t>95%)</w:t>
            </w:r>
          </w:p>
        </w:tc>
        <w:tc>
          <w:tcPr>
            <w:tcW w:w="1399" w:type="dxa"/>
            <w:noWrap w:val="0"/>
            <w:vAlign w:val="center"/>
          </w:tcPr>
          <w:p w14:paraId="314D828B">
            <w:pPr>
              <w:pStyle w:val="105"/>
              <w:tabs>
                <w:tab w:val="left" w:pos="0"/>
              </w:tabs>
              <w:spacing w:line="240" w:lineRule="auto"/>
              <w:ind w:firstLine="496"/>
              <w:jc w:val="center"/>
              <w:rPr>
                <w:rFonts w:ascii="仿宋" w:hAnsi="仿宋" w:eastAsia="仿宋"/>
                <w:color w:val="auto"/>
                <w:highlight w:val="none"/>
              </w:rPr>
            </w:pPr>
          </w:p>
        </w:tc>
      </w:tr>
      <w:tr w14:paraId="177E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518" w:type="dxa"/>
            <w:noWrap w:val="0"/>
            <w:vAlign w:val="center"/>
          </w:tcPr>
          <w:p w14:paraId="7F92BDA3">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最后付款</w:t>
            </w:r>
          </w:p>
        </w:tc>
        <w:tc>
          <w:tcPr>
            <w:tcW w:w="2383" w:type="dxa"/>
            <w:noWrap w:val="0"/>
            <w:vAlign w:val="center"/>
          </w:tcPr>
          <w:p w14:paraId="78770508">
            <w:pPr>
              <w:pStyle w:val="105"/>
              <w:tabs>
                <w:tab w:val="left" w:pos="0"/>
              </w:tabs>
              <w:spacing w:line="240" w:lineRule="auto"/>
              <w:ind w:firstLine="0" w:firstLineChars="0"/>
              <w:rPr>
                <w:rFonts w:ascii="仿宋" w:hAnsi="仿宋" w:eastAsia="仿宋"/>
                <w:color w:val="auto"/>
                <w:highlight w:val="none"/>
              </w:rPr>
            </w:pPr>
            <w:r>
              <w:rPr>
                <w:rFonts w:hint="eastAsia" w:ascii="仿宋" w:hAnsi="仿宋" w:eastAsia="仿宋" w:cs="仿宋"/>
                <w:color w:val="auto"/>
                <w:highlight w:val="none"/>
              </w:rPr>
              <w:t>办理结算或监理与相关服务期届满</w:t>
            </w:r>
            <w:r>
              <w:rPr>
                <w:rFonts w:ascii="仿宋" w:hAnsi="仿宋" w:eastAsia="仿宋" w:cs="仿宋"/>
                <w:color w:val="auto"/>
                <w:highlight w:val="none"/>
              </w:rPr>
              <w:t>14</w:t>
            </w:r>
            <w:r>
              <w:rPr>
                <w:rFonts w:hint="eastAsia" w:ascii="仿宋" w:hAnsi="仿宋" w:eastAsia="仿宋" w:cs="仿宋"/>
                <w:color w:val="auto"/>
                <w:highlight w:val="none"/>
              </w:rPr>
              <w:t>天内</w:t>
            </w:r>
          </w:p>
        </w:tc>
        <w:tc>
          <w:tcPr>
            <w:tcW w:w="1623" w:type="dxa"/>
            <w:noWrap w:val="0"/>
            <w:vAlign w:val="center"/>
          </w:tcPr>
          <w:p w14:paraId="62FEB041">
            <w:pPr>
              <w:pStyle w:val="105"/>
              <w:tabs>
                <w:tab w:val="left" w:pos="0"/>
              </w:tabs>
              <w:spacing w:line="240" w:lineRule="auto"/>
              <w:ind w:firstLine="0" w:firstLineChars="0"/>
              <w:jc w:val="center"/>
              <w:rPr>
                <w:rFonts w:ascii="仿宋" w:hAnsi="仿宋" w:eastAsia="仿宋" w:cs="仿宋"/>
                <w:color w:val="auto"/>
                <w:highlight w:val="none"/>
              </w:rPr>
            </w:pPr>
            <w:r>
              <w:rPr>
                <w:rFonts w:ascii="仿宋" w:hAnsi="仿宋" w:eastAsia="仿宋" w:cs="仿宋"/>
                <w:color w:val="auto"/>
                <w:highlight w:val="none"/>
              </w:rPr>
              <w:t>/</w:t>
            </w:r>
          </w:p>
        </w:tc>
        <w:tc>
          <w:tcPr>
            <w:tcW w:w="1597" w:type="dxa"/>
            <w:noWrap w:val="0"/>
            <w:vAlign w:val="center"/>
          </w:tcPr>
          <w:p w14:paraId="73878247">
            <w:pPr>
              <w:pStyle w:val="105"/>
              <w:tabs>
                <w:tab w:val="left" w:pos="0"/>
              </w:tabs>
              <w:spacing w:line="240" w:lineRule="auto"/>
              <w:ind w:firstLine="0" w:firstLineChars="0"/>
              <w:jc w:val="center"/>
              <w:rPr>
                <w:rFonts w:ascii="仿宋" w:hAnsi="仿宋" w:eastAsia="仿宋"/>
                <w:color w:val="auto"/>
                <w:highlight w:val="none"/>
              </w:rPr>
            </w:pPr>
            <w:r>
              <w:rPr>
                <w:rFonts w:hint="eastAsia" w:ascii="仿宋" w:hAnsi="仿宋" w:eastAsia="仿宋" w:cs="仿宋"/>
                <w:color w:val="auto"/>
                <w:highlight w:val="none"/>
              </w:rPr>
              <w:t>付清监理结算款</w:t>
            </w:r>
          </w:p>
        </w:tc>
        <w:tc>
          <w:tcPr>
            <w:tcW w:w="1399" w:type="dxa"/>
            <w:noWrap w:val="0"/>
            <w:vAlign w:val="center"/>
          </w:tcPr>
          <w:p w14:paraId="770C630A">
            <w:pPr>
              <w:pStyle w:val="105"/>
              <w:tabs>
                <w:tab w:val="left" w:pos="0"/>
              </w:tabs>
              <w:spacing w:line="240" w:lineRule="auto"/>
              <w:ind w:firstLine="496"/>
              <w:jc w:val="center"/>
              <w:rPr>
                <w:rFonts w:ascii="仿宋" w:hAnsi="仿宋" w:eastAsia="仿宋"/>
                <w:color w:val="auto"/>
                <w:highlight w:val="none"/>
              </w:rPr>
            </w:pPr>
          </w:p>
        </w:tc>
      </w:tr>
    </w:tbl>
    <w:p w14:paraId="7FEC6CAE">
      <w:pPr>
        <w:pStyle w:val="105"/>
        <w:tabs>
          <w:tab w:val="left" w:pos="-426"/>
        </w:tabs>
        <w:spacing w:line="640" w:lineRule="exact"/>
        <w:ind w:left="744" w:leftChars="-1" w:hanging="746" w:hangingChars="301"/>
        <w:rPr>
          <w:rFonts w:ascii="仿宋" w:hAnsi="仿宋" w:eastAsia="仿宋"/>
          <w:color w:val="auto"/>
          <w:highlight w:val="none"/>
        </w:rPr>
      </w:pPr>
      <w:r>
        <w:rPr>
          <w:rFonts w:hint="eastAsia" w:ascii="仿宋" w:hAnsi="仿宋" w:eastAsia="仿宋" w:cs="仿宋"/>
          <w:color w:val="auto"/>
          <w:highlight w:val="none"/>
        </w:rPr>
        <w:t>备注：工程量的确定是根据当次施工单位实际完成的工程进度</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比例计算。</w:t>
      </w:r>
    </w:p>
    <w:p w14:paraId="1E0B1D97">
      <w:pPr>
        <w:pStyle w:val="105"/>
        <w:ind w:firstLine="498"/>
        <w:outlineLvl w:val="2"/>
        <w:rPr>
          <w:rFonts w:ascii="仿宋" w:hAnsi="仿宋" w:eastAsia="仿宋"/>
          <w:color w:val="auto"/>
          <w:highlight w:val="none"/>
        </w:rPr>
      </w:pPr>
      <w:bookmarkStart w:id="262" w:name="_Toc8775"/>
      <w:r>
        <w:rPr>
          <w:rFonts w:hint="eastAsia" w:ascii="仿宋" w:hAnsi="仿宋" w:eastAsia="仿宋" w:cs="仿宋"/>
          <w:color w:val="auto"/>
          <w:highlight w:val="none"/>
        </w:rPr>
        <w:t>（</w:t>
      </w:r>
      <w:r>
        <w:rPr>
          <w:rFonts w:ascii="仿宋" w:hAnsi="仿宋" w:eastAsia="仿宋" w:cs="仿宋"/>
          <w:color w:val="auto"/>
          <w:highlight w:val="none"/>
        </w:rPr>
        <w:t>4</w:t>
      </w:r>
      <w:r>
        <w:rPr>
          <w:rFonts w:hint="eastAsia" w:ascii="仿宋" w:hAnsi="仿宋" w:eastAsia="仿宋" w:cs="仿宋"/>
          <w:color w:val="auto"/>
          <w:highlight w:val="none"/>
        </w:rPr>
        <w:t>）其它</w:t>
      </w:r>
      <w:r>
        <w:rPr>
          <w:rFonts w:hint="eastAsia" w:ascii="仿宋" w:hAnsi="仿宋" w:eastAsia="仿宋" w:cs="仿宋"/>
          <w:color w:val="auto"/>
          <w:highlight w:val="none"/>
          <w:lang w:eastAsia="zh-CN"/>
        </w:rPr>
        <w:t>考核</w:t>
      </w:r>
      <w:r>
        <w:rPr>
          <w:rFonts w:hint="eastAsia" w:ascii="仿宋" w:hAnsi="仿宋" w:eastAsia="仿宋" w:cs="仿宋"/>
          <w:color w:val="auto"/>
          <w:highlight w:val="none"/>
        </w:rPr>
        <w:t>方式</w:t>
      </w:r>
      <w:r>
        <w:rPr>
          <w:rFonts w:ascii="仿宋" w:hAnsi="仿宋" w:eastAsia="仿宋" w:cs="仿宋"/>
          <w:color w:val="auto"/>
          <w:highlight w:val="none"/>
          <w:u w:val="single"/>
        </w:rPr>
        <w:t xml:space="preserve"> </w:t>
      </w:r>
      <w:r>
        <w:rPr>
          <w:rFonts w:ascii="仿宋" w:hAnsi="仿宋" w:eastAsia="仿宋" w:cs="仿宋"/>
          <w:b/>
          <w:bCs/>
          <w:color w:val="auto"/>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b/>
          <w:bCs/>
          <w:color w:val="auto"/>
          <w:highlight w:val="none"/>
          <w:u w:val="single"/>
          <w:lang w:val="en-US" w:eastAsia="zh-CN"/>
        </w:rPr>
        <w:t xml:space="preserve">      </w:t>
      </w:r>
      <w:r>
        <w:rPr>
          <w:rFonts w:ascii="仿宋" w:hAnsi="仿宋" w:eastAsia="仿宋" w:cs="仿宋"/>
          <w:color w:val="auto"/>
          <w:highlight w:val="none"/>
          <w:u w:val="single"/>
        </w:rPr>
        <w:t xml:space="preserve"> </w:t>
      </w:r>
      <w:r>
        <w:rPr>
          <w:rFonts w:hint="eastAsia" w:ascii="仿宋" w:hAnsi="仿宋" w:eastAsia="仿宋" w:cs="仿宋"/>
          <w:color w:val="auto"/>
          <w:highlight w:val="none"/>
        </w:rPr>
        <w:t>。</w:t>
      </w:r>
      <w:bookmarkEnd w:id="262"/>
    </w:p>
    <w:p w14:paraId="0782CFDC">
      <w:pPr>
        <w:spacing w:line="640" w:lineRule="exact"/>
        <w:outlineLvl w:val="1"/>
        <w:rPr>
          <w:rFonts w:ascii="仿宋" w:hAnsi="仿宋" w:eastAsia="仿宋" w:cs="Times New Roman"/>
          <w:b/>
          <w:bCs/>
          <w:color w:val="auto"/>
          <w:sz w:val="24"/>
          <w:szCs w:val="24"/>
          <w:highlight w:val="none"/>
        </w:rPr>
      </w:pPr>
      <w:bookmarkStart w:id="263" w:name="_Toc13958"/>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合同生效、变更、暂停、解除与终止</w:t>
      </w:r>
      <w:bookmarkEnd w:id="263"/>
    </w:p>
    <w:p w14:paraId="487515EB">
      <w:pPr>
        <w:spacing w:line="640" w:lineRule="exact"/>
        <w:ind w:left="210" w:leftChars="100"/>
        <w:outlineLvl w:val="2"/>
        <w:rPr>
          <w:rFonts w:ascii="仿宋" w:hAnsi="仿宋" w:eastAsia="仿宋" w:cs="Times New Roman"/>
          <w:color w:val="auto"/>
          <w:sz w:val="24"/>
          <w:szCs w:val="24"/>
          <w:highlight w:val="none"/>
        </w:rPr>
      </w:pPr>
      <w:bookmarkStart w:id="264" w:name="_Toc14857"/>
      <w:r>
        <w:rPr>
          <w:rFonts w:ascii="仿宋" w:hAnsi="仿宋" w:eastAsia="仿宋" w:cs="仿宋"/>
          <w:color w:val="auto"/>
          <w:sz w:val="24"/>
          <w:szCs w:val="24"/>
          <w:highlight w:val="none"/>
        </w:rPr>
        <w:t xml:space="preserve">6.1 </w:t>
      </w:r>
      <w:r>
        <w:rPr>
          <w:rFonts w:hint="eastAsia" w:ascii="仿宋" w:hAnsi="仿宋" w:eastAsia="仿宋" w:cs="仿宋"/>
          <w:color w:val="auto"/>
          <w:sz w:val="24"/>
          <w:szCs w:val="24"/>
          <w:highlight w:val="none"/>
        </w:rPr>
        <w:t>生效</w:t>
      </w:r>
      <w:bookmarkEnd w:id="264"/>
    </w:p>
    <w:p w14:paraId="4B4FDBF3">
      <w:pPr>
        <w:adjustRightInd w:val="0"/>
        <w:snapToGrid w:val="0"/>
        <w:spacing w:line="640" w:lineRule="exact"/>
        <w:ind w:firstLine="48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本合同生效条件：</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5D19B7B9">
      <w:pPr>
        <w:spacing w:line="640" w:lineRule="exact"/>
        <w:outlineLvl w:val="2"/>
        <w:rPr>
          <w:rFonts w:ascii="仿宋" w:hAnsi="仿宋" w:eastAsia="仿宋" w:cs="Times New Roman"/>
          <w:color w:val="auto"/>
          <w:sz w:val="24"/>
          <w:szCs w:val="24"/>
          <w:highlight w:val="none"/>
        </w:rPr>
      </w:pPr>
      <w:bookmarkStart w:id="265" w:name="_Toc32366"/>
      <w:r>
        <w:rPr>
          <w:rFonts w:hint="eastAsia" w:ascii="仿宋" w:hAnsi="仿宋" w:eastAsia="仿宋" w:cs="Arial Unicode MS"/>
          <w:b/>
          <w:bCs/>
          <w:color w:val="auto"/>
          <w:kern w:val="0"/>
          <w:sz w:val="24"/>
          <w:szCs w:val="24"/>
          <w:highlight w:val="none"/>
        </w:rPr>
        <w:t>★</w:t>
      </w:r>
      <w:r>
        <w:rPr>
          <w:rFonts w:ascii="仿宋" w:hAnsi="仿宋" w:eastAsia="仿宋" w:cs="仿宋"/>
          <w:color w:val="auto"/>
          <w:sz w:val="24"/>
          <w:szCs w:val="24"/>
          <w:highlight w:val="none"/>
        </w:rPr>
        <w:t xml:space="preserve">6.2 </w:t>
      </w:r>
      <w:r>
        <w:rPr>
          <w:rFonts w:hint="eastAsia" w:ascii="仿宋" w:hAnsi="仿宋" w:eastAsia="仿宋" w:cs="仿宋"/>
          <w:color w:val="auto"/>
          <w:sz w:val="24"/>
          <w:szCs w:val="24"/>
          <w:highlight w:val="none"/>
        </w:rPr>
        <w:t>变更</w:t>
      </w:r>
      <w:bookmarkEnd w:id="265"/>
    </w:p>
    <w:p w14:paraId="19CB3DE4">
      <w:pPr>
        <w:widowControl/>
        <w:adjustRightInd w:val="0"/>
        <w:snapToGrid w:val="0"/>
        <w:spacing w:before="100" w:beforeAutospacing="1" w:after="100" w:afterAutospacing="1" w:line="640" w:lineRule="exact"/>
        <w:ind w:left="720" w:hanging="720" w:hangingChars="3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6.2.2</w:t>
      </w:r>
      <w:r>
        <w:rPr>
          <w:rFonts w:hint="eastAsia" w:ascii="仿宋" w:hAnsi="仿宋" w:eastAsia="仿宋" w:cs="仿宋"/>
          <w:color w:val="auto"/>
          <w:kern w:val="0"/>
          <w:sz w:val="24"/>
          <w:szCs w:val="24"/>
          <w:highlight w:val="none"/>
        </w:rPr>
        <w:t>除不可抗力外，由于受到资金、设计修改变更、施工图延误等非监理人原因导致本合同期限延长时，委托人应</w:t>
      </w:r>
      <w:r>
        <w:rPr>
          <w:rFonts w:hint="eastAsia" w:ascii="仿宋" w:hAnsi="仿宋" w:eastAsia="仿宋" w:cs="仿宋"/>
          <w:color w:val="auto"/>
          <w:kern w:val="0"/>
          <w:sz w:val="24"/>
          <w:szCs w:val="24"/>
          <w:highlight w:val="none"/>
          <w:lang w:eastAsia="zh-CN"/>
        </w:rPr>
        <w:t>考核</w:t>
      </w:r>
      <w:r>
        <w:rPr>
          <w:rFonts w:hint="eastAsia" w:ascii="仿宋" w:hAnsi="仿宋" w:eastAsia="仿宋" w:cs="仿宋"/>
          <w:color w:val="auto"/>
          <w:kern w:val="0"/>
          <w:sz w:val="24"/>
          <w:szCs w:val="24"/>
          <w:highlight w:val="none"/>
        </w:rPr>
        <w:t>附加工作报酬，附加工作酬金按下列</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方法确定：</w:t>
      </w:r>
    </w:p>
    <w:p w14:paraId="160C055A">
      <w:pPr>
        <w:widowControl/>
        <w:snapToGrid w:val="0"/>
        <w:spacing w:before="100" w:beforeAutospacing="1" w:after="100" w:afterAutospacing="1" w:line="64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）按“监理期限延长</w:t>
      </w:r>
      <w:r>
        <w:rPr>
          <w:rFonts w:hint="eastAsia" w:ascii="仿宋" w:hAnsi="仿宋" w:eastAsia="仿宋" w:cs="仿宋"/>
          <w:color w:val="auto"/>
          <w:kern w:val="0"/>
          <w:sz w:val="24"/>
          <w:szCs w:val="24"/>
          <w:highlight w:val="none"/>
        </w:rPr>
        <w:t>时间”计算附加工作酬金：</w:t>
      </w:r>
    </w:p>
    <w:p w14:paraId="3D64E3F2">
      <w:pPr>
        <w:snapToGrid w:val="0"/>
        <w:spacing w:line="640" w:lineRule="exact"/>
        <w:ind w:left="1152" w:leftChars="400" w:hanging="312" w:hangingChars="13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①</w:t>
      </w:r>
      <w:r>
        <w:rPr>
          <w:rFonts w:ascii="宋体" w:hAnsi="宋体" w:eastAsia="仿宋" w:cs="Times New Roman"/>
          <w:color w:val="auto"/>
          <w:kern w:val="0"/>
          <w:sz w:val="24"/>
          <w:szCs w:val="24"/>
          <w:highlight w:val="none"/>
        </w:rPr>
        <w:t> </w:t>
      </w:r>
      <w:r>
        <w:rPr>
          <w:rFonts w:hint="eastAsia" w:ascii="仿宋" w:hAnsi="仿宋" w:eastAsia="仿宋" w:cs="仿宋"/>
          <w:color w:val="auto"/>
          <w:kern w:val="0"/>
          <w:sz w:val="24"/>
          <w:szCs w:val="24"/>
          <w:highlight w:val="none"/>
        </w:rPr>
        <w:t>附加工作</w:t>
      </w:r>
      <w:r>
        <w:rPr>
          <w:rFonts w:hint="eastAsia" w:ascii="仿宋" w:hAnsi="仿宋" w:eastAsia="仿宋" w:cs="仿宋"/>
          <w:color w:val="auto"/>
          <w:sz w:val="24"/>
          <w:szCs w:val="24"/>
          <w:highlight w:val="none"/>
        </w:rPr>
        <w:t>酬金</w:t>
      </w:r>
      <w:r>
        <w:rPr>
          <w:rFonts w:hint="eastAsia" w:ascii="仿宋" w:hAnsi="仿宋" w:eastAsia="仿宋" w:cs="仿宋"/>
          <w:color w:val="auto"/>
          <w:kern w:val="0"/>
          <w:sz w:val="24"/>
          <w:szCs w:val="24"/>
          <w:highlight w:val="none"/>
        </w:rPr>
        <w:t>（监理服务）</w:t>
      </w:r>
      <w:r>
        <w:rPr>
          <w:rFonts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监理期限延长</w:t>
      </w:r>
      <w:r>
        <w:rPr>
          <w:rFonts w:hint="eastAsia" w:ascii="仿宋" w:hAnsi="仿宋" w:eastAsia="仿宋" w:cs="仿宋"/>
          <w:color w:val="auto"/>
          <w:kern w:val="0"/>
          <w:sz w:val="24"/>
          <w:szCs w:val="24"/>
          <w:highlight w:val="none"/>
        </w:rPr>
        <w:t>时间（天）×监理工作酬金÷</w:t>
      </w:r>
      <w:r>
        <w:rPr>
          <w:rFonts w:hint="eastAsia" w:ascii="仿宋" w:hAnsi="仿宋" w:eastAsia="仿宋" w:cs="仿宋"/>
          <w:color w:val="auto"/>
          <w:sz w:val="24"/>
          <w:szCs w:val="24"/>
          <w:highlight w:val="none"/>
        </w:rPr>
        <w:t>协议书约定的监理期限</w:t>
      </w:r>
      <w:r>
        <w:rPr>
          <w:rFonts w:hint="eastAsia" w:ascii="仿宋" w:hAnsi="仿宋" w:eastAsia="仿宋" w:cs="仿宋"/>
          <w:color w:val="auto"/>
          <w:kern w:val="0"/>
          <w:sz w:val="24"/>
          <w:szCs w:val="24"/>
          <w:highlight w:val="none"/>
        </w:rPr>
        <w:t>（天）</w:t>
      </w:r>
    </w:p>
    <w:p w14:paraId="218F92B6">
      <w:pPr>
        <w:snapToGrid w:val="0"/>
        <w:spacing w:line="640" w:lineRule="exact"/>
        <w:ind w:left="1272" w:leftChars="400" w:hanging="432" w:hangingChars="18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②</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附加工作</w:t>
      </w:r>
      <w:r>
        <w:rPr>
          <w:rFonts w:hint="eastAsia" w:ascii="仿宋" w:hAnsi="仿宋" w:eastAsia="仿宋" w:cs="仿宋"/>
          <w:color w:val="auto"/>
          <w:sz w:val="24"/>
          <w:szCs w:val="24"/>
          <w:highlight w:val="none"/>
        </w:rPr>
        <w:t>酬金（相关服务）</w:t>
      </w:r>
      <w:r>
        <w:rPr>
          <w:rFonts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相关服务期限延长</w:t>
      </w:r>
      <w:r>
        <w:rPr>
          <w:rFonts w:hint="eastAsia" w:ascii="仿宋" w:hAnsi="仿宋" w:eastAsia="仿宋" w:cs="仿宋"/>
          <w:color w:val="auto"/>
          <w:kern w:val="0"/>
          <w:sz w:val="24"/>
          <w:szCs w:val="24"/>
          <w:highlight w:val="none"/>
        </w:rPr>
        <w:t>时间（天）×相关服务工作酬金÷</w:t>
      </w:r>
      <w:r>
        <w:rPr>
          <w:rFonts w:hint="eastAsia" w:ascii="仿宋" w:hAnsi="仿宋" w:eastAsia="仿宋" w:cs="仿宋"/>
          <w:color w:val="auto"/>
          <w:sz w:val="24"/>
          <w:szCs w:val="24"/>
          <w:highlight w:val="none"/>
        </w:rPr>
        <w:t>相关服务期限</w:t>
      </w:r>
      <w:r>
        <w:rPr>
          <w:rFonts w:hint="eastAsia" w:ascii="仿宋" w:hAnsi="仿宋" w:eastAsia="仿宋" w:cs="仿宋"/>
          <w:color w:val="auto"/>
          <w:kern w:val="0"/>
          <w:sz w:val="24"/>
          <w:szCs w:val="24"/>
          <w:highlight w:val="none"/>
        </w:rPr>
        <w:t>（天）</w:t>
      </w:r>
    </w:p>
    <w:p w14:paraId="41ADB782">
      <w:pPr>
        <w:widowControl/>
        <w:spacing w:line="640" w:lineRule="exact"/>
        <w:ind w:left="600" w:hanging="600" w:hangingChars="25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ascii="宋体" w:hAnsi="宋体" w:eastAsia="仿宋" w:cs="Times New Roman"/>
          <w:color w:val="auto"/>
          <w:kern w:val="0"/>
          <w:sz w:val="24"/>
          <w:szCs w:val="24"/>
          <w:highlight w:val="none"/>
        </w:rPr>
        <w:t> </w:t>
      </w:r>
      <w:r>
        <w:rPr>
          <w:rFonts w:hint="eastAsia" w:ascii="仿宋" w:hAnsi="仿宋" w:eastAsia="仿宋" w:cs="仿宋"/>
          <w:color w:val="auto"/>
          <w:kern w:val="0"/>
          <w:sz w:val="24"/>
          <w:szCs w:val="24"/>
          <w:highlight w:val="none"/>
        </w:rPr>
        <w:t>按“人员综合费用法”计算附加工作酬金：</w:t>
      </w:r>
    </w:p>
    <w:p w14:paraId="0153AAD6">
      <w:pPr>
        <w:widowControl/>
        <w:spacing w:line="640" w:lineRule="exact"/>
        <w:ind w:left="981" w:leftChars="467" w:firstLine="480" w:firstLineChars="2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根据本合同期限延长时间内，监理人投入的监理人员数量及服务时间，参照：</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附录中“人员综合费用法”计算；</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双方约定的人员综合费用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51037536">
      <w:pPr>
        <w:widowControl/>
        <w:spacing w:line="640" w:lineRule="exact"/>
        <w:jc w:val="left"/>
        <w:rPr>
          <w:rFonts w:ascii="仿宋" w:hAnsi="仿宋" w:eastAsia="仿宋" w:cs="Times New Roman"/>
          <w:color w:val="auto"/>
          <w:kern w:val="0"/>
          <w:sz w:val="24"/>
          <w:szCs w:val="24"/>
          <w:highlight w:val="none"/>
        </w:rPr>
      </w:pPr>
      <w:r>
        <w:rPr>
          <w:rFonts w:ascii="宋体" w:hAnsi="宋体" w:eastAsia="仿宋" w:cs="Times New Roman"/>
          <w:color w:val="auto"/>
          <w:kern w:val="0"/>
          <w:sz w:val="24"/>
          <w:szCs w:val="24"/>
          <w:highlight w:val="none"/>
        </w:rPr>
        <w:t> </w:t>
      </w:r>
      <w:r>
        <w:rPr>
          <w:rFonts w:ascii="仿宋" w:hAnsi="仿宋" w:eastAsia="仿宋" w:cs="仿宋"/>
          <w:color w:val="auto"/>
          <w:kern w:val="0"/>
          <w:sz w:val="24"/>
          <w:szCs w:val="24"/>
          <w:highlight w:val="none"/>
        </w:rPr>
        <w:t xml:space="preserve"> </w:t>
      </w:r>
      <w:r>
        <w:rPr>
          <w:rFonts w:ascii="宋体" w:hAnsi="宋体" w:eastAsia="仿宋" w:cs="Times New Roman"/>
          <w:color w:val="auto"/>
          <w:kern w:val="0"/>
          <w:sz w:val="24"/>
          <w:szCs w:val="24"/>
          <w:highlight w:val="none"/>
        </w:rPr>
        <w:t>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企业管理费率按</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取值，企业利润率按</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取值。</w:t>
      </w:r>
    </w:p>
    <w:p w14:paraId="7DAD92CC">
      <w:pPr>
        <w:widowControl/>
        <w:spacing w:line="64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其它计算及</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20409C9">
      <w:pPr>
        <w:widowControl/>
        <w:spacing w:line="640" w:lineRule="exact"/>
        <w:ind w:left="720" w:hanging="720" w:hangingChars="300"/>
        <w:jc w:val="left"/>
        <w:rPr>
          <w:rFonts w:ascii="仿宋" w:hAnsi="仿宋" w:eastAsia="仿宋" w:cs="Times New Roman"/>
          <w:color w:val="auto"/>
          <w:kern w:val="0"/>
          <w:sz w:val="24"/>
          <w:szCs w:val="24"/>
          <w:highlight w:val="none"/>
        </w:rPr>
      </w:pPr>
      <w:r>
        <w:rPr>
          <w:rFonts w:ascii="仿宋" w:hAnsi="仿宋" w:eastAsia="仿宋" w:cs="仿宋"/>
          <w:color w:val="auto"/>
          <w:kern w:val="0"/>
          <w:sz w:val="24"/>
          <w:szCs w:val="24"/>
          <w:highlight w:val="none"/>
        </w:rPr>
        <w:t xml:space="preserve">6.2.3 </w:t>
      </w:r>
      <w:r>
        <w:rPr>
          <w:rFonts w:hint="eastAsia" w:ascii="仿宋" w:hAnsi="仿宋" w:eastAsia="仿宋" w:cs="仿宋"/>
          <w:color w:val="auto"/>
          <w:kern w:val="0"/>
          <w:sz w:val="24"/>
          <w:szCs w:val="24"/>
          <w:highlight w:val="none"/>
        </w:rPr>
        <w:t>监理人由于非自身的原因而暂停或终止执行监理业务，其善后工作以及恢复执行监理业务的工作，视为附加工作，附加工作酬金按下列</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方法确定：</w:t>
      </w:r>
    </w:p>
    <w:p w14:paraId="292275D3">
      <w:pPr>
        <w:widowControl/>
        <w:spacing w:before="100" w:beforeAutospacing="1" w:after="100" w:afterAutospacing="1" w:line="64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按“监理期限延长</w:t>
      </w:r>
      <w:r>
        <w:rPr>
          <w:rFonts w:hint="eastAsia" w:ascii="仿宋" w:hAnsi="仿宋" w:eastAsia="仿宋" w:cs="仿宋"/>
          <w:color w:val="auto"/>
          <w:kern w:val="0"/>
          <w:sz w:val="24"/>
          <w:szCs w:val="24"/>
          <w:highlight w:val="none"/>
        </w:rPr>
        <w:t>时间”计算附加工作酬金：</w:t>
      </w:r>
    </w:p>
    <w:p w14:paraId="0817C171">
      <w:pPr>
        <w:snapToGrid w:val="0"/>
        <w:spacing w:line="640" w:lineRule="exact"/>
        <w:ind w:left="1270" w:leftChars="399" w:hanging="432" w:hangingChars="18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①</w:t>
      </w:r>
      <w:r>
        <w:rPr>
          <w:rFonts w:ascii="宋体" w:hAnsi="宋体" w:eastAsia="仿宋" w:cs="Times New Roman"/>
          <w:color w:val="auto"/>
          <w:kern w:val="0"/>
          <w:sz w:val="24"/>
          <w:szCs w:val="24"/>
          <w:highlight w:val="none"/>
        </w:rPr>
        <w:t> </w:t>
      </w:r>
      <w:r>
        <w:rPr>
          <w:rFonts w:hint="eastAsia" w:ascii="仿宋" w:hAnsi="仿宋" w:eastAsia="仿宋" w:cs="仿宋"/>
          <w:color w:val="auto"/>
          <w:kern w:val="0"/>
          <w:sz w:val="24"/>
          <w:szCs w:val="24"/>
          <w:highlight w:val="none"/>
        </w:rPr>
        <w:t>附加工作</w:t>
      </w:r>
      <w:r>
        <w:rPr>
          <w:rFonts w:hint="eastAsia" w:ascii="仿宋" w:hAnsi="仿宋" w:eastAsia="仿宋" w:cs="仿宋"/>
          <w:color w:val="auto"/>
          <w:sz w:val="24"/>
          <w:szCs w:val="24"/>
          <w:highlight w:val="none"/>
        </w:rPr>
        <w:t>酬金</w:t>
      </w:r>
      <w:r>
        <w:rPr>
          <w:rFonts w:hint="eastAsia" w:ascii="仿宋" w:hAnsi="仿宋" w:eastAsia="仿宋" w:cs="仿宋"/>
          <w:color w:val="auto"/>
          <w:kern w:val="0"/>
          <w:sz w:val="24"/>
          <w:szCs w:val="24"/>
          <w:highlight w:val="none"/>
        </w:rPr>
        <w:t>（监理服务）</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善后工作及恢复服务的准备工作时间（天）×监理工作酬金÷</w:t>
      </w:r>
      <w:r>
        <w:rPr>
          <w:rFonts w:hint="eastAsia" w:ascii="仿宋" w:hAnsi="仿宋" w:eastAsia="仿宋" w:cs="仿宋"/>
          <w:color w:val="auto"/>
          <w:sz w:val="24"/>
          <w:szCs w:val="24"/>
          <w:highlight w:val="none"/>
        </w:rPr>
        <w:t>协议书约定的监理期限</w:t>
      </w:r>
      <w:r>
        <w:rPr>
          <w:rFonts w:hint="eastAsia" w:ascii="仿宋" w:hAnsi="仿宋" w:eastAsia="仿宋" w:cs="仿宋"/>
          <w:color w:val="auto"/>
          <w:kern w:val="0"/>
          <w:sz w:val="24"/>
          <w:szCs w:val="24"/>
          <w:highlight w:val="none"/>
        </w:rPr>
        <w:t>（天）</w:t>
      </w:r>
    </w:p>
    <w:p w14:paraId="2BADDFF9">
      <w:pPr>
        <w:snapToGrid w:val="0"/>
        <w:spacing w:line="640" w:lineRule="exact"/>
        <w:ind w:left="1270" w:leftChars="399" w:hanging="432" w:hangingChars="18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②</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附加工作</w:t>
      </w:r>
      <w:r>
        <w:rPr>
          <w:rFonts w:hint="eastAsia" w:ascii="仿宋" w:hAnsi="仿宋" w:eastAsia="仿宋" w:cs="仿宋"/>
          <w:color w:val="auto"/>
          <w:sz w:val="24"/>
          <w:szCs w:val="24"/>
          <w:highlight w:val="none"/>
        </w:rPr>
        <w:t>酬金（相关服务）</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shd w:val="clear" w:color="auto" w:fill="FFFFFF"/>
        </w:rPr>
        <w:t>善后工作及恢复服务的准备工作时间（天）</w:t>
      </w:r>
      <w:r>
        <w:rPr>
          <w:rFonts w:hint="eastAsia" w:ascii="仿宋" w:hAnsi="仿宋" w:eastAsia="仿宋" w:cs="仿宋"/>
          <w:color w:val="auto"/>
          <w:kern w:val="0"/>
          <w:sz w:val="24"/>
          <w:szCs w:val="24"/>
          <w:highlight w:val="none"/>
        </w:rPr>
        <w:t>×相关服务工作酬金÷</w:t>
      </w:r>
      <w:r>
        <w:rPr>
          <w:rFonts w:hint="eastAsia" w:ascii="仿宋" w:hAnsi="仿宋" w:eastAsia="仿宋" w:cs="仿宋"/>
          <w:color w:val="auto"/>
          <w:sz w:val="24"/>
          <w:szCs w:val="24"/>
          <w:highlight w:val="none"/>
        </w:rPr>
        <w:t>相关服务期限</w:t>
      </w:r>
      <w:r>
        <w:rPr>
          <w:rFonts w:hint="eastAsia" w:ascii="仿宋" w:hAnsi="仿宋" w:eastAsia="仿宋" w:cs="仿宋"/>
          <w:color w:val="auto"/>
          <w:kern w:val="0"/>
          <w:sz w:val="24"/>
          <w:szCs w:val="24"/>
          <w:highlight w:val="none"/>
        </w:rPr>
        <w:t>（天）</w:t>
      </w:r>
    </w:p>
    <w:p w14:paraId="3AC7A7B6">
      <w:pPr>
        <w:widowControl/>
        <w:spacing w:line="640" w:lineRule="exact"/>
        <w:ind w:left="720" w:hanging="720" w:hangingChars="300"/>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）按“人员综合费用法”计算附加工作酬金：</w:t>
      </w:r>
    </w:p>
    <w:p w14:paraId="625F0613">
      <w:pPr>
        <w:widowControl/>
        <w:spacing w:line="640" w:lineRule="exact"/>
        <w:ind w:left="848" w:leftChars="404" w:firstLine="588" w:firstLineChars="245"/>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根据善后工作及恢复服务的准备工作时间内</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监理人投入的监理人员数量及服务时间，参照：</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附录中“人员综合费用法”计算；</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双方约定的人员综合费用</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14:paraId="1EB537A1">
      <w:pPr>
        <w:widowControl/>
        <w:snapToGrid w:val="0"/>
        <w:spacing w:line="640" w:lineRule="exact"/>
        <w:ind w:firstLine="600" w:firstLineChars="250"/>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企业管理费率按</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取值，企业利润率按</w:t>
      </w:r>
      <w:r>
        <w:rPr>
          <w:rFonts w:ascii="宋体" w:hAnsi="宋体" w:eastAsia="仿宋" w:cs="Times New Roman"/>
          <w:color w:val="auto"/>
          <w:kern w:val="0"/>
          <w:sz w:val="24"/>
          <w:szCs w:val="24"/>
          <w:highlight w:val="none"/>
          <w:u w:val="single"/>
        </w:rPr>
        <w:t>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取值。</w:t>
      </w:r>
    </w:p>
    <w:p w14:paraId="323BA5F5">
      <w:pPr>
        <w:widowControl/>
        <w:spacing w:line="640" w:lineRule="exact"/>
        <w:jc w:val="left"/>
        <w:rPr>
          <w:rFonts w:ascii="仿宋" w:hAnsi="仿宋" w:eastAsia="仿宋" w:cs="Times New Roman"/>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其它计算及</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0B1D362">
      <w:pPr>
        <w:adjustRightInd w:val="0"/>
        <w:snapToGrid w:val="0"/>
        <w:spacing w:line="64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6.2.5 </w:t>
      </w:r>
      <w:r>
        <w:rPr>
          <w:rFonts w:hint="eastAsia" w:ascii="仿宋" w:hAnsi="仿宋" w:eastAsia="仿宋" w:cs="仿宋"/>
          <w:color w:val="auto"/>
          <w:sz w:val="24"/>
          <w:szCs w:val="24"/>
          <w:highlight w:val="none"/>
        </w:rPr>
        <w:t>正常工作酬金增加额按下列方法确定：</w:t>
      </w:r>
      <w:r>
        <w:rPr>
          <w:rFonts w:ascii="仿宋" w:hAnsi="仿宋" w:eastAsia="仿宋" w:cs="仿宋"/>
          <w:color w:val="auto"/>
          <w:sz w:val="24"/>
          <w:szCs w:val="24"/>
          <w:highlight w:val="none"/>
        </w:rPr>
        <w:t xml:space="preserve"> </w:t>
      </w:r>
    </w:p>
    <w:p w14:paraId="6EA9FFC7">
      <w:pPr>
        <w:adjustRightInd w:val="0"/>
        <w:snapToGrid w:val="0"/>
        <w:spacing w:line="640" w:lineRule="exact"/>
        <w:ind w:firstLine="600" w:firstLineChars="250"/>
        <w:rPr>
          <w:rFonts w:ascii="仿宋" w:hAnsi="仿宋" w:eastAsia="仿宋" w:cs="Times New Roman"/>
          <w:color w:val="auto"/>
          <w:kern w:val="0"/>
          <w:sz w:val="24"/>
          <w:szCs w:val="24"/>
          <w:highlight w:val="none"/>
        </w:rPr>
      </w:pPr>
      <w:r>
        <w:rPr>
          <w:rFonts w:hint="eastAsia" w:ascii="仿宋" w:hAnsi="仿宋" w:eastAsia="仿宋" w:cs="仿宋"/>
          <w:color w:val="auto"/>
          <w:sz w:val="24"/>
          <w:szCs w:val="24"/>
          <w:highlight w:val="none"/>
        </w:rPr>
        <w:t>正常工作酬金增加额</w:t>
      </w:r>
      <w:r>
        <w:rPr>
          <w:rFonts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建筑安装工程费</w:t>
      </w:r>
      <w:r>
        <w:rPr>
          <w:rFonts w:hint="eastAsia" w:ascii="仿宋" w:hAnsi="仿宋" w:eastAsia="仿宋" w:cs="仿宋"/>
          <w:color w:val="auto"/>
          <w:kern w:val="0"/>
          <w:sz w:val="24"/>
          <w:szCs w:val="24"/>
          <w:highlight w:val="none"/>
        </w:rPr>
        <w:t>增加额×正常工作酬金÷建筑安装工程费</w:t>
      </w:r>
    </w:p>
    <w:p w14:paraId="328E6A8F">
      <w:pPr>
        <w:snapToGrid w:val="0"/>
        <w:spacing w:line="640" w:lineRule="exact"/>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6.2.6 </w:t>
      </w:r>
      <w:r>
        <w:rPr>
          <w:rFonts w:hint="eastAsia" w:ascii="仿宋" w:hAnsi="仿宋" w:eastAsia="仿宋" w:cs="仿宋"/>
          <w:color w:val="auto"/>
          <w:sz w:val="24"/>
          <w:szCs w:val="24"/>
          <w:highlight w:val="none"/>
        </w:rPr>
        <w:t>因工程规模、监理范围的变化导致监理人的正常工作量减少时，按减少工作量的比例从协议书约定的正常工作酬金中扣减相同比例的酬金。</w:t>
      </w:r>
    </w:p>
    <w:p w14:paraId="77355C11">
      <w:pPr>
        <w:spacing w:line="640" w:lineRule="exact"/>
        <w:outlineLvl w:val="1"/>
        <w:rPr>
          <w:rFonts w:ascii="仿宋" w:hAnsi="仿宋" w:eastAsia="仿宋" w:cs="Times New Roman"/>
          <w:b/>
          <w:bCs/>
          <w:color w:val="auto"/>
          <w:sz w:val="24"/>
          <w:szCs w:val="24"/>
          <w:highlight w:val="none"/>
        </w:rPr>
      </w:pPr>
      <w:bookmarkStart w:id="266" w:name="_Toc21857"/>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争议解决</w:t>
      </w:r>
      <w:bookmarkEnd w:id="266"/>
    </w:p>
    <w:p w14:paraId="18E533A8">
      <w:pPr>
        <w:spacing w:line="640" w:lineRule="exact"/>
        <w:ind w:left="210" w:leftChars="100"/>
        <w:outlineLvl w:val="2"/>
        <w:rPr>
          <w:rFonts w:ascii="仿宋" w:hAnsi="仿宋" w:eastAsia="仿宋" w:cs="Times New Roman"/>
          <w:color w:val="auto"/>
          <w:sz w:val="24"/>
          <w:szCs w:val="24"/>
          <w:highlight w:val="none"/>
        </w:rPr>
      </w:pPr>
      <w:bookmarkStart w:id="267" w:name="_Toc29010"/>
      <w:r>
        <w:rPr>
          <w:rFonts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rPr>
        <w:t>调解</w:t>
      </w:r>
      <w:bookmarkEnd w:id="267"/>
    </w:p>
    <w:p w14:paraId="0874CC31">
      <w:pPr>
        <w:snapToGrid w:val="0"/>
        <w:spacing w:line="640" w:lineRule="exact"/>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本合同争议进行调解时，可提交</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进行调解。</w:t>
      </w:r>
    </w:p>
    <w:p w14:paraId="1543CE16">
      <w:pPr>
        <w:spacing w:line="640" w:lineRule="exact"/>
        <w:ind w:left="210" w:leftChars="100"/>
        <w:outlineLvl w:val="2"/>
        <w:rPr>
          <w:rFonts w:ascii="仿宋" w:hAnsi="仿宋" w:eastAsia="仿宋" w:cs="Times New Roman"/>
          <w:color w:val="auto"/>
          <w:sz w:val="24"/>
          <w:szCs w:val="24"/>
          <w:highlight w:val="none"/>
        </w:rPr>
      </w:pPr>
      <w:bookmarkStart w:id="268" w:name="_Toc21390"/>
      <w:r>
        <w:rPr>
          <w:rFonts w:ascii="仿宋" w:hAnsi="仿宋" w:eastAsia="仿宋" w:cs="仿宋"/>
          <w:color w:val="auto"/>
          <w:sz w:val="24"/>
          <w:szCs w:val="24"/>
          <w:highlight w:val="none"/>
        </w:rPr>
        <w:t xml:space="preserve">7.3 </w:t>
      </w:r>
      <w:r>
        <w:rPr>
          <w:rFonts w:hint="eastAsia" w:ascii="仿宋" w:hAnsi="仿宋" w:eastAsia="仿宋" w:cs="仿宋"/>
          <w:color w:val="auto"/>
          <w:sz w:val="24"/>
          <w:szCs w:val="24"/>
          <w:highlight w:val="none"/>
        </w:rPr>
        <w:t>仲裁或诉讼</w:t>
      </w:r>
      <w:bookmarkEnd w:id="268"/>
    </w:p>
    <w:p w14:paraId="74BDAF69">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合同争议的最终解决方式为下列第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w:t>
      </w:r>
    </w:p>
    <w:p w14:paraId="65D09C14">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）提请中国广州仲裁委员会进行仲裁。</w:t>
      </w:r>
    </w:p>
    <w:p w14:paraId="1DB9F9B3">
      <w:pPr>
        <w:adjustRightInd w:val="0"/>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）向</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委托人所在地</w:t>
      </w:r>
      <w:r>
        <w:rPr>
          <w:rFonts w:hint="eastAsia" w:ascii="仿宋" w:hAnsi="仿宋" w:eastAsia="仿宋" w:cs="仿宋"/>
          <w:color w:val="auto"/>
          <w:kern w:val="0"/>
          <w:sz w:val="24"/>
          <w:szCs w:val="24"/>
          <w:highlight w:val="none"/>
          <w:u w:val="single"/>
        </w:rPr>
        <w:t>有管辖权</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人民法院提起诉讼。</w:t>
      </w:r>
    </w:p>
    <w:p w14:paraId="73D620F7">
      <w:pPr>
        <w:spacing w:line="640" w:lineRule="exact"/>
        <w:outlineLvl w:val="1"/>
        <w:rPr>
          <w:rFonts w:ascii="仿宋" w:hAnsi="仿宋" w:eastAsia="仿宋" w:cs="Times New Roman"/>
          <w:b/>
          <w:bCs/>
          <w:color w:val="auto"/>
          <w:sz w:val="24"/>
          <w:szCs w:val="24"/>
          <w:highlight w:val="none"/>
        </w:rPr>
      </w:pPr>
      <w:bookmarkStart w:id="269" w:name="_Toc351"/>
      <w:r>
        <w:rPr>
          <w:rFonts w:ascii="仿宋" w:hAnsi="仿宋" w:eastAsia="仿宋" w:cs="仿宋"/>
          <w:b/>
          <w:bCs/>
          <w:color w:val="auto"/>
          <w:sz w:val="24"/>
          <w:szCs w:val="24"/>
          <w:highlight w:val="none"/>
        </w:rPr>
        <w:t xml:space="preserve">8. </w:t>
      </w:r>
      <w:r>
        <w:rPr>
          <w:rFonts w:hint="eastAsia" w:ascii="仿宋" w:hAnsi="仿宋" w:eastAsia="仿宋" w:cs="仿宋"/>
          <w:b/>
          <w:bCs/>
          <w:color w:val="auto"/>
          <w:sz w:val="24"/>
          <w:szCs w:val="24"/>
          <w:highlight w:val="none"/>
        </w:rPr>
        <w:t>其他</w:t>
      </w:r>
      <w:bookmarkEnd w:id="269"/>
    </w:p>
    <w:p w14:paraId="5F81A540">
      <w:pPr>
        <w:spacing w:line="640" w:lineRule="exact"/>
        <w:ind w:left="210" w:leftChars="100"/>
        <w:outlineLvl w:val="2"/>
        <w:rPr>
          <w:rFonts w:ascii="仿宋" w:hAnsi="仿宋" w:eastAsia="仿宋" w:cs="Times New Roman"/>
          <w:color w:val="auto"/>
          <w:sz w:val="24"/>
          <w:szCs w:val="24"/>
          <w:highlight w:val="none"/>
        </w:rPr>
      </w:pPr>
      <w:bookmarkStart w:id="270" w:name="_Toc22091"/>
      <w:r>
        <w:rPr>
          <w:rFonts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rPr>
        <w:t>检测费用</w:t>
      </w:r>
      <w:bookmarkEnd w:id="270"/>
    </w:p>
    <w:p w14:paraId="7049CD51">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委托人应在检测工作完成后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检测费用。</w:t>
      </w:r>
    </w:p>
    <w:p w14:paraId="77936E81">
      <w:pPr>
        <w:spacing w:line="640" w:lineRule="exact"/>
        <w:ind w:left="210" w:leftChars="100"/>
        <w:outlineLvl w:val="2"/>
        <w:rPr>
          <w:rFonts w:ascii="仿宋" w:hAnsi="仿宋" w:eastAsia="仿宋" w:cs="Times New Roman"/>
          <w:color w:val="auto"/>
          <w:sz w:val="24"/>
          <w:szCs w:val="24"/>
          <w:highlight w:val="none"/>
        </w:rPr>
      </w:pPr>
      <w:bookmarkStart w:id="271" w:name="_Toc26783"/>
      <w:r>
        <w:rPr>
          <w:rFonts w:ascii="仿宋" w:hAnsi="仿宋" w:eastAsia="仿宋" w:cs="仿宋"/>
          <w:color w:val="auto"/>
          <w:sz w:val="24"/>
          <w:szCs w:val="24"/>
          <w:highlight w:val="none"/>
        </w:rPr>
        <w:t xml:space="preserve">8.3 </w:t>
      </w:r>
      <w:r>
        <w:rPr>
          <w:rFonts w:hint="eastAsia" w:ascii="仿宋" w:hAnsi="仿宋" w:eastAsia="仿宋" w:cs="仿宋"/>
          <w:color w:val="auto"/>
          <w:sz w:val="24"/>
          <w:szCs w:val="24"/>
          <w:highlight w:val="none"/>
        </w:rPr>
        <w:t>咨询费用</w:t>
      </w:r>
      <w:bookmarkEnd w:id="271"/>
    </w:p>
    <w:p w14:paraId="26780D9B">
      <w:pPr>
        <w:adjustRightInd w:val="0"/>
        <w:snapToGrid w:val="0"/>
        <w:spacing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委托人应在咨询工作完成后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天内</w:t>
      </w:r>
      <w:r>
        <w:rPr>
          <w:rFonts w:hint="eastAsia" w:ascii="仿宋" w:hAnsi="仿宋" w:eastAsia="仿宋" w:cs="仿宋"/>
          <w:color w:val="auto"/>
          <w:sz w:val="24"/>
          <w:szCs w:val="24"/>
          <w:highlight w:val="none"/>
          <w:lang w:eastAsia="zh-CN"/>
        </w:rPr>
        <w:t>考核</w:t>
      </w:r>
      <w:r>
        <w:rPr>
          <w:rFonts w:hint="eastAsia" w:ascii="仿宋" w:hAnsi="仿宋" w:eastAsia="仿宋" w:cs="仿宋"/>
          <w:color w:val="auto"/>
          <w:sz w:val="24"/>
          <w:szCs w:val="24"/>
          <w:highlight w:val="none"/>
        </w:rPr>
        <w:t>咨询费用。</w:t>
      </w:r>
    </w:p>
    <w:p w14:paraId="10B8A679">
      <w:pPr>
        <w:spacing w:line="640" w:lineRule="exact"/>
        <w:ind w:left="210" w:leftChars="100"/>
        <w:outlineLvl w:val="2"/>
        <w:rPr>
          <w:rFonts w:ascii="仿宋" w:hAnsi="仿宋" w:eastAsia="仿宋" w:cs="Times New Roman"/>
          <w:color w:val="auto"/>
          <w:sz w:val="24"/>
          <w:szCs w:val="24"/>
          <w:highlight w:val="none"/>
        </w:rPr>
      </w:pPr>
      <w:bookmarkStart w:id="272" w:name="_Toc14793"/>
      <w:r>
        <w:rPr>
          <w:rFonts w:ascii="仿宋" w:hAnsi="仿宋" w:eastAsia="仿宋" w:cs="仿宋"/>
          <w:color w:val="auto"/>
          <w:sz w:val="24"/>
          <w:szCs w:val="24"/>
          <w:highlight w:val="none"/>
        </w:rPr>
        <w:t xml:space="preserve">8.4 </w:t>
      </w:r>
      <w:r>
        <w:rPr>
          <w:rFonts w:hint="eastAsia" w:ascii="仿宋" w:hAnsi="仿宋" w:eastAsia="仿宋" w:cs="仿宋"/>
          <w:color w:val="auto"/>
          <w:sz w:val="24"/>
          <w:szCs w:val="24"/>
          <w:highlight w:val="none"/>
        </w:rPr>
        <w:t>奖励</w:t>
      </w:r>
      <w:bookmarkEnd w:id="272"/>
    </w:p>
    <w:p w14:paraId="235FDEF6">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合理化建议的奖励金额按下列方法确定为：</w:t>
      </w:r>
    </w:p>
    <w:p w14:paraId="6E67D5D0">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奖励金额＝工程投资节省额×奖励金额的比率；</w:t>
      </w:r>
    </w:p>
    <w:p w14:paraId="46BA687F">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奖励金额的比率为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14:paraId="50289CE6">
      <w:pPr>
        <w:spacing w:line="640" w:lineRule="exact"/>
        <w:ind w:left="210" w:leftChars="100"/>
        <w:outlineLvl w:val="2"/>
        <w:rPr>
          <w:rFonts w:ascii="仿宋" w:hAnsi="仿宋" w:eastAsia="仿宋" w:cs="Times New Roman"/>
          <w:color w:val="auto"/>
          <w:sz w:val="24"/>
          <w:szCs w:val="24"/>
          <w:highlight w:val="none"/>
        </w:rPr>
      </w:pPr>
      <w:bookmarkStart w:id="273" w:name="_Toc15237"/>
      <w:r>
        <w:rPr>
          <w:rFonts w:ascii="仿宋" w:hAnsi="仿宋" w:eastAsia="仿宋" w:cs="仿宋"/>
          <w:color w:val="auto"/>
          <w:sz w:val="24"/>
          <w:szCs w:val="24"/>
          <w:highlight w:val="none"/>
        </w:rPr>
        <w:t xml:space="preserve">8.6 </w:t>
      </w:r>
      <w:r>
        <w:rPr>
          <w:rFonts w:hint="eastAsia" w:ascii="仿宋" w:hAnsi="仿宋" w:eastAsia="仿宋" w:cs="仿宋"/>
          <w:color w:val="auto"/>
          <w:sz w:val="24"/>
          <w:szCs w:val="24"/>
          <w:highlight w:val="none"/>
        </w:rPr>
        <w:t>保密</w:t>
      </w:r>
      <w:bookmarkEnd w:id="273"/>
    </w:p>
    <w:p w14:paraId="22350E1C">
      <w:pPr>
        <w:adjustRightInd w:val="0"/>
        <w:snapToGrid w:val="0"/>
        <w:spacing w:line="64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委托人申明的保密事项和期限：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DD6862">
      <w:pPr>
        <w:adjustRightInd w:val="0"/>
        <w:snapToGrid w:val="0"/>
        <w:spacing w:line="64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监理人申明的保密事项和期限：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48A8A1E">
      <w:pPr>
        <w:adjustRightInd w:val="0"/>
        <w:snapToGrid w:val="0"/>
        <w:spacing w:line="640" w:lineRule="exact"/>
        <w:ind w:firstLine="480" w:firstLineChars="200"/>
        <w:rPr>
          <w:rFonts w:ascii="仿宋" w:hAnsi="仿宋" w:eastAsia="仿宋" w:cs="Times New Roman"/>
          <w:color w:val="auto"/>
          <w:sz w:val="24"/>
          <w:szCs w:val="24"/>
          <w:highlight w:val="none"/>
          <w:u w:val="single"/>
        </w:rPr>
      </w:pPr>
      <w:r>
        <w:rPr>
          <w:rFonts w:hint="eastAsia" w:ascii="仿宋" w:hAnsi="仿宋" w:eastAsia="仿宋" w:cs="仿宋"/>
          <w:color w:val="auto"/>
          <w:sz w:val="24"/>
          <w:szCs w:val="24"/>
          <w:highlight w:val="none"/>
        </w:rPr>
        <w:t>第三方申明的保密事项和期限：</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1651F5FC">
      <w:pPr>
        <w:spacing w:line="640" w:lineRule="exact"/>
        <w:ind w:left="210" w:leftChars="100"/>
        <w:outlineLvl w:val="2"/>
        <w:rPr>
          <w:rFonts w:ascii="仿宋" w:hAnsi="仿宋" w:eastAsia="仿宋" w:cs="Times New Roman"/>
          <w:color w:val="auto"/>
          <w:sz w:val="24"/>
          <w:szCs w:val="24"/>
          <w:highlight w:val="none"/>
        </w:rPr>
      </w:pPr>
      <w:bookmarkStart w:id="274" w:name="_Toc28054"/>
      <w:r>
        <w:rPr>
          <w:rFonts w:ascii="仿宋" w:hAnsi="仿宋" w:eastAsia="仿宋" w:cs="仿宋"/>
          <w:color w:val="auto"/>
          <w:sz w:val="24"/>
          <w:szCs w:val="24"/>
          <w:highlight w:val="none"/>
        </w:rPr>
        <w:t>8.8</w:t>
      </w:r>
      <w:r>
        <w:rPr>
          <w:rFonts w:hint="eastAsia" w:ascii="仿宋" w:hAnsi="仿宋" w:eastAsia="仿宋" w:cs="仿宋"/>
          <w:color w:val="auto"/>
          <w:sz w:val="24"/>
          <w:szCs w:val="24"/>
          <w:highlight w:val="none"/>
        </w:rPr>
        <w:t>著作权</w:t>
      </w:r>
      <w:bookmarkEnd w:id="274"/>
    </w:p>
    <w:p w14:paraId="1C7FBD94">
      <w:pPr>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监理人为履行本合同约定而编制的文件，其著作权属于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9445C30">
      <w:pPr>
        <w:snapToGrid w:val="0"/>
        <w:spacing w:line="640" w:lineRule="exact"/>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监理人在本合同履行期间及本合同终止后两年内出版涉及本工程的有关监理与相关服务的资料的限制条件：</w:t>
      </w:r>
    </w:p>
    <w:p w14:paraId="1241C076">
      <w:pPr>
        <w:adjustRightInd w:val="0"/>
        <w:snapToGrid w:val="0"/>
        <w:spacing w:before="156" w:beforeLines="50" w:after="156" w:afterLines="50" w:line="640" w:lineRule="exact"/>
        <w:rPr>
          <w:rFonts w:hint="eastAsia"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45D14BFA">
      <w:pPr>
        <w:adjustRightInd w:val="0"/>
        <w:snapToGrid w:val="0"/>
        <w:spacing w:before="156" w:beforeLines="50" w:after="156" w:afterLines="50"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A701A11">
      <w:pPr>
        <w:spacing w:line="640" w:lineRule="exact"/>
        <w:ind w:left="210" w:leftChars="100"/>
        <w:outlineLvl w:val="2"/>
        <w:rPr>
          <w:rFonts w:ascii="仿宋" w:hAnsi="仿宋" w:eastAsia="仿宋" w:cs="Times New Roman"/>
          <w:color w:val="auto"/>
          <w:sz w:val="24"/>
          <w:szCs w:val="24"/>
          <w:highlight w:val="none"/>
        </w:rPr>
      </w:pPr>
      <w:bookmarkStart w:id="275" w:name="_Toc11460"/>
      <w:r>
        <w:rPr>
          <w:rFonts w:ascii="仿宋" w:hAnsi="仿宋" w:eastAsia="仿宋" w:cs="仿宋"/>
          <w:color w:val="auto"/>
          <w:sz w:val="24"/>
          <w:szCs w:val="24"/>
          <w:highlight w:val="none"/>
        </w:rPr>
        <w:t>8.9</w:t>
      </w:r>
      <w:r>
        <w:rPr>
          <w:rFonts w:hint="eastAsia" w:ascii="仿宋" w:hAnsi="仿宋" w:eastAsia="仿宋" w:cs="仿宋"/>
          <w:color w:val="auto"/>
          <w:sz w:val="24"/>
          <w:szCs w:val="24"/>
          <w:highlight w:val="none"/>
        </w:rPr>
        <w:t>工程获奖奖励</w:t>
      </w:r>
      <w:bookmarkEnd w:id="275"/>
    </w:p>
    <w:p w14:paraId="7D467A79">
      <w:pPr>
        <w:snapToGrid w:val="0"/>
        <w:spacing w:line="64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监理人所监理的项目获得国家级质量奖或安全文明工地等质量或管理称号，对监理人奖励人民币</w:t>
      </w:r>
      <w:r>
        <w:rPr>
          <w:rFonts w:ascii="仿宋" w:hAnsi="仿宋" w:eastAsia="仿宋" w:cs="仿宋"/>
          <w:color w:val="auto"/>
          <w:sz w:val="24"/>
          <w:szCs w:val="24"/>
          <w:highlight w:val="none"/>
          <w:u w:val="single"/>
        </w:rPr>
        <w:t xml:space="preserve"> </w:t>
      </w:r>
      <w:bookmarkStart w:id="276" w:name="OLE_LINK3"/>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bookmarkEnd w:id="276"/>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次；省级质量奖或安全文明工地等质量或管理称号，对监理人奖励人民币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次；市级质量奖或安全文明工地等质量或管理称号，对监理人奖励人民币</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次。</w:t>
      </w:r>
    </w:p>
    <w:p w14:paraId="3FBBD3F7">
      <w:pPr>
        <w:spacing w:line="640" w:lineRule="exact"/>
        <w:outlineLvl w:val="1"/>
        <w:rPr>
          <w:rFonts w:ascii="仿宋" w:hAnsi="仿宋" w:eastAsia="仿宋" w:cs="Times New Roman"/>
          <w:b/>
          <w:bCs/>
          <w:color w:val="auto"/>
          <w:sz w:val="24"/>
          <w:szCs w:val="24"/>
          <w:highlight w:val="none"/>
        </w:rPr>
      </w:pPr>
      <w:bookmarkStart w:id="277" w:name="_Toc15750"/>
      <w:r>
        <w:rPr>
          <w:rFonts w:ascii="仿宋" w:hAnsi="仿宋" w:eastAsia="仿宋" w:cs="仿宋"/>
          <w:b/>
          <w:bCs/>
          <w:color w:val="auto"/>
          <w:sz w:val="24"/>
          <w:szCs w:val="24"/>
          <w:highlight w:val="none"/>
        </w:rPr>
        <w:t xml:space="preserve">9. </w:t>
      </w:r>
      <w:r>
        <w:rPr>
          <w:rFonts w:hint="eastAsia" w:ascii="仿宋" w:hAnsi="仿宋" w:eastAsia="仿宋" w:cs="仿宋"/>
          <w:b/>
          <w:bCs/>
          <w:color w:val="auto"/>
          <w:sz w:val="24"/>
          <w:szCs w:val="24"/>
          <w:highlight w:val="none"/>
        </w:rPr>
        <w:t>补充条款</w:t>
      </w:r>
      <w:bookmarkEnd w:id="277"/>
    </w:p>
    <w:p w14:paraId="1E15D547">
      <w:pPr>
        <w:adjustRightInd w:val="0"/>
        <w:snapToGrid w:val="0"/>
        <w:spacing w:before="156" w:beforeLines="50" w:after="156" w:afterLines="50" w:line="640" w:lineRule="exact"/>
        <w:rPr>
          <w:rFonts w:ascii="仿宋" w:hAnsi="仿宋" w:eastAsia="仿宋" w:cs="仿宋"/>
          <w:color w:val="auto"/>
          <w:sz w:val="24"/>
          <w:szCs w:val="24"/>
          <w:highlight w:val="none"/>
          <w:u w:val="singl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p w14:paraId="396F9CE2">
      <w:pPr>
        <w:adjustRightInd w:val="0"/>
        <w:snapToGrid w:val="0"/>
        <w:spacing w:before="156" w:beforeLines="50" w:after="156" w:afterLines="50" w:line="640" w:lineRule="exact"/>
        <w:rPr>
          <w:rFonts w:ascii="仿宋" w:hAnsi="仿宋" w:eastAsia="仿宋" w:cs="Times New Roman"/>
          <w:color w:val="auto"/>
          <w:sz w:val="24"/>
          <w:szCs w:val="24"/>
          <w:highlight w:val="none"/>
        </w:rPr>
      </w:pP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70301307">
      <w:pPr>
        <w:adjustRightInd w:val="0"/>
        <w:snapToGrid w:val="0"/>
        <w:spacing w:before="156" w:beforeLines="50" w:after="156" w:afterLines="50" w:line="640" w:lineRule="exact"/>
        <w:rPr>
          <w:rFonts w:ascii="仿宋" w:hAnsi="仿宋" w:eastAsia="仿宋" w:cs="Times New Roman"/>
          <w:color w:val="auto"/>
          <w:sz w:val="24"/>
          <w:szCs w:val="24"/>
          <w:highlight w:val="none"/>
        </w:rPr>
      </w:pPr>
    </w:p>
    <w:p w14:paraId="2F552897">
      <w:pPr>
        <w:pStyle w:val="92"/>
        <w:spacing w:before="156" w:after="156"/>
        <w:outlineLvl w:val="0"/>
        <w:rPr>
          <w:rFonts w:eastAsia="宋体"/>
          <w:color w:val="auto"/>
          <w:highlight w:val="none"/>
        </w:rPr>
      </w:pPr>
      <w:r>
        <w:rPr>
          <w:rFonts w:hint="eastAsia" w:ascii="仿宋" w:hAnsi="仿宋" w:eastAsia="仿宋" w:cs="仿宋"/>
          <w:color w:val="auto"/>
          <w:highlight w:val="none"/>
        </w:rPr>
        <w:br w:type="page"/>
      </w:r>
      <w:bookmarkStart w:id="278" w:name="_Toc29960"/>
      <w:r>
        <w:rPr>
          <w:rFonts w:hint="eastAsia" w:ascii="仿宋" w:hAnsi="仿宋" w:eastAsia="仿宋" w:cs="仿宋"/>
          <w:color w:val="auto"/>
          <w:highlight w:val="none"/>
        </w:rPr>
        <w:t>附录</w:t>
      </w:r>
      <w:bookmarkStart w:id="279" w:name="_Toc313869535"/>
      <w:bookmarkStart w:id="280" w:name="_Toc191697648"/>
      <w:r>
        <w:rPr>
          <w:rFonts w:hint="eastAsia" w:eastAsia="宋体"/>
          <w:color w:val="auto"/>
          <w:highlight w:val="none"/>
        </w:rPr>
        <w:t>第四篇  合同附件</w:t>
      </w:r>
      <w:bookmarkEnd w:id="278"/>
      <w:bookmarkEnd w:id="279"/>
      <w:bookmarkEnd w:id="280"/>
    </w:p>
    <w:p w14:paraId="60EADEA6">
      <w:pPr>
        <w:pStyle w:val="105"/>
        <w:ind w:firstLine="498"/>
        <w:rPr>
          <w:b/>
          <w:color w:val="auto"/>
          <w:highlight w:val="none"/>
        </w:rPr>
      </w:pPr>
      <w:bookmarkStart w:id="281" w:name="_Toc191697649"/>
    </w:p>
    <w:p w14:paraId="2D10ABE3">
      <w:pPr>
        <w:pStyle w:val="105"/>
        <w:ind w:firstLine="498"/>
        <w:rPr>
          <w:b/>
          <w:color w:val="auto"/>
          <w:highlight w:val="none"/>
        </w:rPr>
      </w:pPr>
    </w:p>
    <w:p w14:paraId="11E3B558">
      <w:pPr>
        <w:pStyle w:val="105"/>
        <w:ind w:firstLine="744" w:firstLineChars="300"/>
        <w:rPr>
          <w:bCs/>
          <w:color w:val="auto"/>
          <w:highlight w:val="none"/>
        </w:rPr>
      </w:pPr>
      <w:r>
        <w:rPr>
          <w:rFonts w:hint="eastAsia"/>
          <w:bCs/>
          <w:color w:val="auto"/>
          <w:highlight w:val="none"/>
          <w:bdr w:val="single" w:color="auto" w:sz="4" w:space="0"/>
        </w:rPr>
        <w:t>√</w:t>
      </w:r>
      <w:r>
        <w:rPr>
          <w:rFonts w:hint="eastAsia"/>
          <w:bCs/>
          <w:color w:val="auto"/>
          <w:highlight w:val="none"/>
        </w:rPr>
        <w:t xml:space="preserve"> 附件1：工程建设廉洁协议书</w:t>
      </w:r>
    </w:p>
    <w:p w14:paraId="7383B5CB">
      <w:pPr>
        <w:pStyle w:val="105"/>
        <w:ind w:firstLine="744" w:firstLineChars="300"/>
        <w:rPr>
          <w:bCs/>
          <w:color w:val="auto"/>
          <w:highlight w:val="none"/>
        </w:rPr>
      </w:pPr>
      <w:r>
        <w:rPr>
          <w:rFonts w:hint="eastAsia"/>
          <w:bCs/>
          <w:color w:val="auto"/>
          <w:highlight w:val="none"/>
          <w:bdr w:val="single" w:color="auto" w:sz="4" w:space="0"/>
        </w:rPr>
        <w:t>√</w:t>
      </w:r>
      <w:r>
        <w:rPr>
          <w:rFonts w:hint="eastAsia"/>
          <w:bCs/>
          <w:color w:val="auto"/>
          <w:highlight w:val="none"/>
        </w:rPr>
        <w:t xml:space="preserve"> 附件2：监理酬金量化考核</w:t>
      </w:r>
      <w:r>
        <w:rPr>
          <w:rFonts w:hint="eastAsia"/>
          <w:bCs/>
          <w:color w:val="auto"/>
          <w:highlight w:val="none"/>
          <w:lang w:eastAsia="zh-CN"/>
        </w:rPr>
        <w:t>考核</w:t>
      </w:r>
      <w:r>
        <w:rPr>
          <w:rFonts w:hint="eastAsia"/>
          <w:bCs/>
          <w:color w:val="auto"/>
          <w:highlight w:val="none"/>
        </w:rPr>
        <w:t>方式表</w:t>
      </w:r>
    </w:p>
    <w:p w14:paraId="61234EC2">
      <w:pPr>
        <w:pStyle w:val="105"/>
        <w:ind w:firstLine="744" w:firstLineChars="300"/>
        <w:rPr>
          <w:bCs/>
          <w:color w:val="auto"/>
          <w:highlight w:val="none"/>
        </w:rPr>
      </w:pPr>
    </w:p>
    <w:p w14:paraId="01FCBE91">
      <w:pPr>
        <w:pStyle w:val="105"/>
        <w:ind w:firstLine="0" w:firstLineChars="0"/>
        <w:rPr>
          <w:b/>
          <w:color w:val="auto"/>
          <w:highlight w:val="none"/>
        </w:rPr>
      </w:pPr>
    </w:p>
    <w:p w14:paraId="4412E947">
      <w:pPr>
        <w:pStyle w:val="105"/>
        <w:ind w:firstLine="0" w:firstLineChars="0"/>
        <w:rPr>
          <w:b/>
          <w:color w:val="auto"/>
          <w:highlight w:val="none"/>
        </w:rPr>
      </w:pPr>
    </w:p>
    <w:p w14:paraId="53A37EF2">
      <w:pPr>
        <w:spacing w:line="360" w:lineRule="auto"/>
        <w:outlineLvl w:val="1"/>
        <w:rPr>
          <w:rFonts w:hint="eastAsia" w:ascii="仿宋" w:hAnsi="仿宋" w:eastAsia="仿宋" w:cs="仿宋"/>
          <w:b/>
          <w:color w:val="auto"/>
          <w:sz w:val="24"/>
          <w:highlight w:val="none"/>
        </w:rPr>
      </w:pPr>
      <w:r>
        <w:rPr>
          <w:b/>
          <w:color w:val="auto"/>
          <w:highlight w:val="none"/>
        </w:rPr>
        <w:br w:type="page"/>
      </w:r>
      <w:bookmarkEnd w:id="281"/>
      <w:bookmarkStart w:id="282" w:name="_Toc305848753"/>
      <w:bookmarkStart w:id="283" w:name="_Toc21276"/>
      <w:r>
        <w:rPr>
          <w:rFonts w:hint="eastAsia" w:ascii="仿宋" w:hAnsi="仿宋" w:eastAsia="仿宋" w:cs="仿宋"/>
          <w:b/>
          <w:color w:val="auto"/>
          <w:sz w:val="24"/>
          <w:highlight w:val="none"/>
        </w:rPr>
        <w:t>附件1：</w:t>
      </w:r>
      <w:bookmarkEnd w:id="282"/>
      <w:r>
        <w:rPr>
          <w:rFonts w:hint="eastAsia" w:ascii="仿宋" w:hAnsi="仿宋" w:eastAsia="仿宋" w:cs="仿宋"/>
          <w:b/>
          <w:color w:val="auto"/>
          <w:sz w:val="24"/>
          <w:highlight w:val="none"/>
        </w:rPr>
        <w:t>工程建设廉洁协议书</w:t>
      </w:r>
      <w:bookmarkEnd w:id="283"/>
    </w:p>
    <w:p w14:paraId="46480883">
      <w:pPr>
        <w:jc w:val="center"/>
        <w:rPr>
          <w:rFonts w:hint="eastAsia" w:ascii="仿宋" w:hAnsi="仿宋" w:eastAsia="仿宋" w:cs="仿宋"/>
          <w:color w:val="auto"/>
          <w:sz w:val="32"/>
          <w:szCs w:val="32"/>
          <w:highlight w:val="none"/>
        </w:rPr>
      </w:pPr>
      <w:bookmarkStart w:id="284" w:name="_Toc132199659"/>
      <w:r>
        <w:rPr>
          <w:rFonts w:hint="eastAsia" w:ascii="仿宋" w:hAnsi="仿宋" w:eastAsia="仿宋" w:cs="仿宋"/>
          <w:color w:val="auto"/>
          <w:sz w:val="32"/>
          <w:szCs w:val="32"/>
          <w:highlight w:val="none"/>
        </w:rPr>
        <w:t>工程建设廉洁协议书</w:t>
      </w:r>
    </w:p>
    <w:p w14:paraId="145A8FD6">
      <w:pPr>
        <w:adjustRightInd w:val="0"/>
        <w:snapToGrid w:val="0"/>
        <w:spacing w:line="360" w:lineRule="auto"/>
        <w:rPr>
          <w:rFonts w:hint="eastAsia" w:ascii="仿宋" w:hAnsi="仿宋" w:eastAsia="仿宋" w:cs="仿宋"/>
          <w:color w:val="auto"/>
          <w:highlight w:val="none"/>
        </w:rPr>
      </w:pPr>
    </w:p>
    <w:p w14:paraId="1CFA9C70">
      <w:pPr>
        <w:adjustRightInd w:val="0"/>
        <w:snapToGrid w:val="0"/>
        <w:spacing w:line="360"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工程项目名称：</w:t>
      </w:r>
    </w:p>
    <w:p w14:paraId="767B4E3F">
      <w:pPr>
        <w:adjustRightInd w:val="0"/>
        <w:snapToGrid w:val="0"/>
        <w:spacing w:line="360" w:lineRule="auto"/>
        <w:rPr>
          <w:rFonts w:hint="eastAsia" w:ascii="仿宋" w:hAnsi="仿宋" w:eastAsia="仿宋" w:cs="仿宋"/>
          <w:bCs/>
          <w:snapToGrid w:val="0"/>
          <w:color w:val="auto"/>
          <w:kern w:val="0"/>
          <w:sz w:val="24"/>
          <w:highlight w:val="none"/>
          <w:lang w:eastAsia="zh-CN"/>
        </w:rPr>
      </w:pPr>
      <w:r>
        <w:rPr>
          <w:rFonts w:hint="eastAsia" w:ascii="仿宋" w:hAnsi="仿宋" w:eastAsia="仿宋" w:cs="仿宋"/>
          <w:bCs/>
          <w:snapToGrid w:val="0"/>
          <w:color w:val="auto"/>
          <w:kern w:val="0"/>
          <w:sz w:val="24"/>
          <w:highlight w:val="none"/>
        </w:rPr>
        <w:t>工程项目地址</w:t>
      </w:r>
      <w:r>
        <w:rPr>
          <w:rFonts w:hint="eastAsia" w:ascii="仿宋" w:hAnsi="仿宋" w:eastAsia="仿宋" w:cs="仿宋"/>
          <w:bCs/>
          <w:snapToGrid w:val="0"/>
          <w:color w:val="auto"/>
          <w:kern w:val="0"/>
          <w:sz w:val="24"/>
          <w:highlight w:val="none"/>
          <w:lang w:eastAsia="zh-CN"/>
        </w:rPr>
        <w:t>：</w:t>
      </w:r>
    </w:p>
    <w:p w14:paraId="32975412">
      <w:pPr>
        <w:adjustRightInd w:val="0"/>
        <w:snapToGrid w:val="0"/>
        <w:spacing w:line="360" w:lineRule="auto"/>
        <w:rPr>
          <w:rFonts w:hint="eastAsia" w:ascii="仿宋" w:hAnsi="仿宋" w:eastAsia="仿宋" w:cs="仿宋"/>
          <w:bCs/>
          <w:snapToGrid w:val="0"/>
          <w:color w:val="auto"/>
          <w:kern w:val="0"/>
          <w:sz w:val="24"/>
          <w:highlight w:val="none"/>
          <w:lang w:eastAsia="zh-CN"/>
        </w:rPr>
      </w:pPr>
      <w:r>
        <w:rPr>
          <w:rFonts w:hint="eastAsia" w:ascii="仿宋" w:hAnsi="仿宋" w:eastAsia="仿宋" w:cs="仿宋"/>
          <w:bCs/>
          <w:snapToGrid w:val="0"/>
          <w:color w:val="auto"/>
          <w:kern w:val="0"/>
          <w:sz w:val="24"/>
          <w:highlight w:val="none"/>
          <w:lang w:eastAsia="zh-CN"/>
        </w:rPr>
        <w:t>委托人</w:t>
      </w:r>
      <w:r>
        <w:rPr>
          <w:rFonts w:hint="eastAsia" w:ascii="仿宋" w:hAnsi="仿宋" w:eastAsia="仿宋" w:cs="仿宋"/>
          <w:bCs/>
          <w:snapToGrid w:val="0"/>
          <w:color w:val="auto"/>
          <w:kern w:val="0"/>
          <w:sz w:val="24"/>
          <w:highlight w:val="none"/>
        </w:rPr>
        <w:t>（甲方）：</w:t>
      </w:r>
      <w:r>
        <w:rPr>
          <w:rFonts w:hint="eastAsia" w:ascii="仿宋" w:hAnsi="仿宋" w:eastAsia="仿宋" w:cs="仿宋"/>
          <w:bCs/>
          <w:snapToGrid w:val="0"/>
          <w:color w:val="auto"/>
          <w:kern w:val="0"/>
          <w:sz w:val="24"/>
          <w:highlight w:val="none"/>
          <w:lang w:eastAsia="zh-CN"/>
        </w:rPr>
        <w:t>广州市荔湾区建设工程项目代建中心</w:t>
      </w:r>
    </w:p>
    <w:p w14:paraId="506E55A4">
      <w:pPr>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snapToGrid w:val="0"/>
          <w:color w:val="auto"/>
          <w:kern w:val="0"/>
          <w:sz w:val="24"/>
          <w:highlight w:val="none"/>
        </w:rPr>
        <w:t>承包人（乙方）：</w:t>
      </w:r>
      <w:r>
        <w:rPr>
          <w:rFonts w:hint="eastAsia" w:ascii="仿宋" w:hAnsi="仿宋" w:eastAsia="仿宋" w:cs="仿宋"/>
          <w:bCs/>
          <w:snapToGrid w:val="0"/>
          <w:color w:val="auto"/>
          <w:kern w:val="0"/>
          <w:sz w:val="24"/>
          <w:highlight w:val="none"/>
          <w:lang w:val="en-US" w:eastAsia="zh-CN"/>
        </w:rPr>
        <w:t xml:space="preserve"> </w:t>
      </w:r>
      <w:r>
        <w:rPr>
          <w:rFonts w:hint="eastAsia" w:ascii="仿宋" w:hAnsi="仿宋" w:eastAsia="仿宋" w:cs="仿宋"/>
          <w:bCs/>
          <w:color w:val="auto"/>
          <w:sz w:val="24"/>
          <w:highlight w:val="none"/>
        </w:rPr>
        <w:t xml:space="preserve"> </w:t>
      </w:r>
    </w:p>
    <w:p w14:paraId="21A1BDB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为切实加强廉洁工程建设，规范承发包双方的各项建筑活动，预防本工程</w:t>
      </w:r>
      <w:r>
        <w:rPr>
          <w:rFonts w:hint="eastAsia" w:ascii="仿宋" w:hAnsi="仿宋" w:eastAsia="仿宋" w:cs="仿宋"/>
          <w:snapToGrid w:val="0"/>
          <w:color w:val="auto"/>
          <w:sz w:val="24"/>
          <w:highlight w:val="none"/>
        </w:rPr>
        <w:t>违法违纪等腐败现象的发生</w:t>
      </w:r>
      <w:r>
        <w:rPr>
          <w:rFonts w:hint="eastAsia" w:ascii="仿宋" w:hAnsi="仿宋" w:eastAsia="仿宋" w:cs="仿宋"/>
          <w:color w:val="auto"/>
          <w:sz w:val="24"/>
          <w:highlight w:val="none"/>
        </w:rPr>
        <w:t>，保障工程建设优质、安全和廉洁，根据《广州市建筑市场廉洁准入规定》及相关法律法规的规定，特订立协议书。</w:t>
      </w:r>
    </w:p>
    <w:p w14:paraId="44CE540F">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第一条 甲乙双方责任</w:t>
      </w:r>
    </w:p>
    <w:p w14:paraId="158B15A0">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（一）严格遵守国家有关法律法规和政策规定，以及廉政建设的各项约定。</w:t>
      </w:r>
    </w:p>
    <w:p w14:paraId="5BD62D62">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（二）严格执行建设工程项目承发包合同文件，自觉按合同办事。</w:t>
      </w:r>
    </w:p>
    <w:p w14:paraId="6D65FDFA">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14:paraId="7209620D">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（四）发现对方在建筑活动中存在违规、违纪、违法行为的，有权向其上级主管部门或纪检监察、检察等有关机关举报。</w:t>
      </w:r>
    </w:p>
    <w:p w14:paraId="5D5684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（五）甲乙双方应充分发挥各自职能作用，积极互动形成纵向监督合力，依照本协议书规定，对本工程项目承发包合同履行情况实施监督，及时制止不廉洁行为的发生。</w:t>
      </w:r>
    </w:p>
    <w:p w14:paraId="5B4C3B01">
      <w:pPr>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第二条 甲方责任</w:t>
      </w:r>
    </w:p>
    <w:p w14:paraId="7D9FD3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（一）甲方领导干部和从事该工程建设的管理人员，在建筑活动中须严格遵守以下廉洁从业规定：</w:t>
      </w:r>
    </w:p>
    <w:p w14:paraId="0D4E37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1.不准向乙方和相关单位或个人索取钱物或接受回扣、礼金、各种有价证券、信用卡和好处费、感谢费以及其它</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凭证等。</w:t>
      </w:r>
    </w:p>
    <w:p w14:paraId="79C24A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2.不准接受可能影响公正执行公务的乙方和相关单位或个人的礼物馈赠、宴请、各种形式俱乐部会员资格、高消费娱乐活动。</w:t>
      </w:r>
    </w:p>
    <w:p w14:paraId="22FFFD7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3.不准在乙方和相关单位报销任何应由甲方或个人负担的费用。</w:t>
      </w:r>
    </w:p>
    <w:p w14:paraId="112B7A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4.不准要求、暗示或接受乙方和相关单位或个人为自己、配偶、子女、其他亲属朋友及身边工作人员的装修住房、婚丧嫁娶、工作安排、学习培训、经商办企业以及出国（境）、旅游、度假等</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费用。</w:t>
      </w:r>
    </w:p>
    <w:p w14:paraId="264C30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5.不准向乙方介绍配偶、子女、其他亲属朋友及身边工作人员参与同甲方项目工程合同有关的设备、材料、工程分包、劳务等经济活动。</w:t>
      </w:r>
    </w:p>
    <w:p w14:paraId="4174DE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6.不得以任何理由向乙方和相关单位推荐分包单位和要求或暗示乙方购买项目工程合同规定外的材料、设备等。</w:t>
      </w:r>
    </w:p>
    <w:p w14:paraId="0B3212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（二）合同签订后组织与乙方相关廉洁责任人见面会，进行廉洁工程建设交底，明确廉洁工程建设责任和目标任务、举报方式。</w:t>
      </w:r>
    </w:p>
    <w:p w14:paraId="50E2B25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（三）加强对合同</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、合同结算等建设管理环节的监督管理，特别是审批效能方面的监察检查，提高建设管理服务水平。</w:t>
      </w:r>
    </w:p>
    <w:p w14:paraId="7C0617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（四）组织开展图片展览、法制讲座、参观监狱等活动，加强对员工的法律法规、廉洁和职业道德教育。</w:t>
      </w:r>
    </w:p>
    <w:p w14:paraId="5361E5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（五）成立监督工作机构，不定期对合同履行情况开展监督检查，对发现的有关问题，及时协调给予解决。</w:t>
      </w:r>
    </w:p>
    <w:p w14:paraId="30E38D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 乙方责任</w:t>
      </w:r>
    </w:p>
    <w:p w14:paraId="6A8EAE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（一）与甲方保持正常的业务交往，遵守以下规定：</w:t>
      </w:r>
    </w:p>
    <w:p w14:paraId="179ED4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1.不准以任何理由向甲方人员行贿或赠送回扣、礼金、各种有价证券、信用卡和好处费、感谢费及其它</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凭证等。</w:t>
      </w:r>
    </w:p>
    <w:p w14:paraId="136AFB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2.不准以任何理由为甲方人员组织有可能影响公正执行公务的宴请、各种形式俱乐部及高消费娱乐等活动。</w:t>
      </w:r>
    </w:p>
    <w:p w14:paraId="11773E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3.不准以任何理由为甲方或个人报销应由对方或个人</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的费用。</w:t>
      </w:r>
    </w:p>
    <w:p w14:paraId="15FF04E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4.不准暗示或要求为甲方人员及其配偶、子女、其他亲属朋友及身边工作人员的装修住房、婚丧嫁娶、工作安排、学习培训、经商办企业以及出国（境）、旅游、度假提供方便和</w:t>
      </w:r>
      <w:r>
        <w:rPr>
          <w:rFonts w:hint="eastAsia" w:ascii="仿宋" w:hAnsi="仿宋" w:eastAsia="仿宋" w:cs="仿宋"/>
          <w:color w:val="auto"/>
          <w:sz w:val="24"/>
          <w:highlight w:val="none"/>
          <w:lang w:eastAsia="zh-CN"/>
        </w:rPr>
        <w:t>考核</w:t>
      </w:r>
      <w:r>
        <w:rPr>
          <w:rFonts w:hint="eastAsia" w:ascii="仿宋" w:hAnsi="仿宋" w:eastAsia="仿宋" w:cs="仿宋"/>
          <w:color w:val="auto"/>
          <w:sz w:val="24"/>
          <w:highlight w:val="none"/>
        </w:rPr>
        <w:t>费用。</w:t>
      </w:r>
    </w:p>
    <w:p w14:paraId="4E5B0D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5.不准介绍和安排甲方人员及其配偶、子女、其他亲属朋友及身边工作人员参与同甲方工程项目有关的设备、材料、工程分包、劳务等经济活动。</w:t>
      </w:r>
    </w:p>
    <w:p w14:paraId="11C0D1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（二）组织项目负责人及相关管理人员层层签订廉洁从业责任状，明确廉洁责任，形成有效的内部监督管理机制。</w:t>
      </w:r>
    </w:p>
    <w:p w14:paraId="1B9727F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（三）按甲方要求参加廉政座谈、法制讲座、参观监狱等活动，加强对项目负责人及相关管理人员的法律法规、廉洁和职业道德教育，共同筑牢防腐防线。</w:t>
      </w:r>
    </w:p>
    <w:p w14:paraId="6059BB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第四条 违约责任</w:t>
      </w:r>
    </w:p>
    <w:p w14:paraId="1BC215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（一）甲方违约责任</w:t>
      </w:r>
    </w:p>
    <w:p w14:paraId="4F0F5558">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1.甲方</w:t>
      </w:r>
      <w:r>
        <w:rPr>
          <w:rFonts w:hint="eastAsia" w:ascii="仿宋" w:hAnsi="仿宋" w:eastAsia="仿宋" w:cs="仿宋"/>
          <w:bCs/>
          <w:color w:val="auto"/>
          <w:sz w:val="24"/>
          <w:highlight w:val="none"/>
        </w:rPr>
        <w:t>不履行或不完全履行本协议书有关责任义务给乙方造成损失的，在乙方提交足够证据并经查证属实的情况下，甲方赔偿其直接经济损失。</w:t>
      </w:r>
    </w:p>
    <w:p w14:paraId="7A8269A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2.甲方人员出现受贿等严重违法违纪违规行为的，按照管理权限，依据有关法律法规和规定给予党纪、政纪处分或组织处理；涉嫌犯罪的，移交司法机关追究刑事责任。</w:t>
      </w:r>
    </w:p>
    <w:p w14:paraId="2EFAB3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（二）乙方违约责任</w:t>
      </w:r>
    </w:p>
    <w:p w14:paraId="1A04A1AE">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乙方不履行或不完全履行本协议书有关责任义务的，</w:t>
      </w:r>
      <w:r>
        <w:rPr>
          <w:rFonts w:hint="eastAsia" w:ascii="仿宋" w:hAnsi="仿宋" w:eastAsia="仿宋" w:cs="仿宋"/>
          <w:color w:val="auto"/>
          <w:sz w:val="24"/>
          <w:highlight w:val="none"/>
        </w:rPr>
        <w:t>按本工程合同</w:t>
      </w:r>
      <w:r>
        <w:rPr>
          <w:rFonts w:hint="eastAsia" w:ascii="仿宋" w:hAnsi="仿宋" w:eastAsia="仿宋" w:cs="仿宋"/>
          <w:bCs/>
          <w:color w:val="auto"/>
          <w:sz w:val="24"/>
          <w:highlight w:val="none"/>
        </w:rPr>
        <w:t>规定须承担一次一般违约责任。情节较轻的，可给予书面警告；情节较重的，须承担一次严重违约责任。</w:t>
      </w:r>
    </w:p>
    <w:p w14:paraId="2E110D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2.乙方</w:t>
      </w:r>
      <w:r>
        <w:rPr>
          <w:rFonts w:hint="eastAsia" w:ascii="仿宋" w:hAnsi="仿宋" w:eastAsia="仿宋" w:cs="仿宋"/>
          <w:color w:val="auto"/>
          <w:sz w:val="24"/>
          <w:highlight w:val="none"/>
        </w:rPr>
        <w:t>出现严重违法违纪违规行为的，甲方将上报市检察院或监察机关依法查处，并提请建设行政主管部门根据《广州市建筑市场廉洁准入规定》进行处理。</w:t>
      </w:r>
    </w:p>
    <w:p w14:paraId="6E0715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第五条 甲乙双方监管部门</w:t>
      </w:r>
    </w:p>
    <w:p w14:paraId="1D214F3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1.甲方监督部门：</w:t>
      </w:r>
    </w:p>
    <w:p w14:paraId="5A983A3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2.乙方监督部门：</w:t>
      </w:r>
    </w:p>
    <w:p w14:paraId="3AD4D8B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廉政责任人：     </w:t>
      </w:r>
    </w:p>
    <w:p w14:paraId="40F4FD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上级主管部门： </w:t>
      </w:r>
    </w:p>
    <w:p w14:paraId="6ACA48E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第六条 本协议书作为工程施工监理合同的附件，与工程施工监理合同具有同等法律效力。经双方签字盖章后生效。</w:t>
      </w:r>
    </w:p>
    <w:p w14:paraId="523D86C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第七条 本协议书壹式  份，双方各执  份，有效期为双方签字盖章之日起至所属工程项目合同履行完毕时止。</w:t>
      </w:r>
    </w:p>
    <w:p w14:paraId="2C5919E4">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第八条 未尽事宜，由双方协商解决。</w:t>
      </w:r>
    </w:p>
    <w:p w14:paraId="3B113E3B">
      <w:pPr>
        <w:adjustRightInd w:val="0"/>
        <w:snapToGrid w:val="0"/>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（本页以下无正文）</w:t>
      </w:r>
    </w:p>
    <w:p w14:paraId="5C0601A9">
      <w:pPr>
        <w:adjustRightInd w:val="0"/>
        <w:snapToGrid w:val="0"/>
        <w:spacing w:line="360" w:lineRule="auto"/>
        <w:rPr>
          <w:rFonts w:hint="eastAsia" w:ascii="仿宋" w:hAnsi="仿宋" w:eastAsia="仿宋" w:cs="仿宋"/>
          <w:color w:val="auto"/>
          <w:sz w:val="24"/>
          <w:highlight w:val="none"/>
        </w:rPr>
      </w:pPr>
    </w:p>
    <w:p w14:paraId="16FAB7E6">
      <w:pPr>
        <w:adjustRightInd w:val="0"/>
        <w:snapToGrid w:val="0"/>
        <w:spacing w:line="360" w:lineRule="auto"/>
        <w:rPr>
          <w:rFonts w:hint="eastAsia" w:ascii="仿宋" w:hAnsi="仿宋" w:eastAsia="仿宋" w:cs="仿宋"/>
          <w:color w:val="auto"/>
          <w:sz w:val="24"/>
          <w:highlight w:val="none"/>
        </w:rPr>
      </w:pPr>
    </w:p>
    <w:p w14:paraId="25C9AD88">
      <w:pPr>
        <w:adjustRightInd w:val="0"/>
        <w:snapToGrid w:val="0"/>
        <w:spacing w:line="360" w:lineRule="auto"/>
        <w:rPr>
          <w:rFonts w:hint="eastAsia" w:ascii="仿宋" w:hAnsi="仿宋" w:eastAsia="仿宋" w:cs="仿宋"/>
          <w:color w:val="auto"/>
          <w:sz w:val="24"/>
          <w:highlight w:val="none"/>
        </w:rPr>
      </w:pPr>
    </w:p>
    <w:p w14:paraId="2A33CE18">
      <w:pPr>
        <w:adjustRightInd w:val="0"/>
        <w:snapToGrid w:val="0"/>
        <w:spacing w:line="360" w:lineRule="auto"/>
        <w:rPr>
          <w:rFonts w:hint="eastAsia" w:ascii="仿宋" w:hAnsi="仿宋" w:eastAsia="仿宋" w:cs="仿宋"/>
          <w:color w:val="auto"/>
          <w:sz w:val="24"/>
          <w:highlight w:val="none"/>
        </w:rPr>
      </w:pPr>
    </w:p>
    <w:p w14:paraId="6601B399">
      <w:pPr>
        <w:adjustRightInd w:val="0"/>
        <w:snapToGrid w:val="0"/>
        <w:spacing w:line="360" w:lineRule="auto"/>
        <w:jc w:val="center"/>
        <w:rPr>
          <w:rFonts w:hint="eastAsia" w:ascii="仿宋" w:hAnsi="仿宋" w:eastAsia="仿宋" w:cs="仿宋"/>
          <w:color w:val="auto"/>
          <w:sz w:val="24"/>
          <w:highlight w:val="none"/>
        </w:rPr>
      </w:pPr>
    </w:p>
    <w:p w14:paraId="7642752A">
      <w:pPr>
        <w:adjustRightInd w:val="0"/>
        <w:snapToGrid w:val="0"/>
        <w:spacing w:line="360" w:lineRule="auto"/>
        <w:ind w:left="3960" w:hanging="3960" w:hangingChars="16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（本页无正文）</w:t>
      </w:r>
    </w:p>
    <w:p w14:paraId="6728558E">
      <w:pPr>
        <w:adjustRightInd w:val="0"/>
        <w:snapToGrid w:val="0"/>
        <w:spacing w:line="360" w:lineRule="auto"/>
        <w:ind w:left="3960" w:hanging="3960" w:hangingChars="1650"/>
        <w:rPr>
          <w:rFonts w:hint="eastAsia" w:ascii="仿宋" w:hAnsi="仿宋" w:eastAsia="仿宋" w:cs="仿宋"/>
          <w:color w:val="auto"/>
          <w:sz w:val="24"/>
          <w:highlight w:val="none"/>
        </w:rPr>
      </w:pPr>
    </w:p>
    <w:p w14:paraId="51FA67FA">
      <w:pPr>
        <w:adjustRightInd w:val="0"/>
        <w:snapToGrid w:val="0"/>
        <w:spacing w:line="360" w:lineRule="auto"/>
        <w:ind w:left="3960" w:hanging="3960" w:hangingChars="1650"/>
        <w:rPr>
          <w:rFonts w:hint="eastAsia" w:ascii="仿宋" w:hAnsi="仿宋" w:eastAsia="仿宋" w:cs="仿宋"/>
          <w:color w:val="auto"/>
          <w:sz w:val="24"/>
          <w:highlight w:val="none"/>
        </w:rPr>
      </w:pPr>
    </w:p>
    <w:p w14:paraId="0577A0C6">
      <w:pPr>
        <w:adjustRightInd w:val="0"/>
        <w:snapToGrid w:val="0"/>
        <w:spacing w:line="360" w:lineRule="auto"/>
        <w:ind w:left="3960" w:hanging="3960" w:hangingChars="1650"/>
        <w:rPr>
          <w:rFonts w:hint="eastAsia" w:ascii="仿宋" w:hAnsi="仿宋" w:eastAsia="仿宋" w:cs="仿宋"/>
          <w:color w:val="auto"/>
          <w:sz w:val="24"/>
          <w:highlight w:val="none"/>
        </w:rPr>
      </w:pPr>
    </w:p>
    <w:p w14:paraId="5783BFD3">
      <w:pPr>
        <w:adjustRightInd w:val="0"/>
        <w:snapToGrid w:val="0"/>
        <w:spacing w:line="360" w:lineRule="auto"/>
        <w:ind w:left="3960" w:hanging="3960" w:hangingChars="1650"/>
        <w:rPr>
          <w:rFonts w:hint="eastAsia" w:ascii="仿宋" w:hAnsi="仿宋" w:eastAsia="仿宋" w:cs="仿宋"/>
          <w:color w:val="auto"/>
          <w:sz w:val="24"/>
          <w:highlight w:val="none"/>
        </w:rPr>
      </w:pPr>
    </w:p>
    <w:p w14:paraId="3E8701BC">
      <w:pPr>
        <w:adjustRightInd w:val="0"/>
        <w:snapToGrid w:val="0"/>
        <w:spacing w:line="360" w:lineRule="auto"/>
        <w:ind w:left="3960" w:hanging="3960" w:hangingChars="165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                                  乙方：</w:t>
      </w:r>
    </w:p>
    <w:p w14:paraId="42C5DFDB">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（盖章）                                 （盖章）</w:t>
      </w:r>
    </w:p>
    <w:p w14:paraId="62E0A3B6">
      <w:pPr>
        <w:adjustRightInd w:val="0"/>
        <w:snapToGrid w:val="0"/>
        <w:spacing w:line="360" w:lineRule="auto"/>
        <w:rPr>
          <w:rFonts w:hint="eastAsia" w:ascii="仿宋" w:hAnsi="仿宋" w:eastAsia="仿宋" w:cs="仿宋"/>
          <w:color w:val="auto"/>
          <w:sz w:val="24"/>
          <w:highlight w:val="none"/>
        </w:rPr>
      </w:pPr>
    </w:p>
    <w:p w14:paraId="2B021FD4">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14:paraId="74F45EC6">
      <w:pPr>
        <w:tabs>
          <w:tab w:val="left" w:pos="5460"/>
        </w:tabs>
        <w:adjustRightInd w:val="0"/>
        <w:snapToGrid w:val="0"/>
        <w:spacing w:line="360" w:lineRule="auto"/>
        <w:ind w:left="-2" w:leftChars="-1" w:right="11"/>
        <w:rPr>
          <w:rFonts w:hint="eastAsia" w:ascii="仿宋" w:hAnsi="仿宋" w:eastAsia="仿宋" w:cs="仿宋"/>
          <w:color w:val="auto"/>
          <w:sz w:val="24"/>
          <w:highlight w:val="none"/>
        </w:rPr>
      </w:pPr>
    </w:p>
    <w:p w14:paraId="723CFFA7">
      <w:pPr>
        <w:tabs>
          <w:tab w:val="left" w:pos="5460"/>
        </w:tabs>
        <w:adjustRightInd w:val="0"/>
        <w:snapToGrid w:val="0"/>
        <w:spacing w:line="360" w:lineRule="auto"/>
        <w:ind w:left="-2" w:leftChars="-1" w:right="11"/>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                            委托代理人：</w:t>
      </w:r>
    </w:p>
    <w:p w14:paraId="3FB5DB4F">
      <w:pPr>
        <w:tabs>
          <w:tab w:val="left" w:pos="5460"/>
        </w:tabs>
        <w:adjustRightInd w:val="0"/>
        <w:snapToGrid w:val="0"/>
        <w:spacing w:line="360" w:lineRule="auto"/>
        <w:ind w:left="-2" w:leftChars="-1" w:right="11"/>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2023</w:t>
      </w:r>
      <w:r>
        <w:rPr>
          <w:rFonts w:hint="eastAsia" w:ascii="仿宋" w:hAnsi="仿宋" w:eastAsia="仿宋" w:cs="仿宋"/>
          <w:color w:val="auto"/>
          <w:sz w:val="24"/>
          <w:highlight w:val="none"/>
        </w:rPr>
        <w:t xml:space="preserve">年   月  日                        </w:t>
      </w:r>
      <w:r>
        <w:rPr>
          <w:rFonts w:hint="eastAsia" w:ascii="仿宋" w:hAnsi="仿宋" w:eastAsia="仿宋" w:cs="仿宋"/>
          <w:color w:val="auto"/>
          <w:sz w:val="24"/>
          <w:highlight w:val="none"/>
          <w:lang w:eastAsia="zh-CN"/>
        </w:rPr>
        <w:t>2023</w:t>
      </w:r>
      <w:r>
        <w:rPr>
          <w:rFonts w:hint="eastAsia" w:ascii="仿宋" w:hAnsi="仿宋" w:eastAsia="仿宋" w:cs="仿宋"/>
          <w:color w:val="auto"/>
          <w:sz w:val="24"/>
          <w:highlight w:val="none"/>
        </w:rPr>
        <w:t>年  月  日</w:t>
      </w:r>
    </w:p>
    <w:p w14:paraId="4A31F841">
      <w:pPr>
        <w:pStyle w:val="105"/>
        <w:ind w:firstLine="0" w:firstLineChars="0"/>
        <w:rPr>
          <w:rFonts w:hint="eastAsia" w:ascii="仿宋" w:hAnsi="仿宋" w:eastAsia="仿宋" w:cs="仿宋"/>
          <w:bCs/>
          <w:color w:val="auto"/>
          <w:highlight w:val="none"/>
        </w:rPr>
        <w:sectPr>
          <w:headerReference r:id="rId7" w:type="default"/>
          <w:footerReference r:id="rId8" w:type="default"/>
          <w:footerReference r:id="rId9" w:type="even"/>
          <w:pgSz w:w="11906" w:h="16838"/>
          <w:pgMar w:top="1440" w:right="1800" w:bottom="1440" w:left="1800" w:header="851" w:footer="992" w:gutter="0"/>
          <w:cols w:space="720" w:num="1"/>
          <w:rtlGutter w:val="1"/>
          <w:docGrid w:type="lines" w:linePitch="312" w:charSpace="0"/>
        </w:sectPr>
      </w:pPr>
    </w:p>
    <w:bookmarkEnd w:id="284"/>
    <w:p w14:paraId="43344502">
      <w:pPr>
        <w:pStyle w:val="105"/>
        <w:ind w:firstLine="0" w:firstLineChars="0"/>
        <w:outlineLvl w:val="1"/>
        <w:rPr>
          <w:rFonts w:hint="eastAsia" w:ascii="仿宋" w:hAnsi="仿宋" w:eastAsia="仿宋" w:cs="仿宋"/>
          <w:b/>
          <w:color w:val="auto"/>
          <w:highlight w:val="none"/>
        </w:rPr>
      </w:pPr>
      <w:bookmarkStart w:id="285" w:name="_Toc191697650"/>
      <w:bookmarkStart w:id="286" w:name="_Toc313869537"/>
      <w:bookmarkStart w:id="287" w:name="_Toc9543"/>
      <w:bookmarkStart w:id="291" w:name="_GoBack"/>
      <w:bookmarkEnd w:id="291"/>
      <w:r>
        <w:rPr>
          <w:rFonts w:hint="eastAsia" w:ascii="仿宋" w:hAnsi="仿宋" w:eastAsia="仿宋" w:cs="仿宋"/>
          <w:b/>
          <w:color w:val="auto"/>
          <w:highlight w:val="none"/>
        </w:rPr>
        <w:t>附件2：</w:t>
      </w:r>
      <w:bookmarkEnd w:id="285"/>
      <w:r>
        <w:rPr>
          <w:rFonts w:hint="eastAsia" w:ascii="仿宋" w:hAnsi="仿宋" w:eastAsia="仿宋" w:cs="仿宋"/>
          <w:b/>
          <w:color w:val="auto"/>
          <w:highlight w:val="none"/>
        </w:rPr>
        <w:t>监理酬金量化考核考核方式表</w:t>
      </w:r>
      <w:bookmarkEnd w:id="286"/>
      <w:bookmarkEnd w:id="287"/>
    </w:p>
    <w:p w14:paraId="2C558A0B">
      <w:pPr>
        <w:pStyle w:val="105"/>
        <w:spacing w:line="240" w:lineRule="auto"/>
        <w:ind w:firstLine="899"/>
        <w:jc w:val="center"/>
        <w:rPr>
          <w:rFonts w:hint="eastAsia" w:ascii="仿宋" w:hAnsi="仿宋" w:eastAsia="仿宋" w:cs="仿宋"/>
          <w:b/>
          <w:color w:val="auto"/>
          <w:w w:val="150"/>
          <w:sz w:val="32"/>
          <w:szCs w:val="32"/>
          <w:highlight w:val="none"/>
        </w:rPr>
      </w:pPr>
      <w:r>
        <w:rPr>
          <w:rFonts w:hint="eastAsia" w:ascii="仿宋" w:hAnsi="仿宋" w:eastAsia="仿宋" w:cs="仿宋"/>
          <w:b/>
          <w:bCs/>
          <w:color w:val="auto"/>
          <w:sz w:val="44"/>
          <w:szCs w:val="44"/>
          <w:highlight w:val="none"/>
        </w:rPr>
        <w:t>监理酬金量化考核考核方式表</w:t>
      </w:r>
    </w:p>
    <w:p w14:paraId="543593B3">
      <w:pPr>
        <w:pStyle w:val="105"/>
        <w:ind w:firstLine="376"/>
        <w:rPr>
          <w:rFonts w:hint="eastAsia" w:ascii="仿宋" w:hAnsi="仿宋" w:eastAsia="仿宋" w:cs="仿宋"/>
          <w:b/>
          <w:color w:val="auto"/>
          <w:sz w:val="18"/>
          <w:szCs w:val="18"/>
          <w:highlight w:val="none"/>
          <w:u w:val="single"/>
        </w:rPr>
      </w:pPr>
      <w:r>
        <w:rPr>
          <w:rFonts w:hint="eastAsia" w:ascii="仿宋" w:hAnsi="仿宋" w:eastAsia="仿宋" w:cs="仿宋"/>
          <w:color w:val="auto"/>
          <w:sz w:val="18"/>
          <w:szCs w:val="18"/>
          <w:highlight w:val="none"/>
        </w:rPr>
        <w:t>本合同合同总价（监理酬金总额）总计为</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rPr>
        <w:t>元，取20%即系</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rPr>
        <w:t>元按以下监理服务及工作成果质量进行量化考核，甲方根据现场实际可按该表进行考核扣除。</w:t>
      </w:r>
    </w:p>
    <w:tbl>
      <w:tblPr>
        <w:tblStyle w:val="43"/>
        <w:tblW w:w="15066" w:type="dxa"/>
        <w:tblInd w:w="78" w:type="dxa"/>
        <w:tblLayout w:type="fixed"/>
        <w:tblCellMar>
          <w:top w:w="0" w:type="dxa"/>
          <w:left w:w="108" w:type="dxa"/>
          <w:bottom w:w="0" w:type="dxa"/>
          <w:right w:w="108" w:type="dxa"/>
        </w:tblCellMar>
      </w:tblPr>
      <w:tblGrid>
        <w:gridCol w:w="511"/>
        <w:gridCol w:w="538"/>
        <w:gridCol w:w="1321"/>
        <w:gridCol w:w="61"/>
        <w:gridCol w:w="2171"/>
        <w:gridCol w:w="1008"/>
        <w:gridCol w:w="1272"/>
        <w:gridCol w:w="2574"/>
        <w:gridCol w:w="26"/>
        <w:gridCol w:w="3368"/>
        <w:gridCol w:w="56"/>
        <w:gridCol w:w="28"/>
        <w:gridCol w:w="2132"/>
      </w:tblGrid>
      <w:tr w14:paraId="3A8DDABF">
        <w:tblPrEx>
          <w:tblCellMar>
            <w:top w:w="0" w:type="dxa"/>
            <w:left w:w="108" w:type="dxa"/>
            <w:bottom w:w="0" w:type="dxa"/>
            <w:right w:w="108" w:type="dxa"/>
          </w:tblCellMar>
        </w:tblPrEx>
        <w:trPr>
          <w:cantSplit/>
          <w:trHeight w:val="830" w:hRule="atLeast"/>
          <w:tblHeader/>
        </w:trPr>
        <w:tc>
          <w:tcPr>
            <w:tcW w:w="1049" w:type="dxa"/>
            <w:gridSpan w:val="2"/>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00D4023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工程阶段</w:t>
            </w:r>
          </w:p>
        </w:tc>
        <w:tc>
          <w:tcPr>
            <w:tcW w:w="1382" w:type="dxa"/>
            <w:gridSpan w:val="2"/>
            <w:tcBorders>
              <w:top w:val="single" w:color="auto" w:sz="12" w:space="0"/>
              <w:left w:val="single" w:color="auto" w:sz="6" w:space="0"/>
              <w:bottom w:val="single" w:color="auto" w:sz="6" w:space="0"/>
              <w:right w:val="single" w:color="auto" w:sz="6" w:space="0"/>
            </w:tcBorders>
            <w:shd w:val="clear" w:color="auto" w:fill="C0C0C0"/>
            <w:noWrap w:val="0"/>
            <w:vAlign w:val="center"/>
          </w:tcPr>
          <w:p w14:paraId="53F97AE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工程管理信息系统编号</w:t>
            </w:r>
          </w:p>
        </w:tc>
        <w:tc>
          <w:tcPr>
            <w:tcW w:w="2171"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14:paraId="624E8E3F">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监理工作内容（对应合同专用条款）</w:t>
            </w:r>
          </w:p>
        </w:tc>
        <w:tc>
          <w:tcPr>
            <w:tcW w:w="1008"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14:paraId="33AE267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考核比例</w:t>
            </w:r>
          </w:p>
        </w:tc>
        <w:tc>
          <w:tcPr>
            <w:tcW w:w="1272"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14:paraId="0F2C8DC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量化金额（元）</w:t>
            </w:r>
          </w:p>
        </w:tc>
        <w:tc>
          <w:tcPr>
            <w:tcW w:w="2574" w:type="dxa"/>
            <w:tcBorders>
              <w:top w:val="single" w:color="auto" w:sz="12" w:space="0"/>
              <w:left w:val="single" w:color="auto" w:sz="6" w:space="0"/>
              <w:bottom w:val="single" w:color="auto" w:sz="6" w:space="0"/>
              <w:right w:val="single" w:color="auto" w:sz="6" w:space="0"/>
            </w:tcBorders>
            <w:shd w:val="clear" w:color="auto" w:fill="C0C0C0"/>
            <w:noWrap w:val="0"/>
            <w:vAlign w:val="center"/>
          </w:tcPr>
          <w:p w14:paraId="482B49F4">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工作成果（报告、记录、计划书、审核书等）</w:t>
            </w:r>
          </w:p>
        </w:tc>
        <w:tc>
          <w:tcPr>
            <w:tcW w:w="3450" w:type="dxa"/>
            <w:gridSpan w:val="3"/>
            <w:tcBorders>
              <w:top w:val="single" w:color="auto" w:sz="12" w:space="0"/>
              <w:left w:val="single" w:color="auto" w:sz="6" w:space="0"/>
              <w:bottom w:val="single" w:color="auto" w:sz="6" w:space="0"/>
              <w:right w:val="single" w:color="auto" w:sz="6" w:space="0"/>
            </w:tcBorders>
            <w:shd w:val="clear" w:color="auto" w:fill="C0C0C0"/>
            <w:noWrap w:val="0"/>
            <w:vAlign w:val="center"/>
          </w:tcPr>
          <w:p w14:paraId="0FAB4C2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考核审核标准及时间要求</w:t>
            </w:r>
          </w:p>
        </w:tc>
        <w:tc>
          <w:tcPr>
            <w:tcW w:w="2160" w:type="dxa"/>
            <w:gridSpan w:val="2"/>
            <w:tcBorders>
              <w:top w:val="single" w:color="auto" w:sz="12" w:space="0"/>
              <w:left w:val="single" w:color="auto" w:sz="6" w:space="0"/>
              <w:bottom w:val="single" w:color="auto" w:sz="6" w:space="0"/>
              <w:right w:val="single" w:color="auto" w:sz="6" w:space="0"/>
            </w:tcBorders>
            <w:shd w:val="clear" w:color="auto" w:fill="C0C0C0"/>
            <w:noWrap w:val="0"/>
            <w:vAlign w:val="center"/>
          </w:tcPr>
          <w:p w14:paraId="58FC33C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考核方式</w:t>
            </w:r>
          </w:p>
        </w:tc>
      </w:tr>
      <w:tr w14:paraId="5F044E32">
        <w:tblPrEx>
          <w:tblCellMar>
            <w:top w:w="0" w:type="dxa"/>
            <w:left w:w="108" w:type="dxa"/>
            <w:bottom w:w="0" w:type="dxa"/>
            <w:right w:w="108" w:type="dxa"/>
          </w:tblCellMar>
        </w:tblPrEx>
        <w:trPr>
          <w:cantSplit/>
          <w:trHeight w:val="680" w:hRule="atLeast"/>
        </w:trPr>
        <w:tc>
          <w:tcPr>
            <w:tcW w:w="1049" w:type="dxa"/>
            <w:gridSpan w:val="2"/>
            <w:vMerge w:val="restart"/>
            <w:tcBorders>
              <w:top w:val="single" w:color="auto" w:sz="6" w:space="0"/>
              <w:left w:val="single" w:color="auto" w:sz="6" w:space="0"/>
              <w:bottom w:val="single" w:color="auto" w:sz="6" w:space="0"/>
              <w:right w:val="single" w:color="auto" w:sz="6" w:space="0"/>
            </w:tcBorders>
            <w:noWrap w:val="0"/>
            <w:vAlign w:val="center"/>
          </w:tcPr>
          <w:p w14:paraId="678E6613">
            <w:pPr>
              <w:pStyle w:val="88"/>
              <w:jc w:val="center"/>
              <w:rPr>
                <w:rFonts w:hint="eastAsia" w:ascii="仿宋" w:hAnsi="仿宋" w:eastAsia="仿宋" w:cs="仿宋"/>
                <w:color w:val="auto"/>
                <w:sz w:val="18"/>
                <w:szCs w:val="18"/>
                <w:highlight w:val="none"/>
              </w:rPr>
            </w:pPr>
            <w:bookmarkStart w:id="288" w:name="_Hlk179968792"/>
            <w:bookmarkStart w:id="289" w:name="_Hlk410831434"/>
            <w:r>
              <w:rPr>
                <w:rFonts w:hint="eastAsia" w:ascii="仿宋" w:hAnsi="仿宋" w:eastAsia="仿宋" w:cs="仿宋"/>
                <w:color w:val="auto"/>
                <w:sz w:val="18"/>
                <w:szCs w:val="18"/>
                <w:highlight w:val="none"/>
              </w:rPr>
              <w:t>工</w:t>
            </w:r>
          </w:p>
          <w:p w14:paraId="7A78A9F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程</w:t>
            </w:r>
          </w:p>
          <w:p w14:paraId="2221928B">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w:t>
            </w:r>
          </w:p>
          <w:p w14:paraId="54D0807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w:t>
            </w:r>
          </w:p>
          <w:p w14:paraId="56578435">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准</w:t>
            </w:r>
          </w:p>
          <w:p w14:paraId="6F92F74A">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w:t>
            </w:r>
          </w:p>
          <w:p w14:paraId="6586AD5E">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阶</w:t>
            </w:r>
          </w:p>
          <w:p w14:paraId="7BD5FF16">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段</w:t>
            </w: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5E2B980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368A3C0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73E9CDF7">
            <w:pPr>
              <w:pStyle w:val="88"/>
              <w:rPr>
                <w:rFonts w:hint="eastAsia" w:ascii="仿宋" w:hAnsi="仿宋" w:eastAsia="仿宋" w:cs="仿宋"/>
                <w:color w:val="auto"/>
                <w:highlight w:val="none"/>
              </w:rPr>
            </w:pPr>
            <w:r>
              <w:rPr>
                <w:rFonts w:hint="eastAsia" w:ascii="仿宋" w:hAnsi="仿宋" w:eastAsia="仿宋" w:cs="仿宋"/>
                <w:color w:val="auto"/>
                <w:highlight w:val="none"/>
              </w:rPr>
              <w:t>0.40%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2C905D7">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3520DC8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提交《对（各专业）设计文件的意见及建议》</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5DB710D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以对各专业设计文件的意见及建议书的提交并获得委托人认可为考核条件。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5B7277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125DA7C4">
        <w:tblPrEx>
          <w:tblCellMar>
            <w:top w:w="0" w:type="dxa"/>
            <w:left w:w="108" w:type="dxa"/>
            <w:bottom w:w="0" w:type="dxa"/>
            <w:right w:w="108" w:type="dxa"/>
          </w:tblCellMar>
        </w:tblPrEx>
        <w:trPr>
          <w:cantSplit/>
          <w:trHeight w:val="590" w:hRule="atLeast"/>
        </w:trPr>
        <w:tc>
          <w:tcPr>
            <w:tcW w:w="1049" w:type="dxa"/>
            <w:gridSpan w:val="2"/>
            <w:vMerge w:val="continue"/>
            <w:tcBorders>
              <w:left w:val="single" w:color="auto" w:sz="6" w:space="0"/>
              <w:bottom w:val="single" w:color="auto" w:sz="6" w:space="0"/>
              <w:right w:val="single" w:color="auto" w:sz="6" w:space="0"/>
            </w:tcBorders>
            <w:noWrap w:val="0"/>
            <w:vAlign w:val="top"/>
          </w:tcPr>
          <w:p w14:paraId="75B86E3B">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14FD37BD">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71A2ACF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0F5F604">
            <w:pPr>
              <w:pStyle w:val="88"/>
              <w:rPr>
                <w:rFonts w:hint="eastAsia" w:ascii="仿宋" w:hAnsi="仿宋" w:eastAsia="仿宋" w:cs="仿宋"/>
                <w:color w:val="auto"/>
                <w:highlight w:val="none"/>
              </w:rPr>
            </w:pPr>
            <w:r>
              <w:rPr>
                <w:rFonts w:hint="eastAsia" w:ascii="仿宋" w:hAnsi="仿宋" w:eastAsia="仿宋" w:cs="仿宋"/>
                <w:color w:val="auto"/>
                <w:highlight w:val="none"/>
              </w:rPr>
              <w:t>0.30%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88448B0">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2A63BEE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提交《（各专业）设计技术交底会议纪要》</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4EFC30D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以《设计技术交底会议纪要》的提交为考核条件。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C8535A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52794F85">
        <w:tblPrEx>
          <w:tblCellMar>
            <w:top w:w="0" w:type="dxa"/>
            <w:left w:w="108" w:type="dxa"/>
            <w:bottom w:w="0" w:type="dxa"/>
            <w:right w:w="108" w:type="dxa"/>
          </w:tblCellMar>
        </w:tblPrEx>
        <w:trPr>
          <w:cantSplit/>
          <w:trHeight w:val="937" w:hRule="atLeast"/>
        </w:trPr>
        <w:tc>
          <w:tcPr>
            <w:tcW w:w="1049" w:type="dxa"/>
            <w:gridSpan w:val="2"/>
            <w:vMerge w:val="continue"/>
            <w:tcBorders>
              <w:left w:val="single" w:color="auto" w:sz="6" w:space="0"/>
              <w:bottom w:val="single" w:color="auto" w:sz="6" w:space="0"/>
              <w:right w:val="single" w:color="auto" w:sz="6" w:space="0"/>
            </w:tcBorders>
            <w:noWrap w:val="0"/>
            <w:vAlign w:val="top"/>
          </w:tcPr>
          <w:p w14:paraId="5BBA816C">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0270E86A">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73E6E4CE">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439B46BB">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4C9E86B">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62114DF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协助组织图纸会审并及时提交《（各专业）施工图会审记录》</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4DF9934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以各专业的图纸会审记录的全部提交为考核条件，提交时间不迟于（各专业）施工图会审结束后第7日。</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6C4BBB0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1BBB57AD">
        <w:tblPrEx>
          <w:tblCellMar>
            <w:top w:w="0" w:type="dxa"/>
            <w:left w:w="108" w:type="dxa"/>
            <w:bottom w:w="0" w:type="dxa"/>
            <w:right w:w="108" w:type="dxa"/>
          </w:tblCellMar>
        </w:tblPrEx>
        <w:trPr>
          <w:cantSplit/>
          <w:trHeight w:val="1077" w:hRule="atLeast"/>
        </w:trPr>
        <w:tc>
          <w:tcPr>
            <w:tcW w:w="1049" w:type="dxa"/>
            <w:gridSpan w:val="2"/>
            <w:vMerge w:val="continue"/>
            <w:tcBorders>
              <w:left w:val="single" w:color="auto" w:sz="6" w:space="0"/>
              <w:bottom w:val="single" w:color="auto" w:sz="6" w:space="0"/>
              <w:right w:val="single" w:color="auto" w:sz="6" w:space="0"/>
            </w:tcBorders>
            <w:noWrap w:val="0"/>
            <w:vAlign w:val="top"/>
          </w:tcPr>
          <w:p w14:paraId="04ED3E42">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1B2A296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1064E0E">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655A900E">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7B3255D">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0C865E9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项目epc工程的管理要点》，着重对epc工程进度管理以及设计变更导致施工预算变化方面提出有效建议</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2121341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监理人的审查报告的提交时间不迟于承包人提交施工组织设计方案后第14日；以承包人提交的施工组织设计方案获得委托人认可为考核条件。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313CE3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0D7DA901">
        <w:tblPrEx>
          <w:tblCellMar>
            <w:top w:w="0" w:type="dxa"/>
            <w:left w:w="108" w:type="dxa"/>
            <w:bottom w:w="0" w:type="dxa"/>
            <w:right w:w="108" w:type="dxa"/>
          </w:tblCellMar>
        </w:tblPrEx>
        <w:trPr>
          <w:cantSplit/>
          <w:trHeight w:val="1077" w:hRule="atLeast"/>
        </w:trPr>
        <w:tc>
          <w:tcPr>
            <w:tcW w:w="1049" w:type="dxa"/>
            <w:gridSpan w:val="2"/>
            <w:vMerge w:val="continue"/>
            <w:tcBorders>
              <w:left w:val="single" w:color="auto" w:sz="6" w:space="0"/>
              <w:bottom w:val="single" w:color="auto" w:sz="6" w:space="0"/>
              <w:right w:val="single" w:color="auto" w:sz="6" w:space="0"/>
            </w:tcBorders>
            <w:noWrap w:val="0"/>
            <w:vAlign w:val="top"/>
          </w:tcPr>
          <w:p w14:paraId="43646D1D">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28AD8340">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363867F7">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7A9A47B3">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1F3C30A">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3C76064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提交《对承包人提交的质量管理体系、环境管理体系及安全管理体系的检查审核报告》</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029CF02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以各承包人之质量管理体系、环境管理体系及安全管理体系满足相关合同条件中的要求且获得委托人认可为最终考核条件。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EBB9A0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6BDD0A40">
        <w:tblPrEx>
          <w:tblCellMar>
            <w:top w:w="0" w:type="dxa"/>
            <w:left w:w="108" w:type="dxa"/>
            <w:bottom w:w="0" w:type="dxa"/>
            <w:right w:w="108" w:type="dxa"/>
          </w:tblCellMar>
        </w:tblPrEx>
        <w:trPr>
          <w:cantSplit/>
          <w:trHeight w:val="614" w:hRule="atLeast"/>
        </w:trPr>
        <w:tc>
          <w:tcPr>
            <w:tcW w:w="1049" w:type="dxa"/>
            <w:gridSpan w:val="2"/>
            <w:tcBorders>
              <w:left w:val="single" w:color="auto" w:sz="6" w:space="0"/>
              <w:right w:val="single" w:color="auto" w:sz="6" w:space="0"/>
            </w:tcBorders>
            <w:noWrap w:val="0"/>
            <w:vAlign w:val="top"/>
          </w:tcPr>
          <w:p w14:paraId="4584185E">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50749F44">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AAA7569">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4E89B4FE">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CBB672F">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4A91727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审核《对承包人的资格（资质）报审表》、《施工组织设计方案》</w:t>
            </w:r>
          </w:p>
        </w:tc>
        <w:tc>
          <w:tcPr>
            <w:tcW w:w="3450" w:type="dxa"/>
            <w:gridSpan w:val="3"/>
            <w:tcBorders>
              <w:top w:val="single" w:color="auto" w:sz="6" w:space="0"/>
              <w:left w:val="single" w:color="auto" w:sz="6" w:space="0"/>
              <w:bottom w:val="single" w:color="auto" w:sz="6" w:space="0"/>
              <w:right w:val="single" w:color="auto" w:sz="6" w:space="0"/>
            </w:tcBorders>
            <w:noWrap w:val="0"/>
            <w:vAlign w:val="center"/>
          </w:tcPr>
          <w:p w14:paraId="658DDB6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以报告提交并获得委托人认可为考核条件。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56E5124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79E1F64C">
        <w:tblPrEx>
          <w:tblCellMar>
            <w:top w:w="0" w:type="dxa"/>
            <w:left w:w="108" w:type="dxa"/>
            <w:bottom w:w="0" w:type="dxa"/>
            <w:right w:w="108" w:type="dxa"/>
          </w:tblCellMar>
        </w:tblPrEx>
        <w:trPr>
          <w:cantSplit/>
          <w:trHeight w:val="610" w:hRule="atLeast"/>
        </w:trPr>
        <w:tc>
          <w:tcPr>
            <w:tcW w:w="1049" w:type="dxa"/>
            <w:gridSpan w:val="2"/>
            <w:vMerge w:val="restart"/>
            <w:tcBorders>
              <w:left w:val="single" w:color="auto" w:sz="6" w:space="0"/>
              <w:right w:val="single" w:color="auto" w:sz="6" w:space="0"/>
            </w:tcBorders>
            <w:noWrap w:val="0"/>
            <w:vAlign w:val="top"/>
          </w:tcPr>
          <w:p w14:paraId="7129D0CC">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7FD9589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5EBC8841">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7EB2C4CB">
            <w:pPr>
              <w:pStyle w:val="88"/>
              <w:rPr>
                <w:rFonts w:hint="eastAsia" w:ascii="仿宋" w:hAnsi="仿宋" w:eastAsia="仿宋" w:cs="仿宋"/>
                <w:color w:val="auto"/>
                <w:highlight w:val="none"/>
              </w:rPr>
            </w:pPr>
            <w:r>
              <w:rPr>
                <w:rFonts w:hint="eastAsia" w:ascii="仿宋" w:hAnsi="仿宋" w:eastAsia="仿宋" w:cs="仿宋"/>
                <w:color w:val="auto"/>
                <w:highlight w:val="none"/>
              </w:rPr>
              <w:t>1.10%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3C2216B">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286E1AA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提交对承包人提交的《进场施工测量成果报验申请表》的审核报告</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6490B20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以承包人放线测量成果获得委托人认可要求为考核条件。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C987DA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bookmarkEnd w:id="288"/>
      <w:tr w14:paraId="28FEA82A">
        <w:tblPrEx>
          <w:tblCellMar>
            <w:top w:w="0" w:type="dxa"/>
            <w:left w:w="108" w:type="dxa"/>
            <w:bottom w:w="0" w:type="dxa"/>
            <w:right w:w="108" w:type="dxa"/>
          </w:tblCellMar>
        </w:tblPrEx>
        <w:trPr>
          <w:cantSplit/>
          <w:trHeight w:val="656" w:hRule="atLeast"/>
        </w:trPr>
        <w:tc>
          <w:tcPr>
            <w:tcW w:w="1049" w:type="dxa"/>
            <w:gridSpan w:val="2"/>
            <w:vMerge w:val="continue"/>
            <w:tcBorders>
              <w:left w:val="single" w:color="auto" w:sz="6" w:space="0"/>
              <w:bottom w:val="single" w:color="auto" w:sz="6" w:space="0"/>
              <w:right w:val="single" w:color="auto" w:sz="6" w:space="0"/>
            </w:tcBorders>
            <w:noWrap w:val="0"/>
            <w:vAlign w:val="top"/>
          </w:tcPr>
          <w:p w14:paraId="50199C6B">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15BD3067">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C2C343B">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495C72AA">
            <w:pPr>
              <w:pStyle w:val="88"/>
              <w:rPr>
                <w:rFonts w:hint="eastAsia" w:ascii="仿宋" w:hAnsi="仿宋" w:eastAsia="仿宋" w:cs="仿宋"/>
                <w:color w:val="auto"/>
                <w:highlight w:val="none"/>
              </w:rPr>
            </w:pPr>
            <w:r>
              <w:rPr>
                <w:rFonts w:hint="eastAsia" w:ascii="仿宋" w:hAnsi="仿宋" w:eastAsia="仿宋" w:cs="仿宋"/>
                <w:color w:val="auto"/>
                <w:highlight w:val="none"/>
              </w:rPr>
              <w:t>0.50%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9026C26">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F5367F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提交经过批核的《工程开工报审表》</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12D4DEE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以施工许可证已发出且报审表获得委托人认可为考核条件。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2C54346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2A55C490">
        <w:tblPrEx>
          <w:tblCellMar>
            <w:top w:w="0" w:type="dxa"/>
            <w:left w:w="108" w:type="dxa"/>
            <w:bottom w:w="0" w:type="dxa"/>
            <w:right w:w="108" w:type="dxa"/>
          </w:tblCellMar>
        </w:tblPrEx>
        <w:trPr>
          <w:cantSplit/>
          <w:trHeight w:val="554" w:hRule="atLeast"/>
        </w:trPr>
        <w:tc>
          <w:tcPr>
            <w:tcW w:w="1049" w:type="dxa"/>
            <w:gridSpan w:val="2"/>
            <w:vMerge w:val="continue"/>
            <w:tcBorders>
              <w:top w:val="single" w:color="auto" w:sz="6" w:space="0"/>
              <w:left w:val="single" w:color="auto" w:sz="6" w:space="0"/>
              <w:bottom w:val="single" w:color="auto" w:sz="6" w:space="0"/>
              <w:right w:val="single" w:color="auto" w:sz="6" w:space="0"/>
            </w:tcBorders>
            <w:noWrap w:val="0"/>
            <w:vAlign w:val="top"/>
          </w:tcPr>
          <w:p w14:paraId="520ACCBD">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0BC3F1D1">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C118B9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2CDCB8F">
            <w:pPr>
              <w:pStyle w:val="88"/>
              <w:rPr>
                <w:rFonts w:hint="eastAsia" w:ascii="仿宋" w:hAnsi="仿宋" w:eastAsia="仿宋" w:cs="仿宋"/>
                <w:color w:val="auto"/>
                <w:highlight w:val="none"/>
              </w:rPr>
            </w:pPr>
            <w:r>
              <w:rPr>
                <w:rFonts w:hint="eastAsia" w:ascii="仿宋" w:hAnsi="仿宋" w:eastAsia="仿宋" w:cs="仿宋"/>
                <w:color w:val="auto"/>
                <w:highlight w:val="none"/>
              </w:rPr>
              <w:t>0.20%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F7CC30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7C79F8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提交首次工地会议的会议记录</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63467E8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以首次工地会议记录的提交为考核条件。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407AB68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571EABFE">
        <w:tblPrEx>
          <w:tblCellMar>
            <w:top w:w="0" w:type="dxa"/>
            <w:left w:w="108" w:type="dxa"/>
            <w:bottom w:w="0" w:type="dxa"/>
            <w:right w:w="108" w:type="dxa"/>
          </w:tblCellMar>
        </w:tblPrEx>
        <w:trPr>
          <w:cantSplit/>
          <w:trHeight w:val="894" w:hRule="atLeast"/>
        </w:trPr>
        <w:tc>
          <w:tcPr>
            <w:tcW w:w="1049" w:type="dxa"/>
            <w:gridSpan w:val="2"/>
            <w:vMerge w:val="restart"/>
            <w:tcBorders>
              <w:top w:val="single" w:color="auto" w:sz="6" w:space="0"/>
              <w:left w:val="single" w:color="auto" w:sz="6" w:space="0"/>
              <w:right w:val="single" w:color="auto" w:sz="6" w:space="0"/>
            </w:tcBorders>
            <w:noWrap w:val="0"/>
            <w:vAlign w:val="center"/>
          </w:tcPr>
          <w:p w14:paraId="34B14C4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w:t>
            </w:r>
          </w:p>
          <w:p w14:paraId="7F3E1411">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程</w:t>
            </w:r>
          </w:p>
          <w:p w14:paraId="246978C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施</w:t>
            </w:r>
          </w:p>
          <w:p w14:paraId="0DB1BED9">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w:t>
            </w:r>
          </w:p>
          <w:p w14:paraId="0C4E6C7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准</w:t>
            </w:r>
          </w:p>
          <w:p w14:paraId="7A1042BE">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w:t>
            </w:r>
          </w:p>
          <w:p w14:paraId="243ADE1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阶</w:t>
            </w:r>
          </w:p>
          <w:p w14:paraId="5F00672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段</w:t>
            </w:r>
          </w:p>
        </w:tc>
        <w:tc>
          <w:tcPr>
            <w:tcW w:w="1382" w:type="dxa"/>
            <w:gridSpan w:val="2"/>
            <w:tcBorders>
              <w:top w:val="single" w:color="auto" w:sz="6" w:space="0"/>
              <w:left w:val="single" w:color="auto" w:sz="6" w:space="0"/>
              <w:bottom w:val="single" w:color="auto" w:sz="6" w:space="0"/>
              <w:right w:val="single" w:color="auto" w:sz="6" w:space="0"/>
            </w:tcBorders>
            <w:noWrap w:val="0"/>
            <w:vAlign w:val="center"/>
          </w:tcPr>
          <w:p w14:paraId="2D4AA4E8">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49E6F937">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500E22B2">
            <w:pPr>
              <w:pStyle w:val="88"/>
              <w:rPr>
                <w:rFonts w:hint="eastAsia" w:ascii="仿宋" w:hAnsi="仿宋" w:eastAsia="仿宋" w:cs="仿宋"/>
                <w:color w:val="auto"/>
                <w:highlight w:val="none"/>
              </w:rPr>
            </w:pPr>
            <w:r>
              <w:rPr>
                <w:rFonts w:hint="eastAsia" w:ascii="仿宋" w:hAnsi="仿宋" w:eastAsia="仿宋" w:cs="仿宋"/>
                <w:color w:val="auto"/>
                <w:highlight w:val="none"/>
              </w:rPr>
              <w:t>0.50%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F36DA2A">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CB1E79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提交《监理规划报告》</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087E086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以《监理规划报告》满足本合同文件内的相关要求且获委托人认可为考核条件。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2576BB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52AFD2C4">
        <w:tblPrEx>
          <w:tblCellMar>
            <w:top w:w="0" w:type="dxa"/>
            <w:left w:w="108" w:type="dxa"/>
            <w:bottom w:w="0" w:type="dxa"/>
            <w:right w:w="108" w:type="dxa"/>
          </w:tblCellMar>
        </w:tblPrEx>
        <w:trPr>
          <w:cantSplit/>
          <w:trHeight w:val="920" w:hRule="atLeast"/>
        </w:trPr>
        <w:tc>
          <w:tcPr>
            <w:tcW w:w="1049" w:type="dxa"/>
            <w:gridSpan w:val="2"/>
            <w:vMerge w:val="continue"/>
            <w:tcBorders>
              <w:left w:val="single" w:color="auto" w:sz="6" w:space="0"/>
              <w:right w:val="single" w:color="auto" w:sz="6" w:space="0"/>
            </w:tcBorders>
            <w:noWrap w:val="0"/>
            <w:vAlign w:val="top"/>
          </w:tcPr>
          <w:p w14:paraId="57D4361E">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center"/>
          </w:tcPr>
          <w:p w14:paraId="0A9C9D95">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0DFA538D">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08F87EE4">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693456E">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410EDFF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提交《监理实施细则》</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00325BA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以《监理实施细则》满足本合同文件内的相关要求且获委托人认可为考核条件。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1155FC4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612A93A2">
        <w:tblPrEx>
          <w:tblCellMar>
            <w:top w:w="0" w:type="dxa"/>
            <w:left w:w="108" w:type="dxa"/>
            <w:bottom w:w="0" w:type="dxa"/>
            <w:right w:w="108" w:type="dxa"/>
          </w:tblCellMar>
        </w:tblPrEx>
        <w:trPr>
          <w:cantSplit/>
          <w:trHeight w:val="2279" w:hRule="atLeast"/>
        </w:trPr>
        <w:tc>
          <w:tcPr>
            <w:tcW w:w="1049" w:type="dxa"/>
            <w:gridSpan w:val="2"/>
            <w:vMerge w:val="continue"/>
            <w:tcBorders>
              <w:left w:val="single" w:color="auto" w:sz="6" w:space="0"/>
              <w:right w:val="single" w:color="auto" w:sz="6" w:space="0"/>
            </w:tcBorders>
            <w:noWrap w:val="0"/>
            <w:vAlign w:val="top"/>
          </w:tcPr>
          <w:p w14:paraId="1FC690F3">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center"/>
          </w:tcPr>
          <w:p w14:paraId="6B54D4A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6ACECB12">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5178D82C">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6032DF2">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471DEC9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确立并提交以下程序的相关表格：图纸批准程序、工程变更程序、承包人索赔程序、承包人的账单审查程序、进度付款账单的审查批准程序、工程问题的请示报告程序。</w:t>
            </w: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136B763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以各工作程序的所有附件表格获得委托人认可为考核条件。</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063FD1D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0B2A2564">
        <w:tblPrEx>
          <w:tblCellMar>
            <w:top w:w="0" w:type="dxa"/>
            <w:left w:w="108" w:type="dxa"/>
            <w:bottom w:w="0" w:type="dxa"/>
            <w:right w:w="108" w:type="dxa"/>
          </w:tblCellMar>
        </w:tblPrEx>
        <w:trPr>
          <w:cantSplit/>
          <w:trHeight w:val="1109" w:hRule="atLeast"/>
        </w:trPr>
        <w:tc>
          <w:tcPr>
            <w:tcW w:w="1049" w:type="dxa"/>
            <w:gridSpan w:val="2"/>
            <w:vMerge w:val="continue"/>
            <w:tcBorders>
              <w:left w:val="single" w:color="auto" w:sz="6" w:space="0"/>
              <w:right w:val="single" w:color="auto" w:sz="6" w:space="0"/>
            </w:tcBorders>
            <w:noWrap w:val="0"/>
            <w:vAlign w:val="top"/>
          </w:tcPr>
          <w:p w14:paraId="520BA1DC">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center"/>
          </w:tcPr>
          <w:p w14:paraId="4D142C7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7A5CCDD8">
            <w:pPr>
              <w:pStyle w:val="88"/>
              <w:rPr>
                <w:rFonts w:hint="eastAsia" w:ascii="仿宋" w:hAnsi="仿宋" w:eastAsia="仿宋" w:cs="仿宋"/>
                <w:color w:val="auto"/>
                <w:highlight w:val="none"/>
              </w:rPr>
            </w:pPr>
            <w:r>
              <w:rPr>
                <w:rFonts w:hint="eastAsia" w:ascii="仿宋" w:hAnsi="仿宋" w:eastAsia="仿宋" w:cs="仿宋"/>
                <w:color w:val="auto"/>
                <w:highlight w:val="none"/>
              </w:rPr>
              <w:t>合同文件内约定的其它在施工准备阶段内应由监理人完成的工作。</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536406F3">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0B50521">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F01D360">
            <w:pPr>
              <w:pStyle w:val="88"/>
              <w:rPr>
                <w:rFonts w:hint="eastAsia" w:ascii="仿宋" w:hAnsi="仿宋" w:eastAsia="仿宋" w:cs="仿宋"/>
                <w:color w:val="auto"/>
                <w:sz w:val="18"/>
                <w:szCs w:val="18"/>
                <w:highlight w:val="none"/>
              </w:rPr>
            </w:pPr>
          </w:p>
        </w:tc>
        <w:tc>
          <w:tcPr>
            <w:tcW w:w="3424" w:type="dxa"/>
            <w:gridSpan w:val="2"/>
            <w:tcBorders>
              <w:top w:val="single" w:color="auto" w:sz="6" w:space="0"/>
              <w:left w:val="single" w:color="auto" w:sz="6" w:space="0"/>
              <w:bottom w:val="single" w:color="auto" w:sz="6" w:space="0"/>
              <w:right w:val="single" w:color="auto" w:sz="6" w:space="0"/>
            </w:tcBorders>
            <w:noWrap w:val="0"/>
            <w:vAlign w:val="center"/>
          </w:tcPr>
          <w:p w14:paraId="55E0D689">
            <w:pPr>
              <w:pStyle w:val="88"/>
              <w:rPr>
                <w:rFonts w:hint="eastAsia" w:ascii="仿宋" w:hAnsi="仿宋" w:eastAsia="仿宋" w:cs="仿宋"/>
                <w:color w:val="auto"/>
                <w:sz w:val="18"/>
                <w:szCs w:val="18"/>
                <w:highlight w:val="none"/>
              </w:rPr>
            </w:pP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14:paraId="3060463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52AEE501">
        <w:tblPrEx>
          <w:tblCellMar>
            <w:top w:w="0" w:type="dxa"/>
            <w:left w:w="108" w:type="dxa"/>
            <w:bottom w:w="0" w:type="dxa"/>
            <w:right w:w="108" w:type="dxa"/>
          </w:tblCellMar>
        </w:tblPrEx>
        <w:trPr>
          <w:cantSplit/>
          <w:trHeight w:val="2280" w:hRule="atLeast"/>
        </w:trPr>
        <w:tc>
          <w:tcPr>
            <w:tcW w:w="1049" w:type="dxa"/>
            <w:gridSpan w:val="2"/>
            <w:vMerge w:val="continue"/>
            <w:tcBorders>
              <w:left w:val="single" w:color="auto" w:sz="6" w:space="0"/>
              <w:bottom w:val="single" w:color="auto" w:sz="4" w:space="0"/>
              <w:right w:val="single" w:color="auto" w:sz="6" w:space="0"/>
            </w:tcBorders>
            <w:noWrap w:val="0"/>
            <w:vAlign w:val="top"/>
          </w:tcPr>
          <w:p w14:paraId="771D9F03">
            <w:pPr>
              <w:pStyle w:val="88"/>
              <w:rPr>
                <w:rFonts w:hint="eastAsia" w:ascii="仿宋" w:hAnsi="仿宋" w:eastAsia="仿宋" w:cs="仿宋"/>
                <w:color w:val="auto"/>
                <w:sz w:val="18"/>
                <w:szCs w:val="18"/>
                <w:highlight w:val="none"/>
              </w:rPr>
            </w:pPr>
          </w:p>
        </w:tc>
        <w:tc>
          <w:tcPr>
            <w:tcW w:w="3553" w:type="dxa"/>
            <w:gridSpan w:val="3"/>
            <w:tcBorders>
              <w:top w:val="single" w:color="auto" w:sz="6" w:space="0"/>
              <w:left w:val="single" w:color="auto" w:sz="6" w:space="0"/>
              <w:bottom w:val="single" w:color="auto" w:sz="6" w:space="0"/>
              <w:right w:val="single" w:color="auto" w:sz="6" w:space="0"/>
            </w:tcBorders>
            <w:noWrap w:val="0"/>
            <w:vAlign w:val="center"/>
          </w:tcPr>
          <w:p w14:paraId="7E2A9217">
            <w:pPr>
              <w:pStyle w:val="88"/>
              <w:rPr>
                <w:rFonts w:hint="eastAsia" w:ascii="仿宋" w:hAnsi="仿宋" w:eastAsia="仿宋" w:cs="仿宋"/>
                <w:color w:val="auto"/>
                <w:highlight w:val="none"/>
              </w:rPr>
            </w:pPr>
            <w:r>
              <w:rPr>
                <w:rFonts w:hint="eastAsia" w:ascii="仿宋" w:hAnsi="仿宋" w:eastAsia="仿宋" w:cs="仿宋"/>
                <w:color w:val="auto"/>
                <w:highlight w:val="none"/>
              </w:rPr>
              <w:t>施工准备阶段考核小计</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77D963D1">
            <w:pPr>
              <w:pStyle w:val="88"/>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4115432">
            <w:pPr>
              <w:widowControl/>
              <w:jc w:val="right"/>
              <w:textAlignment w:val="center"/>
              <w:rPr>
                <w:rFonts w:hint="eastAsia" w:ascii="仿宋" w:hAnsi="仿宋" w:eastAsia="仿宋" w:cs="仿宋"/>
                <w:color w:val="auto"/>
                <w:sz w:val="18"/>
                <w:szCs w:val="18"/>
                <w:highlight w:val="none"/>
              </w:rPr>
            </w:pPr>
          </w:p>
        </w:tc>
        <w:tc>
          <w:tcPr>
            <w:tcW w:w="8184" w:type="dxa"/>
            <w:gridSpan w:val="6"/>
            <w:tcBorders>
              <w:top w:val="single" w:color="auto" w:sz="6" w:space="0"/>
              <w:left w:val="single" w:color="auto" w:sz="6" w:space="0"/>
              <w:bottom w:val="single" w:color="auto" w:sz="6" w:space="0"/>
              <w:right w:val="single" w:color="000000" w:sz="2" w:space="0"/>
            </w:tcBorders>
            <w:noWrap w:val="0"/>
            <w:vAlign w:val="center"/>
          </w:tcPr>
          <w:p w14:paraId="77574EE7">
            <w:pPr>
              <w:rPr>
                <w:rFonts w:hint="eastAsia" w:ascii="仿宋" w:hAnsi="仿宋" w:eastAsia="仿宋" w:cs="仿宋"/>
                <w:color w:val="auto"/>
                <w:sz w:val="18"/>
                <w:szCs w:val="18"/>
                <w:highlight w:val="none"/>
              </w:rPr>
            </w:pPr>
          </w:p>
        </w:tc>
      </w:tr>
      <w:bookmarkEnd w:id="289"/>
      <w:tr w14:paraId="0493F44D">
        <w:tblPrEx>
          <w:tblCellMar>
            <w:top w:w="0" w:type="dxa"/>
            <w:left w:w="108" w:type="dxa"/>
            <w:bottom w:w="0" w:type="dxa"/>
            <w:right w:w="108" w:type="dxa"/>
          </w:tblCellMar>
        </w:tblPrEx>
        <w:trPr>
          <w:cantSplit/>
          <w:trHeight w:val="889" w:hRule="atLeast"/>
        </w:trPr>
        <w:tc>
          <w:tcPr>
            <w:tcW w:w="511" w:type="dxa"/>
            <w:vMerge w:val="restart"/>
            <w:tcBorders>
              <w:top w:val="single" w:color="auto" w:sz="4" w:space="0"/>
              <w:left w:val="single" w:color="auto" w:sz="4" w:space="0"/>
              <w:bottom w:val="single" w:color="auto" w:sz="4" w:space="0"/>
              <w:right w:val="single" w:color="auto" w:sz="4" w:space="0"/>
            </w:tcBorders>
            <w:noWrap w:val="0"/>
            <w:vAlign w:val="center"/>
          </w:tcPr>
          <w:p w14:paraId="19424289">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tc>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14:paraId="227E4175">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质</w:t>
            </w:r>
          </w:p>
          <w:p w14:paraId="6F300562">
            <w:pPr>
              <w:pStyle w:val="88"/>
              <w:jc w:val="center"/>
              <w:rPr>
                <w:rFonts w:hint="eastAsia" w:ascii="仿宋" w:hAnsi="仿宋" w:eastAsia="仿宋" w:cs="仿宋"/>
                <w:color w:val="auto"/>
                <w:sz w:val="18"/>
                <w:szCs w:val="18"/>
                <w:highlight w:val="none"/>
              </w:rPr>
            </w:pPr>
          </w:p>
          <w:p w14:paraId="41D5C1D9">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量</w:t>
            </w:r>
          </w:p>
          <w:p w14:paraId="2809E80F">
            <w:pPr>
              <w:pStyle w:val="88"/>
              <w:jc w:val="center"/>
              <w:rPr>
                <w:rFonts w:hint="eastAsia" w:ascii="仿宋" w:hAnsi="仿宋" w:eastAsia="仿宋" w:cs="仿宋"/>
                <w:color w:val="auto"/>
                <w:sz w:val="18"/>
                <w:szCs w:val="18"/>
                <w:highlight w:val="none"/>
              </w:rPr>
            </w:pPr>
          </w:p>
          <w:p w14:paraId="7B4E72B6">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53A71842">
            <w:pPr>
              <w:pStyle w:val="88"/>
              <w:jc w:val="center"/>
              <w:rPr>
                <w:rFonts w:hint="eastAsia" w:ascii="仿宋" w:hAnsi="仿宋" w:eastAsia="仿宋" w:cs="仿宋"/>
                <w:color w:val="auto"/>
                <w:sz w:val="18"/>
                <w:szCs w:val="18"/>
                <w:highlight w:val="none"/>
              </w:rPr>
            </w:pPr>
          </w:p>
          <w:p w14:paraId="02E930A1">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4017" w:type="dxa"/>
            <w:gridSpan w:val="11"/>
            <w:tcBorders>
              <w:top w:val="single" w:color="auto" w:sz="6" w:space="0"/>
              <w:left w:val="single" w:color="auto" w:sz="4" w:space="0"/>
              <w:bottom w:val="nil"/>
              <w:right w:val="single" w:color="auto" w:sz="6" w:space="0"/>
            </w:tcBorders>
            <w:noWrap w:val="0"/>
            <w:vAlign w:val="top"/>
          </w:tcPr>
          <w:p w14:paraId="28707F24">
            <w:pPr>
              <w:pStyle w:val="88"/>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监理服务期内，项目工程施工阶段监理人项目总监、项目总监代表、造价人员、资料员须于项目现场开展监理服务工作。</w:t>
            </w:r>
          </w:p>
          <w:p w14:paraId="75C8F129">
            <w:pPr>
              <w:pStyle w:val="88"/>
              <w:rPr>
                <w:rFonts w:hint="eastAsia" w:ascii="仿宋" w:hAnsi="仿宋" w:eastAsia="仿宋" w:cs="仿宋"/>
                <w:color w:val="auto"/>
                <w:sz w:val="18"/>
                <w:szCs w:val="18"/>
                <w:highlight w:val="none"/>
              </w:rPr>
            </w:pPr>
            <w:r>
              <w:rPr>
                <w:rFonts w:hint="eastAsia" w:ascii="仿宋" w:hAnsi="仿宋" w:eastAsia="仿宋" w:cs="仿宋"/>
                <w:b/>
                <w:color w:val="auto"/>
                <w:highlight w:val="none"/>
                <w:u w:val="single"/>
              </w:rPr>
              <w:t>工程施工阶段的监理酬金中包含监理人现场监理服务费，项目总监、项目总监代表、造价人员、资料员的现场监理服务费根据现场到位情况进行计量考核，计量考核原则按委托监理协议书的相关约定执行。</w:t>
            </w:r>
          </w:p>
        </w:tc>
      </w:tr>
      <w:tr w14:paraId="325F3CDA">
        <w:tblPrEx>
          <w:tblCellMar>
            <w:top w:w="0" w:type="dxa"/>
            <w:left w:w="108" w:type="dxa"/>
            <w:bottom w:w="0" w:type="dxa"/>
            <w:right w:w="108" w:type="dxa"/>
          </w:tblCellMar>
        </w:tblPrEx>
        <w:trPr>
          <w:cantSplit/>
          <w:trHeight w:val="719"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3042FADA">
            <w:pPr>
              <w:pStyle w:val="88"/>
              <w:rPr>
                <w:rFonts w:hint="eastAsia" w:ascii="仿宋" w:hAnsi="仿宋" w:eastAsia="仿宋" w:cs="仿宋"/>
                <w:color w:val="auto"/>
                <w:sz w:val="18"/>
                <w:szCs w:val="18"/>
                <w:highlight w:val="none"/>
              </w:rPr>
            </w:pPr>
            <w:bookmarkStart w:id="290" w:name="OLE_LINK6" w:colFirst="4" w:colLast="4"/>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2DF30829">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53F70C4B">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1EF72A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E3BDACC">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1700528">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9CC504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提交《对承包人提交的施工组织设计方案变更的审查报告》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0B43353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9B24D0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0DF993C4">
        <w:tblPrEx>
          <w:tblCellMar>
            <w:top w:w="0" w:type="dxa"/>
            <w:left w:w="108" w:type="dxa"/>
            <w:bottom w:w="0" w:type="dxa"/>
            <w:right w:w="108" w:type="dxa"/>
          </w:tblCellMar>
        </w:tblPrEx>
        <w:trPr>
          <w:cantSplit/>
          <w:trHeight w:val="63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0C5F7E0E">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30833937">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151E66E0">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5D39840B">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801834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444507D">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C1CC1C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提交各分部工程施工方案</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6BCAADB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以承包人放线测量成果获得委托人认可要求为考核条件。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506E65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78F00E0E">
        <w:tblPrEx>
          <w:tblCellMar>
            <w:top w:w="0" w:type="dxa"/>
            <w:left w:w="108" w:type="dxa"/>
            <w:bottom w:w="0" w:type="dxa"/>
            <w:right w:w="108" w:type="dxa"/>
          </w:tblCellMar>
        </w:tblPrEx>
        <w:trPr>
          <w:cantSplit/>
          <w:trHeight w:val="392"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2573A81B">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7A3F01F3">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7C3F2D49">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43A4EE4A">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143213B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16D652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58EFEDE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完善《旁站监理记录》；《监理日记》； </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5CEAECDE">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以当期进场到货之验收报告均已提交为考核要件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4453D7C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55D970CB">
        <w:tblPrEx>
          <w:tblCellMar>
            <w:top w:w="0" w:type="dxa"/>
            <w:left w:w="108" w:type="dxa"/>
            <w:bottom w:w="0" w:type="dxa"/>
            <w:right w:w="108" w:type="dxa"/>
          </w:tblCellMar>
        </w:tblPrEx>
        <w:trPr>
          <w:cantSplit/>
          <w:trHeight w:val="55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305E34FB">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20613CBA">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71941C96">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0065A724">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7CCC83D">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09B536C">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5FF3325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按月提交材料报审及见证送检情况</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66D7D5C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以当期需要实施旁站监理的关键部位、关键工序的相关记录文件的提交及监理日记的完整性为考核条件。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ED01FC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628A0E9D">
        <w:tblPrEx>
          <w:tblCellMar>
            <w:top w:w="0" w:type="dxa"/>
            <w:left w:w="108" w:type="dxa"/>
            <w:bottom w:w="0" w:type="dxa"/>
            <w:right w:w="108" w:type="dxa"/>
          </w:tblCellMar>
        </w:tblPrEx>
        <w:trPr>
          <w:cantSplit/>
          <w:trHeight w:val="313"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3ECF120F">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41C73793">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58DE939A">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C0CE579">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7211CD0F">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964AA7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4DFA08D1">
            <w:pPr>
              <w:pStyle w:val="88"/>
              <w:rPr>
                <w:rFonts w:ascii="仿宋" w:hAnsi="仿宋" w:eastAsia="仿宋" w:cs="仿宋"/>
                <w:color w:val="auto"/>
                <w:sz w:val="18"/>
                <w:szCs w:val="18"/>
                <w:highlight w:val="none"/>
              </w:rPr>
            </w:pPr>
            <w:r>
              <w:rPr>
                <w:rFonts w:hint="eastAsia" w:ascii="仿宋" w:hAnsi="仿宋" w:eastAsia="仿宋" w:cs="仿宋"/>
                <w:color w:val="auto"/>
                <w:sz w:val="18"/>
                <w:szCs w:val="18"/>
                <w:highlight w:val="none"/>
              </w:rPr>
              <w:t>督促施工方提交机电管线综合施工BIM专项施工样板及施工方案，并按方案监督</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0B3039D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以当期相关验评记录经委托检查认可为考核标准</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6AD08D9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4436F6CC">
        <w:tblPrEx>
          <w:tblCellMar>
            <w:top w:w="0" w:type="dxa"/>
            <w:left w:w="108" w:type="dxa"/>
            <w:bottom w:w="0" w:type="dxa"/>
            <w:right w:w="108" w:type="dxa"/>
          </w:tblCellMar>
        </w:tblPrEx>
        <w:trPr>
          <w:cantSplit/>
          <w:trHeight w:val="601"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469823C2">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75D05E91">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6AB2ADC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867ED5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2FFBE58">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58746D6">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CDEB4F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督促施工方提交各重要分部工程样板引路制度，并按制度验收</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3BCED18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以当期相关验评记录经委托检查认可为考核标准</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2A855DD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60D82D39">
        <w:tblPrEx>
          <w:tblCellMar>
            <w:top w:w="0" w:type="dxa"/>
            <w:left w:w="108" w:type="dxa"/>
            <w:bottom w:w="0" w:type="dxa"/>
            <w:right w:w="108" w:type="dxa"/>
          </w:tblCellMar>
        </w:tblPrEx>
        <w:trPr>
          <w:cantSplit/>
          <w:trHeight w:val="29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760EC058">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56B16B2D">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4" w:space="0"/>
              <w:right w:val="single" w:color="auto" w:sz="6" w:space="0"/>
            </w:tcBorders>
            <w:noWrap w:val="0"/>
            <w:vAlign w:val="top"/>
          </w:tcPr>
          <w:p w14:paraId="3D9BB4D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94204CE">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1A86E7C9">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008EAE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0EFC2FF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按月提交《建设单位质量管理检查月报》《行业主管部门质量监管情况月报》</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07AABB7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以提交的《月度施工质量检查报告》获的委托人认可为考核条件。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6920DBCE">
            <w:pPr>
              <w:pStyle w:val="88"/>
              <w:rPr>
                <w:rFonts w:hint="eastAsia" w:ascii="仿宋" w:hAnsi="仿宋" w:eastAsia="仿宋" w:cs="仿宋"/>
                <w:color w:val="auto"/>
                <w:w w:val="90"/>
                <w:sz w:val="18"/>
                <w:szCs w:val="18"/>
                <w:highlight w:val="none"/>
              </w:rPr>
            </w:pPr>
            <w:r>
              <w:rPr>
                <w:rFonts w:hint="eastAsia" w:ascii="仿宋" w:hAnsi="仿宋" w:eastAsia="仿宋" w:cs="仿宋"/>
                <w:color w:val="auto"/>
                <w:w w:val="90"/>
                <w:sz w:val="18"/>
                <w:szCs w:val="18"/>
                <w:highlight w:val="none"/>
              </w:rPr>
              <w:t>按工期分摊考核，如当期发生相关违约确认，则同时参照合同</w:t>
            </w:r>
            <w:r>
              <w:rPr>
                <w:rFonts w:hint="eastAsia" w:ascii="仿宋" w:hAnsi="仿宋" w:eastAsia="仿宋" w:cs="仿宋"/>
                <w:color w:val="auto"/>
                <w:w w:val="90"/>
                <w:sz w:val="18"/>
                <w:szCs w:val="18"/>
                <w:highlight w:val="none"/>
                <w:u w:val="wave"/>
              </w:rPr>
              <w:t>专用条款</w:t>
            </w:r>
            <w:r>
              <w:rPr>
                <w:rFonts w:hint="eastAsia" w:ascii="仿宋" w:hAnsi="仿宋" w:eastAsia="仿宋" w:cs="仿宋"/>
                <w:color w:val="auto"/>
                <w:w w:val="90"/>
                <w:sz w:val="18"/>
                <w:szCs w:val="18"/>
                <w:highlight w:val="none"/>
              </w:rPr>
              <w:t>中的相关约定扣除违约金。</w:t>
            </w:r>
          </w:p>
        </w:tc>
      </w:tr>
      <w:tr w14:paraId="7D1DC0D2">
        <w:tblPrEx>
          <w:tblCellMar>
            <w:top w:w="0" w:type="dxa"/>
            <w:left w:w="108" w:type="dxa"/>
            <w:bottom w:w="0" w:type="dxa"/>
            <w:right w:w="108" w:type="dxa"/>
          </w:tblCellMar>
        </w:tblPrEx>
        <w:trPr>
          <w:cantSplit/>
          <w:trHeight w:val="578" w:hRule="atLeast"/>
        </w:trPr>
        <w:tc>
          <w:tcPr>
            <w:tcW w:w="511" w:type="dxa"/>
            <w:vMerge w:val="continue"/>
            <w:tcBorders>
              <w:left w:val="single" w:color="auto" w:sz="4" w:space="0"/>
              <w:bottom w:val="single" w:color="auto" w:sz="4" w:space="0"/>
              <w:right w:val="single" w:color="auto" w:sz="4" w:space="0"/>
            </w:tcBorders>
            <w:noWrap w:val="0"/>
            <w:vAlign w:val="center"/>
          </w:tcPr>
          <w:p w14:paraId="5645F110">
            <w:pPr>
              <w:pStyle w:val="88"/>
              <w:rPr>
                <w:rFonts w:hint="eastAsia" w:ascii="仿宋" w:hAnsi="仿宋" w:eastAsia="仿宋" w:cs="仿宋"/>
                <w:color w:val="auto"/>
                <w:sz w:val="18"/>
                <w:szCs w:val="18"/>
                <w:highlight w:val="none"/>
              </w:rPr>
            </w:pPr>
          </w:p>
        </w:tc>
        <w:tc>
          <w:tcPr>
            <w:tcW w:w="538" w:type="dxa"/>
            <w:vMerge w:val="restart"/>
            <w:tcBorders>
              <w:top w:val="single" w:color="auto" w:sz="4" w:space="0"/>
              <w:left w:val="single" w:color="auto" w:sz="4" w:space="0"/>
              <w:bottom w:val="single" w:color="auto" w:sz="6" w:space="0"/>
              <w:right w:val="single" w:color="auto" w:sz="6" w:space="0"/>
            </w:tcBorders>
            <w:noWrap w:val="0"/>
            <w:vAlign w:val="center"/>
          </w:tcPr>
          <w:p w14:paraId="00C2ADE2">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造</w:t>
            </w:r>
          </w:p>
          <w:p w14:paraId="30EF2BB5">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价</w:t>
            </w:r>
          </w:p>
          <w:p w14:paraId="4128CC9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0631E558">
            <w:pPr>
              <w:pStyle w:val="88"/>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382" w:type="dxa"/>
            <w:gridSpan w:val="2"/>
            <w:tcBorders>
              <w:top w:val="single" w:color="auto" w:sz="4" w:space="0"/>
              <w:left w:val="single" w:color="auto" w:sz="6" w:space="0"/>
              <w:bottom w:val="nil"/>
              <w:right w:val="single" w:color="auto" w:sz="6" w:space="0"/>
            </w:tcBorders>
            <w:noWrap w:val="0"/>
            <w:vAlign w:val="top"/>
          </w:tcPr>
          <w:p w14:paraId="24F7429A">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EA0559A">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55D982E">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6E789F5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24B9305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按月提交工程款考核建议报告（连资金考核计划）</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77F1D54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当月之考核报告获得委托人认可为考核条件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228FE4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按工期分摊考核，，如当期发生相关违约确认，则同时参照合同专用条款中的相关约定扣除违约金。</w:t>
            </w:r>
          </w:p>
        </w:tc>
      </w:tr>
      <w:tr w14:paraId="5CBCA2FA">
        <w:tblPrEx>
          <w:tblCellMar>
            <w:top w:w="0" w:type="dxa"/>
            <w:left w:w="108" w:type="dxa"/>
            <w:bottom w:w="0" w:type="dxa"/>
            <w:right w:w="108" w:type="dxa"/>
          </w:tblCellMar>
        </w:tblPrEx>
        <w:trPr>
          <w:cantSplit/>
          <w:trHeight w:val="444" w:hRule="atLeast"/>
        </w:trPr>
        <w:tc>
          <w:tcPr>
            <w:tcW w:w="511" w:type="dxa"/>
            <w:vMerge w:val="continue"/>
            <w:tcBorders>
              <w:left w:val="single" w:color="auto" w:sz="4" w:space="0"/>
              <w:bottom w:val="single" w:color="auto" w:sz="4" w:space="0"/>
              <w:right w:val="single" w:color="auto" w:sz="4" w:space="0"/>
            </w:tcBorders>
            <w:noWrap w:val="0"/>
            <w:vAlign w:val="top"/>
          </w:tcPr>
          <w:p w14:paraId="4CFEA4A2">
            <w:pPr>
              <w:pStyle w:val="88"/>
              <w:rPr>
                <w:rFonts w:hint="eastAsia" w:ascii="仿宋" w:hAnsi="仿宋" w:eastAsia="仿宋" w:cs="仿宋"/>
                <w:color w:val="auto"/>
                <w:sz w:val="18"/>
                <w:szCs w:val="18"/>
                <w:highlight w:val="none"/>
              </w:rPr>
            </w:pPr>
          </w:p>
        </w:tc>
        <w:tc>
          <w:tcPr>
            <w:tcW w:w="538" w:type="dxa"/>
            <w:vMerge w:val="continue"/>
            <w:tcBorders>
              <w:top w:val="single" w:color="auto" w:sz="6" w:space="0"/>
              <w:left w:val="single" w:color="auto" w:sz="4" w:space="0"/>
              <w:bottom w:val="single" w:color="auto" w:sz="6" w:space="0"/>
              <w:right w:val="single" w:color="auto" w:sz="6" w:space="0"/>
            </w:tcBorders>
            <w:noWrap w:val="0"/>
            <w:vAlign w:val="top"/>
          </w:tcPr>
          <w:p w14:paraId="12B3F78E">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6" w:space="0"/>
              <w:bottom w:val="single" w:color="auto" w:sz="6" w:space="0"/>
              <w:right w:val="single" w:color="auto" w:sz="6" w:space="0"/>
            </w:tcBorders>
            <w:noWrap w:val="0"/>
            <w:vAlign w:val="top"/>
          </w:tcPr>
          <w:p w14:paraId="4C3C2FD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65350E2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B32EA3F">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9F287D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2218E9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按月提交《当月造价风险分析报告》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06EFFDE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以当月报告获得委托人认可为考核条件。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520C7E2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D9E2C19">
        <w:tblPrEx>
          <w:tblCellMar>
            <w:top w:w="0" w:type="dxa"/>
            <w:left w:w="108" w:type="dxa"/>
            <w:bottom w:w="0" w:type="dxa"/>
            <w:right w:w="108" w:type="dxa"/>
          </w:tblCellMar>
        </w:tblPrEx>
        <w:trPr>
          <w:cantSplit/>
          <w:trHeight w:val="492" w:hRule="atLeast"/>
        </w:trPr>
        <w:tc>
          <w:tcPr>
            <w:tcW w:w="511" w:type="dxa"/>
            <w:vMerge w:val="continue"/>
            <w:tcBorders>
              <w:left w:val="single" w:color="auto" w:sz="4" w:space="0"/>
              <w:bottom w:val="single" w:color="auto" w:sz="6" w:space="0"/>
              <w:right w:val="single" w:color="auto" w:sz="4" w:space="0"/>
            </w:tcBorders>
            <w:noWrap w:val="0"/>
            <w:vAlign w:val="top"/>
          </w:tcPr>
          <w:p w14:paraId="526B9F30">
            <w:pPr>
              <w:pStyle w:val="88"/>
              <w:rPr>
                <w:rFonts w:hint="eastAsia" w:ascii="仿宋" w:hAnsi="仿宋" w:eastAsia="仿宋" w:cs="仿宋"/>
                <w:color w:val="auto"/>
                <w:sz w:val="18"/>
                <w:szCs w:val="18"/>
                <w:highlight w:val="none"/>
              </w:rPr>
            </w:pPr>
          </w:p>
        </w:tc>
        <w:tc>
          <w:tcPr>
            <w:tcW w:w="538" w:type="dxa"/>
            <w:vMerge w:val="continue"/>
            <w:tcBorders>
              <w:top w:val="single" w:color="auto" w:sz="6" w:space="0"/>
              <w:left w:val="single" w:color="auto" w:sz="4" w:space="0"/>
              <w:bottom w:val="single" w:color="auto" w:sz="6" w:space="0"/>
              <w:right w:val="single" w:color="auto" w:sz="6" w:space="0"/>
            </w:tcBorders>
            <w:noWrap w:val="0"/>
            <w:vAlign w:val="top"/>
          </w:tcPr>
          <w:p w14:paraId="10CE679C">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6" w:space="0"/>
              <w:bottom w:val="single" w:color="auto" w:sz="6" w:space="0"/>
              <w:right w:val="single" w:color="auto" w:sz="6" w:space="0"/>
            </w:tcBorders>
            <w:noWrap w:val="0"/>
            <w:vAlign w:val="top"/>
          </w:tcPr>
          <w:p w14:paraId="2E7EB98A">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7B0479F8">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89F928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F966169">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1F6FADEE">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审核工程进度款、结算</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1337508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71ABF4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1C7EA9F">
        <w:tblPrEx>
          <w:tblCellMar>
            <w:top w:w="0" w:type="dxa"/>
            <w:left w:w="108" w:type="dxa"/>
            <w:bottom w:w="0" w:type="dxa"/>
            <w:right w:w="108" w:type="dxa"/>
          </w:tblCellMar>
        </w:tblPrEx>
        <w:trPr>
          <w:cantSplit/>
          <w:trHeight w:val="1361" w:hRule="atLeast"/>
        </w:trPr>
        <w:tc>
          <w:tcPr>
            <w:tcW w:w="511" w:type="dxa"/>
            <w:vMerge w:val="restart"/>
            <w:tcBorders>
              <w:top w:val="single" w:color="auto" w:sz="4" w:space="0"/>
              <w:left w:val="single" w:color="auto" w:sz="4" w:space="0"/>
              <w:right w:val="single" w:color="auto" w:sz="4" w:space="0"/>
            </w:tcBorders>
            <w:noWrap w:val="0"/>
            <w:vAlign w:val="center"/>
          </w:tcPr>
          <w:p w14:paraId="15C7406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p w14:paraId="0C2BD3B7">
            <w:pPr>
              <w:pStyle w:val="88"/>
              <w:rPr>
                <w:rFonts w:hint="eastAsia" w:ascii="仿宋" w:hAnsi="仿宋" w:eastAsia="仿宋" w:cs="仿宋"/>
                <w:color w:val="auto"/>
                <w:sz w:val="18"/>
                <w:szCs w:val="18"/>
                <w:highlight w:val="none"/>
              </w:rPr>
            </w:pPr>
          </w:p>
        </w:tc>
        <w:tc>
          <w:tcPr>
            <w:tcW w:w="538" w:type="dxa"/>
            <w:vMerge w:val="restart"/>
            <w:tcBorders>
              <w:top w:val="single" w:color="auto" w:sz="6" w:space="0"/>
              <w:left w:val="single" w:color="auto" w:sz="4" w:space="0"/>
              <w:bottom w:val="single" w:color="auto" w:sz="4" w:space="0"/>
              <w:right w:val="single" w:color="auto" w:sz="4" w:space="0"/>
            </w:tcBorders>
            <w:noWrap w:val="0"/>
            <w:vAlign w:val="center"/>
          </w:tcPr>
          <w:p w14:paraId="7E765F30">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造</w:t>
            </w:r>
          </w:p>
          <w:p w14:paraId="72531070">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价</w:t>
            </w:r>
          </w:p>
          <w:p w14:paraId="4D0535B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163EB43C">
            <w:pPr>
              <w:pStyle w:val="88"/>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382" w:type="dxa"/>
            <w:gridSpan w:val="2"/>
            <w:tcBorders>
              <w:top w:val="single" w:color="000000" w:sz="2" w:space="0"/>
              <w:left w:val="single" w:color="auto" w:sz="4" w:space="0"/>
              <w:bottom w:val="single" w:color="000000" w:sz="2" w:space="0"/>
              <w:right w:val="single" w:color="auto" w:sz="6" w:space="0"/>
            </w:tcBorders>
            <w:noWrap w:val="0"/>
            <w:vAlign w:val="top"/>
          </w:tcPr>
          <w:p w14:paraId="106EA2E8">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85B2657">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0B3A889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DC6662F">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A8DBE1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针对该epc项目审核项目变更预算变化并提出合理建议，并按月提交《月度工程变更造价审核统计表（含设计变更、工程签证）》</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77A295A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发生变更后，如当月经委托人确定的工程变更的总价变更金额较监理人的确定的总价金额存在10%以上的差异的情况累计出现3宗以上，视作监理人对完成合同约定工作的承诺的违反。扣除当月该项工作的监理酬金。</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5DC3B7D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按工期分摊考核。同时参照合同专用条款的相关约定扣除违约金。</w:t>
            </w:r>
          </w:p>
        </w:tc>
      </w:tr>
      <w:tr w14:paraId="64141427">
        <w:tblPrEx>
          <w:tblCellMar>
            <w:top w:w="0" w:type="dxa"/>
            <w:left w:w="108" w:type="dxa"/>
            <w:bottom w:w="0" w:type="dxa"/>
            <w:right w:w="108" w:type="dxa"/>
          </w:tblCellMar>
        </w:tblPrEx>
        <w:trPr>
          <w:cantSplit/>
          <w:trHeight w:val="997" w:hRule="atLeast"/>
        </w:trPr>
        <w:tc>
          <w:tcPr>
            <w:tcW w:w="511" w:type="dxa"/>
            <w:vMerge w:val="continue"/>
            <w:tcBorders>
              <w:left w:val="single" w:color="auto" w:sz="4" w:space="0"/>
              <w:right w:val="single" w:color="auto" w:sz="4" w:space="0"/>
            </w:tcBorders>
            <w:noWrap w:val="0"/>
            <w:vAlign w:val="top"/>
          </w:tcPr>
          <w:p w14:paraId="3EEEF562">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5040A2F8">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auto" w:sz="6" w:space="0"/>
              <w:right w:val="single" w:color="auto" w:sz="6" w:space="0"/>
            </w:tcBorders>
            <w:noWrap w:val="0"/>
            <w:vAlign w:val="top"/>
          </w:tcPr>
          <w:p w14:paraId="2439E71C">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1C9479E6">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C68ECC9">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F284B45">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4564D0E">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针对项目暂列金额、暂估价使用情况进行动态更新，原则上每季度提交相关情况报告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3E2D177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当期无发生，直接按分摊酬金金额考核；如在提交分项结算期限之前监理人未能履行积极督促的义务则扣除当月该项工作的酬金。</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391BCD8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576344E2">
        <w:tblPrEx>
          <w:tblCellMar>
            <w:top w:w="0" w:type="dxa"/>
            <w:left w:w="108" w:type="dxa"/>
            <w:bottom w:w="0" w:type="dxa"/>
            <w:right w:w="108" w:type="dxa"/>
          </w:tblCellMar>
        </w:tblPrEx>
        <w:trPr>
          <w:cantSplit/>
          <w:trHeight w:val="321" w:hRule="atLeast"/>
        </w:trPr>
        <w:tc>
          <w:tcPr>
            <w:tcW w:w="511" w:type="dxa"/>
            <w:vMerge w:val="continue"/>
            <w:tcBorders>
              <w:left w:val="single" w:color="auto" w:sz="4" w:space="0"/>
              <w:right w:val="single" w:color="auto" w:sz="4" w:space="0"/>
            </w:tcBorders>
            <w:noWrap w:val="0"/>
            <w:vAlign w:val="center"/>
          </w:tcPr>
          <w:p w14:paraId="6DAE01C9">
            <w:pPr>
              <w:pStyle w:val="88"/>
              <w:rPr>
                <w:rFonts w:hint="eastAsia" w:ascii="仿宋" w:hAnsi="仿宋" w:eastAsia="仿宋" w:cs="仿宋"/>
                <w:color w:val="auto"/>
                <w:sz w:val="18"/>
                <w:szCs w:val="18"/>
                <w:highlight w:val="none"/>
              </w:rPr>
            </w:pPr>
          </w:p>
        </w:tc>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14:paraId="1A81F14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进</w:t>
            </w:r>
          </w:p>
          <w:p w14:paraId="67C982B6">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度</w:t>
            </w:r>
          </w:p>
          <w:p w14:paraId="74BF83E4">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0DC66D41">
            <w:pPr>
              <w:pStyle w:val="88"/>
              <w:ind w:firstLine="90" w:firstLineChars="5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382" w:type="dxa"/>
            <w:gridSpan w:val="2"/>
            <w:tcBorders>
              <w:top w:val="single" w:color="auto" w:sz="6" w:space="0"/>
              <w:left w:val="single" w:color="auto" w:sz="4" w:space="0"/>
              <w:bottom w:val="nil"/>
              <w:right w:val="single" w:color="auto" w:sz="6" w:space="0"/>
            </w:tcBorders>
            <w:noWrap w:val="0"/>
            <w:vAlign w:val="center"/>
          </w:tcPr>
          <w:p w14:paraId="0DED3F11">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183ADE32">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0606B1B7">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9AA699C">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42D4F2E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原则上每周召开工程例会，并根据需要召开专题会议</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170DA97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当月进度控制方案获得委托人认可后考核。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2A99DFE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5324C2B2">
        <w:tblPrEx>
          <w:tblCellMar>
            <w:top w:w="0" w:type="dxa"/>
            <w:left w:w="108" w:type="dxa"/>
            <w:bottom w:w="0" w:type="dxa"/>
            <w:right w:w="108" w:type="dxa"/>
          </w:tblCellMar>
        </w:tblPrEx>
        <w:trPr>
          <w:cantSplit/>
          <w:trHeight w:val="554" w:hRule="atLeast"/>
        </w:trPr>
        <w:tc>
          <w:tcPr>
            <w:tcW w:w="511" w:type="dxa"/>
            <w:vMerge w:val="continue"/>
            <w:tcBorders>
              <w:left w:val="single" w:color="auto" w:sz="4" w:space="0"/>
              <w:right w:val="single" w:color="auto" w:sz="4" w:space="0"/>
            </w:tcBorders>
            <w:noWrap w:val="0"/>
            <w:vAlign w:val="top"/>
          </w:tcPr>
          <w:p w14:paraId="7827CE4D">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31A9FA37">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5A17E76B">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06686974">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5FE24915">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BB9238E">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53B9D24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按月提交《进度控制方案》《进度风险分析报告》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57FF3DA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以当月之报告获得委托人认可为考核条件。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008D718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3F55C869">
        <w:tblPrEx>
          <w:tblCellMar>
            <w:top w:w="0" w:type="dxa"/>
            <w:left w:w="108" w:type="dxa"/>
            <w:bottom w:w="0" w:type="dxa"/>
            <w:right w:w="108" w:type="dxa"/>
          </w:tblCellMar>
        </w:tblPrEx>
        <w:trPr>
          <w:cantSplit/>
          <w:trHeight w:val="265" w:hRule="atLeast"/>
        </w:trPr>
        <w:tc>
          <w:tcPr>
            <w:tcW w:w="511" w:type="dxa"/>
            <w:vMerge w:val="continue"/>
            <w:tcBorders>
              <w:left w:val="single" w:color="auto" w:sz="4" w:space="0"/>
              <w:right w:val="single" w:color="auto" w:sz="4" w:space="0"/>
            </w:tcBorders>
            <w:noWrap w:val="0"/>
            <w:vAlign w:val="top"/>
          </w:tcPr>
          <w:p w14:paraId="33BEA434">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06E2B55B">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09F73EA3">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71F2599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75EB8BE6">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52CDDEA">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22CD90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按月提交《进度纠偏建议报告》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7D57109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54CC4C3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5FD933C8">
        <w:tblPrEx>
          <w:tblCellMar>
            <w:top w:w="0" w:type="dxa"/>
            <w:left w:w="108" w:type="dxa"/>
            <w:bottom w:w="0" w:type="dxa"/>
            <w:right w:w="108" w:type="dxa"/>
          </w:tblCellMar>
        </w:tblPrEx>
        <w:trPr>
          <w:cantSplit/>
          <w:trHeight w:val="1321" w:hRule="atLeast"/>
        </w:trPr>
        <w:tc>
          <w:tcPr>
            <w:tcW w:w="511" w:type="dxa"/>
            <w:vMerge w:val="continue"/>
            <w:tcBorders>
              <w:left w:val="single" w:color="auto" w:sz="4" w:space="0"/>
              <w:bottom w:val="single" w:color="auto" w:sz="4" w:space="0"/>
              <w:right w:val="single" w:color="auto" w:sz="4" w:space="0"/>
            </w:tcBorders>
            <w:noWrap w:val="0"/>
            <w:vAlign w:val="top"/>
          </w:tcPr>
          <w:p w14:paraId="343CA322">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312DBAC6">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2C05FDC5">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181978EA">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5E366717">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711E1D5">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493E7BA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按月提交《项目建设进展及存在问题专项汇报（月报）》</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34F4B92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6FD7AC8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按工期分摊考核，如当期发生相关违约确认，则同时参照合同专用条款中的相关约定扣除违约费用。</w:t>
            </w:r>
          </w:p>
        </w:tc>
      </w:tr>
      <w:tr w14:paraId="2251BF09">
        <w:tblPrEx>
          <w:tblCellMar>
            <w:top w:w="0" w:type="dxa"/>
            <w:left w:w="108" w:type="dxa"/>
            <w:bottom w:w="0" w:type="dxa"/>
            <w:right w:w="108" w:type="dxa"/>
          </w:tblCellMar>
        </w:tblPrEx>
        <w:trPr>
          <w:cantSplit/>
          <w:trHeight w:val="276" w:hRule="atLeast"/>
        </w:trPr>
        <w:tc>
          <w:tcPr>
            <w:tcW w:w="511" w:type="dxa"/>
            <w:vMerge w:val="restart"/>
            <w:tcBorders>
              <w:top w:val="single" w:color="auto" w:sz="4" w:space="0"/>
              <w:left w:val="single" w:color="auto" w:sz="4" w:space="0"/>
              <w:bottom w:val="single" w:color="auto" w:sz="4" w:space="0"/>
              <w:right w:val="single" w:color="auto" w:sz="4" w:space="0"/>
            </w:tcBorders>
            <w:noWrap w:val="0"/>
            <w:vAlign w:val="center"/>
          </w:tcPr>
          <w:p w14:paraId="12AE1F42">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tc>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14:paraId="723826A8">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安</w:t>
            </w:r>
          </w:p>
          <w:p w14:paraId="5CA8DE01">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全</w:t>
            </w:r>
          </w:p>
          <w:p w14:paraId="03012F5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62B5625B">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382" w:type="dxa"/>
            <w:gridSpan w:val="2"/>
            <w:tcBorders>
              <w:top w:val="single" w:color="auto" w:sz="6" w:space="0"/>
              <w:left w:val="single" w:color="auto" w:sz="4" w:space="0"/>
              <w:bottom w:val="nil"/>
              <w:right w:val="single" w:color="auto" w:sz="6" w:space="0"/>
            </w:tcBorders>
            <w:noWrap w:val="0"/>
            <w:vAlign w:val="center"/>
          </w:tcPr>
          <w:p w14:paraId="7A09683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7E2D886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043C73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15BC92E">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145201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提交《安全监理实施细则（含重大危险源、防疫安全、文明绿色施工防护方面）》</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6115AF9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2893DE8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7C59AF36">
        <w:tblPrEx>
          <w:tblCellMar>
            <w:top w:w="0" w:type="dxa"/>
            <w:left w:w="108" w:type="dxa"/>
            <w:bottom w:w="0" w:type="dxa"/>
            <w:right w:w="108" w:type="dxa"/>
          </w:tblCellMar>
        </w:tblPrEx>
        <w:trPr>
          <w:cantSplit/>
          <w:trHeight w:val="554"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6C34782D">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6EA3F97E">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11516A01">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47534CEF">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0F0D416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3192C2E">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B21255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提交《项目重大危险源专项方案及专家论证情况》</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4C096EC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以提交的《安全监理实施细则》且获得委托人认可为考核条件。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A6DB1C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C37A318">
        <w:tblPrEx>
          <w:tblCellMar>
            <w:top w:w="0" w:type="dxa"/>
            <w:left w:w="108" w:type="dxa"/>
            <w:bottom w:w="0" w:type="dxa"/>
            <w:right w:w="108" w:type="dxa"/>
          </w:tblCellMar>
        </w:tblPrEx>
        <w:trPr>
          <w:cantSplit/>
          <w:trHeight w:val="33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0EA96EC5">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6DB05913">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297E98D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5F5A751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5B4C4465">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B6A9D34">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E280F9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按月提交《行业主管部门安全监管情况月报》</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39E6539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49B9C283">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E4B2CB2">
        <w:tblPrEx>
          <w:tblCellMar>
            <w:top w:w="0" w:type="dxa"/>
            <w:left w:w="108" w:type="dxa"/>
            <w:bottom w:w="0" w:type="dxa"/>
            <w:right w:w="108" w:type="dxa"/>
          </w:tblCellMar>
        </w:tblPrEx>
        <w:trPr>
          <w:cantSplit/>
          <w:trHeight w:val="33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14920A33">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6888494E">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2AAA7576">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7A1D58E6">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4476A2B">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AA968D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95FD88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每周例会督促并审核施工方提交工程安全文明施工措施投入使用情况及材料入场计划。</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231BDD8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667F5B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2DB28F15">
        <w:tblPrEx>
          <w:tblCellMar>
            <w:top w:w="0" w:type="dxa"/>
            <w:left w:w="108" w:type="dxa"/>
            <w:bottom w:w="0" w:type="dxa"/>
            <w:right w:w="108" w:type="dxa"/>
          </w:tblCellMar>
        </w:tblPrEx>
        <w:trPr>
          <w:cantSplit/>
          <w:trHeight w:val="33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29273DB0">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304DC9A7">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5FA638C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249720FB">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514968B">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64BADF5">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486066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按月提交《建设单位安全生产检查月报》</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4722C89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389C78F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7CF1FE73">
        <w:tblPrEx>
          <w:tblCellMar>
            <w:top w:w="0" w:type="dxa"/>
            <w:left w:w="108" w:type="dxa"/>
            <w:bottom w:w="0" w:type="dxa"/>
            <w:right w:w="108" w:type="dxa"/>
          </w:tblCellMar>
        </w:tblPrEx>
        <w:trPr>
          <w:cantSplit/>
          <w:trHeight w:val="897" w:hRule="atLeast"/>
        </w:trPr>
        <w:tc>
          <w:tcPr>
            <w:tcW w:w="511" w:type="dxa"/>
            <w:vMerge w:val="restart"/>
            <w:tcBorders>
              <w:top w:val="single" w:color="auto" w:sz="4" w:space="0"/>
              <w:left w:val="single" w:color="auto" w:sz="4" w:space="0"/>
              <w:bottom w:val="single" w:color="auto" w:sz="4" w:space="0"/>
              <w:right w:val="single" w:color="auto" w:sz="4" w:space="0"/>
            </w:tcBorders>
            <w:noWrap w:val="0"/>
            <w:vAlign w:val="center"/>
          </w:tcPr>
          <w:p w14:paraId="47A8BBCA">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tc>
        <w:tc>
          <w:tcPr>
            <w:tcW w:w="538" w:type="dxa"/>
            <w:vMerge w:val="restart"/>
            <w:tcBorders>
              <w:top w:val="single" w:color="auto" w:sz="4" w:space="0"/>
              <w:left w:val="single" w:color="auto" w:sz="4" w:space="0"/>
              <w:bottom w:val="single" w:color="auto" w:sz="4" w:space="0"/>
              <w:right w:val="single" w:color="auto" w:sz="4" w:space="0"/>
            </w:tcBorders>
            <w:noWrap w:val="0"/>
            <w:vAlign w:val="center"/>
          </w:tcPr>
          <w:p w14:paraId="3CE0606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材</w:t>
            </w:r>
          </w:p>
          <w:p w14:paraId="4A5902ED">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料</w:t>
            </w:r>
          </w:p>
          <w:p w14:paraId="361CFCAE">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设</w:t>
            </w:r>
          </w:p>
          <w:p w14:paraId="6DC198CF">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备</w:t>
            </w:r>
          </w:p>
          <w:p w14:paraId="498D15B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控</w:t>
            </w:r>
          </w:p>
          <w:p w14:paraId="020C7A2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制</w:t>
            </w:r>
          </w:p>
        </w:tc>
        <w:tc>
          <w:tcPr>
            <w:tcW w:w="1382" w:type="dxa"/>
            <w:gridSpan w:val="2"/>
            <w:tcBorders>
              <w:top w:val="single" w:color="auto" w:sz="6" w:space="0"/>
              <w:left w:val="single" w:color="auto" w:sz="4" w:space="0"/>
              <w:bottom w:val="nil"/>
              <w:right w:val="single" w:color="auto" w:sz="6" w:space="0"/>
            </w:tcBorders>
            <w:noWrap w:val="0"/>
            <w:vAlign w:val="top"/>
          </w:tcPr>
          <w:p w14:paraId="0662C69E">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2643D4F">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16289B9">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8FC8AB9">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77AA5F0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对承包人编制的机电设备安装、调试、验收计划的审核报告</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1B6F6B4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委托人根据实际情况检查认可后且当月未有发生因该类材料设备引起的质量问题考核。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26DBD5C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w:t>
            </w:r>
            <w:r>
              <w:rPr>
                <w:rFonts w:hint="eastAsia" w:ascii="仿宋" w:hAnsi="仿宋" w:eastAsia="仿宋" w:cs="仿宋"/>
                <w:color w:val="auto"/>
                <w:sz w:val="18"/>
                <w:szCs w:val="18"/>
                <w:highlight w:val="none"/>
                <w:u w:val="wave"/>
              </w:rPr>
              <w:t>专用条款</w:t>
            </w:r>
            <w:r>
              <w:rPr>
                <w:rFonts w:hint="eastAsia" w:ascii="仿宋" w:hAnsi="仿宋" w:eastAsia="仿宋" w:cs="仿宋"/>
                <w:color w:val="auto"/>
                <w:sz w:val="18"/>
                <w:szCs w:val="18"/>
                <w:highlight w:val="none"/>
              </w:rPr>
              <w:t>中的相关约定扣除违约金。</w:t>
            </w:r>
          </w:p>
        </w:tc>
      </w:tr>
      <w:tr w14:paraId="4D0EDE05">
        <w:tblPrEx>
          <w:tblCellMar>
            <w:top w:w="0" w:type="dxa"/>
            <w:left w:w="108" w:type="dxa"/>
            <w:bottom w:w="0" w:type="dxa"/>
            <w:right w:w="108" w:type="dxa"/>
          </w:tblCellMar>
        </w:tblPrEx>
        <w:trPr>
          <w:cantSplit/>
          <w:trHeight w:val="711"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6B5F069F">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470A1FE8">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02436F1D">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6076414F">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53F178E7">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4C0AD49">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55F1FA2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每周例会督促并审核施工方提交工程材料设备使用、材料入场计划。</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51ADF81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委托人根据实际情况检查认可后且当月未有发生因该类材料设备引起的质量问题考核。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3BE6CCB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w:t>
            </w:r>
            <w:r>
              <w:rPr>
                <w:rFonts w:hint="eastAsia" w:ascii="仿宋" w:hAnsi="仿宋" w:eastAsia="仿宋" w:cs="仿宋"/>
                <w:color w:val="auto"/>
                <w:sz w:val="18"/>
                <w:szCs w:val="18"/>
                <w:highlight w:val="none"/>
                <w:u w:val="wave"/>
              </w:rPr>
              <w:t>专用条款</w:t>
            </w:r>
            <w:r>
              <w:rPr>
                <w:rFonts w:hint="eastAsia" w:ascii="仿宋" w:hAnsi="仿宋" w:eastAsia="仿宋" w:cs="仿宋"/>
                <w:color w:val="auto"/>
                <w:sz w:val="18"/>
                <w:szCs w:val="18"/>
                <w:highlight w:val="none"/>
              </w:rPr>
              <w:t>中的相关约定扣除违约费用。</w:t>
            </w:r>
          </w:p>
        </w:tc>
      </w:tr>
      <w:tr w14:paraId="627E4B18">
        <w:tblPrEx>
          <w:tblCellMar>
            <w:top w:w="0" w:type="dxa"/>
            <w:left w:w="108" w:type="dxa"/>
            <w:bottom w:w="0" w:type="dxa"/>
            <w:right w:w="108" w:type="dxa"/>
          </w:tblCellMar>
        </w:tblPrEx>
        <w:trPr>
          <w:cantSplit/>
          <w:trHeight w:val="866"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28A635B8">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2EC2605B">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673A29F5">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2FA23D5E">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319EF50">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FCF9229">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6474D62">
            <w:pP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对重要材料设备报审进行厂家考察、审核</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3364D9C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委托人根据实际情况检查认可后且当月未有发生因该类材料设备引起的质量问题考核。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8980C5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w:t>
            </w:r>
            <w:r>
              <w:rPr>
                <w:rFonts w:hint="eastAsia" w:ascii="仿宋" w:hAnsi="仿宋" w:eastAsia="仿宋" w:cs="仿宋"/>
                <w:color w:val="auto"/>
                <w:sz w:val="18"/>
                <w:szCs w:val="18"/>
                <w:highlight w:val="none"/>
                <w:u w:val="wave"/>
              </w:rPr>
              <w:t>专用条款</w:t>
            </w:r>
            <w:r>
              <w:rPr>
                <w:rFonts w:hint="eastAsia" w:ascii="仿宋" w:hAnsi="仿宋" w:eastAsia="仿宋" w:cs="仿宋"/>
                <w:color w:val="auto"/>
                <w:sz w:val="18"/>
                <w:szCs w:val="18"/>
                <w:highlight w:val="none"/>
              </w:rPr>
              <w:t>中的相关约定扣除违约费用。</w:t>
            </w:r>
          </w:p>
        </w:tc>
      </w:tr>
      <w:tr w14:paraId="62F6B20C">
        <w:tblPrEx>
          <w:tblCellMar>
            <w:top w:w="0" w:type="dxa"/>
            <w:left w:w="108" w:type="dxa"/>
            <w:bottom w:w="0" w:type="dxa"/>
            <w:right w:w="108" w:type="dxa"/>
          </w:tblCellMar>
        </w:tblPrEx>
        <w:trPr>
          <w:cantSplit/>
          <w:trHeight w:val="836"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top"/>
          </w:tcPr>
          <w:p w14:paraId="0D0E21A5">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top"/>
          </w:tcPr>
          <w:p w14:paraId="67413544">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top"/>
          </w:tcPr>
          <w:p w14:paraId="3460C7A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top"/>
          </w:tcPr>
          <w:p w14:paraId="7C496F12">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4BEC90DA">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011BDD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6AB8FE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提交材料定板制度</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215AA38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委托人根据实际情况检查认可后且当月未有发生因该类材料设备引起的质量问题考核。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44BA7B0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w:t>
            </w:r>
            <w:r>
              <w:rPr>
                <w:rFonts w:hint="eastAsia" w:ascii="仿宋" w:hAnsi="仿宋" w:eastAsia="仿宋" w:cs="仿宋"/>
                <w:color w:val="auto"/>
                <w:sz w:val="18"/>
                <w:szCs w:val="18"/>
                <w:highlight w:val="none"/>
                <w:u w:val="wave"/>
              </w:rPr>
              <w:t>专用条款</w:t>
            </w:r>
            <w:r>
              <w:rPr>
                <w:rFonts w:hint="eastAsia" w:ascii="仿宋" w:hAnsi="仿宋" w:eastAsia="仿宋" w:cs="仿宋"/>
                <w:color w:val="auto"/>
                <w:sz w:val="18"/>
                <w:szCs w:val="18"/>
                <w:highlight w:val="none"/>
              </w:rPr>
              <w:t>中的相关约定扣除违约费用。</w:t>
            </w:r>
          </w:p>
        </w:tc>
      </w:tr>
      <w:tr w14:paraId="39187586">
        <w:tblPrEx>
          <w:tblCellMar>
            <w:top w:w="0" w:type="dxa"/>
            <w:left w:w="108" w:type="dxa"/>
            <w:bottom w:w="0" w:type="dxa"/>
            <w:right w:w="108" w:type="dxa"/>
          </w:tblCellMar>
        </w:tblPrEx>
        <w:trPr>
          <w:cantSplit/>
          <w:trHeight w:val="508"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center"/>
          </w:tcPr>
          <w:p w14:paraId="7C3DB08F">
            <w:pPr>
              <w:pStyle w:val="88"/>
              <w:rPr>
                <w:rFonts w:hint="eastAsia" w:ascii="仿宋" w:hAnsi="仿宋" w:eastAsia="仿宋" w:cs="仿宋"/>
                <w:color w:val="auto"/>
                <w:sz w:val="18"/>
                <w:szCs w:val="18"/>
                <w:highlight w:val="none"/>
              </w:rPr>
            </w:pPr>
          </w:p>
        </w:tc>
        <w:tc>
          <w:tcPr>
            <w:tcW w:w="538" w:type="dxa"/>
            <w:vMerge w:val="continue"/>
            <w:tcBorders>
              <w:top w:val="single" w:color="auto" w:sz="4" w:space="0"/>
              <w:left w:val="single" w:color="auto" w:sz="4" w:space="0"/>
              <w:bottom w:val="single" w:color="auto" w:sz="4" w:space="0"/>
              <w:right w:val="single" w:color="auto" w:sz="4" w:space="0"/>
            </w:tcBorders>
            <w:noWrap w:val="0"/>
            <w:vAlign w:val="center"/>
          </w:tcPr>
          <w:p w14:paraId="2FB7306C">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4" w:space="0"/>
              <w:right w:val="single" w:color="auto" w:sz="6" w:space="0"/>
            </w:tcBorders>
            <w:noWrap w:val="0"/>
            <w:vAlign w:val="top"/>
          </w:tcPr>
          <w:p w14:paraId="2046625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4E33A56C">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35CC713">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29AA7D94">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02E9C2B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提交材料定板确认表并封存定板材料</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6ED5DB1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委托人根据实际情况检查认可后且当月未有发生因该类材料设备引起的质量问题考核。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2ABDB39E">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按工期分摊考核，同时参照合同</w:t>
            </w:r>
            <w:r>
              <w:rPr>
                <w:rFonts w:hint="eastAsia" w:ascii="仿宋" w:hAnsi="仿宋" w:eastAsia="仿宋" w:cs="仿宋"/>
                <w:color w:val="auto"/>
                <w:sz w:val="18"/>
                <w:szCs w:val="18"/>
                <w:highlight w:val="none"/>
                <w:u w:val="wave"/>
              </w:rPr>
              <w:t>专用条款</w:t>
            </w:r>
            <w:r>
              <w:rPr>
                <w:rFonts w:hint="eastAsia" w:ascii="仿宋" w:hAnsi="仿宋" w:eastAsia="仿宋" w:cs="仿宋"/>
                <w:color w:val="auto"/>
                <w:sz w:val="18"/>
                <w:szCs w:val="18"/>
                <w:highlight w:val="none"/>
              </w:rPr>
              <w:t>中的相关约定扣除违约费用。</w:t>
            </w:r>
          </w:p>
        </w:tc>
      </w:tr>
      <w:tr w14:paraId="07E056F6">
        <w:tblPrEx>
          <w:tblCellMar>
            <w:top w:w="0" w:type="dxa"/>
            <w:left w:w="108" w:type="dxa"/>
            <w:bottom w:w="0" w:type="dxa"/>
            <w:right w:w="108" w:type="dxa"/>
          </w:tblCellMar>
        </w:tblPrEx>
        <w:trPr>
          <w:cantSplit/>
          <w:trHeight w:val="334" w:hRule="atLeast"/>
        </w:trPr>
        <w:tc>
          <w:tcPr>
            <w:tcW w:w="511" w:type="dxa"/>
            <w:vMerge w:val="restart"/>
            <w:tcBorders>
              <w:top w:val="single" w:color="auto" w:sz="4" w:space="0"/>
              <w:left w:val="single" w:color="auto" w:sz="4" w:space="0"/>
              <w:right w:val="single" w:color="auto" w:sz="4" w:space="0"/>
            </w:tcBorders>
            <w:noWrap w:val="0"/>
            <w:vAlign w:val="center"/>
          </w:tcPr>
          <w:p w14:paraId="6418F09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tc>
        <w:tc>
          <w:tcPr>
            <w:tcW w:w="538" w:type="dxa"/>
            <w:vMerge w:val="restart"/>
            <w:tcBorders>
              <w:top w:val="single" w:color="auto" w:sz="4" w:space="0"/>
              <w:left w:val="single" w:color="auto" w:sz="4" w:space="0"/>
              <w:right w:val="single" w:color="auto" w:sz="4" w:space="0"/>
            </w:tcBorders>
            <w:noWrap w:val="0"/>
            <w:vAlign w:val="center"/>
          </w:tcPr>
          <w:p w14:paraId="13C4A64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合</w:t>
            </w:r>
          </w:p>
          <w:p w14:paraId="701C4F2D">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同</w:t>
            </w:r>
          </w:p>
          <w:p w14:paraId="622B074B">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管</w:t>
            </w:r>
          </w:p>
          <w:p w14:paraId="49BC420D">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理</w:t>
            </w:r>
          </w:p>
        </w:tc>
        <w:tc>
          <w:tcPr>
            <w:tcW w:w="1382" w:type="dxa"/>
            <w:gridSpan w:val="2"/>
            <w:tcBorders>
              <w:top w:val="single" w:color="auto" w:sz="6" w:space="0"/>
              <w:left w:val="single" w:color="auto" w:sz="4" w:space="0"/>
              <w:bottom w:val="nil"/>
              <w:right w:val="single" w:color="auto" w:sz="6" w:space="0"/>
            </w:tcBorders>
            <w:noWrap w:val="0"/>
            <w:vAlign w:val="center"/>
          </w:tcPr>
          <w:p w14:paraId="31B92F1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37EF7732">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4238942">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78B41F3">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5DF325C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提交《项目合同体系保证体系手册》</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17F2BFE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以提交的《项目合同体系保证体系手册》获得委托人认可为考核条件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44830C6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一次性按项考核</w:t>
            </w:r>
          </w:p>
        </w:tc>
      </w:tr>
      <w:tr w14:paraId="4CC39461">
        <w:tblPrEx>
          <w:tblCellMar>
            <w:top w:w="0" w:type="dxa"/>
            <w:left w:w="108" w:type="dxa"/>
            <w:bottom w:w="0" w:type="dxa"/>
            <w:right w:w="108" w:type="dxa"/>
          </w:tblCellMar>
        </w:tblPrEx>
        <w:trPr>
          <w:cantSplit/>
          <w:trHeight w:val="157" w:hRule="atLeast"/>
        </w:trPr>
        <w:tc>
          <w:tcPr>
            <w:tcW w:w="511" w:type="dxa"/>
            <w:vMerge w:val="continue"/>
            <w:tcBorders>
              <w:left w:val="single" w:color="auto" w:sz="4" w:space="0"/>
              <w:right w:val="single" w:color="auto" w:sz="4" w:space="0"/>
            </w:tcBorders>
            <w:noWrap w:val="0"/>
            <w:vAlign w:val="center"/>
          </w:tcPr>
          <w:p w14:paraId="35EC70AB">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5AD41DBC">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000000" w:sz="2" w:space="0"/>
              <w:right w:val="single" w:color="auto" w:sz="6" w:space="0"/>
            </w:tcBorders>
            <w:noWrap w:val="0"/>
            <w:vAlign w:val="center"/>
          </w:tcPr>
          <w:p w14:paraId="716B602F">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666ADAE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8BCADDC">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85516AA">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77BDB6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根据施工合同了解并提交《项目合同对于安全管理的主要约定条款》</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1C8DBF8B">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235777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52695ED">
        <w:tblPrEx>
          <w:tblCellMar>
            <w:top w:w="0" w:type="dxa"/>
            <w:left w:w="108" w:type="dxa"/>
            <w:bottom w:w="0" w:type="dxa"/>
            <w:right w:w="108" w:type="dxa"/>
          </w:tblCellMar>
        </w:tblPrEx>
        <w:trPr>
          <w:cantSplit/>
          <w:trHeight w:val="216" w:hRule="atLeast"/>
        </w:trPr>
        <w:tc>
          <w:tcPr>
            <w:tcW w:w="511" w:type="dxa"/>
            <w:vMerge w:val="continue"/>
            <w:tcBorders>
              <w:left w:val="single" w:color="auto" w:sz="4" w:space="0"/>
              <w:right w:val="single" w:color="auto" w:sz="4" w:space="0"/>
            </w:tcBorders>
            <w:noWrap w:val="0"/>
            <w:vAlign w:val="center"/>
          </w:tcPr>
          <w:p w14:paraId="510C163B">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02AF4CDE">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000000" w:sz="2" w:space="0"/>
              <w:right w:val="single" w:color="auto" w:sz="6" w:space="0"/>
            </w:tcBorders>
            <w:noWrap w:val="0"/>
            <w:vAlign w:val="center"/>
          </w:tcPr>
          <w:p w14:paraId="0111664E">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3AD081D9">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F61987E">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82A4016">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6F273E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根据施工合同了解并提交《项目合同对于质量管理的主要约定条款》</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5E729B3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01DFFAB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1C41BAD8">
        <w:tblPrEx>
          <w:tblCellMar>
            <w:top w:w="0" w:type="dxa"/>
            <w:left w:w="108" w:type="dxa"/>
            <w:bottom w:w="0" w:type="dxa"/>
            <w:right w:w="108" w:type="dxa"/>
          </w:tblCellMar>
        </w:tblPrEx>
        <w:trPr>
          <w:cantSplit/>
          <w:trHeight w:val="121" w:hRule="atLeast"/>
        </w:trPr>
        <w:tc>
          <w:tcPr>
            <w:tcW w:w="511" w:type="dxa"/>
            <w:vMerge w:val="continue"/>
            <w:tcBorders>
              <w:left w:val="single" w:color="auto" w:sz="4" w:space="0"/>
              <w:right w:val="single" w:color="auto" w:sz="4" w:space="0"/>
            </w:tcBorders>
            <w:noWrap w:val="0"/>
            <w:vAlign w:val="center"/>
          </w:tcPr>
          <w:p w14:paraId="3CD999EB">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0C65D6C9">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000000" w:sz="2" w:space="0"/>
              <w:right w:val="single" w:color="auto" w:sz="6" w:space="0"/>
            </w:tcBorders>
            <w:noWrap w:val="0"/>
            <w:vAlign w:val="center"/>
          </w:tcPr>
          <w:p w14:paraId="54BF0DED">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7AB70E39">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2400DE49">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07F0455">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3F63657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根据施工合同了解并提交《项目合同对于进度管理的主要约定条款》</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7D485DF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77EFF7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4714540B">
        <w:tblPrEx>
          <w:tblCellMar>
            <w:top w:w="0" w:type="dxa"/>
            <w:left w:w="108" w:type="dxa"/>
            <w:bottom w:w="0" w:type="dxa"/>
            <w:right w:w="108" w:type="dxa"/>
          </w:tblCellMar>
        </w:tblPrEx>
        <w:trPr>
          <w:cantSplit/>
          <w:trHeight w:val="194" w:hRule="atLeast"/>
        </w:trPr>
        <w:tc>
          <w:tcPr>
            <w:tcW w:w="511" w:type="dxa"/>
            <w:vMerge w:val="continue"/>
            <w:tcBorders>
              <w:left w:val="single" w:color="auto" w:sz="4" w:space="0"/>
              <w:right w:val="single" w:color="auto" w:sz="4" w:space="0"/>
            </w:tcBorders>
            <w:noWrap w:val="0"/>
            <w:vAlign w:val="center"/>
          </w:tcPr>
          <w:p w14:paraId="3C68404C">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4C474737">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000000" w:sz="2" w:space="0"/>
              <w:right w:val="single" w:color="auto" w:sz="6" w:space="0"/>
            </w:tcBorders>
            <w:noWrap w:val="0"/>
            <w:vAlign w:val="center"/>
          </w:tcPr>
          <w:p w14:paraId="3CBCB1CC">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0AF0888A">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7515827">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4EEB936C">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6" w:space="0"/>
              <w:right w:val="single" w:color="auto" w:sz="6" w:space="0"/>
            </w:tcBorders>
            <w:noWrap w:val="0"/>
            <w:vAlign w:val="center"/>
          </w:tcPr>
          <w:p w14:paraId="6A221C9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根据施工合同了解并提交《项目合同对于造价管理的主要约定条款》</w:t>
            </w:r>
          </w:p>
        </w:tc>
        <w:tc>
          <w:tcPr>
            <w:tcW w:w="3368" w:type="dxa"/>
            <w:tcBorders>
              <w:top w:val="single" w:color="auto" w:sz="6" w:space="0"/>
              <w:left w:val="single" w:color="auto" w:sz="6" w:space="0"/>
              <w:bottom w:val="single" w:color="auto" w:sz="6" w:space="0"/>
              <w:right w:val="single" w:color="auto" w:sz="6" w:space="0"/>
            </w:tcBorders>
            <w:noWrap w:val="0"/>
            <w:vAlign w:val="center"/>
          </w:tcPr>
          <w:p w14:paraId="5995770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委托人根据实际情况检查认可后考核。</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039D0F51">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tr w14:paraId="2E3665D1">
        <w:tblPrEx>
          <w:tblCellMar>
            <w:top w:w="0" w:type="dxa"/>
            <w:left w:w="108" w:type="dxa"/>
            <w:bottom w:w="0" w:type="dxa"/>
            <w:right w:w="108" w:type="dxa"/>
          </w:tblCellMar>
        </w:tblPrEx>
        <w:trPr>
          <w:cantSplit/>
          <w:trHeight w:val="919" w:hRule="atLeast"/>
        </w:trPr>
        <w:tc>
          <w:tcPr>
            <w:tcW w:w="511" w:type="dxa"/>
            <w:vMerge w:val="continue"/>
            <w:tcBorders>
              <w:left w:val="single" w:color="auto" w:sz="4" w:space="0"/>
              <w:right w:val="single" w:color="auto" w:sz="4" w:space="0"/>
            </w:tcBorders>
            <w:noWrap w:val="0"/>
            <w:vAlign w:val="center"/>
          </w:tcPr>
          <w:p w14:paraId="1915E9DF">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20D12171">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000000" w:sz="2" w:space="0"/>
              <w:right w:val="single" w:color="auto" w:sz="6" w:space="0"/>
            </w:tcBorders>
            <w:noWrap w:val="0"/>
            <w:vAlign w:val="center"/>
          </w:tcPr>
          <w:p w14:paraId="60368FC2">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20739B19">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6EB50234">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A750C78">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537D5C7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提交经过审核的由施工单位提出的费用索赔申请</w:t>
            </w:r>
          </w:p>
        </w:tc>
        <w:tc>
          <w:tcPr>
            <w:tcW w:w="3394" w:type="dxa"/>
            <w:gridSpan w:val="2"/>
            <w:tcBorders>
              <w:top w:val="single" w:color="auto" w:sz="6" w:space="0"/>
              <w:left w:val="single" w:color="auto" w:sz="6" w:space="0"/>
              <w:bottom w:val="single" w:color="auto" w:sz="6" w:space="0"/>
              <w:right w:val="single" w:color="auto" w:sz="6" w:space="0"/>
            </w:tcBorders>
            <w:noWrap w:val="0"/>
            <w:vAlign w:val="center"/>
          </w:tcPr>
          <w:p w14:paraId="6E1C4BD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如当月经三方（监理人、委托人及承包人）最终认定的索赔费用总金额与监理人提交的原审定金额存在10%以上的差异的情况出现一宗以上的情况，则扣留该条工作当月酬金的20%。</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114BA0FE">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按工期分摊考核。扣留金额于工程竣工后一次返还。</w:t>
            </w:r>
          </w:p>
        </w:tc>
      </w:tr>
      <w:tr w14:paraId="7CAF4EAE">
        <w:tblPrEx>
          <w:tblCellMar>
            <w:top w:w="0" w:type="dxa"/>
            <w:left w:w="108" w:type="dxa"/>
            <w:bottom w:w="0" w:type="dxa"/>
            <w:right w:w="108" w:type="dxa"/>
          </w:tblCellMar>
        </w:tblPrEx>
        <w:trPr>
          <w:cantSplit/>
          <w:trHeight w:val="510" w:hRule="atLeast"/>
        </w:trPr>
        <w:tc>
          <w:tcPr>
            <w:tcW w:w="511" w:type="dxa"/>
            <w:vMerge w:val="continue"/>
            <w:tcBorders>
              <w:left w:val="single" w:color="auto" w:sz="4" w:space="0"/>
              <w:right w:val="single" w:color="auto" w:sz="4" w:space="0"/>
            </w:tcBorders>
            <w:noWrap w:val="0"/>
            <w:vAlign w:val="center"/>
          </w:tcPr>
          <w:p w14:paraId="7E9C18FA">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right w:val="single" w:color="auto" w:sz="4" w:space="0"/>
            </w:tcBorders>
            <w:noWrap w:val="0"/>
            <w:vAlign w:val="center"/>
          </w:tcPr>
          <w:p w14:paraId="0F1A80C8">
            <w:pPr>
              <w:pStyle w:val="88"/>
              <w:rPr>
                <w:rFonts w:hint="eastAsia" w:ascii="仿宋" w:hAnsi="仿宋" w:eastAsia="仿宋" w:cs="仿宋"/>
                <w:color w:val="auto"/>
                <w:sz w:val="18"/>
                <w:szCs w:val="18"/>
                <w:highlight w:val="none"/>
              </w:rPr>
            </w:pPr>
          </w:p>
        </w:tc>
        <w:tc>
          <w:tcPr>
            <w:tcW w:w="1382" w:type="dxa"/>
            <w:gridSpan w:val="2"/>
            <w:tcBorders>
              <w:top w:val="single" w:color="000000" w:sz="2" w:space="0"/>
              <w:left w:val="single" w:color="auto" w:sz="4" w:space="0"/>
              <w:bottom w:val="single" w:color="auto" w:sz="6" w:space="0"/>
              <w:right w:val="single" w:color="auto" w:sz="6" w:space="0"/>
            </w:tcBorders>
            <w:noWrap w:val="0"/>
            <w:vAlign w:val="center"/>
          </w:tcPr>
          <w:p w14:paraId="0F8B371E">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658B6182">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24E1F76">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03444C0D">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46C2AFD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提交《合同争议调解方案》</w:t>
            </w:r>
          </w:p>
        </w:tc>
        <w:tc>
          <w:tcPr>
            <w:tcW w:w="3394" w:type="dxa"/>
            <w:gridSpan w:val="2"/>
            <w:tcBorders>
              <w:top w:val="single" w:color="auto" w:sz="6" w:space="0"/>
              <w:left w:val="single" w:color="auto" w:sz="6" w:space="0"/>
              <w:bottom w:val="single" w:color="auto" w:sz="6" w:space="0"/>
              <w:right w:val="single" w:color="auto" w:sz="6" w:space="0"/>
            </w:tcBorders>
            <w:noWrap w:val="0"/>
            <w:vAlign w:val="center"/>
          </w:tcPr>
          <w:p w14:paraId="75F2BFA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如当月出现单个合同争议情况，则扣留当期本项工作的酬金的30%，出现多个合同争议情况按此比例累加。</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7673F00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按工期分摊考核。当月返还已解决的合同争议所扣留的款额。</w:t>
            </w:r>
          </w:p>
        </w:tc>
      </w:tr>
      <w:tr w14:paraId="21CC0C1B">
        <w:tblPrEx>
          <w:tblCellMar>
            <w:top w:w="0" w:type="dxa"/>
            <w:left w:w="108" w:type="dxa"/>
            <w:bottom w:w="0" w:type="dxa"/>
            <w:right w:w="108" w:type="dxa"/>
          </w:tblCellMar>
        </w:tblPrEx>
        <w:trPr>
          <w:cantSplit/>
          <w:trHeight w:val="874" w:hRule="atLeast"/>
        </w:trPr>
        <w:tc>
          <w:tcPr>
            <w:tcW w:w="511" w:type="dxa"/>
            <w:vMerge w:val="continue"/>
            <w:tcBorders>
              <w:left w:val="single" w:color="auto" w:sz="4" w:space="0"/>
              <w:bottom w:val="single" w:color="auto" w:sz="6" w:space="0"/>
              <w:right w:val="single" w:color="auto" w:sz="4" w:space="0"/>
            </w:tcBorders>
            <w:noWrap w:val="0"/>
            <w:vAlign w:val="center"/>
          </w:tcPr>
          <w:p w14:paraId="4BC61237">
            <w:pPr>
              <w:pStyle w:val="88"/>
              <w:rPr>
                <w:rFonts w:hint="eastAsia" w:ascii="仿宋" w:hAnsi="仿宋" w:eastAsia="仿宋" w:cs="仿宋"/>
                <w:color w:val="auto"/>
                <w:sz w:val="18"/>
                <w:szCs w:val="18"/>
                <w:highlight w:val="none"/>
              </w:rPr>
            </w:pPr>
          </w:p>
        </w:tc>
        <w:tc>
          <w:tcPr>
            <w:tcW w:w="538" w:type="dxa"/>
            <w:vMerge w:val="continue"/>
            <w:tcBorders>
              <w:left w:val="single" w:color="auto" w:sz="4" w:space="0"/>
              <w:bottom w:val="single" w:color="auto" w:sz="6" w:space="0"/>
              <w:right w:val="single" w:color="auto" w:sz="4" w:space="0"/>
            </w:tcBorders>
            <w:noWrap w:val="0"/>
            <w:vAlign w:val="center"/>
          </w:tcPr>
          <w:p w14:paraId="44532B92">
            <w:pPr>
              <w:pStyle w:val="88"/>
              <w:rPr>
                <w:rFonts w:hint="eastAsia" w:ascii="仿宋" w:hAnsi="仿宋" w:eastAsia="仿宋" w:cs="仿宋"/>
                <w:color w:val="auto"/>
                <w:sz w:val="18"/>
                <w:szCs w:val="18"/>
                <w:highlight w:val="none"/>
              </w:rPr>
            </w:pP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7EA5952B">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45566840">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3A32A565">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10AFCDDE">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28D2158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提交《合同解除（终止）处理方案书》</w:t>
            </w:r>
          </w:p>
        </w:tc>
        <w:tc>
          <w:tcPr>
            <w:tcW w:w="3394" w:type="dxa"/>
            <w:gridSpan w:val="2"/>
            <w:tcBorders>
              <w:top w:val="single" w:color="auto" w:sz="6" w:space="0"/>
              <w:left w:val="single" w:color="auto" w:sz="6" w:space="0"/>
              <w:bottom w:val="single" w:color="auto" w:sz="6" w:space="0"/>
              <w:right w:val="single" w:color="auto" w:sz="6" w:space="0"/>
            </w:tcBorders>
            <w:noWrap w:val="0"/>
            <w:vAlign w:val="center"/>
          </w:tcPr>
          <w:p w14:paraId="7EB8737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以所涉及合同关系方的合同款项、材料、设备等各类钱款、费用得到正式确认且合同关系亦已正式解除为考核条件。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615B800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按各分包工程概算占项目总概算的百分比分比计算各合同的合同交底工作的酬金，按合同分项考核。</w:t>
            </w:r>
          </w:p>
        </w:tc>
      </w:tr>
      <w:tr w14:paraId="1A3C42FA">
        <w:tblPrEx>
          <w:tblCellMar>
            <w:top w:w="0" w:type="dxa"/>
            <w:left w:w="108" w:type="dxa"/>
            <w:bottom w:w="0" w:type="dxa"/>
            <w:right w:w="108" w:type="dxa"/>
          </w:tblCellMar>
        </w:tblPrEx>
        <w:trPr>
          <w:cantSplit/>
          <w:trHeight w:val="739" w:hRule="atLeast"/>
        </w:trPr>
        <w:tc>
          <w:tcPr>
            <w:tcW w:w="511" w:type="dxa"/>
            <w:vMerge w:val="restart"/>
            <w:tcBorders>
              <w:top w:val="single" w:color="auto" w:sz="4" w:space="0"/>
              <w:left w:val="single" w:color="auto" w:sz="4" w:space="0"/>
              <w:bottom w:val="single" w:color="auto" w:sz="4" w:space="0"/>
              <w:right w:val="single" w:color="auto" w:sz="4" w:space="0"/>
            </w:tcBorders>
            <w:noWrap w:val="0"/>
            <w:vAlign w:val="center"/>
          </w:tcPr>
          <w:p w14:paraId="11362B6A">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工程施工阶段</w:t>
            </w:r>
          </w:p>
        </w:tc>
        <w:tc>
          <w:tcPr>
            <w:tcW w:w="538" w:type="dxa"/>
            <w:tcBorders>
              <w:top w:val="single" w:color="auto" w:sz="4" w:space="0"/>
              <w:left w:val="single" w:color="auto" w:sz="4" w:space="0"/>
              <w:bottom w:val="single" w:color="auto" w:sz="4" w:space="0"/>
              <w:right w:val="single" w:color="auto" w:sz="4" w:space="0"/>
            </w:tcBorders>
            <w:noWrap w:val="0"/>
            <w:vAlign w:val="center"/>
          </w:tcPr>
          <w:p w14:paraId="1684E684">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其</w:t>
            </w:r>
          </w:p>
          <w:p w14:paraId="008ED1D4">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它</w:t>
            </w:r>
          </w:p>
          <w:p w14:paraId="51B5F88A">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方</w:t>
            </w:r>
          </w:p>
          <w:p w14:paraId="03496696">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面</w:t>
            </w:r>
          </w:p>
        </w:tc>
        <w:tc>
          <w:tcPr>
            <w:tcW w:w="1382" w:type="dxa"/>
            <w:gridSpan w:val="2"/>
            <w:tcBorders>
              <w:top w:val="single" w:color="auto" w:sz="6" w:space="0"/>
              <w:left w:val="single" w:color="auto" w:sz="4" w:space="0"/>
              <w:bottom w:val="single" w:color="auto" w:sz="6" w:space="0"/>
              <w:right w:val="single" w:color="auto" w:sz="6" w:space="0"/>
            </w:tcBorders>
            <w:noWrap w:val="0"/>
            <w:vAlign w:val="center"/>
          </w:tcPr>
          <w:p w14:paraId="7B8FBE87">
            <w:pPr>
              <w:pStyle w:val="88"/>
              <w:rPr>
                <w:rFonts w:hint="eastAsia" w:ascii="仿宋" w:hAnsi="仿宋" w:eastAsia="仿宋" w:cs="仿宋"/>
                <w:color w:val="auto"/>
                <w:sz w:val="18"/>
                <w:szCs w:val="18"/>
                <w:highlight w:val="none"/>
              </w:rPr>
            </w:pPr>
          </w:p>
        </w:tc>
        <w:tc>
          <w:tcPr>
            <w:tcW w:w="2171" w:type="dxa"/>
            <w:tcBorders>
              <w:top w:val="single" w:color="auto" w:sz="6" w:space="0"/>
              <w:left w:val="single" w:color="auto" w:sz="6" w:space="0"/>
              <w:bottom w:val="single" w:color="auto" w:sz="6" w:space="0"/>
              <w:right w:val="single" w:color="auto" w:sz="6" w:space="0"/>
            </w:tcBorders>
            <w:noWrap w:val="0"/>
            <w:vAlign w:val="center"/>
          </w:tcPr>
          <w:p w14:paraId="040CECC6">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top"/>
          </w:tcPr>
          <w:p w14:paraId="7F8CFF2B">
            <w:pPr>
              <w:widowControl/>
              <w:jc w:val="left"/>
              <w:textAlignment w:val="top"/>
              <w:rPr>
                <w:rFonts w:hint="eastAsia" w:ascii="仿宋" w:hAnsi="仿宋" w:eastAsia="仿宋" w:cs="仿宋"/>
                <w:color w:val="auto"/>
                <w:highlight w:val="none"/>
              </w:rPr>
            </w:pPr>
            <w:r>
              <w:rPr>
                <w:rFonts w:hint="eastAsia" w:ascii="仿宋" w:hAnsi="仿宋" w:eastAsia="仿宋" w:cs="仿宋"/>
                <w:color w:val="auto"/>
                <w:kern w:val="0"/>
                <w:highlight w:val="none"/>
                <w:lang w:bidi="ar"/>
              </w:rPr>
              <w:t>2.00%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589AC17">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6" w:space="0"/>
              <w:right w:val="single" w:color="auto" w:sz="6" w:space="0"/>
            </w:tcBorders>
            <w:noWrap w:val="0"/>
            <w:vAlign w:val="center"/>
          </w:tcPr>
          <w:p w14:paraId="3BD74E44">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提交例会的会议纪要及专题会议纪要并负责留存电子档案（文件文档及扫描版本）；</w:t>
            </w:r>
          </w:p>
        </w:tc>
        <w:tc>
          <w:tcPr>
            <w:tcW w:w="3394" w:type="dxa"/>
            <w:gridSpan w:val="2"/>
            <w:tcBorders>
              <w:top w:val="single" w:color="auto" w:sz="6" w:space="0"/>
              <w:left w:val="single" w:color="auto" w:sz="6" w:space="0"/>
              <w:bottom w:val="single" w:color="auto" w:sz="6" w:space="0"/>
              <w:right w:val="single" w:color="auto" w:sz="6" w:space="0"/>
            </w:tcBorders>
            <w:noWrap w:val="0"/>
            <w:vAlign w:val="center"/>
          </w:tcPr>
          <w:p w14:paraId="350F2BF5">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以当月例会的召开符合委托人相关细则要求、例会的实际效果及会议纪要经委托人认可为为考核条件。</w:t>
            </w:r>
          </w:p>
        </w:tc>
        <w:tc>
          <w:tcPr>
            <w:tcW w:w="2216" w:type="dxa"/>
            <w:gridSpan w:val="3"/>
            <w:tcBorders>
              <w:top w:val="single" w:color="auto" w:sz="6" w:space="0"/>
              <w:left w:val="single" w:color="auto" w:sz="6" w:space="0"/>
              <w:bottom w:val="single" w:color="auto" w:sz="6" w:space="0"/>
              <w:right w:val="single" w:color="auto" w:sz="6" w:space="0"/>
            </w:tcBorders>
            <w:noWrap w:val="0"/>
            <w:vAlign w:val="center"/>
          </w:tcPr>
          <w:p w14:paraId="02F51806">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按工期分摊考核</w:t>
            </w:r>
          </w:p>
        </w:tc>
      </w:tr>
      <w:bookmarkEnd w:id="290"/>
      <w:tr w14:paraId="01C598F9">
        <w:tblPrEx>
          <w:tblCellMar>
            <w:top w:w="0" w:type="dxa"/>
            <w:left w:w="108" w:type="dxa"/>
            <w:bottom w:w="0" w:type="dxa"/>
            <w:right w:w="108" w:type="dxa"/>
          </w:tblCellMar>
        </w:tblPrEx>
        <w:trPr>
          <w:cantSplit/>
          <w:trHeight w:val="1527" w:hRule="atLeast"/>
        </w:trPr>
        <w:tc>
          <w:tcPr>
            <w:tcW w:w="511" w:type="dxa"/>
            <w:vMerge w:val="continue"/>
            <w:tcBorders>
              <w:top w:val="single" w:color="auto" w:sz="4" w:space="0"/>
              <w:left w:val="single" w:color="auto" w:sz="4" w:space="0"/>
              <w:bottom w:val="single" w:color="auto" w:sz="4" w:space="0"/>
              <w:right w:val="single" w:color="auto" w:sz="4" w:space="0"/>
            </w:tcBorders>
            <w:noWrap w:val="0"/>
            <w:vAlign w:val="center"/>
          </w:tcPr>
          <w:p w14:paraId="38BE4F9B">
            <w:pPr>
              <w:pStyle w:val="88"/>
              <w:rPr>
                <w:rFonts w:hint="eastAsia" w:ascii="仿宋" w:hAnsi="仿宋" w:eastAsia="仿宋" w:cs="仿宋"/>
                <w:color w:val="auto"/>
                <w:sz w:val="18"/>
                <w:szCs w:val="18"/>
                <w:highlight w:val="none"/>
              </w:rPr>
            </w:pPr>
          </w:p>
        </w:tc>
        <w:tc>
          <w:tcPr>
            <w:tcW w:w="4091" w:type="dxa"/>
            <w:gridSpan w:val="4"/>
            <w:tcBorders>
              <w:top w:val="single" w:color="auto" w:sz="4" w:space="0"/>
              <w:left w:val="single" w:color="auto" w:sz="4" w:space="0"/>
              <w:bottom w:val="single" w:color="auto" w:sz="4" w:space="0"/>
              <w:right w:val="single" w:color="auto" w:sz="6" w:space="0"/>
            </w:tcBorders>
            <w:noWrap w:val="0"/>
            <w:vAlign w:val="center"/>
          </w:tcPr>
          <w:p w14:paraId="7409C6A8">
            <w:pPr>
              <w:pStyle w:val="88"/>
              <w:rPr>
                <w:rFonts w:hint="eastAsia" w:ascii="仿宋" w:hAnsi="仿宋" w:eastAsia="仿宋" w:cs="仿宋"/>
                <w:color w:val="auto"/>
                <w:highlight w:val="none"/>
              </w:rPr>
            </w:pPr>
            <w:r>
              <w:rPr>
                <w:rFonts w:hint="eastAsia" w:ascii="仿宋" w:hAnsi="仿宋" w:eastAsia="仿宋" w:cs="仿宋"/>
                <w:color w:val="auto"/>
                <w:highlight w:val="none"/>
              </w:rPr>
              <w:t>工程施工阶段考核小计</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44DA7C1">
            <w:pPr>
              <w:pStyle w:val="88"/>
              <w:rPr>
                <w:rFonts w:hint="eastAsia" w:ascii="仿宋" w:hAnsi="仿宋" w:eastAsia="仿宋" w:cs="仿宋"/>
                <w:color w:val="auto"/>
                <w:highlight w:val="none"/>
              </w:rPr>
            </w:pPr>
            <w:r>
              <w:rPr>
                <w:rFonts w:hint="eastAsia" w:ascii="仿宋" w:hAnsi="仿宋" w:eastAsia="仿宋" w:cs="仿宋"/>
                <w:color w:val="auto"/>
                <w:highlight w:val="none"/>
              </w:rPr>
              <w:t>60.00%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36543DBB">
            <w:pPr>
              <w:widowControl/>
              <w:jc w:val="right"/>
              <w:textAlignment w:val="center"/>
              <w:rPr>
                <w:rFonts w:hint="eastAsia" w:ascii="仿宋" w:hAnsi="仿宋" w:eastAsia="仿宋" w:cs="仿宋"/>
                <w:color w:val="auto"/>
                <w:sz w:val="18"/>
                <w:szCs w:val="18"/>
                <w:highlight w:val="none"/>
              </w:rPr>
            </w:pPr>
          </w:p>
        </w:tc>
        <w:tc>
          <w:tcPr>
            <w:tcW w:w="8184" w:type="dxa"/>
            <w:gridSpan w:val="6"/>
            <w:tcBorders>
              <w:top w:val="single" w:color="auto" w:sz="6" w:space="0"/>
              <w:left w:val="single" w:color="auto" w:sz="6" w:space="0"/>
              <w:bottom w:val="single" w:color="auto" w:sz="6" w:space="0"/>
              <w:right w:val="single" w:color="000000" w:sz="2" w:space="0"/>
            </w:tcBorders>
            <w:noWrap w:val="0"/>
            <w:vAlign w:val="center"/>
          </w:tcPr>
          <w:p w14:paraId="2139ABD8">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说明：施工阶段的监理酬金按合同文件中根据监理服务期按月分摊考核，监理人按照合同相关约定申请每月监理酬金时须同时按本表中的要求提交相关的工作成果。委托人根据双方约定，对监理人提交的各项工作成果按本表中规定的考核审核标准进行审核。监理人未能在约定的时间内按上述要求提交相关工作成果，或提交的工作成果未能达到本表中的考核审核标准，或委托人对监理人工作情况的检查结果未能达到合同约定的令人满意的程度，均视作监理人对完成合同约定定工作的承诺的违反，委托人将按照合同违约责任部分的相关约定于合同酬金总额中扣减相关工作项目的违约金。</w:t>
            </w:r>
          </w:p>
        </w:tc>
      </w:tr>
      <w:tr w14:paraId="6379F0B5">
        <w:tblPrEx>
          <w:tblCellMar>
            <w:top w:w="0" w:type="dxa"/>
            <w:left w:w="108" w:type="dxa"/>
            <w:bottom w:w="0" w:type="dxa"/>
            <w:right w:w="108" w:type="dxa"/>
          </w:tblCellMar>
        </w:tblPrEx>
        <w:trPr>
          <w:cantSplit/>
          <w:trHeight w:val="430" w:hRule="atLeast"/>
        </w:trPr>
        <w:tc>
          <w:tcPr>
            <w:tcW w:w="1049" w:type="dxa"/>
            <w:gridSpan w:val="2"/>
            <w:vMerge w:val="restart"/>
            <w:tcBorders>
              <w:top w:val="single" w:color="auto" w:sz="4" w:space="0"/>
              <w:left w:val="single" w:color="auto" w:sz="6" w:space="0"/>
              <w:right w:val="single" w:color="auto" w:sz="6" w:space="0"/>
            </w:tcBorders>
            <w:noWrap w:val="0"/>
            <w:vAlign w:val="center"/>
          </w:tcPr>
          <w:p w14:paraId="6E2DE84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w:t>
            </w:r>
          </w:p>
          <w:p w14:paraId="08D7C767">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程</w:t>
            </w:r>
          </w:p>
          <w:p w14:paraId="3770E393">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收</w:t>
            </w:r>
          </w:p>
          <w:p w14:paraId="1C1FF6DE">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尾</w:t>
            </w:r>
          </w:p>
          <w:p w14:paraId="661C1FA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阶</w:t>
            </w:r>
          </w:p>
          <w:p w14:paraId="59E23FE9">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段</w:t>
            </w:r>
          </w:p>
        </w:tc>
        <w:tc>
          <w:tcPr>
            <w:tcW w:w="1321" w:type="dxa"/>
            <w:vMerge w:val="restart"/>
            <w:tcBorders>
              <w:top w:val="single" w:color="auto" w:sz="6" w:space="0"/>
              <w:left w:val="single" w:color="auto" w:sz="6" w:space="0"/>
              <w:right w:val="single" w:color="auto" w:sz="6" w:space="0"/>
            </w:tcBorders>
            <w:noWrap w:val="0"/>
            <w:vAlign w:val="center"/>
          </w:tcPr>
          <w:p w14:paraId="7453DE78">
            <w:pPr>
              <w:pStyle w:val="88"/>
              <w:rPr>
                <w:rFonts w:hint="eastAsia" w:ascii="仿宋" w:hAnsi="仿宋" w:eastAsia="仿宋" w:cs="仿宋"/>
                <w:color w:val="auto"/>
                <w:sz w:val="18"/>
                <w:szCs w:val="18"/>
                <w:highlight w:val="none"/>
              </w:rPr>
            </w:pPr>
          </w:p>
        </w:tc>
        <w:tc>
          <w:tcPr>
            <w:tcW w:w="12696" w:type="dxa"/>
            <w:gridSpan w:val="10"/>
            <w:tcBorders>
              <w:top w:val="single" w:color="auto" w:sz="6" w:space="0"/>
              <w:left w:val="single" w:color="auto" w:sz="6" w:space="0"/>
              <w:bottom w:val="single" w:color="auto" w:sz="6" w:space="0"/>
              <w:right w:val="single" w:color="auto" w:sz="6" w:space="0"/>
            </w:tcBorders>
            <w:noWrap w:val="0"/>
            <w:vAlign w:val="center"/>
          </w:tcPr>
          <w:p w14:paraId="436A27ED">
            <w:pPr>
              <w:pStyle w:val="88"/>
              <w:rPr>
                <w:rFonts w:hint="eastAsia" w:ascii="仿宋" w:hAnsi="仿宋" w:eastAsia="仿宋" w:cs="仿宋"/>
                <w:b/>
                <w:color w:val="auto"/>
                <w:highlight w:val="none"/>
                <w:u w:val="single"/>
              </w:rPr>
            </w:pPr>
            <w:r>
              <w:rPr>
                <w:rFonts w:hint="eastAsia" w:ascii="仿宋" w:hAnsi="仿宋" w:eastAsia="仿宋" w:cs="仿宋"/>
                <w:b/>
                <w:color w:val="auto"/>
                <w:highlight w:val="none"/>
                <w:u w:val="single"/>
              </w:rPr>
              <w:t>监理服务期内，</w:t>
            </w:r>
            <w:r>
              <w:rPr>
                <w:rFonts w:hint="eastAsia" w:ascii="仿宋" w:hAnsi="仿宋" w:eastAsia="仿宋" w:cs="仿宋"/>
                <w:b/>
                <w:bCs/>
                <w:color w:val="auto"/>
                <w:szCs w:val="20"/>
                <w:highlight w:val="none"/>
                <w:u w:val="single"/>
              </w:rPr>
              <w:t>项目工程收尾阶段</w:t>
            </w:r>
            <w:r>
              <w:rPr>
                <w:rFonts w:hint="eastAsia" w:ascii="仿宋" w:hAnsi="仿宋" w:eastAsia="仿宋" w:cs="仿宋"/>
                <w:b/>
                <w:bCs/>
                <w:color w:val="auto"/>
                <w:highlight w:val="none"/>
                <w:u w:val="single"/>
              </w:rPr>
              <w:t>造价人员、资料员须于项目或委托人指定场所现场开展为期6个月的工程收尾相关监理服务工作。</w:t>
            </w:r>
          </w:p>
          <w:p w14:paraId="72B632CA">
            <w:pPr>
              <w:pStyle w:val="88"/>
              <w:rPr>
                <w:rFonts w:hint="eastAsia" w:ascii="仿宋" w:hAnsi="仿宋" w:eastAsia="仿宋" w:cs="仿宋"/>
                <w:color w:val="auto"/>
                <w:sz w:val="18"/>
                <w:szCs w:val="18"/>
                <w:highlight w:val="none"/>
              </w:rPr>
            </w:pPr>
            <w:r>
              <w:rPr>
                <w:rFonts w:hint="eastAsia" w:ascii="仿宋" w:hAnsi="仿宋" w:eastAsia="仿宋" w:cs="仿宋"/>
                <w:b/>
                <w:bCs/>
                <w:color w:val="auto"/>
                <w:szCs w:val="20"/>
                <w:highlight w:val="none"/>
                <w:u w:val="single"/>
              </w:rPr>
              <w:t>项目工程收尾阶段</w:t>
            </w:r>
            <w:r>
              <w:rPr>
                <w:rFonts w:hint="eastAsia" w:ascii="仿宋" w:hAnsi="仿宋" w:eastAsia="仿宋" w:cs="仿宋"/>
                <w:b/>
                <w:color w:val="auto"/>
                <w:highlight w:val="none"/>
                <w:u w:val="single"/>
              </w:rPr>
              <w:t>的监理酬金中包含监理人现场监理服务费，</w:t>
            </w:r>
            <w:r>
              <w:rPr>
                <w:rFonts w:hint="eastAsia" w:ascii="仿宋" w:hAnsi="仿宋" w:eastAsia="仿宋" w:cs="仿宋"/>
                <w:b/>
                <w:bCs/>
                <w:color w:val="auto"/>
                <w:highlight w:val="none"/>
                <w:u w:val="single"/>
              </w:rPr>
              <w:t>造价人员、资料员的</w:t>
            </w:r>
            <w:r>
              <w:rPr>
                <w:rFonts w:hint="eastAsia" w:ascii="仿宋" w:hAnsi="仿宋" w:eastAsia="仿宋" w:cs="仿宋"/>
                <w:b/>
                <w:color w:val="auto"/>
                <w:highlight w:val="none"/>
                <w:u w:val="single"/>
              </w:rPr>
              <w:t>现场监理服务费根据现场到位情况进行计量考核，计量考核原则按委托监理协议书第3.1.2款、第3.2.4款的相关约定执行。</w:t>
            </w:r>
          </w:p>
        </w:tc>
      </w:tr>
      <w:tr w14:paraId="3F835ACC">
        <w:tblPrEx>
          <w:tblCellMar>
            <w:top w:w="0" w:type="dxa"/>
            <w:left w:w="108" w:type="dxa"/>
            <w:bottom w:w="0" w:type="dxa"/>
            <w:right w:w="108" w:type="dxa"/>
          </w:tblCellMar>
        </w:tblPrEx>
        <w:trPr>
          <w:cantSplit/>
          <w:trHeight w:val="244" w:hRule="atLeast"/>
        </w:trPr>
        <w:tc>
          <w:tcPr>
            <w:tcW w:w="1049" w:type="dxa"/>
            <w:gridSpan w:val="2"/>
            <w:vMerge w:val="continue"/>
            <w:tcBorders>
              <w:left w:val="single" w:color="auto" w:sz="6" w:space="0"/>
              <w:right w:val="single" w:color="auto" w:sz="6" w:space="0"/>
            </w:tcBorders>
            <w:noWrap w:val="0"/>
            <w:vAlign w:val="center"/>
          </w:tcPr>
          <w:p w14:paraId="5572C793">
            <w:pPr>
              <w:pStyle w:val="88"/>
              <w:rPr>
                <w:rFonts w:hint="eastAsia" w:ascii="仿宋" w:hAnsi="仿宋" w:eastAsia="仿宋" w:cs="仿宋"/>
                <w:color w:val="auto"/>
                <w:sz w:val="18"/>
                <w:szCs w:val="18"/>
                <w:highlight w:val="none"/>
              </w:rPr>
            </w:pPr>
          </w:p>
        </w:tc>
        <w:tc>
          <w:tcPr>
            <w:tcW w:w="1321" w:type="dxa"/>
            <w:vMerge w:val="continue"/>
            <w:tcBorders>
              <w:left w:val="single" w:color="auto" w:sz="6" w:space="0"/>
              <w:right w:val="single" w:color="auto" w:sz="6" w:space="0"/>
            </w:tcBorders>
            <w:noWrap w:val="0"/>
            <w:vAlign w:val="center"/>
          </w:tcPr>
          <w:p w14:paraId="6FED9273">
            <w:pPr>
              <w:pStyle w:val="88"/>
              <w:rPr>
                <w:rFonts w:hint="eastAsia" w:ascii="仿宋" w:hAnsi="仿宋" w:eastAsia="仿宋" w:cs="仿宋"/>
                <w:color w:val="auto"/>
                <w:sz w:val="18"/>
                <w:szCs w:val="18"/>
                <w:highlight w:val="none"/>
              </w:rPr>
            </w:pPr>
          </w:p>
        </w:tc>
        <w:tc>
          <w:tcPr>
            <w:tcW w:w="2232" w:type="dxa"/>
            <w:gridSpan w:val="2"/>
            <w:tcBorders>
              <w:top w:val="single" w:color="auto" w:sz="6" w:space="0"/>
              <w:left w:val="single" w:color="auto" w:sz="6" w:space="0"/>
              <w:bottom w:val="single" w:color="auto" w:sz="6" w:space="0"/>
              <w:right w:val="single" w:color="auto" w:sz="6" w:space="0"/>
            </w:tcBorders>
            <w:noWrap w:val="0"/>
            <w:vAlign w:val="center"/>
          </w:tcPr>
          <w:p w14:paraId="17482E24">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6" w:space="0"/>
              <w:right w:val="single" w:color="auto" w:sz="6" w:space="0"/>
            </w:tcBorders>
            <w:noWrap w:val="0"/>
            <w:vAlign w:val="center"/>
          </w:tcPr>
          <w:p w14:paraId="447D87B4">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7E19D93A">
            <w:pPr>
              <w:widowControl/>
              <w:jc w:val="right"/>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24"/>
                <w:szCs w:val="24"/>
                <w:highlight w:val="none"/>
                <w:u w:val="single"/>
                <w:lang w:bidi="ar"/>
              </w:rPr>
              <w:t xml:space="preserve"> </w:t>
            </w:r>
          </w:p>
        </w:tc>
        <w:tc>
          <w:tcPr>
            <w:tcW w:w="2574" w:type="dxa"/>
            <w:tcBorders>
              <w:top w:val="single" w:color="auto" w:sz="6" w:space="0"/>
              <w:left w:val="single" w:color="auto" w:sz="6" w:space="0"/>
              <w:bottom w:val="single" w:color="auto" w:sz="6" w:space="0"/>
              <w:right w:val="single" w:color="auto" w:sz="6" w:space="0"/>
            </w:tcBorders>
            <w:noWrap w:val="0"/>
            <w:vAlign w:val="center"/>
          </w:tcPr>
          <w:p w14:paraId="551626F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提交《工程结束阶段监理工作计划》</w:t>
            </w:r>
          </w:p>
        </w:tc>
        <w:tc>
          <w:tcPr>
            <w:tcW w:w="3478" w:type="dxa"/>
            <w:gridSpan w:val="4"/>
            <w:tcBorders>
              <w:top w:val="single" w:color="auto" w:sz="6" w:space="0"/>
              <w:left w:val="single" w:color="auto" w:sz="6" w:space="0"/>
              <w:bottom w:val="single" w:color="auto" w:sz="6" w:space="0"/>
              <w:right w:val="single" w:color="auto" w:sz="6" w:space="0"/>
            </w:tcBorders>
            <w:noWrap w:val="0"/>
            <w:vAlign w:val="center"/>
          </w:tcPr>
          <w:p w14:paraId="407A1BE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以提交的《工程结束阶段监理工作计划》的工作计划获的委托人认可为考核条件。</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1ED35FCF">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24CA9EF1">
        <w:tblPrEx>
          <w:tblCellMar>
            <w:top w:w="0" w:type="dxa"/>
            <w:left w:w="108" w:type="dxa"/>
            <w:bottom w:w="0" w:type="dxa"/>
            <w:right w:w="108" w:type="dxa"/>
          </w:tblCellMar>
        </w:tblPrEx>
        <w:trPr>
          <w:cantSplit/>
          <w:trHeight w:val="704" w:hRule="atLeast"/>
        </w:trPr>
        <w:tc>
          <w:tcPr>
            <w:tcW w:w="1049" w:type="dxa"/>
            <w:gridSpan w:val="2"/>
            <w:vMerge w:val="continue"/>
            <w:tcBorders>
              <w:left w:val="single" w:color="auto" w:sz="6" w:space="0"/>
              <w:right w:val="single" w:color="auto" w:sz="6" w:space="0"/>
            </w:tcBorders>
            <w:noWrap w:val="0"/>
            <w:vAlign w:val="center"/>
          </w:tcPr>
          <w:p w14:paraId="06AACFE3">
            <w:pPr>
              <w:pStyle w:val="88"/>
              <w:rPr>
                <w:rFonts w:hint="eastAsia" w:ascii="仿宋" w:hAnsi="仿宋" w:eastAsia="仿宋" w:cs="仿宋"/>
                <w:color w:val="auto"/>
                <w:sz w:val="18"/>
                <w:szCs w:val="18"/>
                <w:highlight w:val="none"/>
              </w:rPr>
            </w:pPr>
          </w:p>
        </w:tc>
        <w:tc>
          <w:tcPr>
            <w:tcW w:w="1321" w:type="dxa"/>
            <w:vMerge w:val="continue"/>
            <w:tcBorders>
              <w:left w:val="single" w:color="auto" w:sz="6" w:space="0"/>
              <w:bottom w:val="single" w:color="auto" w:sz="4" w:space="0"/>
              <w:right w:val="single" w:color="auto" w:sz="6" w:space="0"/>
            </w:tcBorders>
            <w:noWrap w:val="0"/>
            <w:vAlign w:val="center"/>
          </w:tcPr>
          <w:p w14:paraId="3FD6F3F2">
            <w:pPr>
              <w:pStyle w:val="88"/>
              <w:rPr>
                <w:rFonts w:hint="eastAsia" w:ascii="仿宋" w:hAnsi="仿宋" w:eastAsia="仿宋" w:cs="仿宋"/>
                <w:color w:val="auto"/>
                <w:sz w:val="18"/>
                <w:szCs w:val="18"/>
                <w:highlight w:val="none"/>
              </w:rPr>
            </w:pPr>
          </w:p>
        </w:tc>
        <w:tc>
          <w:tcPr>
            <w:tcW w:w="2232" w:type="dxa"/>
            <w:gridSpan w:val="2"/>
            <w:tcBorders>
              <w:top w:val="single" w:color="auto" w:sz="6" w:space="0"/>
              <w:left w:val="single" w:color="auto" w:sz="6" w:space="0"/>
              <w:bottom w:val="single" w:color="auto" w:sz="4" w:space="0"/>
              <w:right w:val="single" w:color="auto" w:sz="6" w:space="0"/>
            </w:tcBorders>
            <w:noWrap w:val="0"/>
            <w:vAlign w:val="center"/>
          </w:tcPr>
          <w:p w14:paraId="150D5F04">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4" w:space="0"/>
              <w:right w:val="single" w:color="auto" w:sz="6" w:space="0"/>
            </w:tcBorders>
            <w:noWrap w:val="0"/>
            <w:vAlign w:val="center"/>
          </w:tcPr>
          <w:p w14:paraId="7DDCE252">
            <w:pPr>
              <w:pStyle w:val="88"/>
              <w:rPr>
                <w:rFonts w:hint="eastAsia" w:ascii="仿宋" w:hAnsi="仿宋" w:eastAsia="仿宋" w:cs="仿宋"/>
                <w:color w:val="auto"/>
                <w:highlight w:val="none"/>
              </w:rPr>
            </w:pPr>
            <w:r>
              <w:rPr>
                <w:rFonts w:hint="eastAsia" w:ascii="仿宋" w:hAnsi="仿宋" w:eastAsia="仿宋" w:cs="仿宋"/>
                <w:color w:val="auto"/>
                <w:highlight w:val="none"/>
              </w:rPr>
              <w:t>8.00%</w:t>
            </w:r>
          </w:p>
        </w:tc>
        <w:tc>
          <w:tcPr>
            <w:tcW w:w="1272" w:type="dxa"/>
            <w:tcBorders>
              <w:top w:val="single" w:color="auto" w:sz="6" w:space="0"/>
              <w:left w:val="single" w:color="auto" w:sz="6" w:space="0"/>
              <w:bottom w:val="single" w:color="auto" w:sz="4" w:space="0"/>
              <w:right w:val="single" w:color="auto" w:sz="6" w:space="0"/>
            </w:tcBorders>
            <w:noWrap w:val="0"/>
            <w:vAlign w:val="center"/>
          </w:tcPr>
          <w:p w14:paraId="18A11C1F">
            <w:pPr>
              <w:widowControl/>
              <w:jc w:val="right"/>
              <w:textAlignment w:val="center"/>
              <w:rPr>
                <w:rFonts w:hint="eastAsia" w:ascii="仿宋" w:hAnsi="仿宋" w:eastAsia="仿宋" w:cs="仿宋"/>
                <w:color w:val="auto"/>
                <w:sz w:val="22"/>
                <w:highlight w:val="none"/>
              </w:rPr>
            </w:pPr>
          </w:p>
        </w:tc>
        <w:tc>
          <w:tcPr>
            <w:tcW w:w="2574" w:type="dxa"/>
            <w:tcBorders>
              <w:top w:val="single" w:color="auto" w:sz="6" w:space="0"/>
              <w:left w:val="single" w:color="auto" w:sz="6" w:space="0"/>
              <w:bottom w:val="single" w:color="auto" w:sz="4" w:space="0"/>
              <w:right w:val="single" w:color="auto" w:sz="6" w:space="0"/>
            </w:tcBorders>
            <w:noWrap w:val="0"/>
            <w:vAlign w:val="center"/>
          </w:tcPr>
          <w:p w14:paraId="558479E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提交工程《工程质量评估报告》；提交完整的项目竣工资料</w:t>
            </w:r>
          </w:p>
        </w:tc>
        <w:tc>
          <w:tcPr>
            <w:tcW w:w="3478" w:type="dxa"/>
            <w:gridSpan w:val="4"/>
            <w:tcBorders>
              <w:top w:val="single" w:color="auto" w:sz="6" w:space="0"/>
              <w:left w:val="single" w:color="auto" w:sz="6" w:space="0"/>
              <w:bottom w:val="single" w:color="auto" w:sz="6" w:space="0"/>
              <w:right w:val="single" w:color="auto" w:sz="6" w:space="0"/>
            </w:tcBorders>
            <w:noWrap w:val="0"/>
            <w:vAlign w:val="center"/>
          </w:tcPr>
          <w:p w14:paraId="2FDEE977">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以工程质量评估报告获得委托人认可，同时竣工资料已完整提交完整并获得委托人认可为考核条件。</w:t>
            </w:r>
          </w:p>
        </w:tc>
        <w:tc>
          <w:tcPr>
            <w:tcW w:w="2132" w:type="dxa"/>
            <w:tcBorders>
              <w:top w:val="single" w:color="auto" w:sz="6" w:space="0"/>
              <w:left w:val="single" w:color="auto" w:sz="6" w:space="0"/>
              <w:bottom w:val="single" w:color="auto" w:sz="6" w:space="0"/>
              <w:right w:val="single" w:color="auto" w:sz="6" w:space="0"/>
            </w:tcBorders>
            <w:noWrap w:val="0"/>
            <w:vAlign w:val="center"/>
          </w:tcPr>
          <w:p w14:paraId="0A9243ED">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319B9F87">
        <w:tblPrEx>
          <w:tblCellMar>
            <w:top w:w="0" w:type="dxa"/>
            <w:left w:w="108" w:type="dxa"/>
            <w:bottom w:w="0" w:type="dxa"/>
            <w:right w:w="108" w:type="dxa"/>
          </w:tblCellMar>
        </w:tblPrEx>
        <w:trPr>
          <w:cantSplit/>
          <w:trHeight w:val="1222" w:hRule="atLeast"/>
        </w:trPr>
        <w:tc>
          <w:tcPr>
            <w:tcW w:w="1049" w:type="dxa"/>
            <w:gridSpan w:val="2"/>
            <w:vMerge w:val="continue"/>
            <w:tcBorders>
              <w:left w:val="single" w:color="auto" w:sz="6" w:space="0"/>
              <w:right w:val="single" w:color="auto" w:sz="6" w:space="0"/>
            </w:tcBorders>
            <w:noWrap w:val="0"/>
            <w:vAlign w:val="center"/>
          </w:tcPr>
          <w:p w14:paraId="5AE3A293">
            <w:pPr>
              <w:pStyle w:val="88"/>
              <w:rPr>
                <w:rFonts w:hint="eastAsia" w:ascii="仿宋" w:hAnsi="仿宋" w:eastAsia="仿宋" w:cs="仿宋"/>
                <w:color w:val="auto"/>
                <w:sz w:val="18"/>
                <w:szCs w:val="18"/>
                <w:highlight w:val="none"/>
              </w:rPr>
            </w:pPr>
          </w:p>
        </w:tc>
        <w:tc>
          <w:tcPr>
            <w:tcW w:w="1321" w:type="dxa"/>
            <w:vMerge w:val="restart"/>
            <w:tcBorders>
              <w:top w:val="single" w:color="auto" w:sz="4" w:space="0"/>
              <w:left w:val="single" w:color="auto" w:sz="6" w:space="0"/>
              <w:bottom w:val="single" w:color="auto" w:sz="4" w:space="0"/>
              <w:right w:val="single" w:color="auto" w:sz="4" w:space="0"/>
            </w:tcBorders>
            <w:noWrap w:val="0"/>
            <w:vAlign w:val="center"/>
          </w:tcPr>
          <w:p w14:paraId="16470D49">
            <w:pPr>
              <w:pStyle w:val="88"/>
              <w:rPr>
                <w:rFonts w:hint="eastAsia" w:ascii="仿宋" w:hAnsi="仿宋" w:eastAsia="仿宋" w:cs="仿宋"/>
                <w:color w:val="auto"/>
                <w:sz w:val="18"/>
                <w:szCs w:val="18"/>
                <w:highlight w:val="none"/>
              </w:rPr>
            </w:pPr>
          </w:p>
        </w:tc>
        <w:tc>
          <w:tcPr>
            <w:tcW w:w="223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FEBE85C">
            <w:pPr>
              <w:pStyle w:val="88"/>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78C25B8C">
            <w:pPr>
              <w:pStyle w:val="88"/>
              <w:rPr>
                <w:rFonts w:hint="eastAsia" w:ascii="仿宋" w:hAnsi="仿宋" w:eastAsia="仿宋" w:cs="仿宋"/>
                <w:color w:val="auto"/>
                <w:highlight w:val="none"/>
              </w:rPr>
            </w:pPr>
            <w:r>
              <w:rPr>
                <w:rFonts w:hint="eastAsia" w:ascii="仿宋" w:hAnsi="仿宋" w:eastAsia="仿宋" w:cs="仿宋"/>
                <w:color w:val="auto"/>
                <w:highlight w:val="none"/>
              </w:rPr>
              <w:t>10.00%</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EC847F4">
            <w:pPr>
              <w:widowControl/>
              <w:jc w:val="right"/>
              <w:textAlignment w:val="center"/>
              <w:rPr>
                <w:rFonts w:hint="eastAsia" w:ascii="仿宋" w:hAnsi="仿宋" w:eastAsia="仿宋" w:cs="仿宋"/>
                <w:color w:val="auto"/>
                <w:sz w:val="22"/>
                <w:highlight w:val="non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5EBA007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按分项提交《竣工结算审核意见书》</w:t>
            </w:r>
          </w:p>
        </w:tc>
        <w:tc>
          <w:tcPr>
            <w:tcW w:w="3478" w:type="dxa"/>
            <w:gridSpan w:val="4"/>
            <w:tcBorders>
              <w:top w:val="single" w:color="auto" w:sz="6" w:space="0"/>
              <w:left w:val="single" w:color="auto" w:sz="4" w:space="0"/>
              <w:bottom w:val="single" w:color="auto" w:sz="6" w:space="0"/>
              <w:right w:val="single" w:color="auto" w:sz="6" w:space="0"/>
            </w:tcBorders>
            <w:noWrap w:val="0"/>
            <w:vAlign w:val="center"/>
          </w:tcPr>
          <w:p w14:paraId="1720F1C2">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以《竣工结算审核意见书》的提交且委托人认可经监理人审核的由承包人提交的各工程结算书（结算资料）后考核结算审核工作的监理酬金（按合同金额的10%计算）。</w:t>
            </w:r>
          </w:p>
        </w:tc>
        <w:tc>
          <w:tcPr>
            <w:tcW w:w="2132" w:type="dxa"/>
            <w:vMerge w:val="restart"/>
            <w:tcBorders>
              <w:top w:val="single" w:color="auto" w:sz="6" w:space="0"/>
              <w:left w:val="single" w:color="auto" w:sz="6" w:space="0"/>
              <w:right w:val="single" w:color="auto" w:sz="6" w:space="0"/>
            </w:tcBorders>
            <w:noWrap w:val="0"/>
            <w:vAlign w:val="center"/>
          </w:tcPr>
          <w:p w14:paraId="7F24BDDF">
            <w:pPr>
              <w:pStyle w:val="88"/>
              <w:rPr>
                <w:rFonts w:hint="eastAsia" w:ascii="仿宋" w:hAnsi="仿宋" w:eastAsia="仿宋" w:cs="仿宋"/>
                <w:color w:val="auto"/>
                <w:w w:val="90"/>
                <w:sz w:val="18"/>
                <w:szCs w:val="18"/>
                <w:highlight w:val="none"/>
              </w:rPr>
            </w:pPr>
            <w:r>
              <w:rPr>
                <w:rFonts w:hint="eastAsia" w:ascii="仿宋" w:hAnsi="仿宋" w:eastAsia="仿宋" w:cs="仿宋"/>
                <w:color w:val="auto"/>
                <w:w w:val="90"/>
                <w:sz w:val="18"/>
                <w:szCs w:val="18"/>
                <w:highlight w:val="none"/>
              </w:rPr>
              <w:t>按项分2次考核，如最终审定的各工程结算金额较由监理人审定的工程结算金额的差值大于正负5%，按合同</w:t>
            </w:r>
            <w:r>
              <w:rPr>
                <w:rFonts w:hint="eastAsia" w:ascii="仿宋" w:hAnsi="仿宋" w:eastAsia="仿宋" w:cs="仿宋"/>
                <w:color w:val="auto"/>
                <w:w w:val="90"/>
                <w:sz w:val="18"/>
                <w:szCs w:val="18"/>
                <w:highlight w:val="none"/>
                <w:u w:val="wave"/>
              </w:rPr>
              <w:t>专用条款</w:t>
            </w:r>
            <w:r>
              <w:rPr>
                <w:rFonts w:hint="eastAsia" w:ascii="仿宋" w:hAnsi="仿宋" w:eastAsia="仿宋" w:cs="仿宋"/>
                <w:color w:val="auto"/>
                <w:w w:val="90"/>
                <w:sz w:val="18"/>
                <w:szCs w:val="18"/>
                <w:highlight w:val="none"/>
              </w:rPr>
              <w:t>相关约定扣减监理人的违约金。</w:t>
            </w:r>
          </w:p>
        </w:tc>
      </w:tr>
      <w:tr w14:paraId="615F6D1E">
        <w:tblPrEx>
          <w:tblCellMar>
            <w:top w:w="0" w:type="dxa"/>
            <w:left w:w="108" w:type="dxa"/>
            <w:bottom w:w="0" w:type="dxa"/>
            <w:right w:w="108" w:type="dxa"/>
          </w:tblCellMar>
        </w:tblPrEx>
        <w:trPr>
          <w:cantSplit/>
          <w:trHeight w:val="444" w:hRule="atLeast"/>
        </w:trPr>
        <w:tc>
          <w:tcPr>
            <w:tcW w:w="1049" w:type="dxa"/>
            <w:gridSpan w:val="2"/>
            <w:vMerge w:val="continue"/>
            <w:tcBorders>
              <w:left w:val="single" w:color="auto" w:sz="6" w:space="0"/>
              <w:bottom w:val="single" w:color="auto" w:sz="4" w:space="0"/>
              <w:right w:val="single" w:color="auto" w:sz="6" w:space="0"/>
            </w:tcBorders>
            <w:noWrap w:val="0"/>
            <w:vAlign w:val="center"/>
          </w:tcPr>
          <w:p w14:paraId="118CA40F">
            <w:pPr>
              <w:pStyle w:val="88"/>
              <w:rPr>
                <w:rFonts w:hint="eastAsia" w:ascii="仿宋" w:hAnsi="仿宋" w:eastAsia="仿宋" w:cs="仿宋"/>
                <w:color w:val="auto"/>
                <w:sz w:val="18"/>
                <w:szCs w:val="18"/>
                <w:highlight w:val="none"/>
              </w:rPr>
            </w:pPr>
          </w:p>
        </w:tc>
        <w:tc>
          <w:tcPr>
            <w:tcW w:w="1321" w:type="dxa"/>
            <w:vMerge w:val="continue"/>
            <w:tcBorders>
              <w:top w:val="single" w:color="auto" w:sz="4" w:space="0"/>
              <w:left w:val="single" w:color="auto" w:sz="6" w:space="0"/>
              <w:bottom w:val="single" w:color="auto" w:sz="4" w:space="0"/>
              <w:right w:val="single" w:color="auto" w:sz="4" w:space="0"/>
            </w:tcBorders>
            <w:noWrap w:val="0"/>
            <w:vAlign w:val="center"/>
          </w:tcPr>
          <w:p w14:paraId="6825B407">
            <w:pPr>
              <w:pStyle w:val="88"/>
              <w:rPr>
                <w:rFonts w:hint="eastAsia" w:ascii="仿宋" w:hAnsi="仿宋" w:eastAsia="仿宋" w:cs="仿宋"/>
                <w:color w:val="auto"/>
                <w:sz w:val="18"/>
                <w:szCs w:val="18"/>
                <w:highlight w:val="none"/>
              </w:rPr>
            </w:pPr>
          </w:p>
        </w:tc>
        <w:tc>
          <w:tcPr>
            <w:tcW w:w="22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673C322">
            <w:pPr>
              <w:pStyle w:val="88"/>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2EEAEAE7">
            <w:pPr>
              <w:pStyle w:val="88"/>
              <w:rPr>
                <w:rFonts w:hint="eastAsia" w:ascii="仿宋" w:hAnsi="仿宋" w:eastAsia="仿宋" w:cs="仿宋"/>
                <w:color w:val="auto"/>
                <w:highlight w:val="none"/>
              </w:rPr>
            </w:pPr>
            <w:r>
              <w:rPr>
                <w:rFonts w:hint="eastAsia" w:ascii="仿宋" w:hAnsi="仿宋" w:eastAsia="仿宋" w:cs="仿宋"/>
                <w:color w:val="auto"/>
                <w:highlight w:val="none"/>
              </w:rPr>
              <w:t>5.00%</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F9C8A1D">
            <w:pPr>
              <w:widowControl/>
              <w:jc w:val="right"/>
              <w:textAlignment w:val="center"/>
              <w:rPr>
                <w:rFonts w:hint="eastAsia" w:ascii="仿宋" w:hAnsi="仿宋" w:eastAsia="仿宋" w:cs="仿宋"/>
                <w:color w:val="auto"/>
                <w:sz w:val="22"/>
                <w:highlight w:val="non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254B1BB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配合政府有关部门的结算审核工作</w:t>
            </w:r>
          </w:p>
        </w:tc>
        <w:tc>
          <w:tcPr>
            <w:tcW w:w="3478" w:type="dxa"/>
            <w:gridSpan w:val="4"/>
            <w:tcBorders>
              <w:top w:val="single" w:color="auto" w:sz="6" w:space="0"/>
              <w:left w:val="single" w:color="auto" w:sz="4" w:space="0"/>
              <w:bottom w:val="single" w:color="auto" w:sz="4" w:space="0"/>
              <w:right w:val="single" w:color="auto" w:sz="6" w:space="0"/>
            </w:tcBorders>
            <w:noWrap w:val="0"/>
            <w:vAlign w:val="center"/>
          </w:tcPr>
          <w:p w14:paraId="196795D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委托人确认监理人在政府有关部门审核结算过程中履行了积极配合义务后考核该项酬金（按合同金额的5%计算）；监理人未有积极配合的，只考核合同金额的2%。</w:t>
            </w:r>
          </w:p>
        </w:tc>
        <w:tc>
          <w:tcPr>
            <w:tcW w:w="2132" w:type="dxa"/>
            <w:vMerge w:val="continue"/>
            <w:tcBorders>
              <w:left w:val="single" w:color="auto" w:sz="6" w:space="0"/>
              <w:bottom w:val="single" w:color="auto" w:sz="4" w:space="0"/>
              <w:right w:val="single" w:color="auto" w:sz="6" w:space="0"/>
            </w:tcBorders>
            <w:noWrap w:val="0"/>
            <w:vAlign w:val="center"/>
          </w:tcPr>
          <w:p w14:paraId="229CF552">
            <w:pPr>
              <w:pStyle w:val="88"/>
              <w:rPr>
                <w:rFonts w:hint="eastAsia" w:ascii="仿宋" w:hAnsi="仿宋" w:eastAsia="仿宋" w:cs="仿宋"/>
                <w:color w:val="auto"/>
                <w:sz w:val="18"/>
                <w:szCs w:val="18"/>
                <w:highlight w:val="none"/>
              </w:rPr>
            </w:pPr>
          </w:p>
        </w:tc>
      </w:tr>
      <w:tr w14:paraId="749A6E81">
        <w:tblPrEx>
          <w:tblCellMar>
            <w:top w:w="0" w:type="dxa"/>
            <w:left w:w="108" w:type="dxa"/>
            <w:bottom w:w="0" w:type="dxa"/>
            <w:right w:w="108" w:type="dxa"/>
          </w:tblCellMar>
        </w:tblPrEx>
        <w:trPr>
          <w:cantSplit/>
          <w:trHeight w:val="1170" w:hRule="atLeast"/>
        </w:trPr>
        <w:tc>
          <w:tcPr>
            <w:tcW w:w="1049" w:type="dxa"/>
            <w:gridSpan w:val="2"/>
            <w:vMerge w:val="continue"/>
            <w:tcBorders>
              <w:top w:val="single" w:color="auto" w:sz="4" w:space="0"/>
              <w:left w:val="single" w:color="auto" w:sz="6" w:space="0"/>
              <w:bottom w:val="single" w:color="auto" w:sz="4" w:space="0"/>
              <w:right w:val="single" w:color="auto" w:sz="6" w:space="0"/>
            </w:tcBorders>
            <w:noWrap w:val="0"/>
            <w:vAlign w:val="center"/>
          </w:tcPr>
          <w:p w14:paraId="42AE61B7">
            <w:pPr>
              <w:pStyle w:val="88"/>
              <w:rPr>
                <w:rFonts w:hint="eastAsia" w:ascii="仿宋" w:hAnsi="仿宋" w:eastAsia="仿宋" w:cs="仿宋"/>
                <w:color w:val="auto"/>
                <w:sz w:val="18"/>
                <w:szCs w:val="18"/>
                <w:highlight w:val="none"/>
              </w:rPr>
            </w:pPr>
          </w:p>
        </w:tc>
        <w:tc>
          <w:tcPr>
            <w:tcW w:w="1321" w:type="dxa"/>
            <w:tcBorders>
              <w:top w:val="single" w:color="auto" w:sz="4" w:space="0"/>
              <w:left w:val="single" w:color="auto" w:sz="6" w:space="0"/>
              <w:bottom w:val="single" w:color="auto" w:sz="6" w:space="0"/>
              <w:right w:val="single" w:color="auto" w:sz="4" w:space="0"/>
            </w:tcBorders>
            <w:noWrap w:val="0"/>
            <w:vAlign w:val="center"/>
          </w:tcPr>
          <w:p w14:paraId="6D5C90A7">
            <w:pPr>
              <w:pStyle w:val="88"/>
              <w:rPr>
                <w:rFonts w:hint="eastAsia" w:ascii="仿宋" w:hAnsi="仿宋" w:eastAsia="仿宋" w:cs="仿宋"/>
                <w:color w:val="auto"/>
                <w:sz w:val="18"/>
                <w:szCs w:val="18"/>
                <w:highlight w:val="none"/>
              </w:rPr>
            </w:pPr>
          </w:p>
        </w:tc>
        <w:tc>
          <w:tcPr>
            <w:tcW w:w="2232" w:type="dxa"/>
            <w:gridSpan w:val="2"/>
            <w:tcBorders>
              <w:top w:val="single" w:color="auto" w:sz="4" w:space="0"/>
              <w:left w:val="single" w:color="auto" w:sz="4" w:space="0"/>
              <w:bottom w:val="single" w:color="auto" w:sz="6" w:space="0"/>
              <w:right w:val="single" w:color="auto" w:sz="4" w:space="0"/>
            </w:tcBorders>
            <w:noWrap w:val="0"/>
            <w:vAlign w:val="center"/>
          </w:tcPr>
          <w:p w14:paraId="3B97FF0C">
            <w:pPr>
              <w:pStyle w:val="88"/>
              <w:rPr>
                <w:rFonts w:hint="eastAsia" w:ascii="仿宋" w:hAnsi="仿宋" w:eastAsia="仿宋" w:cs="仿宋"/>
                <w:color w:val="auto"/>
                <w:highlight w:val="none"/>
              </w:rPr>
            </w:pPr>
          </w:p>
        </w:tc>
        <w:tc>
          <w:tcPr>
            <w:tcW w:w="1008" w:type="dxa"/>
            <w:tcBorders>
              <w:top w:val="single" w:color="auto" w:sz="4" w:space="0"/>
              <w:left w:val="single" w:color="auto" w:sz="4" w:space="0"/>
              <w:bottom w:val="single" w:color="auto" w:sz="4" w:space="0"/>
              <w:right w:val="single" w:color="auto" w:sz="4" w:space="0"/>
            </w:tcBorders>
            <w:noWrap w:val="0"/>
            <w:vAlign w:val="center"/>
          </w:tcPr>
          <w:p w14:paraId="0C6A118E">
            <w:pPr>
              <w:pStyle w:val="88"/>
              <w:rPr>
                <w:rFonts w:hint="eastAsia"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8F4203E">
            <w:pPr>
              <w:widowControl/>
              <w:jc w:val="right"/>
              <w:textAlignment w:val="center"/>
              <w:rPr>
                <w:rFonts w:hint="eastAsia" w:ascii="仿宋" w:hAnsi="仿宋" w:eastAsia="仿宋" w:cs="仿宋"/>
                <w:color w:val="auto"/>
                <w:sz w:val="22"/>
                <w:highlight w:val="none"/>
              </w:rPr>
            </w:pPr>
          </w:p>
        </w:tc>
        <w:tc>
          <w:tcPr>
            <w:tcW w:w="2574" w:type="dxa"/>
            <w:tcBorders>
              <w:top w:val="single" w:color="auto" w:sz="4" w:space="0"/>
              <w:left w:val="single" w:color="auto" w:sz="4" w:space="0"/>
              <w:bottom w:val="single" w:color="auto" w:sz="4" w:space="0"/>
              <w:right w:val="single" w:color="auto" w:sz="4" w:space="0"/>
            </w:tcBorders>
            <w:noWrap w:val="0"/>
            <w:vAlign w:val="center"/>
          </w:tcPr>
          <w:p w14:paraId="4E35D23C">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提交《项目监理工作总结》</w:t>
            </w:r>
          </w:p>
        </w:tc>
        <w:tc>
          <w:tcPr>
            <w:tcW w:w="3478" w:type="dxa"/>
            <w:gridSpan w:val="4"/>
            <w:tcBorders>
              <w:top w:val="single" w:color="auto" w:sz="4" w:space="0"/>
              <w:left w:val="single" w:color="auto" w:sz="4" w:space="0"/>
              <w:bottom w:val="single" w:color="auto" w:sz="4" w:space="0"/>
              <w:right w:val="single" w:color="auto" w:sz="6" w:space="0"/>
            </w:tcBorders>
            <w:noWrap w:val="0"/>
            <w:vAlign w:val="center"/>
          </w:tcPr>
          <w:p w14:paraId="4DF2390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以《项目监理工作总结》获得委托人认可为考核条件。</w:t>
            </w:r>
          </w:p>
        </w:tc>
        <w:tc>
          <w:tcPr>
            <w:tcW w:w="2132" w:type="dxa"/>
            <w:tcBorders>
              <w:top w:val="single" w:color="auto" w:sz="4" w:space="0"/>
              <w:left w:val="single" w:color="auto" w:sz="6" w:space="0"/>
              <w:bottom w:val="single" w:color="auto" w:sz="4" w:space="0"/>
              <w:right w:val="single" w:color="auto" w:sz="6" w:space="0"/>
            </w:tcBorders>
            <w:noWrap w:val="0"/>
            <w:vAlign w:val="center"/>
          </w:tcPr>
          <w:p w14:paraId="083C9D10">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按项考核。</w:t>
            </w:r>
          </w:p>
        </w:tc>
      </w:tr>
      <w:tr w14:paraId="02752560">
        <w:tblPrEx>
          <w:tblCellMar>
            <w:top w:w="0" w:type="dxa"/>
            <w:left w:w="108" w:type="dxa"/>
            <w:bottom w:w="0" w:type="dxa"/>
            <w:right w:w="108" w:type="dxa"/>
          </w:tblCellMar>
        </w:tblPrEx>
        <w:trPr>
          <w:cantSplit/>
          <w:trHeight w:val="1361" w:hRule="atLeast"/>
        </w:trPr>
        <w:tc>
          <w:tcPr>
            <w:tcW w:w="1049" w:type="dxa"/>
            <w:gridSpan w:val="2"/>
            <w:tcBorders>
              <w:top w:val="single" w:color="auto" w:sz="4" w:space="0"/>
              <w:left w:val="single" w:color="auto" w:sz="6" w:space="0"/>
              <w:bottom w:val="single" w:color="auto" w:sz="6" w:space="0"/>
              <w:right w:val="single" w:color="auto" w:sz="6" w:space="0"/>
            </w:tcBorders>
            <w:noWrap w:val="0"/>
            <w:vAlign w:val="top"/>
          </w:tcPr>
          <w:p w14:paraId="6025B1A8">
            <w:pPr>
              <w:pStyle w:val="88"/>
              <w:jc w:val="center"/>
              <w:rPr>
                <w:rFonts w:hint="eastAsia" w:ascii="仿宋" w:hAnsi="仿宋" w:eastAsia="仿宋" w:cs="仿宋"/>
                <w:color w:val="auto"/>
                <w:sz w:val="18"/>
                <w:szCs w:val="18"/>
                <w:highlight w:val="none"/>
              </w:rPr>
            </w:pPr>
          </w:p>
        </w:tc>
        <w:tc>
          <w:tcPr>
            <w:tcW w:w="3553" w:type="dxa"/>
            <w:gridSpan w:val="3"/>
            <w:tcBorders>
              <w:top w:val="single" w:color="auto" w:sz="6" w:space="0"/>
              <w:left w:val="single" w:color="auto" w:sz="6" w:space="0"/>
              <w:bottom w:val="single" w:color="auto" w:sz="6" w:space="0"/>
              <w:right w:val="single" w:color="auto" w:sz="6" w:space="0"/>
            </w:tcBorders>
            <w:noWrap w:val="0"/>
            <w:vAlign w:val="center"/>
          </w:tcPr>
          <w:p w14:paraId="49FCF9D5">
            <w:pPr>
              <w:pStyle w:val="88"/>
              <w:rPr>
                <w:rFonts w:hint="eastAsia" w:ascii="仿宋" w:hAnsi="仿宋" w:eastAsia="仿宋" w:cs="仿宋"/>
                <w:color w:val="auto"/>
                <w:highlight w:val="none"/>
              </w:rPr>
            </w:pPr>
            <w:r>
              <w:rPr>
                <w:rFonts w:hint="eastAsia" w:ascii="仿宋" w:hAnsi="仿宋" w:eastAsia="仿宋" w:cs="仿宋"/>
                <w:color w:val="auto"/>
                <w:highlight w:val="none"/>
              </w:rPr>
              <w:t>工程收尾阶段考核小计</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3D264762">
            <w:pPr>
              <w:pStyle w:val="88"/>
              <w:rPr>
                <w:rFonts w:hint="eastAsia" w:ascii="仿宋" w:hAnsi="仿宋" w:eastAsia="仿宋" w:cs="仿宋"/>
                <w:color w:val="auto"/>
                <w:highlight w:val="none"/>
              </w:rPr>
            </w:pPr>
            <w:r>
              <w:rPr>
                <w:rFonts w:hint="eastAsia" w:ascii="仿宋" w:hAnsi="仿宋" w:eastAsia="仿宋" w:cs="仿宋"/>
                <w:color w:val="auto"/>
                <w:highlight w:val="none"/>
              </w:rPr>
              <w:t>25.00%</w:t>
            </w:r>
          </w:p>
        </w:tc>
        <w:tc>
          <w:tcPr>
            <w:tcW w:w="1272" w:type="dxa"/>
            <w:tcBorders>
              <w:top w:val="single" w:color="auto" w:sz="6" w:space="0"/>
              <w:left w:val="single" w:color="auto" w:sz="6" w:space="0"/>
              <w:bottom w:val="single" w:color="auto" w:sz="6" w:space="0"/>
              <w:right w:val="single" w:color="auto" w:sz="6" w:space="0"/>
            </w:tcBorders>
            <w:noWrap w:val="0"/>
            <w:vAlign w:val="center"/>
          </w:tcPr>
          <w:p w14:paraId="54D339DA">
            <w:pPr>
              <w:widowControl/>
              <w:jc w:val="right"/>
              <w:textAlignment w:val="center"/>
              <w:rPr>
                <w:rFonts w:hint="eastAsia" w:ascii="仿宋" w:hAnsi="仿宋" w:eastAsia="仿宋" w:cs="仿宋"/>
                <w:color w:val="auto"/>
                <w:sz w:val="18"/>
                <w:szCs w:val="18"/>
                <w:highlight w:val="none"/>
              </w:rPr>
            </w:pPr>
          </w:p>
        </w:tc>
        <w:tc>
          <w:tcPr>
            <w:tcW w:w="8184" w:type="dxa"/>
            <w:gridSpan w:val="6"/>
            <w:tcBorders>
              <w:top w:val="single" w:color="auto" w:sz="4" w:space="0"/>
              <w:left w:val="single" w:color="auto" w:sz="6" w:space="0"/>
              <w:bottom w:val="single" w:color="auto" w:sz="6" w:space="0"/>
              <w:right w:val="single" w:color="000000" w:sz="2" w:space="0"/>
            </w:tcBorders>
            <w:noWrap w:val="0"/>
            <w:vAlign w:val="center"/>
          </w:tcPr>
          <w:p w14:paraId="233D6BD8">
            <w:pPr>
              <w:jc w:val="right"/>
              <w:rPr>
                <w:rFonts w:hint="eastAsia" w:ascii="仿宋" w:hAnsi="仿宋" w:eastAsia="仿宋" w:cs="仿宋"/>
                <w:color w:val="auto"/>
                <w:sz w:val="22"/>
                <w:highlight w:val="none"/>
              </w:rPr>
            </w:pPr>
            <w:r>
              <w:rPr>
                <w:rFonts w:hint="eastAsia"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single"/>
              </w:rPr>
              <w:t xml:space="preserve"> </w:t>
            </w:r>
          </w:p>
        </w:tc>
      </w:tr>
      <w:tr w14:paraId="31D03BD2">
        <w:tblPrEx>
          <w:tblCellMar>
            <w:top w:w="0" w:type="dxa"/>
            <w:left w:w="108" w:type="dxa"/>
            <w:bottom w:w="0" w:type="dxa"/>
            <w:right w:w="108" w:type="dxa"/>
          </w:tblCellMar>
        </w:tblPrEx>
        <w:trPr>
          <w:cantSplit/>
          <w:trHeight w:val="1379" w:hRule="atLeast"/>
        </w:trPr>
        <w:tc>
          <w:tcPr>
            <w:tcW w:w="1049" w:type="dxa"/>
            <w:gridSpan w:val="2"/>
            <w:tcBorders>
              <w:top w:val="single" w:color="auto" w:sz="6" w:space="0"/>
              <w:left w:val="single" w:color="auto" w:sz="6" w:space="0"/>
              <w:bottom w:val="single" w:color="auto" w:sz="4" w:space="0"/>
              <w:right w:val="single" w:color="auto" w:sz="6" w:space="0"/>
            </w:tcBorders>
            <w:noWrap w:val="0"/>
            <w:vAlign w:val="top"/>
          </w:tcPr>
          <w:p w14:paraId="7E17C52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工</w:t>
            </w:r>
          </w:p>
          <w:p w14:paraId="3FF3AC3C">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程</w:t>
            </w:r>
          </w:p>
          <w:p w14:paraId="631F3104">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保</w:t>
            </w:r>
          </w:p>
          <w:p w14:paraId="5A6D8746">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修</w:t>
            </w:r>
          </w:p>
          <w:p w14:paraId="395AE43D">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阶</w:t>
            </w:r>
          </w:p>
          <w:p w14:paraId="3A7C65E9">
            <w:pPr>
              <w:pStyle w:val="88"/>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段</w:t>
            </w:r>
          </w:p>
        </w:tc>
        <w:tc>
          <w:tcPr>
            <w:tcW w:w="1321" w:type="dxa"/>
            <w:tcBorders>
              <w:top w:val="single" w:color="auto" w:sz="6" w:space="0"/>
              <w:left w:val="single" w:color="auto" w:sz="6" w:space="0"/>
              <w:bottom w:val="single" w:color="auto" w:sz="4" w:space="0"/>
              <w:right w:val="single" w:color="auto" w:sz="6" w:space="0"/>
            </w:tcBorders>
            <w:noWrap w:val="0"/>
            <w:vAlign w:val="center"/>
          </w:tcPr>
          <w:p w14:paraId="580FF293">
            <w:pPr>
              <w:pStyle w:val="88"/>
              <w:rPr>
                <w:rFonts w:hint="eastAsia" w:ascii="仿宋" w:hAnsi="仿宋" w:eastAsia="仿宋" w:cs="仿宋"/>
                <w:color w:val="auto"/>
                <w:sz w:val="18"/>
                <w:szCs w:val="18"/>
                <w:highlight w:val="none"/>
              </w:rPr>
            </w:pPr>
          </w:p>
        </w:tc>
        <w:tc>
          <w:tcPr>
            <w:tcW w:w="2232" w:type="dxa"/>
            <w:gridSpan w:val="2"/>
            <w:tcBorders>
              <w:top w:val="single" w:color="auto" w:sz="6" w:space="0"/>
              <w:left w:val="single" w:color="auto" w:sz="6" w:space="0"/>
              <w:bottom w:val="single" w:color="auto" w:sz="4" w:space="0"/>
              <w:right w:val="single" w:color="auto" w:sz="6" w:space="0"/>
            </w:tcBorders>
            <w:noWrap w:val="0"/>
            <w:vAlign w:val="center"/>
          </w:tcPr>
          <w:p w14:paraId="695E3C21">
            <w:pPr>
              <w:pStyle w:val="88"/>
              <w:rPr>
                <w:rFonts w:hint="eastAsia" w:ascii="仿宋" w:hAnsi="仿宋" w:eastAsia="仿宋" w:cs="仿宋"/>
                <w:color w:val="auto"/>
                <w:highlight w:val="none"/>
              </w:rPr>
            </w:pPr>
          </w:p>
        </w:tc>
        <w:tc>
          <w:tcPr>
            <w:tcW w:w="1008" w:type="dxa"/>
            <w:tcBorders>
              <w:top w:val="single" w:color="auto" w:sz="6" w:space="0"/>
              <w:left w:val="single" w:color="auto" w:sz="6" w:space="0"/>
              <w:bottom w:val="single" w:color="auto" w:sz="4" w:space="0"/>
              <w:right w:val="single" w:color="auto" w:sz="6" w:space="0"/>
            </w:tcBorders>
            <w:noWrap w:val="0"/>
            <w:vAlign w:val="center"/>
          </w:tcPr>
          <w:p w14:paraId="10E50951">
            <w:pPr>
              <w:pStyle w:val="88"/>
              <w:rPr>
                <w:rFonts w:hint="eastAsia" w:ascii="仿宋" w:hAnsi="仿宋" w:eastAsia="仿宋" w:cs="仿宋"/>
                <w:color w:val="auto"/>
                <w:highlight w:val="none"/>
              </w:rPr>
            </w:pPr>
            <w:r>
              <w:rPr>
                <w:rFonts w:hint="eastAsia" w:ascii="仿宋" w:hAnsi="仿宋" w:eastAsia="仿宋" w:cs="仿宋"/>
                <w:b/>
                <w:bCs/>
                <w:color w:val="auto"/>
                <w:highlight w:val="none"/>
              </w:rPr>
              <w:t>5.00%</w:t>
            </w:r>
          </w:p>
        </w:tc>
        <w:tc>
          <w:tcPr>
            <w:tcW w:w="1272" w:type="dxa"/>
            <w:tcBorders>
              <w:top w:val="single" w:color="auto" w:sz="6" w:space="0"/>
              <w:left w:val="single" w:color="auto" w:sz="6" w:space="0"/>
              <w:bottom w:val="single" w:color="auto" w:sz="4" w:space="0"/>
              <w:right w:val="single" w:color="auto" w:sz="6" w:space="0"/>
            </w:tcBorders>
            <w:noWrap w:val="0"/>
            <w:vAlign w:val="center"/>
          </w:tcPr>
          <w:p w14:paraId="50D81C60">
            <w:pPr>
              <w:widowControl/>
              <w:jc w:val="right"/>
              <w:textAlignment w:val="center"/>
              <w:rPr>
                <w:rFonts w:hint="eastAsia" w:ascii="仿宋" w:hAnsi="仿宋" w:eastAsia="仿宋" w:cs="仿宋"/>
                <w:color w:val="auto"/>
                <w:sz w:val="22"/>
                <w:highlight w:val="none"/>
              </w:rPr>
            </w:pPr>
          </w:p>
        </w:tc>
        <w:tc>
          <w:tcPr>
            <w:tcW w:w="2600" w:type="dxa"/>
            <w:gridSpan w:val="2"/>
            <w:tcBorders>
              <w:top w:val="single" w:color="auto" w:sz="6" w:space="0"/>
              <w:left w:val="single" w:color="auto" w:sz="6" w:space="0"/>
              <w:bottom w:val="single" w:color="auto" w:sz="4" w:space="0"/>
              <w:right w:val="single" w:color="000000" w:sz="2" w:space="0"/>
            </w:tcBorders>
            <w:noWrap w:val="0"/>
            <w:vAlign w:val="center"/>
          </w:tcPr>
          <w:p w14:paraId="0364A369">
            <w:pPr>
              <w:pStyle w:val="88"/>
              <w:rPr>
                <w:rFonts w:hint="eastAsia" w:ascii="仿宋" w:hAnsi="仿宋" w:eastAsia="仿宋" w:cs="仿宋"/>
                <w:color w:val="auto"/>
                <w:sz w:val="18"/>
                <w:szCs w:val="18"/>
                <w:highlight w:val="none"/>
              </w:rPr>
            </w:pPr>
          </w:p>
        </w:tc>
        <w:tc>
          <w:tcPr>
            <w:tcW w:w="3452" w:type="dxa"/>
            <w:gridSpan w:val="3"/>
            <w:tcBorders>
              <w:top w:val="single" w:color="auto" w:sz="6" w:space="0"/>
              <w:left w:val="single" w:color="auto" w:sz="6" w:space="0"/>
              <w:bottom w:val="single" w:color="auto" w:sz="4" w:space="0"/>
              <w:right w:val="single" w:color="000000" w:sz="2" w:space="0"/>
            </w:tcBorders>
            <w:noWrap w:val="0"/>
            <w:vAlign w:val="center"/>
          </w:tcPr>
          <w:p w14:paraId="2813170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以保修期完成且所有质量问题均已得到解决且竣工结算金额为政府财政部门或政府财政部门所授权的单位最终确认为考核条件。（按本合同结算金额的5%计算）</w:t>
            </w:r>
          </w:p>
        </w:tc>
        <w:tc>
          <w:tcPr>
            <w:tcW w:w="2132" w:type="dxa"/>
            <w:tcBorders>
              <w:top w:val="single" w:color="auto" w:sz="6" w:space="0"/>
              <w:left w:val="single" w:color="auto" w:sz="6" w:space="0"/>
              <w:bottom w:val="single" w:color="auto" w:sz="4" w:space="0"/>
              <w:right w:val="single" w:color="000000" w:sz="2" w:space="0"/>
            </w:tcBorders>
            <w:noWrap w:val="0"/>
            <w:vAlign w:val="center"/>
          </w:tcPr>
          <w:p w14:paraId="49CB3979">
            <w:pPr>
              <w:pStyle w:val="88"/>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一次性考核。</w:t>
            </w:r>
          </w:p>
        </w:tc>
      </w:tr>
      <w:tr w14:paraId="6EF20176">
        <w:tblPrEx>
          <w:tblCellMar>
            <w:top w:w="0" w:type="dxa"/>
            <w:left w:w="108" w:type="dxa"/>
            <w:bottom w:w="0" w:type="dxa"/>
            <w:right w:w="108" w:type="dxa"/>
          </w:tblCellMar>
        </w:tblPrEx>
        <w:trPr>
          <w:cantSplit/>
          <w:trHeight w:val="523" w:hRule="atLeast"/>
        </w:trPr>
        <w:tc>
          <w:tcPr>
            <w:tcW w:w="4602" w:type="dxa"/>
            <w:gridSpan w:val="5"/>
            <w:tcBorders>
              <w:top w:val="single" w:color="auto" w:sz="4" w:space="0"/>
              <w:left w:val="single" w:color="auto" w:sz="4" w:space="0"/>
              <w:bottom w:val="single" w:color="auto" w:sz="4" w:space="0"/>
              <w:right w:val="single" w:color="auto" w:sz="4" w:space="0"/>
            </w:tcBorders>
            <w:noWrap w:val="0"/>
            <w:vAlign w:val="center"/>
          </w:tcPr>
          <w:p w14:paraId="67F49903">
            <w:pPr>
              <w:pStyle w:val="88"/>
              <w:jc w:val="center"/>
              <w:rPr>
                <w:rFonts w:hint="eastAsia" w:ascii="仿宋" w:hAnsi="仿宋" w:eastAsia="仿宋" w:cs="仿宋"/>
                <w:color w:val="auto"/>
                <w:highlight w:val="none"/>
              </w:rPr>
            </w:pPr>
            <w:r>
              <w:rPr>
                <w:rFonts w:hint="eastAsia" w:ascii="仿宋" w:hAnsi="仿宋" w:eastAsia="仿宋" w:cs="仿宋"/>
                <w:b/>
                <w:color w:val="auto"/>
                <w:highlight w:val="none"/>
              </w:rPr>
              <w:t>考核酬金总计</w:t>
            </w:r>
          </w:p>
        </w:tc>
        <w:tc>
          <w:tcPr>
            <w:tcW w:w="1008" w:type="dxa"/>
            <w:tcBorders>
              <w:top w:val="single" w:color="auto" w:sz="4" w:space="0"/>
              <w:left w:val="single" w:color="auto" w:sz="4" w:space="0"/>
              <w:bottom w:val="single" w:color="auto" w:sz="4" w:space="0"/>
              <w:right w:val="single" w:color="auto" w:sz="4" w:space="0"/>
            </w:tcBorders>
            <w:noWrap w:val="0"/>
            <w:vAlign w:val="center"/>
          </w:tcPr>
          <w:p w14:paraId="4CF4CF39">
            <w:pPr>
              <w:pStyle w:val="88"/>
              <w:rPr>
                <w:rFonts w:ascii="仿宋" w:hAnsi="仿宋" w:eastAsia="仿宋" w:cs="仿宋"/>
                <w:color w:val="auto"/>
                <w:highlight w:val="none"/>
              </w:rPr>
            </w:pPr>
            <w:r>
              <w:rPr>
                <w:rFonts w:hint="eastAsia" w:ascii="仿宋" w:hAnsi="仿宋" w:eastAsia="仿宋" w:cs="仿宋"/>
                <w:color w:val="auto"/>
                <w:highlight w:val="none"/>
              </w:rPr>
              <w:t>100%</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8BDD2F8">
            <w:pPr>
              <w:jc w:val="right"/>
              <w:rPr>
                <w:rFonts w:hint="eastAsia" w:ascii="仿宋" w:hAnsi="仿宋" w:eastAsia="仿宋" w:cs="仿宋"/>
                <w:color w:val="auto"/>
                <w:highlight w:val="none"/>
              </w:rPr>
            </w:pPr>
          </w:p>
        </w:tc>
        <w:tc>
          <w:tcPr>
            <w:tcW w:w="2600" w:type="dxa"/>
            <w:gridSpan w:val="2"/>
            <w:tcBorders>
              <w:top w:val="single" w:color="auto" w:sz="4" w:space="0"/>
              <w:left w:val="single" w:color="auto" w:sz="4" w:space="0"/>
              <w:bottom w:val="single" w:color="auto" w:sz="4" w:space="0"/>
              <w:right w:val="single" w:color="auto" w:sz="4" w:space="0"/>
            </w:tcBorders>
            <w:noWrap w:val="0"/>
            <w:vAlign w:val="center"/>
          </w:tcPr>
          <w:p w14:paraId="3DA79ACD">
            <w:pPr>
              <w:jc w:val="right"/>
              <w:rPr>
                <w:rFonts w:hint="eastAsia" w:ascii="仿宋" w:hAnsi="仿宋" w:eastAsia="仿宋" w:cs="仿宋"/>
                <w:color w:val="auto"/>
                <w:highlight w:val="none"/>
              </w:rPr>
            </w:pPr>
          </w:p>
        </w:tc>
        <w:tc>
          <w:tcPr>
            <w:tcW w:w="3452" w:type="dxa"/>
            <w:gridSpan w:val="3"/>
            <w:tcBorders>
              <w:top w:val="single" w:color="auto" w:sz="4" w:space="0"/>
              <w:left w:val="single" w:color="auto" w:sz="4" w:space="0"/>
              <w:bottom w:val="single" w:color="auto" w:sz="4" w:space="0"/>
              <w:right w:val="single" w:color="auto" w:sz="4" w:space="0"/>
            </w:tcBorders>
            <w:noWrap w:val="0"/>
            <w:vAlign w:val="center"/>
          </w:tcPr>
          <w:p w14:paraId="20E82E90">
            <w:pPr>
              <w:jc w:val="right"/>
              <w:rPr>
                <w:rFonts w:hint="eastAsia" w:ascii="仿宋" w:hAnsi="仿宋" w:eastAsia="仿宋" w:cs="仿宋"/>
                <w:color w:val="auto"/>
                <w:sz w:val="22"/>
                <w:highlight w:val="none"/>
              </w:rPr>
            </w:pPr>
          </w:p>
        </w:tc>
        <w:tc>
          <w:tcPr>
            <w:tcW w:w="2132" w:type="dxa"/>
            <w:tcBorders>
              <w:top w:val="single" w:color="auto" w:sz="4" w:space="0"/>
              <w:left w:val="single" w:color="auto" w:sz="4" w:space="0"/>
              <w:bottom w:val="single" w:color="auto" w:sz="4" w:space="0"/>
              <w:right w:val="single" w:color="auto" w:sz="4" w:space="0"/>
            </w:tcBorders>
            <w:noWrap w:val="0"/>
            <w:vAlign w:val="top"/>
          </w:tcPr>
          <w:p w14:paraId="1F081533">
            <w:pPr>
              <w:pStyle w:val="88"/>
              <w:rPr>
                <w:rFonts w:hint="eastAsia" w:ascii="仿宋" w:hAnsi="仿宋" w:eastAsia="仿宋" w:cs="仿宋"/>
                <w:color w:val="auto"/>
                <w:sz w:val="18"/>
                <w:szCs w:val="18"/>
                <w:highlight w:val="none"/>
              </w:rPr>
            </w:pPr>
          </w:p>
        </w:tc>
      </w:tr>
    </w:tbl>
    <w:p w14:paraId="72466666">
      <w:pPr>
        <w:rPr>
          <w:rFonts w:hint="eastAsia" w:ascii="仿宋" w:hAnsi="仿宋" w:eastAsia="仿宋" w:cs="仿宋"/>
          <w:color w:val="auto"/>
          <w:highlight w:val="none"/>
        </w:rPr>
      </w:pPr>
    </w:p>
    <w:p w14:paraId="5A7AE4CE">
      <w:pPr>
        <w:rPr>
          <w:rFonts w:hint="eastAsia" w:ascii="仿宋" w:hAnsi="仿宋" w:eastAsia="仿宋" w:cs="仿宋"/>
          <w:color w:val="auto"/>
          <w:highlight w:val="none"/>
        </w:rPr>
      </w:pPr>
    </w:p>
    <w:p w14:paraId="7B40A129">
      <w:pPr>
        <w:rPr>
          <w:rFonts w:hint="eastAsia" w:ascii="仿宋" w:hAnsi="仿宋" w:eastAsia="仿宋" w:cs="仿宋"/>
          <w:color w:val="auto"/>
          <w:highlight w:val="none"/>
        </w:rPr>
      </w:pPr>
    </w:p>
    <w:p w14:paraId="4B884236">
      <w:pPr>
        <w:rPr>
          <w:rFonts w:hint="eastAsia" w:ascii="仿宋" w:hAnsi="仿宋" w:eastAsia="仿宋" w:cs="仿宋"/>
          <w:color w:val="auto"/>
          <w:highlight w:val="none"/>
        </w:rPr>
      </w:pPr>
    </w:p>
    <w:p w14:paraId="5B83AEBE">
      <w:pPr>
        <w:rPr>
          <w:rFonts w:hint="eastAsia" w:ascii="仿宋" w:hAnsi="仿宋" w:eastAsia="仿宋" w:cs="仿宋"/>
          <w:color w:val="auto"/>
          <w:highlight w:val="none"/>
        </w:rPr>
      </w:pPr>
    </w:p>
    <w:p w14:paraId="2CD789E3">
      <w:pPr>
        <w:rPr>
          <w:rFonts w:hint="eastAsia" w:ascii="仿宋" w:hAnsi="仿宋" w:eastAsia="仿宋" w:cs="仿宋"/>
          <w:color w:val="auto"/>
          <w:highlight w:val="none"/>
        </w:rPr>
      </w:pPr>
    </w:p>
    <w:p w14:paraId="569AC8F9">
      <w:pPr>
        <w:rPr>
          <w:rFonts w:hint="eastAsia" w:ascii="仿宋" w:hAnsi="仿宋" w:eastAsia="仿宋" w:cs="仿宋"/>
          <w:color w:val="auto"/>
          <w:highlight w:val="none"/>
        </w:rPr>
      </w:pPr>
    </w:p>
    <w:p w14:paraId="3EF4FD90">
      <w:pPr>
        <w:rPr>
          <w:rFonts w:hint="eastAsia" w:ascii="仿宋" w:hAnsi="仿宋" w:eastAsia="仿宋" w:cs="仿宋"/>
          <w:color w:val="auto"/>
          <w:highlight w:val="none"/>
        </w:rPr>
        <w:sectPr>
          <w:footerReference r:id="rId10" w:type="default"/>
          <w:pgSz w:w="16838" w:h="11906" w:orient="landscape"/>
          <w:pgMar w:top="1803" w:right="1440" w:bottom="1803" w:left="1440" w:header="851" w:footer="992" w:gutter="0"/>
          <w:pgNumType w:start="93"/>
          <w:cols w:space="720" w:num="1"/>
          <w:rtlGutter w:val="0"/>
          <w:docGrid w:type="lines" w:linePitch="312" w:charSpace="0"/>
        </w:sectPr>
      </w:pPr>
    </w:p>
    <w:p w14:paraId="03EAFE2D">
      <w:pPr>
        <w:keepNext w:val="0"/>
        <w:keepLines w:val="0"/>
        <w:widowControl/>
        <w:suppressLineNumbers w:val="0"/>
        <w:jc w:val="center"/>
        <w:textAlignment w:val="center"/>
        <w:rPr>
          <w:rFonts w:hint="default" w:ascii="方正大标宋简体" w:hAnsi="方正大标宋简体" w:eastAsia="方正大标宋简体" w:cs="方正大标宋简体"/>
          <w:b/>
          <w:bCs/>
          <w:i w:val="0"/>
          <w:iCs w:val="0"/>
          <w:color w:val="auto"/>
          <w:kern w:val="0"/>
          <w:sz w:val="32"/>
          <w:szCs w:val="32"/>
          <w:highlight w:val="none"/>
          <w:u w:val="none"/>
          <w:lang w:val="en-US" w:eastAsia="zh-CN" w:bidi="ar"/>
        </w:rPr>
      </w:pPr>
    </w:p>
    <w:tbl>
      <w:tblPr>
        <w:tblStyle w:val="43"/>
        <w:tblW w:w="86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1581"/>
        <w:gridCol w:w="2205"/>
        <w:gridCol w:w="1581"/>
        <w:gridCol w:w="2325"/>
      </w:tblGrid>
      <w:tr w14:paraId="3332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682" w:type="dxa"/>
            <w:gridSpan w:val="5"/>
            <w:tcBorders>
              <w:top w:val="nil"/>
              <w:left w:val="nil"/>
              <w:bottom w:val="single" w:color="000000" w:sz="4" w:space="0"/>
              <w:right w:val="nil"/>
            </w:tcBorders>
            <w:noWrap/>
            <w:vAlign w:val="center"/>
          </w:tcPr>
          <w:p w14:paraId="7EE8C0BD">
            <w:pPr>
              <w:keepNext w:val="0"/>
              <w:keepLines w:val="0"/>
              <w:widowControl/>
              <w:suppressLineNumbers w:val="0"/>
              <w:jc w:val="center"/>
              <w:textAlignment w:val="center"/>
              <w:rPr>
                <w:rFonts w:ascii="方正大标宋简体" w:hAnsi="方正大标宋简体" w:eastAsia="方正大标宋简体" w:cs="方正大标宋简体"/>
                <w:b/>
                <w:bCs/>
                <w:i w:val="0"/>
                <w:iCs w:val="0"/>
                <w:color w:val="auto"/>
                <w:sz w:val="32"/>
                <w:szCs w:val="32"/>
                <w:highlight w:val="none"/>
                <w:u w:val="none"/>
              </w:rPr>
            </w:pPr>
            <w:r>
              <w:rPr>
                <w:rFonts w:hint="default" w:ascii="方正大标宋简体" w:hAnsi="方正大标宋简体" w:eastAsia="方正大标宋简体" w:cs="方正大标宋简体"/>
                <w:b/>
                <w:bCs/>
                <w:i w:val="0"/>
                <w:iCs w:val="0"/>
                <w:color w:val="auto"/>
                <w:kern w:val="0"/>
                <w:sz w:val="32"/>
                <w:szCs w:val="32"/>
                <w:highlight w:val="none"/>
                <w:u w:val="none"/>
                <w:lang w:val="en-US" w:eastAsia="zh-CN" w:bidi="ar"/>
              </w:rPr>
              <w:t>监理项目管理团队实名信息采集表</w:t>
            </w:r>
          </w:p>
        </w:tc>
      </w:tr>
      <w:tr w14:paraId="6E0A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A5567E">
            <w:pPr>
              <w:keepNext w:val="0"/>
              <w:keepLines w:val="0"/>
              <w:widowControl/>
              <w:suppressLineNumbers w:val="0"/>
              <w:jc w:val="center"/>
              <w:textAlignment w:val="center"/>
              <w:rPr>
                <w:rFonts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序号</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0BDC5D12">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姓名</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2B4181E8">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岗位</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4429718B">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职称</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65B86B6">
            <w:pPr>
              <w:keepNext w:val="0"/>
              <w:keepLines w:val="0"/>
              <w:widowControl/>
              <w:suppressLineNumbers w:val="0"/>
              <w:jc w:val="center"/>
              <w:textAlignment w:val="center"/>
              <w:rPr>
                <w:rFonts w:hint="eastAsia" w:ascii="仿宋" w:hAnsi="仿宋" w:eastAsia="仿宋" w:cs="仿宋"/>
                <w:b/>
                <w:bCs/>
                <w:i w:val="0"/>
                <w:iCs w:val="0"/>
                <w:color w:val="auto"/>
                <w:sz w:val="28"/>
                <w:szCs w:val="28"/>
                <w:highlight w:val="none"/>
                <w:u w:val="none"/>
              </w:rPr>
            </w:pPr>
            <w:r>
              <w:rPr>
                <w:rFonts w:hint="eastAsia" w:ascii="仿宋" w:hAnsi="仿宋" w:eastAsia="仿宋" w:cs="仿宋"/>
                <w:b/>
                <w:bCs/>
                <w:i w:val="0"/>
                <w:iCs w:val="0"/>
                <w:color w:val="auto"/>
                <w:kern w:val="0"/>
                <w:sz w:val="28"/>
                <w:szCs w:val="28"/>
                <w:highlight w:val="none"/>
                <w:u w:val="none"/>
                <w:lang w:val="en-US" w:eastAsia="zh-CN" w:bidi="ar"/>
              </w:rPr>
              <w:t>职称证书或资格证书编号</w:t>
            </w:r>
          </w:p>
        </w:tc>
      </w:tr>
      <w:tr w14:paraId="798E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6A69CF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1</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36BE38A">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3C577D69">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F3D41E3">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7DEC2A65">
            <w:pPr>
              <w:jc w:val="center"/>
              <w:rPr>
                <w:rFonts w:hint="eastAsia" w:ascii="仿宋" w:hAnsi="仿宋" w:eastAsia="仿宋" w:cs="仿宋"/>
                <w:i w:val="0"/>
                <w:iCs w:val="0"/>
                <w:color w:val="auto"/>
                <w:sz w:val="28"/>
                <w:szCs w:val="28"/>
                <w:highlight w:val="none"/>
                <w:u w:val="none"/>
              </w:rPr>
            </w:pPr>
          </w:p>
        </w:tc>
      </w:tr>
      <w:tr w14:paraId="5E0C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012F6995">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2</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8A15242">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E8F58C2">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CAB87B4">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3819F6C8">
            <w:pPr>
              <w:jc w:val="center"/>
              <w:rPr>
                <w:rFonts w:hint="eastAsia" w:ascii="仿宋" w:hAnsi="仿宋" w:eastAsia="仿宋" w:cs="仿宋"/>
                <w:i w:val="0"/>
                <w:iCs w:val="0"/>
                <w:color w:val="auto"/>
                <w:sz w:val="28"/>
                <w:szCs w:val="28"/>
                <w:highlight w:val="none"/>
                <w:u w:val="none"/>
              </w:rPr>
            </w:pPr>
          </w:p>
        </w:tc>
      </w:tr>
      <w:tr w14:paraId="6557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3C77924">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3</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5BA4D5F">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2F0B485">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4F5ED5C">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3E0FAC1F">
            <w:pPr>
              <w:jc w:val="center"/>
              <w:rPr>
                <w:rFonts w:hint="eastAsia" w:ascii="仿宋" w:hAnsi="仿宋" w:eastAsia="仿宋" w:cs="仿宋"/>
                <w:i w:val="0"/>
                <w:iCs w:val="0"/>
                <w:color w:val="auto"/>
                <w:sz w:val="28"/>
                <w:szCs w:val="28"/>
                <w:highlight w:val="none"/>
                <w:u w:val="none"/>
              </w:rPr>
            </w:pPr>
          </w:p>
        </w:tc>
      </w:tr>
      <w:tr w14:paraId="05E4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33803D6">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4</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3188FAE">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E20A566">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3F4CB22">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37E56DEB">
            <w:pPr>
              <w:jc w:val="center"/>
              <w:rPr>
                <w:rFonts w:hint="eastAsia" w:ascii="仿宋" w:hAnsi="仿宋" w:eastAsia="仿宋" w:cs="仿宋"/>
                <w:i w:val="0"/>
                <w:iCs w:val="0"/>
                <w:color w:val="auto"/>
                <w:sz w:val="28"/>
                <w:szCs w:val="28"/>
                <w:highlight w:val="none"/>
                <w:u w:val="none"/>
              </w:rPr>
            </w:pPr>
          </w:p>
        </w:tc>
      </w:tr>
      <w:tr w14:paraId="3539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8F71249">
            <w:pPr>
              <w:keepNext w:val="0"/>
              <w:keepLines w:val="0"/>
              <w:widowControl/>
              <w:suppressLineNumbers w:val="0"/>
              <w:jc w:val="center"/>
              <w:textAlignment w:val="center"/>
              <w:rPr>
                <w:rFonts w:hint="eastAsia" w:ascii="仿宋" w:hAnsi="仿宋" w:eastAsia="仿宋" w:cs="仿宋"/>
                <w:i w:val="0"/>
                <w:iCs w:val="0"/>
                <w:color w:val="auto"/>
                <w:sz w:val="28"/>
                <w:szCs w:val="28"/>
                <w:highlight w:val="none"/>
                <w:u w:val="none"/>
              </w:rPr>
            </w:pPr>
            <w:r>
              <w:rPr>
                <w:rFonts w:hint="eastAsia" w:ascii="仿宋" w:hAnsi="仿宋" w:eastAsia="仿宋" w:cs="仿宋"/>
                <w:i w:val="0"/>
                <w:iCs w:val="0"/>
                <w:color w:val="auto"/>
                <w:kern w:val="0"/>
                <w:sz w:val="28"/>
                <w:szCs w:val="28"/>
                <w:highlight w:val="none"/>
                <w:u w:val="none"/>
                <w:lang w:val="en-US" w:eastAsia="zh-CN" w:bidi="ar"/>
              </w:rPr>
              <w:t>……</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1BBAF9BA">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250B4F9">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549DB79">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7839F312">
            <w:pPr>
              <w:jc w:val="center"/>
              <w:rPr>
                <w:rFonts w:hint="eastAsia" w:ascii="仿宋" w:hAnsi="仿宋" w:eastAsia="仿宋" w:cs="仿宋"/>
                <w:i w:val="0"/>
                <w:iCs w:val="0"/>
                <w:color w:val="auto"/>
                <w:sz w:val="28"/>
                <w:szCs w:val="28"/>
                <w:highlight w:val="none"/>
                <w:u w:val="none"/>
              </w:rPr>
            </w:pPr>
          </w:p>
        </w:tc>
      </w:tr>
      <w:tr w14:paraId="39F8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719E80A9">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24FD0ED">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C7E710F">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005361DC">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2C410E2B">
            <w:pPr>
              <w:jc w:val="center"/>
              <w:rPr>
                <w:rFonts w:hint="eastAsia" w:ascii="仿宋" w:hAnsi="仿宋" w:eastAsia="仿宋" w:cs="仿宋"/>
                <w:i w:val="0"/>
                <w:iCs w:val="0"/>
                <w:color w:val="auto"/>
                <w:sz w:val="28"/>
                <w:szCs w:val="28"/>
                <w:highlight w:val="none"/>
                <w:u w:val="none"/>
              </w:rPr>
            </w:pPr>
          </w:p>
        </w:tc>
      </w:tr>
      <w:tr w14:paraId="18E9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08D01382">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175B8F0">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2FBB07B">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32619F8">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24613511">
            <w:pPr>
              <w:jc w:val="center"/>
              <w:rPr>
                <w:rFonts w:hint="eastAsia" w:ascii="仿宋" w:hAnsi="仿宋" w:eastAsia="仿宋" w:cs="仿宋"/>
                <w:i w:val="0"/>
                <w:iCs w:val="0"/>
                <w:color w:val="auto"/>
                <w:sz w:val="28"/>
                <w:szCs w:val="28"/>
                <w:highlight w:val="none"/>
                <w:u w:val="none"/>
              </w:rPr>
            </w:pPr>
          </w:p>
        </w:tc>
      </w:tr>
      <w:tr w14:paraId="6E42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D8B5F5E">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47ACEDE">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5317BFF">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A6A2BFA">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20D2C52">
            <w:pPr>
              <w:jc w:val="center"/>
              <w:rPr>
                <w:rFonts w:hint="eastAsia" w:ascii="仿宋" w:hAnsi="仿宋" w:eastAsia="仿宋" w:cs="仿宋"/>
                <w:i w:val="0"/>
                <w:iCs w:val="0"/>
                <w:color w:val="auto"/>
                <w:sz w:val="28"/>
                <w:szCs w:val="28"/>
                <w:highlight w:val="none"/>
                <w:u w:val="none"/>
              </w:rPr>
            </w:pPr>
          </w:p>
        </w:tc>
      </w:tr>
      <w:tr w14:paraId="19FA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0C91256C">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01D0B1E">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1BA9D9C">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1107F54D">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4F1EFB6D">
            <w:pPr>
              <w:jc w:val="center"/>
              <w:rPr>
                <w:rFonts w:hint="eastAsia" w:ascii="仿宋" w:hAnsi="仿宋" w:eastAsia="仿宋" w:cs="仿宋"/>
                <w:i w:val="0"/>
                <w:iCs w:val="0"/>
                <w:color w:val="auto"/>
                <w:sz w:val="28"/>
                <w:szCs w:val="28"/>
                <w:highlight w:val="none"/>
                <w:u w:val="none"/>
              </w:rPr>
            </w:pPr>
          </w:p>
        </w:tc>
      </w:tr>
      <w:tr w14:paraId="67F4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EDB922C">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0CEB0467">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9F05047">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5ED4F7D">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7032E4B7">
            <w:pPr>
              <w:jc w:val="center"/>
              <w:rPr>
                <w:rFonts w:hint="eastAsia" w:ascii="仿宋" w:hAnsi="仿宋" w:eastAsia="仿宋" w:cs="仿宋"/>
                <w:i w:val="0"/>
                <w:iCs w:val="0"/>
                <w:color w:val="auto"/>
                <w:sz w:val="28"/>
                <w:szCs w:val="28"/>
                <w:highlight w:val="none"/>
                <w:u w:val="none"/>
              </w:rPr>
            </w:pPr>
          </w:p>
        </w:tc>
      </w:tr>
      <w:tr w14:paraId="363C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F5C1D8B">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A9F1A36">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0BDF1151">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9B87411">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C09DD3A">
            <w:pPr>
              <w:jc w:val="center"/>
              <w:rPr>
                <w:rFonts w:hint="eastAsia" w:ascii="仿宋" w:hAnsi="仿宋" w:eastAsia="仿宋" w:cs="仿宋"/>
                <w:i w:val="0"/>
                <w:iCs w:val="0"/>
                <w:color w:val="auto"/>
                <w:sz w:val="28"/>
                <w:szCs w:val="28"/>
                <w:highlight w:val="none"/>
                <w:u w:val="none"/>
              </w:rPr>
            </w:pPr>
          </w:p>
        </w:tc>
      </w:tr>
      <w:tr w14:paraId="53E3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98C9C9A">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10E61D5">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4068E60">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D5F59AC">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1AFD3D00">
            <w:pPr>
              <w:jc w:val="center"/>
              <w:rPr>
                <w:rFonts w:hint="eastAsia" w:ascii="仿宋" w:hAnsi="仿宋" w:eastAsia="仿宋" w:cs="仿宋"/>
                <w:i w:val="0"/>
                <w:iCs w:val="0"/>
                <w:color w:val="auto"/>
                <w:sz w:val="28"/>
                <w:szCs w:val="28"/>
                <w:highlight w:val="none"/>
                <w:u w:val="none"/>
              </w:rPr>
            </w:pPr>
          </w:p>
        </w:tc>
      </w:tr>
      <w:tr w14:paraId="24D2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72C8F34D">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09D72356">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46BF5C8">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0259FDD">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5188081">
            <w:pPr>
              <w:jc w:val="center"/>
              <w:rPr>
                <w:rFonts w:hint="eastAsia" w:ascii="仿宋" w:hAnsi="仿宋" w:eastAsia="仿宋" w:cs="仿宋"/>
                <w:i w:val="0"/>
                <w:iCs w:val="0"/>
                <w:color w:val="auto"/>
                <w:sz w:val="28"/>
                <w:szCs w:val="28"/>
                <w:highlight w:val="none"/>
                <w:u w:val="none"/>
              </w:rPr>
            </w:pPr>
          </w:p>
        </w:tc>
      </w:tr>
      <w:tr w14:paraId="3086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0C18214A">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3501C016">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1CDFD334">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13BE558">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66F58202">
            <w:pPr>
              <w:jc w:val="center"/>
              <w:rPr>
                <w:rFonts w:hint="eastAsia" w:ascii="仿宋" w:hAnsi="仿宋" w:eastAsia="仿宋" w:cs="仿宋"/>
                <w:i w:val="0"/>
                <w:iCs w:val="0"/>
                <w:color w:val="auto"/>
                <w:sz w:val="28"/>
                <w:szCs w:val="28"/>
                <w:highlight w:val="none"/>
                <w:u w:val="none"/>
              </w:rPr>
            </w:pPr>
          </w:p>
        </w:tc>
      </w:tr>
      <w:tr w14:paraId="43BE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2147B41">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D67AFBA">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5DB2567">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FDF1BA1">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7D19CB52">
            <w:pPr>
              <w:jc w:val="center"/>
              <w:rPr>
                <w:rFonts w:hint="eastAsia" w:ascii="仿宋" w:hAnsi="仿宋" w:eastAsia="仿宋" w:cs="仿宋"/>
                <w:i w:val="0"/>
                <w:iCs w:val="0"/>
                <w:color w:val="auto"/>
                <w:sz w:val="28"/>
                <w:szCs w:val="28"/>
                <w:highlight w:val="none"/>
                <w:u w:val="none"/>
              </w:rPr>
            </w:pPr>
          </w:p>
        </w:tc>
      </w:tr>
      <w:tr w14:paraId="1AAD8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4F6425F6">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A422246">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7198D547">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71FF7B4">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70B9AD2">
            <w:pPr>
              <w:jc w:val="center"/>
              <w:rPr>
                <w:rFonts w:hint="eastAsia" w:ascii="仿宋" w:hAnsi="仿宋" w:eastAsia="仿宋" w:cs="仿宋"/>
                <w:i w:val="0"/>
                <w:iCs w:val="0"/>
                <w:color w:val="auto"/>
                <w:sz w:val="28"/>
                <w:szCs w:val="28"/>
                <w:highlight w:val="none"/>
                <w:u w:val="none"/>
              </w:rPr>
            </w:pPr>
          </w:p>
        </w:tc>
      </w:tr>
      <w:tr w14:paraId="6C6C5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68125854">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765C74D">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2373C2E1">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823EF63">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3426019C">
            <w:pPr>
              <w:jc w:val="center"/>
              <w:rPr>
                <w:rFonts w:hint="eastAsia" w:ascii="仿宋" w:hAnsi="仿宋" w:eastAsia="仿宋" w:cs="仿宋"/>
                <w:i w:val="0"/>
                <w:iCs w:val="0"/>
                <w:color w:val="auto"/>
                <w:sz w:val="28"/>
                <w:szCs w:val="28"/>
                <w:highlight w:val="none"/>
                <w:u w:val="none"/>
              </w:rPr>
            </w:pPr>
          </w:p>
        </w:tc>
      </w:tr>
      <w:tr w14:paraId="756D5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3417BB06">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BC962C3">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5E4EE1AB">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7D54807">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00CF805D">
            <w:pPr>
              <w:jc w:val="center"/>
              <w:rPr>
                <w:rFonts w:hint="eastAsia" w:ascii="仿宋" w:hAnsi="仿宋" w:eastAsia="仿宋" w:cs="仿宋"/>
                <w:i w:val="0"/>
                <w:iCs w:val="0"/>
                <w:color w:val="auto"/>
                <w:sz w:val="28"/>
                <w:szCs w:val="28"/>
                <w:highlight w:val="none"/>
                <w:u w:val="none"/>
              </w:rPr>
            </w:pPr>
          </w:p>
        </w:tc>
      </w:tr>
      <w:tr w14:paraId="3BD7E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90" w:type="dxa"/>
            <w:tcBorders>
              <w:top w:val="single" w:color="000000" w:sz="4" w:space="0"/>
              <w:left w:val="single" w:color="000000" w:sz="4" w:space="0"/>
              <w:bottom w:val="single" w:color="000000" w:sz="4" w:space="0"/>
              <w:right w:val="single" w:color="000000" w:sz="4" w:space="0"/>
            </w:tcBorders>
            <w:noWrap/>
            <w:vAlign w:val="center"/>
          </w:tcPr>
          <w:p w14:paraId="2413A402">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4DA496D5">
            <w:pPr>
              <w:jc w:val="center"/>
              <w:rPr>
                <w:rFonts w:hint="eastAsia" w:ascii="仿宋" w:hAnsi="仿宋" w:eastAsia="仿宋" w:cs="仿宋"/>
                <w:i w:val="0"/>
                <w:iCs w:val="0"/>
                <w:color w:val="auto"/>
                <w:sz w:val="28"/>
                <w:szCs w:val="28"/>
                <w:highlight w:val="none"/>
                <w:u w:val="none"/>
              </w:rPr>
            </w:pP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D457109">
            <w:pPr>
              <w:jc w:val="center"/>
              <w:rPr>
                <w:rFonts w:hint="eastAsia" w:ascii="仿宋" w:hAnsi="仿宋" w:eastAsia="仿宋" w:cs="仿宋"/>
                <w:i w:val="0"/>
                <w:iCs w:val="0"/>
                <w:color w:val="auto"/>
                <w:sz w:val="28"/>
                <w:szCs w:val="28"/>
                <w:highlight w:val="none"/>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73A1D7BB">
            <w:pPr>
              <w:jc w:val="center"/>
              <w:rPr>
                <w:rFonts w:hint="eastAsia" w:ascii="仿宋" w:hAnsi="仿宋" w:eastAsia="仿宋" w:cs="仿宋"/>
                <w:i w:val="0"/>
                <w:iCs w:val="0"/>
                <w:color w:val="auto"/>
                <w:sz w:val="28"/>
                <w:szCs w:val="28"/>
                <w:highlight w:val="none"/>
                <w:u w:val="none"/>
              </w:rPr>
            </w:pPr>
          </w:p>
        </w:tc>
        <w:tc>
          <w:tcPr>
            <w:tcW w:w="2325" w:type="dxa"/>
            <w:tcBorders>
              <w:top w:val="single" w:color="000000" w:sz="4" w:space="0"/>
              <w:left w:val="single" w:color="000000" w:sz="4" w:space="0"/>
              <w:bottom w:val="single" w:color="000000" w:sz="4" w:space="0"/>
              <w:right w:val="single" w:color="000000" w:sz="4" w:space="0"/>
            </w:tcBorders>
            <w:noWrap/>
            <w:vAlign w:val="center"/>
          </w:tcPr>
          <w:p w14:paraId="6F5F1148">
            <w:pPr>
              <w:jc w:val="center"/>
              <w:rPr>
                <w:rFonts w:hint="eastAsia" w:ascii="仿宋" w:hAnsi="仿宋" w:eastAsia="仿宋" w:cs="仿宋"/>
                <w:i w:val="0"/>
                <w:iCs w:val="0"/>
                <w:color w:val="auto"/>
                <w:sz w:val="28"/>
                <w:szCs w:val="28"/>
                <w:highlight w:val="none"/>
                <w:u w:val="none"/>
              </w:rPr>
            </w:pPr>
          </w:p>
        </w:tc>
      </w:tr>
      <w:tr w14:paraId="16E5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0" w:hRule="atLeast"/>
        </w:trPr>
        <w:tc>
          <w:tcPr>
            <w:tcW w:w="8682" w:type="dxa"/>
            <w:gridSpan w:val="5"/>
            <w:tcBorders>
              <w:top w:val="single" w:color="000000" w:sz="4" w:space="0"/>
              <w:left w:val="single" w:color="000000" w:sz="4" w:space="0"/>
              <w:bottom w:val="single" w:color="000000" w:sz="4" w:space="0"/>
              <w:right w:val="single" w:color="000000" w:sz="4" w:space="0"/>
            </w:tcBorders>
            <w:noWrap w:val="0"/>
            <w:vAlign w:val="center"/>
          </w:tcPr>
          <w:p w14:paraId="67DA2609">
            <w:pPr>
              <w:keepNext w:val="0"/>
              <w:keepLines w:val="0"/>
              <w:widowControl/>
              <w:suppressLineNumbers w:val="0"/>
              <w:jc w:val="left"/>
              <w:textAlignment w:val="center"/>
              <w:rPr>
                <w:rFonts w:hint="eastAsia" w:ascii="仿宋" w:hAnsi="仿宋" w:eastAsia="仿宋" w:cs="仿宋"/>
                <w:i w:val="0"/>
                <w:iCs w:val="0"/>
                <w:color w:val="auto"/>
                <w:sz w:val="28"/>
                <w:szCs w:val="28"/>
                <w:highlight w:val="none"/>
                <w:u w:val="none"/>
              </w:rPr>
            </w:pPr>
            <w:r>
              <w:rPr>
                <w:rStyle w:val="106"/>
                <w:color w:val="auto"/>
                <w:highlight w:val="none"/>
                <w:lang w:val="en-US" w:eastAsia="zh-CN" w:bidi="ar"/>
              </w:rPr>
              <w:t>备注：</w:t>
            </w:r>
            <w:r>
              <w:rPr>
                <w:rStyle w:val="106"/>
                <w:color w:val="auto"/>
                <w:highlight w:val="none"/>
                <w:lang w:val="en-US" w:eastAsia="zh-CN" w:bidi="ar"/>
              </w:rPr>
              <w:br w:type="textWrapping"/>
            </w:r>
            <w:r>
              <w:rPr>
                <w:rStyle w:val="106"/>
                <w:color w:val="auto"/>
                <w:highlight w:val="none"/>
                <w:lang w:val="en-US" w:eastAsia="zh-CN" w:bidi="ar"/>
              </w:rPr>
              <w:t>1、“岗位”要求</w:t>
            </w:r>
            <w:r>
              <w:rPr>
                <w:rStyle w:val="107"/>
                <w:color w:val="auto"/>
                <w:highlight w:val="none"/>
                <w:lang w:val="en-US" w:eastAsia="zh-CN" w:bidi="ar"/>
              </w:rPr>
              <w:t>（总监理工程师除外）</w:t>
            </w:r>
            <w:r>
              <w:rPr>
                <w:rStyle w:val="106"/>
                <w:color w:val="auto"/>
                <w:highlight w:val="none"/>
                <w:lang w:val="en-US" w:eastAsia="zh-CN" w:bidi="ar"/>
              </w:rPr>
              <w:t>由招标人根据项目管理需要在本表备注中明确提出，如：拟派驻施工现场的总监理工程师代表、专业监理工程师、监理员等。以上项目管理团队实名信息将由交易系统提取后供各相关单位在履约时比对、查核。</w:t>
            </w:r>
            <w:r>
              <w:rPr>
                <w:rStyle w:val="106"/>
                <w:color w:val="auto"/>
                <w:highlight w:val="none"/>
                <w:lang w:val="en-US" w:eastAsia="zh-CN" w:bidi="ar"/>
              </w:rPr>
              <w:br w:type="textWrapping"/>
            </w:r>
            <w:r>
              <w:rPr>
                <w:rStyle w:val="106"/>
                <w:color w:val="auto"/>
                <w:highlight w:val="none"/>
                <w:lang w:val="en-US" w:eastAsia="zh-CN" w:bidi="ar"/>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106"/>
                <w:color w:val="auto"/>
                <w:highlight w:val="none"/>
                <w:lang w:val="en-US" w:eastAsia="zh-CN" w:bidi="ar"/>
              </w:rPr>
              <w:br w:type="textWrapping"/>
            </w:r>
            <w:r>
              <w:rPr>
                <w:rStyle w:val="106"/>
                <w:color w:val="auto"/>
                <w:highlight w:val="none"/>
                <w:lang w:val="en-US" w:eastAsia="zh-CN" w:bidi="ar"/>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91A53B5">
      <w:pPr>
        <w:rPr>
          <w:rFonts w:hint="eastAsia" w:ascii="仿宋" w:hAnsi="仿宋" w:eastAsia="仿宋" w:cs="仿宋"/>
          <w:color w:val="auto"/>
          <w:highlight w:val="none"/>
        </w:rPr>
      </w:pPr>
    </w:p>
    <w:p w14:paraId="17856572">
      <w:pPr>
        <w:bidi w:val="0"/>
        <w:rPr>
          <w:rFonts w:hint="eastAsia" w:cs="Calibri"/>
          <w:color w:val="auto"/>
          <w:kern w:val="2"/>
          <w:sz w:val="21"/>
          <w:szCs w:val="21"/>
          <w:highlight w:val="none"/>
          <w:lang w:val="en-US" w:eastAsia="zh-CN" w:bidi="ar-SA"/>
        </w:rPr>
      </w:pPr>
    </w:p>
    <w:p w14:paraId="78745956">
      <w:pPr>
        <w:bidi w:val="0"/>
        <w:rPr>
          <w:rFonts w:hint="eastAsia"/>
          <w:color w:val="auto"/>
          <w:highlight w:val="none"/>
          <w:lang w:val="en-US" w:eastAsia="zh-CN"/>
        </w:rPr>
      </w:pPr>
    </w:p>
    <w:p w14:paraId="41675C74">
      <w:pPr>
        <w:bidi w:val="0"/>
        <w:rPr>
          <w:rFonts w:hint="eastAsia"/>
          <w:color w:val="auto"/>
          <w:highlight w:val="none"/>
          <w:lang w:val="en-US" w:eastAsia="zh-CN"/>
        </w:rPr>
      </w:pPr>
    </w:p>
    <w:p w14:paraId="224542A6">
      <w:pPr>
        <w:tabs>
          <w:tab w:val="left" w:pos="1638"/>
        </w:tabs>
        <w:bidi w:val="0"/>
        <w:jc w:val="left"/>
        <w:rPr>
          <w:rFonts w:hint="eastAsia" w:ascii="仿宋" w:hAnsi="仿宋" w:eastAsia="仿宋" w:cs="仿宋"/>
          <w:color w:val="auto"/>
          <w:highlight w:val="none"/>
        </w:rPr>
      </w:pPr>
      <w:r>
        <w:rPr>
          <w:rFonts w:hint="eastAsia"/>
          <w:color w:val="auto"/>
          <w:highlight w:val="none"/>
          <w:lang w:val="en-US" w:eastAsia="zh-CN"/>
        </w:rPr>
        <w:tab/>
      </w:r>
    </w:p>
    <w:sectPr>
      <w:pgSz w:w="11906" w:h="16838"/>
      <w:pgMar w:top="1440" w:right="1803" w:bottom="1440" w:left="1803" w:header="851" w:footer="992" w:gutter="0"/>
      <w:pgNumType w:start="93"/>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654BE01-958D-49E4-A5C8-87251C4C8D19}"/>
  </w:font>
  <w:font w:name="仿宋_GB2312">
    <w:panose1 w:val="02010609030101010101"/>
    <w:charset w:val="86"/>
    <w:family w:val="modern"/>
    <w:pitch w:val="default"/>
    <w:sig w:usb0="00000001" w:usb1="080E0000" w:usb2="00000000" w:usb3="00000000" w:csb0="00040000" w:csb1="00000000"/>
    <w:embedRegular r:id="rId2" w:fontKey="{C1D510AF-28CB-4E13-8540-0BA099CE371F}"/>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3" w:fontKey="{3B8A27D1-2300-452F-9D18-4B40D24A6492}"/>
  </w:font>
  <w:font w:name="华文中宋">
    <w:panose1 w:val="02010600040101010101"/>
    <w:charset w:val="86"/>
    <w:family w:val="auto"/>
    <w:pitch w:val="default"/>
    <w:sig w:usb0="00000287" w:usb1="080F0000" w:usb2="00000000" w:usb3="00000000" w:csb0="0004009F" w:csb1="DFD70000"/>
    <w:embedRegular r:id="rId4" w:fontKey="{D4DC14ED-D496-4B37-ABF1-78ECD7E69FEB}"/>
  </w:font>
  <w:font w:name="Arial Unicode MS">
    <w:panose1 w:val="020B0604020202020204"/>
    <w:charset w:val="86"/>
    <w:family w:val="swiss"/>
    <w:pitch w:val="default"/>
    <w:sig w:usb0="FFFFFFFF" w:usb1="E9FFFFFF" w:usb2="0000003F" w:usb3="00000000" w:csb0="603F01FF" w:csb1="FFFF0000"/>
    <w:embedRegular r:id="rId5" w:fontKey="{460155E5-FE13-471E-B16F-584694BFF82E}"/>
  </w:font>
  <w:font w:name="Wingdings 2">
    <w:panose1 w:val="05020102010507070707"/>
    <w:charset w:val="02"/>
    <w:family w:val="auto"/>
    <w:pitch w:val="default"/>
    <w:sig w:usb0="00000000" w:usb1="00000000" w:usb2="00000000" w:usb3="00000000" w:csb0="80000000" w:csb1="00000000"/>
    <w:embedRegular r:id="rId6" w:fontKey="{22E5619D-4BB3-499B-98F5-48A4D3BCF4B8}"/>
  </w:font>
  <w:font w:name="方正大标宋简体">
    <w:panose1 w:val="02000000000000000000"/>
    <w:charset w:val="86"/>
    <w:family w:val="auto"/>
    <w:pitch w:val="default"/>
    <w:sig w:usb0="A00002BF" w:usb1="184F6CFA" w:usb2="00000012" w:usb3="00000000" w:csb0="00040001" w:csb1="00000000"/>
    <w:embedRegular r:id="rId7" w:fontKey="{5C48A9EA-2D21-4016-B763-EE939B06AE71}"/>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0DC5">
    <w:pPr>
      <w:pStyle w:val="30"/>
      <w:jc w:val="center"/>
      <w:rPr>
        <w:rFonts w:cs="Times New Roman"/>
      </w:rPr>
    </w:pPr>
  </w:p>
  <w:p w14:paraId="6C126713">
    <w:pPr>
      <w:pStyle w:val="3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84829">
    <w:pPr>
      <w:pStyle w:val="3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9FA0C">
    <w:pPr>
      <w:pStyle w:val="30"/>
      <w:jc w:val="center"/>
      <w:rPr>
        <w:rFonts w:cs="Times New Roman"/>
      </w:rPr>
    </w:pPr>
    <w:r>
      <w:fldChar w:fldCharType="begin"/>
    </w:r>
    <w:r>
      <w:instrText xml:space="preserve"> PAGE   \* MERGEFORMAT </w:instrText>
    </w:r>
    <w:r>
      <w:fldChar w:fldCharType="separate"/>
    </w:r>
    <w:r>
      <w:rPr>
        <w:lang w:val="zh-CN"/>
      </w:rPr>
      <w:t>3</w:t>
    </w:r>
    <w:r>
      <w:fldChar w:fldCharType="end"/>
    </w:r>
  </w:p>
  <w:p w14:paraId="716B3C28">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F7B47">
    <w:pPr>
      <w:pStyle w:val="30"/>
      <w:framePr w:wrap="around" w:vAnchor="text" w:hAnchor="margin" w:xAlign="center" w:yAlign="top"/>
      <w:rPr>
        <w:rStyle w:val="47"/>
      </w:rPr>
    </w:pPr>
    <w:r>
      <w:fldChar w:fldCharType="begin"/>
    </w:r>
    <w:r>
      <w:rPr>
        <w:rStyle w:val="47"/>
      </w:rPr>
      <w:instrText xml:space="preserve">PAGE  </w:instrText>
    </w:r>
    <w:r>
      <w:fldChar w:fldCharType="separate"/>
    </w:r>
    <w:r>
      <w:rPr>
        <w:rStyle w:val="47"/>
      </w:rPr>
      <w:t>12</w:t>
    </w:r>
    <w:r>
      <w:fldChar w:fldCharType="end"/>
    </w:r>
  </w:p>
  <w:p w14:paraId="7BAEB835">
    <w:pPr>
      <w:pStyle w:val="3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3F5D">
    <w:pPr>
      <w:pStyle w:val="30"/>
      <w:framePr w:wrap="around" w:vAnchor="text" w:hAnchor="margin" w:xAlign="right" w:yAlign="top"/>
      <w:rPr>
        <w:rStyle w:val="47"/>
      </w:rPr>
    </w:pPr>
    <w:r>
      <w:fldChar w:fldCharType="begin"/>
    </w:r>
    <w:r>
      <w:rPr>
        <w:rStyle w:val="47"/>
      </w:rPr>
      <w:instrText xml:space="preserve">PAGE  </w:instrText>
    </w:r>
    <w:r>
      <w:fldChar w:fldCharType="separate"/>
    </w:r>
    <w:r>
      <w:rPr>
        <w:rStyle w:val="47"/>
      </w:rPr>
      <w:t>10</w:t>
    </w:r>
    <w:r>
      <w:fldChar w:fldCharType="end"/>
    </w:r>
  </w:p>
  <w:p w14:paraId="6B473079">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0CB79">
    <w:pPr>
      <w:pStyle w:val="30"/>
      <w:framePr w:wrap="around" w:vAnchor="text" w:hAnchor="margin" w:xAlign="center" w:yAlign="top"/>
      <w:rPr>
        <w:rStyle w:val="47"/>
      </w:rPr>
    </w:pPr>
    <w:r>
      <w:fldChar w:fldCharType="begin"/>
    </w:r>
    <w:r>
      <w:rPr>
        <w:rStyle w:val="47"/>
      </w:rPr>
      <w:instrText xml:space="preserve">PAGE  </w:instrText>
    </w:r>
    <w:r>
      <w:fldChar w:fldCharType="separate"/>
    </w:r>
    <w:r>
      <w:rPr>
        <w:rStyle w:val="47"/>
      </w:rPr>
      <w:t>12</w:t>
    </w:r>
    <w:r>
      <w:fldChar w:fldCharType="end"/>
    </w:r>
  </w:p>
  <w:p w14:paraId="4385345F">
    <w:pPr>
      <w:pStyle w:val="30"/>
      <w:tabs>
        <w:tab w:val="left" w:pos="11087"/>
        <w:tab w:val="clear" w:pos="4153"/>
      </w:tabs>
      <w:ind w:right="360"/>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CDB9">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C42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91626"/>
    <w:multiLevelType w:val="singleLevel"/>
    <w:tmpl w:val="84691626"/>
    <w:lvl w:ilvl="0" w:tentative="0">
      <w:start w:val="2"/>
      <w:numFmt w:val="decimal"/>
      <w:suff w:val="nothing"/>
      <w:lvlText w:val="（%1）"/>
      <w:lvlJc w:val="left"/>
    </w:lvl>
  </w:abstractNum>
  <w:abstractNum w:abstractNumId="1">
    <w:nsid w:val="B7B28A20"/>
    <w:multiLevelType w:val="singleLevel"/>
    <w:tmpl w:val="B7B28A20"/>
    <w:lvl w:ilvl="0" w:tentative="0">
      <w:start w:val="1"/>
      <w:numFmt w:val="decimal"/>
      <w:lvlText w:val="%1)"/>
      <w:lvlJc w:val="left"/>
      <w:pPr>
        <w:ind w:left="425" w:hanging="425"/>
      </w:pPr>
      <w:rPr>
        <w:rFonts w:hint="default"/>
      </w:rPr>
    </w:lvl>
  </w:abstractNum>
  <w:abstractNum w:abstractNumId="2">
    <w:nsid w:val="1A8A5D37"/>
    <w:multiLevelType w:val="multilevel"/>
    <w:tmpl w:val="1A8A5D3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8"/>
      <w:lvlText w:val="%1.%2"/>
      <w:lvlJc w:val="left"/>
      <w:pPr>
        <w:tabs>
          <w:tab w:val="left" w:pos="576"/>
        </w:tabs>
        <w:ind w:left="576" w:hanging="576"/>
      </w:pPr>
    </w:lvl>
    <w:lvl w:ilvl="2" w:tentative="0">
      <w:start w:val="1"/>
      <w:numFmt w:val="decimal"/>
      <w:pStyle w:val="9"/>
      <w:lvlText w:val="%1.%2.%3"/>
      <w:lvlJc w:val="left"/>
      <w:pPr>
        <w:tabs>
          <w:tab w:val="left" w:pos="1287"/>
        </w:tabs>
        <w:ind w:left="1287" w:hanging="720"/>
      </w:pPr>
    </w:lvl>
    <w:lvl w:ilvl="3" w:tentative="0">
      <w:start w:val="1"/>
      <w:numFmt w:val="decimal"/>
      <w:pStyle w:val="10"/>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NjAwOTczYzEzZGEzZDgwZWE1ZWM5Mzg2ODc5NWUifQ=="/>
  </w:docVars>
  <w:rsids>
    <w:rsidRoot w:val="003111DE"/>
    <w:rsid w:val="000006F5"/>
    <w:rsid w:val="00010BEB"/>
    <w:rsid w:val="00011A06"/>
    <w:rsid w:val="0001226B"/>
    <w:rsid w:val="00012392"/>
    <w:rsid w:val="000154E6"/>
    <w:rsid w:val="00024526"/>
    <w:rsid w:val="0002481A"/>
    <w:rsid w:val="00032E1C"/>
    <w:rsid w:val="00035F2A"/>
    <w:rsid w:val="00035FAD"/>
    <w:rsid w:val="00044DAB"/>
    <w:rsid w:val="0005558F"/>
    <w:rsid w:val="000556B0"/>
    <w:rsid w:val="00055886"/>
    <w:rsid w:val="00057522"/>
    <w:rsid w:val="0006027A"/>
    <w:rsid w:val="00074BFB"/>
    <w:rsid w:val="000A1C29"/>
    <w:rsid w:val="000A3775"/>
    <w:rsid w:val="000C03E1"/>
    <w:rsid w:val="000D6B1E"/>
    <w:rsid w:val="000D6F32"/>
    <w:rsid w:val="00104265"/>
    <w:rsid w:val="001145DC"/>
    <w:rsid w:val="0011598D"/>
    <w:rsid w:val="00126D0F"/>
    <w:rsid w:val="00133982"/>
    <w:rsid w:val="00145E9F"/>
    <w:rsid w:val="001524C1"/>
    <w:rsid w:val="0015792E"/>
    <w:rsid w:val="00164E80"/>
    <w:rsid w:val="00172CD0"/>
    <w:rsid w:val="0018322B"/>
    <w:rsid w:val="001851D2"/>
    <w:rsid w:val="001A3B59"/>
    <w:rsid w:val="001A5E99"/>
    <w:rsid w:val="001B7B60"/>
    <w:rsid w:val="001C0D16"/>
    <w:rsid w:val="001C26FB"/>
    <w:rsid w:val="001D2B00"/>
    <w:rsid w:val="001E17B8"/>
    <w:rsid w:val="00236BA3"/>
    <w:rsid w:val="00240F5B"/>
    <w:rsid w:val="0025381F"/>
    <w:rsid w:val="00291BD1"/>
    <w:rsid w:val="002A4631"/>
    <w:rsid w:val="002A7F1E"/>
    <w:rsid w:val="002B0351"/>
    <w:rsid w:val="002B5F70"/>
    <w:rsid w:val="002B7AA9"/>
    <w:rsid w:val="002B7C68"/>
    <w:rsid w:val="002C75AA"/>
    <w:rsid w:val="002C7EE7"/>
    <w:rsid w:val="002D5F81"/>
    <w:rsid w:val="002D7883"/>
    <w:rsid w:val="002E05A4"/>
    <w:rsid w:val="003111DE"/>
    <w:rsid w:val="00344FB0"/>
    <w:rsid w:val="003549BA"/>
    <w:rsid w:val="00364BD2"/>
    <w:rsid w:val="003813D3"/>
    <w:rsid w:val="003A2129"/>
    <w:rsid w:val="003E3489"/>
    <w:rsid w:val="003E3B79"/>
    <w:rsid w:val="003E6551"/>
    <w:rsid w:val="003F556C"/>
    <w:rsid w:val="003F62A5"/>
    <w:rsid w:val="003F7C23"/>
    <w:rsid w:val="00401AB2"/>
    <w:rsid w:val="004237B7"/>
    <w:rsid w:val="00455011"/>
    <w:rsid w:val="004626A7"/>
    <w:rsid w:val="00473E9B"/>
    <w:rsid w:val="00482E21"/>
    <w:rsid w:val="00483C4F"/>
    <w:rsid w:val="00490B6C"/>
    <w:rsid w:val="00496A4C"/>
    <w:rsid w:val="00496DA0"/>
    <w:rsid w:val="004A107D"/>
    <w:rsid w:val="004C099A"/>
    <w:rsid w:val="004C4637"/>
    <w:rsid w:val="004D0E31"/>
    <w:rsid w:val="004F2B8D"/>
    <w:rsid w:val="004F7B08"/>
    <w:rsid w:val="00522A9F"/>
    <w:rsid w:val="00523E87"/>
    <w:rsid w:val="00536957"/>
    <w:rsid w:val="005469CC"/>
    <w:rsid w:val="005517E0"/>
    <w:rsid w:val="005540A3"/>
    <w:rsid w:val="005719D3"/>
    <w:rsid w:val="00580B5D"/>
    <w:rsid w:val="00584C58"/>
    <w:rsid w:val="005A2F94"/>
    <w:rsid w:val="005C2672"/>
    <w:rsid w:val="005E3BF6"/>
    <w:rsid w:val="005E5D13"/>
    <w:rsid w:val="005F0A79"/>
    <w:rsid w:val="005F55B9"/>
    <w:rsid w:val="0061390D"/>
    <w:rsid w:val="006143E0"/>
    <w:rsid w:val="006173EA"/>
    <w:rsid w:val="00620D33"/>
    <w:rsid w:val="006223F9"/>
    <w:rsid w:val="006400B4"/>
    <w:rsid w:val="006415F0"/>
    <w:rsid w:val="00662BA6"/>
    <w:rsid w:val="00667546"/>
    <w:rsid w:val="006762AA"/>
    <w:rsid w:val="00682B55"/>
    <w:rsid w:val="0068595B"/>
    <w:rsid w:val="006A2954"/>
    <w:rsid w:val="006B6876"/>
    <w:rsid w:val="006E00CD"/>
    <w:rsid w:val="006F444D"/>
    <w:rsid w:val="00703C37"/>
    <w:rsid w:val="007233A9"/>
    <w:rsid w:val="00742B27"/>
    <w:rsid w:val="00745DF8"/>
    <w:rsid w:val="00750F1C"/>
    <w:rsid w:val="00761EC4"/>
    <w:rsid w:val="00762D13"/>
    <w:rsid w:val="0076345D"/>
    <w:rsid w:val="00766FD8"/>
    <w:rsid w:val="0078416E"/>
    <w:rsid w:val="007844FC"/>
    <w:rsid w:val="00784CFD"/>
    <w:rsid w:val="007908C4"/>
    <w:rsid w:val="00791113"/>
    <w:rsid w:val="007931EE"/>
    <w:rsid w:val="0079767A"/>
    <w:rsid w:val="007A56D9"/>
    <w:rsid w:val="007B1EAB"/>
    <w:rsid w:val="007C3CF0"/>
    <w:rsid w:val="0080572D"/>
    <w:rsid w:val="008163B7"/>
    <w:rsid w:val="00817E9B"/>
    <w:rsid w:val="008343B6"/>
    <w:rsid w:val="0084314C"/>
    <w:rsid w:val="00850F16"/>
    <w:rsid w:val="008576CC"/>
    <w:rsid w:val="00867192"/>
    <w:rsid w:val="008B6A78"/>
    <w:rsid w:val="008C2ED6"/>
    <w:rsid w:val="008E3218"/>
    <w:rsid w:val="0090411F"/>
    <w:rsid w:val="00904137"/>
    <w:rsid w:val="00913114"/>
    <w:rsid w:val="0091354F"/>
    <w:rsid w:val="00914E4D"/>
    <w:rsid w:val="0092304F"/>
    <w:rsid w:val="0094629B"/>
    <w:rsid w:val="00951C9C"/>
    <w:rsid w:val="00963DF0"/>
    <w:rsid w:val="00970FEC"/>
    <w:rsid w:val="00993D3A"/>
    <w:rsid w:val="00996B7F"/>
    <w:rsid w:val="009A54E2"/>
    <w:rsid w:val="009A6F97"/>
    <w:rsid w:val="009C29B6"/>
    <w:rsid w:val="009D4083"/>
    <w:rsid w:val="009F7305"/>
    <w:rsid w:val="00A02D15"/>
    <w:rsid w:val="00A07F6F"/>
    <w:rsid w:val="00A10FD8"/>
    <w:rsid w:val="00A206B2"/>
    <w:rsid w:val="00A24A25"/>
    <w:rsid w:val="00A41850"/>
    <w:rsid w:val="00A435DC"/>
    <w:rsid w:val="00A538F6"/>
    <w:rsid w:val="00A72C02"/>
    <w:rsid w:val="00A75CB0"/>
    <w:rsid w:val="00A86B1D"/>
    <w:rsid w:val="00AC07FB"/>
    <w:rsid w:val="00AD0B7B"/>
    <w:rsid w:val="00AE6300"/>
    <w:rsid w:val="00B01C5A"/>
    <w:rsid w:val="00B20F11"/>
    <w:rsid w:val="00B30B98"/>
    <w:rsid w:val="00B313BA"/>
    <w:rsid w:val="00B45D02"/>
    <w:rsid w:val="00B5248F"/>
    <w:rsid w:val="00B625EC"/>
    <w:rsid w:val="00B65A5C"/>
    <w:rsid w:val="00B82026"/>
    <w:rsid w:val="00B8529F"/>
    <w:rsid w:val="00B9591D"/>
    <w:rsid w:val="00B96E10"/>
    <w:rsid w:val="00BA1612"/>
    <w:rsid w:val="00BB4854"/>
    <w:rsid w:val="00BC7319"/>
    <w:rsid w:val="00BE3CA8"/>
    <w:rsid w:val="00C114AA"/>
    <w:rsid w:val="00C118C3"/>
    <w:rsid w:val="00C44293"/>
    <w:rsid w:val="00C5066E"/>
    <w:rsid w:val="00C72826"/>
    <w:rsid w:val="00C77B5B"/>
    <w:rsid w:val="00CA0FF3"/>
    <w:rsid w:val="00CA7822"/>
    <w:rsid w:val="00CB6D62"/>
    <w:rsid w:val="00CB70E2"/>
    <w:rsid w:val="00CC18B6"/>
    <w:rsid w:val="00CC6967"/>
    <w:rsid w:val="00CD5034"/>
    <w:rsid w:val="00CF2E3A"/>
    <w:rsid w:val="00CF675D"/>
    <w:rsid w:val="00D230E3"/>
    <w:rsid w:val="00D24F7D"/>
    <w:rsid w:val="00D372F0"/>
    <w:rsid w:val="00D46A50"/>
    <w:rsid w:val="00D52985"/>
    <w:rsid w:val="00D77E32"/>
    <w:rsid w:val="00D84325"/>
    <w:rsid w:val="00DA4A9A"/>
    <w:rsid w:val="00DB36DB"/>
    <w:rsid w:val="00DB547C"/>
    <w:rsid w:val="00DC5002"/>
    <w:rsid w:val="00DD20DA"/>
    <w:rsid w:val="00DD2AE2"/>
    <w:rsid w:val="00DE7EED"/>
    <w:rsid w:val="00DF2C0B"/>
    <w:rsid w:val="00DF4A41"/>
    <w:rsid w:val="00E04A72"/>
    <w:rsid w:val="00E06F18"/>
    <w:rsid w:val="00E15650"/>
    <w:rsid w:val="00E2345A"/>
    <w:rsid w:val="00E24369"/>
    <w:rsid w:val="00E25051"/>
    <w:rsid w:val="00E33A4D"/>
    <w:rsid w:val="00E33BF4"/>
    <w:rsid w:val="00E40FEF"/>
    <w:rsid w:val="00E575D4"/>
    <w:rsid w:val="00E71963"/>
    <w:rsid w:val="00E92ABB"/>
    <w:rsid w:val="00EA413F"/>
    <w:rsid w:val="00EC40FC"/>
    <w:rsid w:val="00EC4975"/>
    <w:rsid w:val="00EF023F"/>
    <w:rsid w:val="00F0024F"/>
    <w:rsid w:val="00F0299E"/>
    <w:rsid w:val="00F15977"/>
    <w:rsid w:val="00F2111E"/>
    <w:rsid w:val="00F336FD"/>
    <w:rsid w:val="00F43E4A"/>
    <w:rsid w:val="00F50CA8"/>
    <w:rsid w:val="00F6120B"/>
    <w:rsid w:val="00F61659"/>
    <w:rsid w:val="00F6581D"/>
    <w:rsid w:val="00F66F79"/>
    <w:rsid w:val="00F8130F"/>
    <w:rsid w:val="00F8610D"/>
    <w:rsid w:val="00F9236D"/>
    <w:rsid w:val="00F95202"/>
    <w:rsid w:val="00FB1903"/>
    <w:rsid w:val="00FB457A"/>
    <w:rsid w:val="00FC2111"/>
    <w:rsid w:val="00FD4312"/>
    <w:rsid w:val="00FE3E56"/>
    <w:rsid w:val="00FF65EE"/>
    <w:rsid w:val="00FF7332"/>
    <w:rsid w:val="012E6A21"/>
    <w:rsid w:val="016B778B"/>
    <w:rsid w:val="01A76741"/>
    <w:rsid w:val="021A1960"/>
    <w:rsid w:val="0273462B"/>
    <w:rsid w:val="029057A0"/>
    <w:rsid w:val="02D945DB"/>
    <w:rsid w:val="03306EC0"/>
    <w:rsid w:val="040104B4"/>
    <w:rsid w:val="042133F7"/>
    <w:rsid w:val="046264FB"/>
    <w:rsid w:val="048653E3"/>
    <w:rsid w:val="076C0E7C"/>
    <w:rsid w:val="07850109"/>
    <w:rsid w:val="08762FF7"/>
    <w:rsid w:val="09591349"/>
    <w:rsid w:val="097A02DF"/>
    <w:rsid w:val="09922BFB"/>
    <w:rsid w:val="09B41F9B"/>
    <w:rsid w:val="0A4C1970"/>
    <w:rsid w:val="0A652442"/>
    <w:rsid w:val="0ABF1403"/>
    <w:rsid w:val="0AF54965"/>
    <w:rsid w:val="0BAF62FB"/>
    <w:rsid w:val="0BEB0B31"/>
    <w:rsid w:val="0C5B16D4"/>
    <w:rsid w:val="0D701C5D"/>
    <w:rsid w:val="0D957885"/>
    <w:rsid w:val="0E175F14"/>
    <w:rsid w:val="0FA72215"/>
    <w:rsid w:val="0FBE56EF"/>
    <w:rsid w:val="0FED6DD6"/>
    <w:rsid w:val="10E779DD"/>
    <w:rsid w:val="11F34A3B"/>
    <w:rsid w:val="12304960"/>
    <w:rsid w:val="12527C68"/>
    <w:rsid w:val="126B0AA0"/>
    <w:rsid w:val="12B230CD"/>
    <w:rsid w:val="12BB011B"/>
    <w:rsid w:val="12D43BD0"/>
    <w:rsid w:val="13180506"/>
    <w:rsid w:val="135F5D41"/>
    <w:rsid w:val="139D1E68"/>
    <w:rsid w:val="14200CE0"/>
    <w:rsid w:val="14525FFF"/>
    <w:rsid w:val="14B92EA7"/>
    <w:rsid w:val="14BA70B8"/>
    <w:rsid w:val="14F26906"/>
    <w:rsid w:val="155B6EC2"/>
    <w:rsid w:val="15A702CC"/>
    <w:rsid w:val="15B0359A"/>
    <w:rsid w:val="161D625A"/>
    <w:rsid w:val="163B6696"/>
    <w:rsid w:val="1664271E"/>
    <w:rsid w:val="16B85A71"/>
    <w:rsid w:val="17007765"/>
    <w:rsid w:val="17480B88"/>
    <w:rsid w:val="17850194"/>
    <w:rsid w:val="1790764D"/>
    <w:rsid w:val="17AE66A4"/>
    <w:rsid w:val="18097298"/>
    <w:rsid w:val="180F6D62"/>
    <w:rsid w:val="19492790"/>
    <w:rsid w:val="19CC7DCE"/>
    <w:rsid w:val="1A916276"/>
    <w:rsid w:val="1ACA509C"/>
    <w:rsid w:val="1AEC0295"/>
    <w:rsid w:val="1B490F3C"/>
    <w:rsid w:val="1C2758A4"/>
    <w:rsid w:val="1DE67C5A"/>
    <w:rsid w:val="1E36400D"/>
    <w:rsid w:val="1E664D1A"/>
    <w:rsid w:val="1F814F30"/>
    <w:rsid w:val="1F890B7E"/>
    <w:rsid w:val="1FB5536E"/>
    <w:rsid w:val="200D7A93"/>
    <w:rsid w:val="205D357A"/>
    <w:rsid w:val="219B4A94"/>
    <w:rsid w:val="21B71A41"/>
    <w:rsid w:val="21C753EB"/>
    <w:rsid w:val="226C4170"/>
    <w:rsid w:val="23241C60"/>
    <w:rsid w:val="23EA6D0A"/>
    <w:rsid w:val="23F82924"/>
    <w:rsid w:val="23FE59DD"/>
    <w:rsid w:val="24691AC7"/>
    <w:rsid w:val="24803679"/>
    <w:rsid w:val="24A40BC1"/>
    <w:rsid w:val="24D90751"/>
    <w:rsid w:val="24F23517"/>
    <w:rsid w:val="254E7250"/>
    <w:rsid w:val="25A331E5"/>
    <w:rsid w:val="25D851E6"/>
    <w:rsid w:val="25FD4FFE"/>
    <w:rsid w:val="268F0A13"/>
    <w:rsid w:val="26EA53DD"/>
    <w:rsid w:val="28695A8D"/>
    <w:rsid w:val="297D4D9D"/>
    <w:rsid w:val="2BB318FB"/>
    <w:rsid w:val="2C24791D"/>
    <w:rsid w:val="2C515C15"/>
    <w:rsid w:val="2CC41594"/>
    <w:rsid w:val="2CEE0435"/>
    <w:rsid w:val="2D016185"/>
    <w:rsid w:val="2DFA2B50"/>
    <w:rsid w:val="2E125BE0"/>
    <w:rsid w:val="2EDB6851"/>
    <w:rsid w:val="2F9257C7"/>
    <w:rsid w:val="306D4241"/>
    <w:rsid w:val="30EC4EBA"/>
    <w:rsid w:val="3135213E"/>
    <w:rsid w:val="31C73CE9"/>
    <w:rsid w:val="323D4DD5"/>
    <w:rsid w:val="33A56F09"/>
    <w:rsid w:val="33AE48D2"/>
    <w:rsid w:val="33B16950"/>
    <w:rsid w:val="341F639F"/>
    <w:rsid w:val="342943B5"/>
    <w:rsid w:val="343F4D55"/>
    <w:rsid w:val="35334C73"/>
    <w:rsid w:val="355569F3"/>
    <w:rsid w:val="358E2E04"/>
    <w:rsid w:val="35F74BD3"/>
    <w:rsid w:val="361858FC"/>
    <w:rsid w:val="36C679FC"/>
    <w:rsid w:val="37C6406E"/>
    <w:rsid w:val="37FA69C3"/>
    <w:rsid w:val="38316ACB"/>
    <w:rsid w:val="383946F0"/>
    <w:rsid w:val="383F0638"/>
    <w:rsid w:val="38715C77"/>
    <w:rsid w:val="38E90865"/>
    <w:rsid w:val="38F20432"/>
    <w:rsid w:val="39646072"/>
    <w:rsid w:val="39C660F3"/>
    <w:rsid w:val="39ED3E9A"/>
    <w:rsid w:val="3A9921E4"/>
    <w:rsid w:val="3ABF2892"/>
    <w:rsid w:val="3BAA09EC"/>
    <w:rsid w:val="3BF73EA9"/>
    <w:rsid w:val="3C263D8E"/>
    <w:rsid w:val="3C3F6699"/>
    <w:rsid w:val="3C9D4698"/>
    <w:rsid w:val="3DAF61CB"/>
    <w:rsid w:val="3DDF7493"/>
    <w:rsid w:val="3E5A7908"/>
    <w:rsid w:val="3F5C72B7"/>
    <w:rsid w:val="3FA91324"/>
    <w:rsid w:val="3FEA73E9"/>
    <w:rsid w:val="3FFD204A"/>
    <w:rsid w:val="40964C02"/>
    <w:rsid w:val="40DB0353"/>
    <w:rsid w:val="41597558"/>
    <w:rsid w:val="41E458EF"/>
    <w:rsid w:val="4206393F"/>
    <w:rsid w:val="42C91DE5"/>
    <w:rsid w:val="43CE74C4"/>
    <w:rsid w:val="44652712"/>
    <w:rsid w:val="44737448"/>
    <w:rsid w:val="44A07445"/>
    <w:rsid w:val="44BA5AF9"/>
    <w:rsid w:val="45200186"/>
    <w:rsid w:val="459332DC"/>
    <w:rsid w:val="47014BE3"/>
    <w:rsid w:val="4863647A"/>
    <w:rsid w:val="48702CAA"/>
    <w:rsid w:val="48743864"/>
    <w:rsid w:val="488056D0"/>
    <w:rsid w:val="492573E6"/>
    <w:rsid w:val="49360F12"/>
    <w:rsid w:val="49C06516"/>
    <w:rsid w:val="4A335F4D"/>
    <w:rsid w:val="4AE80B15"/>
    <w:rsid w:val="4AF51BD3"/>
    <w:rsid w:val="4AF75086"/>
    <w:rsid w:val="4BA017E5"/>
    <w:rsid w:val="4C105EC0"/>
    <w:rsid w:val="4D846D3F"/>
    <w:rsid w:val="4EAE703A"/>
    <w:rsid w:val="4F171CD9"/>
    <w:rsid w:val="4F9644C0"/>
    <w:rsid w:val="4FBA7859"/>
    <w:rsid w:val="50260F32"/>
    <w:rsid w:val="50636D49"/>
    <w:rsid w:val="50CA4541"/>
    <w:rsid w:val="50D82230"/>
    <w:rsid w:val="50EB7DB8"/>
    <w:rsid w:val="511A50BC"/>
    <w:rsid w:val="514100D1"/>
    <w:rsid w:val="518E434E"/>
    <w:rsid w:val="518F1364"/>
    <w:rsid w:val="52266A05"/>
    <w:rsid w:val="52390181"/>
    <w:rsid w:val="52C362A3"/>
    <w:rsid w:val="535E5741"/>
    <w:rsid w:val="55AA4006"/>
    <w:rsid w:val="55BB467B"/>
    <w:rsid w:val="55F87691"/>
    <w:rsid w:val="56096BF2"/>
    <w:rsid w:val="56774CBA"/>
    <w:rsid w:val="56C03FCA"/>
    <w:rsid w:val="57161F41"/>
    <w:rsid w:val="573B44F1"/>
    <w:rsid w:val="58FC6357"/>
    <w:rsid w:val="59477EC4"/>
    <w:rsid w:val="597F1517"/>
    <w:rsid w:val="59D54FF8"/>
    <w:rsid w:val="59FB30B7"/>
    <w:rsid w:val="5A264BF6"/>
    <w:rsid w:val="5A446408"/>
    <w:rsid w:val="5A766AF8"/>
    <w:rsid w:val="5A7A3D9E"/>
    <w:rsid w:val="5BE96A18"/>
    <w:rsid w:val="5BF86260"/>
    <w:rsid w:val="5C330ACE"/>
    <w:rsid w:val="5CA94D1F"/>
    <w:rsid w:val="5CB16AA1"/>
    <w:rsid w:val="5D0E3C08"/>
    <w:rsid w:val="5DA72F02"/>
    <w:rsid w:val="5DC709CC"/>
    <w:rsid w:val="5EFF2F3C"/>
    <w:rsid w:val="5F545839"/>
    <w:rsid w:val="5FD624F6"/>
    <w:rsid w:val="5FDB3A0F"/>
    <w:rsid w:val="60330CEE"/>
    <w:rsid w:val="60B0189F"/>
    <w:rsid w:val="61A2732C"/>
    <w:rsid w:val="61E87A65"/>
    <w:rsid w:val="62820BB2"/>
    <w:rsid w:val="64DB1ED4"/>
    <w:rsid w:val="6641174B"/>
    <w:rsid w:val="66EE35AB"/>
    <w:rsid w:val="671960AE"/>
    <w:rsid w:val="673230F5"/>
    <w:rsid w:val="67997D0B"/>
    <w:rsid w:val="68410885"/>
    <w:rsid w:val="68A87CD2"/>
    <w:rsid w:val="6A1163BF"/>
    <w:rsid w:val="6A171CD8"/>
    <w:rsid w:val="6A356683"/>
    <w:rsid w:val="6A956F97"/>
    <w:rsid w:val="6A9B1E50"/>
    <w:rsid w:val="6ACE1D57"/>
    <w:rsid w:val="6BB874AA"/>
    <w:rsid w:val="6C2A2A14"/>
    <w:rsid w:val="6DEB783C"/>
    <w:rsid w:val="6E8C5DBE"/>
    <w:rsid w:val="6EA3607D"/>
    <w:rsid w:val="6F425C57"/>
    <w:rsid w:val="7020363D"/>
    <w:rsid w:val="71716877"/>
    <w:rsid w:val="71905ADF"/>
    <w:rsid w:val="71A7447D"/>
    <w:rsid w:val="71C84875"/>
    <w:rsid w:val="71F92907"/>
    <w:rsid w:val="72072052"/>
    <w:rsid w:val="72221E17"/>
    <w:rsid w:val="72592DAC"/>
    <w:rsid w:val="734D6D9E"/>
    <w:rsid w:val="7373589E"/>
    <w:rsid w:val="73A62D3A"/>
    <w:rsid w:val="73AF3118"/>
    <w:rsid w:val="73D40281"/>
    <w:rsid w:val="73D93E75"/>
    <w:rsid w:val="7433040D"/>
    <w:rsid w:val="750756F4"/>
    <w:rsid w:val="750C7BFD"/>
    <w:rsid w:val="759E24D1"/>
    <w:rsid w:val="75AE3375"/>
    <w:rsid w:val="76813BAB"/>
    <w:rsid w:val="76A24F4A"/>
    <w:rsid w:val="76CA1C2F"/>
    <w:rsid w:val="76DE170F"/>
    <w:rsid w:val="77454EF9"/>
    <w:rsid w:val="778561BB"/>
    <w:rsid w:val="778E51AB"/>
    <w:rsid w:val="77D4134B"/>
    <w:rsid w:val="782B2F7D"/>
    <w:rsid w:val="785D1490"/>
    <w:rsid w:val="7A735DDD"/>
    <w:rsid w:val="7A7E62A8"/>
    <w:rsid w:val="7ACF6E0C"/>
    <w:rsid w:val="7C4C0D1C"/>
    <w:rsid w:val="7CFF275F"/>
    <w:rsid w:val="7E1B1AAD"/>
    <w:rsid w:val="7E646AFC"/>
    <w:rsid w:val="7E650729"/>
    <w:rsid w:val="7EA87974"/>
    <w:rsid w:val="7EF47E10"/>
    <w:rsid w:val="7EFB6F6F"/>
    <w:rsid w:val="7F1B454B"/>
    <w:rsid w:val="7F3537F5"/>
    <w:rsid w:val="7F3566FA"/>
    <w:rsid w:val="7FB31A2C"/>
    <w:rsid w:val="7FE155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7">
    <w:name w:val="heading 1"/>
    <w:basedOn w:val="1"/>
    <w:next w:val="1"/>
    <w:link w:val="51"/>
    <w:qFormat/>
    <w:uiPriority w:val="99"/>
    <w:pPr>
      <w:keepNext/>
      <w:keepLines/>
      <w:widowControl/>
      <w:spacing w:before="340" w:after="330"/>
      <w:jc w:val="left"/>
      <w:outlineLvl w:val="0"/>
    </w:pPr>
    <w:rPr>
      <w:rFonts w:ascii="宋体" w:hAnsi="Times New Roman" w:cs="宋体"/>
      <w:kern w:val="0"/>
      <w:sz w:val="28"/>
      <w:szCs w:val="28"/>
    </w:rPr>
  </w:style>
  <w:style w:type="paragraph" w:styleId="8">
    <w:name w:val="heading 2"/>
    <w:basedOn w:val="1"/>
    <w:next w:val="1"/>
    <w:link w:val="52"/>
    <w:qFormat/>
    <w:uiPriority w:val="99"/>
    <w:pPr>
      <w:numPr>
        <w:ilvl w:val="1"/>
        <w:numId w:val="1"/>
      </w:numPr>
      <w:spacing w:before="260"/>
      <w:jc w:val="left"/>
      <w:outlineLvl w:val="1"/>
    </w:pPr>
    <w:rPr>
      <w:rFonts w:ascii="宋体" w:hAnsi="Arial" w:cs="宋体"/>
      <w:kern w:val="0"/>
      <w:sz w:val="28"/>
      <w:szCs w:val="28"/>
    </w:rPr>
  </w:style>
  <w:style w:type="paragraph" w:styleId="9">
    <w:name w:val="heading 3"/>
    <w:basedOn w:val="1"/>
    <w:next w:val="1"/>
    <w:link w:val="53"/>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10">
    <w:name w:val="heading 4"/>
    <w:basedOn w:val="1"/>
    <w:next w:val="1"/>
    <w:link w:val="54"/>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paragraph" w:styleId="11">
    <w:name w:val="heading 5"/>
    <w:basedOn w:val="1"/>
    <w:next w:val="1"/>
    <w:link w:val="55"/>
    <w:qFormat/>
    <w:uiPriority w:val="99"/>
    <w:pPr>
      <w:keepNext/>
      <w:keepLines/>
      <w:widowControl/>
      <w:numPr>
        <w:ilvl w:val="4"/>
        <w:numId w:val="1"/>
      </w:numPr>
      <w:spacing w:before="280" w:after="290" w:line="376" w:lineRule="auto"/>
      <w:jc w:val="left"/>
      <w:outlineLvl w:val="4"/>
    </w:pPr>
    <w:rPr>
      <w:rFonts w:ascii="Times New Roman" w:hAnsi="Times New Roman" w:cs="Times New Roman"/>
      <w:b/>
      <w:bCs/>
      <w:kern w:val="0"/>
      <w:sz w:val="28"/>
      <w:szCs w:val="28"/>
    </w:rPr>
  </w:style>
  <w:style w:type="paragraph" w:styleId="12">
    <w:name w:val="heading 6"/>
    <w:basedOn w:val="1"/>
    <w:next w:val="1"/>
    <w:link w:val="56"/>
    <w:qFormat/>
    <w:uiPriority w:val="99"/>
    <w:pPr>
      <w:keepNext/>
      <w:keepLines/>
      <w:widowControl/>
      <w:numPr>
        <w:ilvl w:val="5"/>
        <w:numId w:val="1"/>
      </w:numPr>
      <w:spacing w:before="240" w:after="64" w:line="320" w:lineRule="auto"/>
      <w:jc w:val="left"/>
      <w:outlineLvl w:val="5"/>
    </w:pPr>
    <w:rPr>
      <w:rFonts w:ascii="Arial" w:hAnsi="Arial" w:eastAsia="黑体" w:cs="Arial"/>
      <w:b/>
      <w:bCs/>
      <w:kern w:val="0"/>
      <w:sz w:val="24"/>
      <w:szCs w:val="24"/>
    </w:rPr>
  </w:style>
  <w:style w:type="paragraph" w:styleId="13">
    <w:name w:val="heading 7"/>
    <w:basedOn w:val="1"/>
    <w:next w:val="1"/>
    <w:link w:val="57"/>
    <w:qFormat/>
    <w:uiPriority w:val="99"/>
    <w:pPr>
      <w:keepNext/>
      <w:keepLines/>
      <w:widowControl/>
      <w:numPr>
        <w:ilvl w:val="6"/>
        <w:numId w:val="1"/>
      </w:numPr>
      <w:spacing w:before="240" w:after="64" w:line="320" w:lineRule="auto"/>
      <w:jc w:val="left"/>
      <w:outlineLvl w:val="6"/>
    </w:pPr>
    <w:rPr>
      <w:rFonts w:ascii="Times New Roman" w:hAnsi="Times New Roman" w:cs="Times New Roman"/>
      <w:b/>
      <w:bCs/>
      <w:kern w:val="0"/>
      <w:sz w:val="24"/>
      <w:szCs w:val="24"/>
    </w:rPr>
  </w:style>
  <w:style w:type="paragraph" w:styleId="14">
    <w:name w:val="heading 8"/>
    <w:basedOn w:val="1"/>
    <w:next w:val="1"/>
    <w:link w:val="58"/>
    <w:qFormat/>
    <w:uiPriority w:val="99"/>
    <w:pPr>
      <w:keepNext/>
      <w:keepLines/>
      <w:widowControl/>
      <w:numPr>
        <w:ilvl w:val="7"/>
        <w:numId w:val="1"/>
      </w:numPr>
      <w:spacing w:before="240" w:after="64" w:line="320" w:lineRule="auto"/>
      <w:jc w:val="left"/>
      <w:outlineLvl w:val="7"/>
    </w:pPr>
    <w:rPr>
      <w:rFonts w:ascii="Arial" w:hAnsi="Arial" w:eastAsia="黑体" w:cs="Arial"/>
      <w:kern w:val="0"/>
      <w:sz w:val="24"/>
      <w:szCs w:val="24"/>
    </w:rPr>
  </w:style>
  <w:style w:type="paragraph" w:styleId="15">
    <w:name w:val="heading 9"/>
    <w:basedOn w:val="1"/>
    <w:next w:val="1"/>
    <w:link w:val="59"/>
    <w:qFormat/>
    <w:uiPriority w:val="99"/>
    <w:pPr>
      <w:keepNext/>
      <w:keepLines/>
      <w:widowControl/>
      <w:numPr>
        <w:ilvl w:val="8"/>
        <w:numId w:val="1"/>
      </w:numPr>
      <w:spacing w:before="240" w:after="64" w:line="320" w:lineRule="auto"/>
      <w:jc w:val="left"/>
      <w:outlineLvl w:val="8"/>
    </w:pPr>
    <w:rPr>
      <w:rFonts w:ascii="Arial" w:hAnsi="Arial" w:eastAsia="黑体" w:cs="Arial"/>
      <w:kern w:val="0"/>
    </w:rPr>
  </w:style>
  <w:style w:type="character" w:default="1" w:styleId="45">
    <w:name w:val="Default Paragraph Font"/>
    <w:semiHidden/>
    <w:qFormat/>
    <w:uiPriority w:val="99"/>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rPr>
  </w:style>
  <w:style w:type="paragraph" w:styleId="3">
    <w:name w:val="Body Text"/>
    <w:basedOn w:val="1"/>
    <w:next w:val="1"/>
    <w:link w:val="63"/>
    <w:qFormat/>
    <w:uiPriority w:val="99"/>
    <w:pPr>
      <w:spacing w:after="120"/>
    </w:pPr>
    <w:rPr>
      <w:rFonts w:ascii="Times New Roman" w:hAnsi="Times New Roman" w:cs="Times New Roman"/>
    </w:rPr>
  </w:style>
  <w:style w:type="paragraph" w:styleId="4">
    <w:name w:val="Body Text First Indent 2"/>
    <w:basedOn w:val="5"/>
    <w:qFormat/>
    <w:uiPriority w:val="0"/>
    <w:pPr>
      <w:spacing w:line="420" w:lineRule="exact"/>
      <w:ind w:firstLine="420"/>
      <w:jc w:val="left"/>
    </w:pPr>
    <w:rPr>
      <w:rFonts w:ascii="宋体" w:hAnsi="宋体"/>
      <w:color w:val="000000"/>
      <w:sz w:val="24"/>
      <w:szCs w:val="18"/>
    </w:rPr>
  </w:style>
  <w:style w:type="paragraph" w:styleId="5">
    <w:name w:val="Body Text Indent"/>
    <w:basedOn w:val="1"/>
    <w:next w:val="6"/>
    <w:link w:val="64"/>
    <w:qFormat/>
    <w:uiPriority w:val="99"/>
    <w:pPr>
      <w:ind w:firstLine="630"/>
    </w:pPr>
    <w:rPr>
      <w:rFonts w:ascii="宋体" w:hAnsi="Times New Roman" w:cs="宋体"/>
      <w:sz w:val="32"/>
      <w:szCs w:val="32"/>
    </w:rPr>
  </w:style>
  <w:style w:type="paragraph" w:styleId="6">
    <w:name w:val="envelope return"/>
    <w:basedOn w:val="1"/>
    <w:qFormat/>
    <w:uiPriority w:val="99"/>
    <w:pPr>
      <w:snapToGrid w:val="0"/>
    </w:pPr>
    <w:rPr>
      <w:rFonts w:ascii="Arial" w:hAnsi="Arial" w:cs="Arial"/>
    </w:rPr>
  </w:style>
  <w:style w:type="paragraph" w:styleId="16">
    <w:name w:val="toc 7"/>
    <w:basedOn w:val="1"/>
    <w:next w:val="1"/>
    <w:semiHidden/>
    <w:qFormat/>
    <w:uiPriority w:val="99"/>
    <w:pPr>
      <w:ind w:left="1260"/>
      <w:jc w:val="left"/>
    </w:pPr>
    <w:rPr>
      <w:sz w:val="18"/>
      <w:szCs w:val="18"/>
    </w:rPr>
  </w:style>
  <w:style w:type="paragraph" w:styleId="17">
    <w:name w:val="Normal Indent"/>
    <w:basedOn w:val="1"/>
    <w:qFormat/>
    <w:uiPriority w:val="99"/>
    <w:pPr>
      <w:ind w:firstLine="420"/>
    </w:pPr>
    <w:rPr>
      <w:rFonts w:ascii="Times New Roman" w:hAnsi="Times New Roman" w:cs="Times New Roman"/>
    </w:rPr>
  </w:style>
  <w:style w:type="paragraph" w:styleId="18">
    <w:name w:val="List Bullet"/>
    <w:basedOn w:val="1"/>
    <w:qFormat/>
    <w:uiPriority w:val="99"/>
    <w:pPr>
      <w:tabs>
        <w:tab w:val="left" w:pos="360"/>
      </w:tabs>
      <w:ind w:left="360" w:hanging="360" w:hangingChars="200"/>
    </w:pPr>
    <w:rPr>
      <w:rFonts w:ascii="Times New Roman" w:hAnsi="Times New Roman" w:cs="Times New Roman"/>
    </w:rPr>
  </w:style>
  <w:style w:type="paragraph" w:styleId="19">
    <w:name w:val="Document Map"/>
    <w:basedOn w:val="1"/>
    <w:link w:val="60"/>
    <w:semiHidden/>
    <w:qFormat/>
    <w:uiPriority w:val="99"/>
    <w:pPr>
      <w:shd w:val="clear" w:color="auto" w:fill="000080"/>
    </w:pPr>
    <w:rPr>
      <w:rFonts w:ascii="Times New Roman" w:hAnsi="Times New Roman" w:cs="Times New Roman"/>
    </w:rPr>
  </w:style>
  <w:style w:type="paragraph" w:styleId="20">
    <w:name w:val="annotation text"/>
    <w:basedOn w:val="1"/>
    <w:link w:val="61"/>
    <w:semiHidden/>
    <w:qFormat/>
    <w:uiPriority w:val="99"/>
    <w:pPr>
      <w:jc w:val="left"/>
    </w:pPr>
    <w:rPr>
      <w:rFonts w:ascii="Times New Roman" w:hAnsi="Times New Roman" w:cs="Times New Roman"/>
    </w:rPr>
  </w:style>
  <w:style w:type="paragraph" w:styleId="21">
    <w:name w:val="Body Text 3"/>
    <w:basedOn w:val="1"/>
    <w:link w:val="62"/>
    <w:qFormat/>
    <w:uiPriority w:val="99"/>
    <w:pPr>
      <w:spacing w:after="120"/>
    </w:pPr>
    <w:rPr>
      <w:rFonts w:ascii="Times New Roman" w:hAnsi="Times New Roman" w:cs="Times New Roman"/>
      <w:sz w:val="16"/>
      <w:szCs w:val="16"/>
    </w:rPr>
  </w:style>
  <w:style w:type="paragraph" w:styleId="22">
    <w:name w:val="List Bullet 2"/>
    <w:basedOn w:val="18"/>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65"/>
    <w:qFormat/>
    <w:uiPriority w:val="99"/>
    <w:rPr>
      <w:rFonts w:ascii="宋体" w:hAnsi="Courier New" w:cs="宋体"/>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66"/>
    <w:qFormat/>
    <w:uiPriority w:val="99"/>
    <w:pPr>
      <w:ind w:left="100" w:leftChars="2500"/>
    </w:pPr>
    <w:rPr>
      <w:rFonts w:ascii="仿宋_GB2312" w:hAnsi="Times New Roman" w:eastAsia="仿宋_GB2312" w:cs="仿宋_GB2312"/>
      <w:b/>
      <w:bCs/>
      <w:sz w:val="28"/>
      <w:szCs w:val="28"/>
    </w:rPr>
  </w:style>
  <w:style w:type="paragraph" w:styleId="28">
    <w:name w:val="Body Text Indent 2"/>
    <w:basedOn w:val="1"/>
    <w:link w:val="67"/>
    <w:qFormat/>
    <w:uiPriority w:val="99"/>
    <w:pPr>
      <w:tabs>
        <w:tab w:val="left" w:pos="4970"/>
      </w:tabs>
      <w:spacing w:line="360" w:lineRule="auto"/>
      <w:ind w:firstLine="480" w:firstLineChars="200"/>
    </w:pPr>
    <w:rPr>
      <w:rFonts w:ascii="Times New Roman" w:hAnsi="Times New Roman" w:cs="Times New Roman"/>
      <w:sz w:val="24"/>
      <w:szCs w:val="24"/>
    </w:rPr>
  </w:style>
  <w:style w:type="paragraph" w:styleId="29">
    <w:name w:val="Balloon Text"/>
    <w:basedOn w:val="1"/>
    <w:link w:val="68"/>
    <w:semiHidden/>
    <w:qFormat/>
    <w:uiPriority w:val="99"/>
    <w:rPr>
      <w:rFonts w:ascii="Times New Roman" w:hAnsi="Times New Roman" w:cs="Times New Roman"/>
      <w:sz w:val="18"/>
      <w:szCs w:val="18"/>
    </w:rPr>
  </w:style>
  <w:style w:type="paragraph" w:styleId="30">
    <w:name w:val="footer"/>
    <w:basedOn w:val="1"/>
    <w:link w:val="69"/>
    <w:qFormat/>
    <w:uiPriority w:val="99"/>
    <w:pPr>
      <w:tabs>
        <w:tab w:val="center" w:pos="4153"/>
        <w:tab w:val="right" w:pos="8306"/>
      </w:tabs>
      <w:snapToGrid w:val="0"/>
      <w:jc w:val="left"/>
    </w:pPr>
    <w:rPr>
      <w:sz w:val="18"/>
      <w:szCs w:val="18"/>
    </w:rPr>
  </w:style>
  <w:style w:type="paragraph" w:styleId="31">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99"/>
    <w:pPr>
      <w:spacing w:before="120" w:after="120"/>
      <w:jc w:val="left"/>
    </w:pPr>
    <w:rPr>
      <w:b/>
      <w:bCs/>
      <w:caps/>
      <w:sz w:val="20"/>
      <w:szCs w:val="20"/>
    </w:rPr>
  </w:style>
  <w:style w:type="paragraph" w:styleId="33">
    <w:name w:val="toc 4"/>
    <w:basedOn w:val="1"/>
    <w:next w:val="1"/>
    <w:semiHidden/>
    <w:qFormat/>
    <w:uiPriority w:val="99"/>
    <w:pPr>
      <w:ind w:left="630"/>
      <w:jc w:val="left"/>
    </w:pPr>
    <w:rPr>
      <w:sz w:val="18"/>
      <w:szCs w:val="18"/>
    </w:rPr>
  </w:style>
  <w:style w:type="paragraph" w:styleId="34">
    <w:name w:val="Subtitle"/>
    <w:basedOn w:val="1"/>
    <w:next w:val="1"/>
    <w:link w:val="71"/>
    <w:qFormat/>
    <w:uiPriority w:val="99"/>
    <w:pPr>
      <w:widowControl/>
      <w:spacing w:before="240" w:after="60" w:line="312" w:lineRule="auto"/>
      <w:jc w:val="center"/>
      <w:outlineLvl w:val="1"/>
    </w:pPr>
    <w:rPr>
      <w:rFonts w:ascii="Calibri Light" w:hAnsi="Calibri Light" w:cs="Calibri Light"/>
      <w:b/>
      <w:bCs/>
      <w:kern w:val="28"/>
      <w:sz w:val="32"/>
      <w:szCs w:val="32"/>
    </w:rPr>
  </w:style>
  <w:style w:type="paragraph" w:styleId="35">
    <w:name w:val="toc 6"/>
    <w:basedOn w:val="1"/>
    <w:next w:val="1"/>
    <w:semiHidden/>
    <w:qFormat/>
    <w:uiPriority w:val="99"/>
    <w:pPr>
      <w:ind w:left="1050"/>
      <w:jc w:val="left"/>
    </w:pPr>
    <w:rPr>
      <w:sz w:val="18"/>
      <w:szCs w:val="18"/>
    </w:rPr>
  </w:style>
  <w:style w:type="paragraph" w:styleId="36">
    <w:name w:val="Body Text Indent 3"/>
    <w:basedOn w:val="1"/>
    <w:link w:val="72"/>
    <w:qFormat/>
    <w:uiPriority w:val="99"/>
    <w:pPr>
      <w:spacing w:line="360" w:lineRule="auto"/>
      <w:ind w:left="1978" w:leftChars="942"/>
    </w:pPr>
    <w:rPr>
      <w:rFonts w:ascii="Times New Roman" w:hAnsi="宋体" w:cs="Times New Roman"/>
      <w:sz w:val="24"/>
      <w:szCs w:val="24"/>
    </w:rPr>
  </w:style>
  <w:style w:type="paragraph" w:styleId="37">
    <w:name w:val="toc 2"/>
    <w:basedOn w:val="1"/>
    <w:next w:val="1"/>
    <w:semiHidden/>
    <w:qFormat/>
    <w:uiPriority w:val="99"/>
    <w:pPr>
      <w:ind w:left="210"/>
      <w:jc w:val="left"/>
    </w:pPr>
    <w:rPr>
      <w:smallCaps/>
      <w:sz w:val="20"/>
      <w:szCs w:val="20"/>
    </w:rPr>
  </w:style>
  <w:style w:type="paragraph" w:styleId="38">
    <w:name w:val="toc 9"/>
    <w:basedOn w:val="1"/>
    <w:next w:val="1"/>
    <w:semiHidden/>
    <w:qFormat/>
    <w:uiPriority w:val="99"/>
    <w:pPr>
      <w:ind w:left="1680"/>
      <w:jc w:val="left"/>
    </w:pPr>
    <w:rPr>
      <w:sz w:val="18"/>
      <w:szCs w:val="18"/>
    </w:rPr>
  </w:style>
  <w:style w:type="paragraph" w:styleId="39">
    <w:name w:val="Body Text 2"/>
    <w:basedOn w:val="1"/>
    <w:link w:val="73"/>
    <w:qFormat/>
    <w:uiPriority w:val="99"/>
    <w:rPr>
      <w:rFonts w:ascii="Times New Roman" w:hAnsi="Times New Roman" w:eastAsia="楷体_GB2312" w:cs="Times New Roman"/>
      <w:b/>
      <w:bCs/>
    </w:rPr>
  </w:style>
  <w:style w:type="paragraph" w:styleId="40">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1">
    <w:name w:val="Title"/>
    <w:basedOn w:val="1"/>
    <w:next w:val="1"/>
    <w:link w:val="74"/>
    <w:qFormat/>
    <w:uiPriority w:val="99"/>
    <w:pPr>
      <w:widowControl/>
      <w:spacing w:before="60" w:after="60"/>
      <w:jc w:val="center"/>
      <w:outlineLvl w:val="0"/>
    </w:pPr>
    <w:rPr>
      <w:rFonts w:ascii="Cambria" w:hAnsi="Cambria" w:cs="Cambria"/>
      <w:b/>
      <w:bCs/>
      <w:kern w:val="0"/>
      <w:sz w:val="32"/>
      <w:szCs w:val="32"/>
    </w:rPr>
  </w:style>
  <w:style w:type="paragraph" w:styleId="42">
    <w:name w:val="annotation subject"/>
    <w:basedOn w:val="20"/>
    <w:next w:val="20"/>
    <w:link w:val="75"/>
    <w:semiHidden/>
    <w:qFormat/>
    <w:uiPriority w:val="99"/>
    <w:rPr>
      <w:b/>
      <w:bCs/>
    </w:rPr>
  </w:style>
  <w:style w:type="table" w:styleId="44">
    <w:name w:val="Table Grid"/>
    <w:basedOn w:val="43"/>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99"/>
    <w:rPr>
      <w:b/>
      <w:bCs/>
    </w:rPr>
  </w:style>
  <w:style w:type="character" w:styleId="47">
    <w:name w:val="page number"/>
    <w:basedOn w:val="45"/>
    <w:qFormat/>
    <w:uiPriority w:val="99"/>
  </w:style>
  <w:style w:type="character" w:styleId="48">
    <w:name w:val="FollowedHyperlink"/>
    <w:semiHidden/>
    <w:qFormat/>
    <w:uiPriority w:val="99"/>
    <w:rPr>
      <w:color w:val="800080"/>
      <w:u w:val="single"/>
    </w:rPr>
  </w:style>
  <w:style w:type="character" w:styleId="49">
    <w:name w:val="Hyperlink"/>
    <w:qFormat/>
    <w:uiPriority w:val="99"/>
    <w:rPr>
      <w:color w:val="0000FF"/>
      <w:u w:val="single"/>
    </w:rPr>
  </w:style>
  <w:style w:type="character" w:styleId="50">
    <w:name w:val="annotation reference"/>
    <w:semiHidden/>
    <w:qFormat/>
    <w:uiPriority w:val="99"/>
    <w:rPr>
      <w:sz w:val="21"/>
      <w:szCs w:val="21"/>
    </w:rPr>
  </w:style>
  <w:style w:type="character" w:customStyle="1" w:styleId="51">
    <w:name w:val="标题 1 字符"/>
    <w:link w:val="7"/>
    <w:qFormat/>
    <w:locked/>
    <w:uiPriority w:val="99"/>
    <w:rPr>
      <w:rFonts w:ascii="宋体" w:hAnsi="Times New Roman" w:cs="宋体"/>
      <w:kern w:val="0"/>
      <w:sz w:val="28"/>
      <w:szCs w:val="28"/>
    </w:rPr>
  </w:style>
  <w:style w:type="character" w:customStyle="1" w:styleId="52">
    <w:name w:val="标题 2 字符"/>
    <w:link w:val="8"/>
    <w:qFormat/>
    <w:locked/>
    <w:uiPriority w:val="99"/>
    <w:rPr>
      <w:rFonts w:ascii="宋体" w:hAnsi="Arial" w:cs="宋体"/>
      <w:kern w:val="0"/>
      <w:sz w:val="28"/>
      <w:szCs w:val="28"/>
    </w:rPr>
  </w:style>
  <w:style w:type="character" w:customStyle="1" w:styleId="53">
    <w:name w:val="标题 3 字符"/>
    <w:link w:val="9"/>
    <w:qFormat/>
    <w:locked/>
    <w:uiPriority w:val="99"/>
    <w:rPr>
      <w:rFonts w:ascii="Times New Roman" w:hAnsi="Times New Roman"/>
      <w:b/>
      <w:bCs/>
      <w:kern w:val="0"/>
      <w:sz w:val="32"/>
      <w:szCs w:val="32"/>
    </w:rPr>
  </w:style>
  <w:style w:type="character" w:customStyle="1" w:styleId="54">
    <w:name w:val="标题 4 字符"/>
    <w:link w:val="10"/>
    <w:qFormat/>
    <w:locked/>
    <w:uiPriority w:val="99"/>
    <w:rPr>
      <w:rFonts w:ascii="Arial" w:hAnsi="Arial" w:eastAsia="黑体" w:cs="Arial"/>
      <w:b/>
      <w:bCs/>
      <w:kern w:val="0"/>
      <w:sz w:val="28"/>
      <w:szCs w:val="28"/>
    </w:rPr>
  </w:style>
  <w:style w:type="character" w:customStyle="1" w:styleId="55">
    <w:name w:val="标题 5 字符"/>
    <w:link w:val="11"/>
    <w:qFormat/>
    <w:locked/>
    <w:uiPriority w:val="99"/>
    <w:rPr>
      <w:rFonts w:ascii="Times New Roman" w:hAnsi="Times New Roman"/>
      <w:b/>
      <w:bCs/>
      <w:kern w:val="0"/>
      <w:sz w:val="28"/>
      <w:szCs w:val="28"/>
    </w:rPr>
  </w:style>
  <w:style w:type="character" w:customStyle="1" w:styleId="56">
    <w:name w:val="标题 6 字符"/>
    <w:link w:val="12"/>
    <w:qFormat/>
    <w:locked/>
    <w:uiPriority w:val="99"/>
    <w:rPr>
      <w:rFonts w:ascii="Arial" w:hAnsi="Arial" w:eastAsia="黑体" w:cs="Arial"/>
      <w:b/>
      <w:bCs/>
      <w:kern w:val="0"/>
      <w:sz w:val="24"/>
      <w:szCs w:val="24"/>
    </w:rPr>
  </w:style>
  <w:style w:type="character" w:customStyle="1" w:styleId="57">
    <w:name w:val="标题 7 字符"/>
    <w:link w:val="13"/>
    <w:qFormat/>
    <w:locked/>
    <w:uiPriority w:val="99"/>
    <w:rPr>
      <w:rFonts w:ascii="Times New Roman" w:hAnsi="Times New Roman"/>
      <w:b/>
      <w:bCs/>
      <w:kern w:val="0"/>
      <w:sz w:val="24"/>
      <w:szCs w:val="24"/>
    </w:rPr>
  </w:style>
  <w:style w:type="character" w:customStyle="1" w:styleId="58">
    <w:name w:val="标题 8 字符"/>
    <w:link w:val="14"/>
    <w:qFormat/>
    <w:locked/>
    <w:uiPriority w:val="99"/>
    <w:rPr>
      <w:rFonts w:ascii="Arial" w:hAnsi="Arial" w:eastAsia="黑体" w:cs="Arial"/>
      <w:kern w:val="0"/>
      <w:sz w:val="24"/>
      <w:szCs w:val="24"/>
    </w:rPr>
  </w:style>
  <w:style w:type="character" w:customStyle="1" w:styleId="59">
    <w:name w:val="标题 9 字符"/>
    <w:link w:val="15"/>
    <w:qFormat/>
    <w:locked/>
    <w:uiPriority w:val="99"/>
    <w:rPr>
      <w:rFonts w:ascii="Arial" w:hAnsi="Arial" w:eastAsia="黑体" w:cs="Arial"/>
      <w:kern w:val="0"/>
      <w:szCs w:val="21"/>
    </w:rPr>
  </w:style>
  <w:style w:type="character" w:customStyle="1" w:styleId="60">
    <w:name w:val="文档结构图 字符"/>
    <w:link w:val="19"/>
    <w:qFormat/>
    <w:locked/>
    <w:uiPriority w:val="99"/>
    <w:rPr>
      <w:rFonts w:ascii="Times New Roman" w:hAnsi="Times New Roman" w:eastAsia="宋体" w:cs="Times New Roman"/>
      <w:sz w:val="24"/>
      <w:szCs w:val="24"/>
      <w:shd w:val="clear" w:color="auto" w:fill="000080"/>
    </w:rPr>
  </w:style>
  <w:style w:type="character" w:customStyle="1" w:styleId="61">
    <w:name w:val="批注文字 字符"/>
    <w:link w:val="20"/>
    <w:qFormat/>
    <w:locked/>
    <w:uiPriority w:val="99"/>
    <w:rPr>
      <w:rFonts w:ascii="Times New Roman" w:hAnsi="Times New Roman" w:eastAsia="宋体" w:cs="Times New Roman"/>
      <w:sz w:val="24"/>
      <w:szCs w:val="24"/>
    </w:rPr>
  </w:style>
  <w:style w:type="character" w:customStyle="1" w:styleId="62">
    <w:name w:val="正文文本 3 字符"/>
    <w:link w:val="21"/>
    <w:qFormat/>
    <w:locked/>
    <w:uiPriority w:val="99"/>
    <w:rPr>
      <w:rFonts w:ascii="Times New Roman" w:hAnsi="Times New Roman" w:eastAsia="宋体" w:cs="Times New Roman"/>
      <w:sz w:val="16"/>
      <w:szCs w:val="16"/>
    </w:rPr>
  </w:style>
  <w:style w:type="character" w:customStyle="1" w:styleId="63">
    <w:name w:val="正文文本 字符"/>
    <w:link w:val="3"/>
    <w:qFormat/>
    <w:locked/>
    <w:uiPriority w:val="99"/>
    <w:rPr>
      <w:rFonts w:ascii="Times New Roman" w:hAnsi="Times New Roman" w:eastAsia="宋体" w:cs="Times New Roman"/>
      <w:sz w:val="24"/>
      <w:szCs w:val="24"/>
    </w:rPr>
  </w:style>
  <w:style w:type="character" w:customStyle="1" w:styleId="64">
    <w:name w:val="正文文本缩进 字符"/>
    <w:link w:val="5"/>
    <w:qFormat/>
    <w:locked/>
    <w:uiPriority w:val="99"/>
    <w:rPr>
      <w:rFonts w:ascii="宋体" w:hAnsi="Times New Roman" w:eastAsia="宋体" w:cs="宋体"/>
      <w:sz w:val="20"/>
      <w:szCs w:val="20"/>
    </w:rPr>
  </w:style>
  <w:style w:type="character" w:customStyle="1" w:styleId="65">
    <w:name w:val="纯文本 字符"/>
    <w:link w:val="25"/>
    <w:qFormat/>
    <w:locked/>
    <w:uiPriority w:val="99"/>
    <w:rPr>
      <w:rFonts w:ascii="宋体" w:hAnsi="Courier New" w:eastAsia="宋体" w:cs="宋体"/>
      <w:sz w:val="20"/>
      <w:szCs w:val="20"/>
    </w:rPr>
  </w:style>
  <w:style w:type="character" w:customStyle="1" w:styleId="66">
    <w:name w:val="日期 字符"/>
    <w:link w:val="27"/>
    <w:qFormat/>
    <w:locked/>
    <w:uiPriority w:val="99"/>
    <w:rPr>
      <w:rFonts w:ascii="仿宋_GB2312" w:hAnsi="Times New Roman" w:eastAsia="仿宋_GB2312" w:cs="仿宋_GB2312"/>
      <w:b/>
      <w:bCs/>
      <w:sz w:val="24"/>
      <w:szCs w:val="24"/>
    </w:rPr>
  </w:style>
  <w:style w:type="character" w:customStyle="1" w:styleId="67">
    <w:name w:val="正文文本缩进 2 字符"/>
    <w:link w:val="28"/>
    <w:qFormat/>
    <w:locked/>
    <w:uiPriority w:val="99"/>
    <w:rPr>
      <w:rFonts w:ascii="Times New Roman" w:hAnsi="Times New Roman" w:eastAsia="宋体" w:cs="Times New Roman"/>
      <w:sz w:val="24"/>
      <w:szCs w:val="24"/>
    </w:rPr>
  </w:style>
  <w:style w:type="character" w:customStyle="1" w:styleId="68">
    <w:name w:val="批注框文本 字符"/>
    <w:link w:val="29"/>
    <w:qFormat/>
    <w:locked/>
    <w:uiPriority w:val="99"/>
    <w:rPr>
      <w:rFonts w:ascii="Times New Roman" w:hAnsi="Times New Roman" w:eastAsia="宋体" w:cs="Times New Roman"/>
      <w:sz w:val="18"/>
      <w:szCs w:val="18"/>
    </w:rPr>
  </w:style>
  <w:style w:type="character" w:customStyle="1" w:styleId="69">
    <w:name w:val="页脚 字符"/>
    <w:link w:val="30"/>
    <w:qFormat/>
    <w:locked/>
    <w:uiPriority w:val="99"/>
    <w:rPr>
      <w:sz w:val="18"/>
      <w:szCs w:val="18"/>
    </w:rPr>
  </w:style>
  <w:style w:type="character" w:customStyle="1" w:styleId="70">
    <w:name w:val="页眉 字符"/>
    <w:link w:val="31"/>
    <w:qFormat/>
    <w:locked/>
    <w:uiPriority w:val="99"/>
    <w:rPr>
      <w:sz w:val="18"/>
      <w:szCs w:val="18"/>
    </w:rPr>
  </w:style>
  <w:style w:type="character" w:customStyle="1" w:styleId="71">
    <w:name w:val="副标题 字符"/>
    <w:link w:val="34"/>
    <w:qFormat/>
    <w:locked/>
    <w:uiPriority w:val="99"/>
    <w:rPr>
      <w:rFonts w:ascii="Calibri Light" w:hAnsi="Calibri Light" w:eastAsia="宋体" w:cs="Calibri Light"/>
      <w:b/>
      <w:bCs/>
      <w:kern w:val="28"/>
      <w:sz w:val="20"/>
      <w:szCs w:val="20"/>
    </w:rPr>
  </w:style>
  <w:style w:type="character" w:customStyle="1" w:styleId="72">
    <w:name w:val="正文文本缩进 3 字符"/>
    <w:link w:val="36"/>
    <w:qFormat/>
    <w:locked/>
    <w:uiPriority w:val="99"/>
    <w:rPr>
      <w:rFonts w:ascii="Times New Roman" w:hAnsi="宋体" w:eastAsia="宋体" w:cs="Times New Roman"/>
      <w:sz w:val="24"/>
      <w:szCs w:val="24"/>
    </w:rPr>
  </w:style>
  <w:style w:type="character" w:customStyle="1" w:styleId="73">
    <w:name w:val="正文文本 2 字符"/>
    <w:link w:val="39"/>
    <w:qFormat/>
    <w:locked/>
    <w:uiPriority w:val="99"/>
    <w:rPr>
      <w:rFonts w:ascii="Times New Roman" w:hAnsi="Times New Roman" w:eastAsia="楷体_GB2312" w:cs="Times New Roman"/>
      <w:b/>
      <w:bCs/>
      <w:sz w:val="24"/>
      <w:szCs w:val="24"/>
    </w:rPr>
  </w:style>
  <w:style w:type="character" w:customStyle="1" w:styleId="74">
    <w:name w:val="标题 字符"/>
    <w:link w:val="41"/>
    <w:qFormat/>
    <w:locked/>
    <w:uiPriority w:val="99"/>
    <w:rPr>
      <w:rFonts w:ascii="Cambria" w:hAnsi="Cambria" w:eastAsia="宋体" w:cs="Cambria"/>
      <w:b/>
      <w:bCs/>
      <w:kern w:val="0"/>
      <w:sz w:val="20"/>
      <w:szCs w:val="20"/>
    </w:rPr>
  </w:style>
  <w:style w:type="character" w:customStyle="1" w:styleId="75">
    <w:name w:val="批注主题 字符"/>
    <w:link w:val="42"/>
    <w:qFormat/>
    <w:locked/>
    <w:uiPriority w:val="99"/>
    <w:rPr>
      <w:rFonts w:ascii="Times New Roman" w:hAnsi="Times New Roman" w:eastAsia="宋体" w:cs="Times New Roman"/>
      <w:b/>
      <w:bCs/>
      <w:sz w:val="24"/>
      <w:szCs w:val="24"/>
    </w:rPr>
  </w:style>
  <w:style w:type="character" w:customStyle="1" w:styleId="76">
    <w:name w:val="p0 Char Char"/>
    <w:link w:val="77"/>
    <w:qFormat/>
    <w:locked/>
    <w:uiPriority w:val="99"/>
    <w:rPr>
      <w:rFonts w:ascii="Times New Roman" w:hAnsi="Times New Roman" w:eastAsia="宋体" w:cs="Times New Roman"/>
      <w:kern w:val="0"/>
      <w:sz w:val="21"/>
      <w:szCs w:val="21"/>
    </w:rPr>
  </w:style>
  <w:style w:type="paragraph" w:customStyle="1" w:styleId="77">
    <w:name w:val="p0"/>
    <w:basedOn w:val="1"/>
    <w:link w:val="76"/>
    <w:qFormat/>
    <w:uiPriority w:val="99"/>
    <w:pPr>
      <w:widowControl/>
    </w:pPr>
    <w:rPr>
      <w:rFonts w:ascii="Times New Roman" w:hAnsi="Times New Roman" w:cs="Times New Roman"/>
      <w:kern w:val="0"/>
    </w:rPr>
  </w:style>
  <w:style w:type="character" w:customStyle="1" w:styleId="78">
    <w:name w:val="15"/>
    <w:qFormat/>
    <w:uiPriority w:val="99"/>
    <w:rPr>
      <w:rFonts w:ascii="Times New Roman" w:hAnsi="Times New Roman" w:cs="Times New Roman"/>
      <w:color w:val="auto"/>
      <w:u w:val="none"/>
    </w:rPr>
  </w:style>
  <w:style w:type="character" w:customStyle="1" w:styleId="79">
    <w:name w:val="Char Char10"/>
    <w:qFormat/>
    <w:uiPriority w:val="99"/>
    <w:rPr>
      <w:rFonts w:ascii="宋体" w:hAnsi="Courier New" w:eastAsia="宋体" w:cs="宋体"/>
      <w:kern w:val="2"/>
      <w:sz w:val="24"/>
      <w:szCs w:val="24"/>
      <w:lang w:val="en-US" w:eastAsia="zh-CN"/>
    </w:rPr>
  </w:style>
  <w:style w:type="character" w:customStyle="1" w:styleId="80">
    <w:name w:val="textcontents1"/>
    <w:qFormat/>
    <w:uiPriority w:val="99"/>
    <w:rPr>
      <w:color w:val="000000"/>
      <w:sz w:val="22"/>
      <w:szCs w:val="22"/>
    </w:rPr>
  </w:style>
  <w:style w:type="character" w:customStyle="1" w:styleId="81">
    <w:name w:val="Char Char3"/>
    <w:qFormat/>
    <w:uiPriority w:val="99"/>
    <w:rPr>
      <w:rFonts w:eastAsia="宋体"/>
      <w:sz w:val="18"/>
      <w:szCs w:val="18"/>
      <w:lang w:val="en-US" w:eastAsia="zh-CN"/>
    </w:rPr>
  </w:style>
  <w:style w:type="character" w:customStyle="1" w:styleId="82">
    <w:name w:val="apple-style-span"/>
    <w:basedOn w:val="45"/>
    <w:qFormat/>
    <w:uiPriority w:val="99"/>
  </w:style>
  <w:style w:type="character" w:customStyle="1" w:styleId="83">
    <w:name w:val="Intense Quote Char"/>
    <w:link w:val="84"/>
    <w:qFormat/>
    <w:locked/>
    <w:uiPriority w:val="99"/>
    <w:rPr>
      <w:b/>
      <w:bCs/>
      <w:i/>
      <w:iCs/>
      <w:color w:val="4F81BD"/>
      <w:sz w:val="22"/>
      <w:szCs w:val="22"/>
    </w:rPr>
  </w:style>
  <w:style w:type="paragraph" w:customStyle="1" w:styleId="84">
    <w:name w:val="明显引用1"/>
    <w:basedOn w:val="1"/>
    <w:next w:val="1"/>
    <w:link w:val="83"/>
    <w:qFormat/>
    <w:uiPriority w:val="99"/>
    <w:pPr>
      <w:pBdr>
        <w:bottom w:val="single" w:color="4F81BD" w:sz="4" w:space="4"/>
      </w:pBdr>
      <w:spacing w:before="200" w:after="280"/>
      <w:ind w:left="936" w:right="936"/>
    </w:pPr>
    <w:rPr>
      <w:rFonts w:cs="Times New Roman"/>
      <w:b/>
      <w:bCs/>
      <w:i/>
      <w:iCs/>
      <w:color w:val="4F81BD"/>
      <w:kern w:val="0"/>
      <w:sz w:val="22"/>
      <w:szCs w:val="22"/>
    </w:rPr>
  </w:style>
  <w:style w:type="character" w:customStyle="1" w:styleId="85">
    <w:name w:val="textcontents"/>
    <w:basedOn w:val="45"/>
    <w:qFormat/>
    <w:uiPriority w:val="99"/>
  </w:style>
  <w:style w:type="paragraph" w:customStyle="1" w:styleId="86">
    <w:name w:val="CM6"/>
    <w:basedOn w:val="87"/>
    <w:next w:val="87"/>
    <w:qFormat/>
    <w:uiPriority w:val="99"/>
    <w:pPr>
      <w:spacing w:line="428" w:lineRule="atLeast"/>
    </w:pPr>
    <w:rPr>
      <w:color w:val="auto"/>
    </w:rPr>
  </w:style>
  <w:style w:type="paragraph" w:customStyle="1" w:styleId="8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8">
    <w:name w:val="文二"/>
    <w:basedOn w:val="1"/>
    <w:qFormat/>
    <w:uiPriority w:val="99"/>
    <w:pPr>
      <w:jc w:val="left"/>
    </w:pPr>
    <w:rPr>
      <w:rFonts w:ascii="宋体" w:hAnsi="宋体" w:eastAsia="宋体" w:cs="Times New Roman"/>
      <w:szCs w:val="21"/>
    </w:rPr>
  </w:style>
  <w:style w:type="paragraph" w:customStyle="1" w:styleId="89">
    <w:name w:val="CM25"/>
    <w:basedOn w:val="87"/>
    <w:next w:val="87"/>
    <w:qFormat/>
    <w:uiPriority w:val="99"/>
    <w:pPr>
      <w:spacing w:line="426" w:lineRule="atLeast"/>
    </w:pPr>
    <w:rPr>
      <w:color w:val="auto"/>
    </w:rPr>
  </w:style>
  <w:style w:type="paragraph" w:customStyle="1" w:styleId="90">
    <w:name w:val="List Paragraph"/>
    <w:basedOn w:val="1"/>
    <w:qFormat/>
    <w:uiPriority w:val="99"/>
    <w:pPr>
      <w:ind w:firstLine="420" w:firstLineChars="200"/>
    </w:pPr>
  </w:style>
  <w:style w:type="paragraph" w:customStyle="1" w:styleId="91">
    <w:name w:val="TOC Heading"/>
    <w:basedOn w:val="7"/>
    <w:next w:val="1"/>
    <w:qFormat/>
    <w:uiPriority w:val="99"/>
    <w:pPr>
      <w:numPr>
        <w:ilvl w:val="0"/>
        <w:numId w:val="0"/>
      </w:numPr>
      <w:spacing w:before="480" w:after="0" w:line="276" w:lineRule="auto"/>
      <w:outlineLvl w:val="9"/>
    </w:pPr>
    <w:rPr>
      <w:rFonts w:ascii="Cambria" w:hAnsi="Cambria" w:cs="Cambria"/>
      <w:b/>
      <w:bCs/>
      <w:color w:val="365F91"/>
    </w:rPr>
  </w:style>
  <w:style w:type="paragraph" w:customStyle="1" w:styleId="92">
    <w:name w:val="章节二"/>
    <w:basedOn w:val="1"/>
    <w:next w:val="1"/>
    <w:qFormat/>
    <w:uiPriority w:val="0"/>
    <w:pPr>
      <w:topLinePunct/>
      <w:adjustRightInd w:val="0"/>
      <w:snapToGrid w:val="0"/>
      <w:spacing w:beforeLines="50" w:afterLines="50"/>
      <w:jc w:val="center"/>
      <w:outlineLvl w:val="1"/>
    </w:pPr>
    <w:rPr>
      <w:rFonts w:ascii="Times New Roman" w:hAnsi="Times New Roman" w:eastAsia="黑体" w:cs="Times New Roman"/>
      <w:b/>
      <w:snapToGrid w:val="0"/>
      <w:spacing w:val="4"/>
      <w:kern w:val="0"/>
      <w:sz w:val="30"/>
      <w:szCs w:val="30"/>
    </w:rPr>
  </w:style>
  <w:style w:type="paragraph" w:customStyle="1" w:styleId="93">
    <w:name w:val="_Style 92"/>
    <w:unhideWhenUsed/>
    <w:qFormat/>
    <w:uiPriority w:val="99"/>
    <w:rPr>
      <w:rFonts w:ascii="Times New Roman" w:hAnsi="Times New Roman" w:eastAsia="宋体" w:cs="Calibri"/>
      <w:kern w:val="2"/>
      <w:sz w:val="21"/>
      <w:szCs w:val="21"/>
      <w:lang w:val="en-US" w:eastAsia="zh-CN" w:bidi="ar-SA"/>
    </w:rPr>
  </w:style>
  <w:style w:type="paragraph" w:customStyle="1" w:styleId="94">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zhang"/>
    <w:basedOn w:val="1"/>
    <w:qFormat/>
    <w:uiPriority w:val="99"/>
    <w:pPr>
      <w:widowControl/>
      <w:spacing w:beforeAutospacing="1" w:afterAutospacing="1"/>
      <w:jc w:val="left"/>
    </w:pPr>
    <w:rPr>
      <w:rFonts w:ascii="宋体" w:hAnsi="宋体" w:cs="宋体"/>
      <w:b/>
      <w:bCs/>
      <w:smallCaps/>
      <w:color w:val="000000"/>
      <w:kern w:val="0"/>
      <w:sz w:val="20"/>
      <w:szCs w:val="20"/>
    </w:rPr>
  </w:style>
  <w:style w:type="paragraph" w:customStyle="1" w:styleId="96">
    <w:name w:val="Char"/>
    <w:basedOn w:val="1"/>
    <w:next w:val="1"/>
    <w:qFormat/>
    <w:uiPriority w:val="99"/>
    <w:rPr>
      <w:rFonts w:ascii="Times New Roman" w:hAnsi="Times New Roman" w:cs="Times New Roman"/>
    </w:rPr>
  </w:style>
  <w:style w:type="paragraph" w:customStyle="1" w:styleId="97">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8">
    <w:name w:val="_Style 4"/>
    <w:basedOn w:val="7"/>
    <w:next w:val="1"/>
    <w:qFormat/>
    <w:uiPriority w:val="99"/>
    <w:pPr>
      <w:widowControl w:val="0"/>
      <w:numPr>
        <w:ilvl w:val="0"/>
        <w:numId w:val="0"/>
      </w:numPr>
      <w:spacing w:line="576" w:lineRule="auto"/>
      <w:jc w:val="both"/>
      <w:outlineLvl w:val="9"/>
    </w:pPr>
    <w:rPr>
      <w:rFonts w:ascii="Calibri" w:hAnsi="Calibri" w:cs="Calibri"/>
      <w:b/>
      <w:bCs/>
      <w:kern w:val="44"/>
      <w:sz w:val="44"/>
      <w:szCs w:val="44"/>
    </w:rPr>
  </w:style>
  <w:style w:type="paragraph" w:customStyle="1" w:styleId="99">
    <w:name w:val="CM39"/>
    <w:basedOn w:val="87"/>
    <w:next w:val="87"/>
    <w:qFormat/>
    <w:uiPriority w:val="99"/>
    <w:rPr>
      <w:color w:val="auto"/>
    </w:rPr>
  </w:style>
  <w:style w:type="paragraph" w:customStyle="1" w:styleId="100">
    <w:name w:val="CM5"/>
    <w:basedOn w:val="87"/>
    <w:next w:val="87"/>
    <w:qFormat/>
    <w:uiPriority w:val="99"/>
    <w:pPr>
      <w:spacing w:line="428" w:lineRule="atLeast"/>
    </w:pPr>
    <w:rPr>
      <w:color w:val="auto"/>
    </w:rPr>
  </w:style>
  <w:style w:type="paragraph" w:customStyle="1" w:styleId="101">
    <w:name w:val="Normal_0"/>
    <w:qFormat/>
    <w:uiPriority w:val="99"/>
    <w:pPr>
      <w:spacing w:before="120" w:after="240"/>
      <w:jc w:val="both"/>
    </w:pPr>
    <w:rPr>
      <w:rFonts w:ascii="Times New Roman" w:hAnsi="Times New Roman" w:eastAsia="宋体" w:cs="Calibri"/>
      <w:sz w:val="22"/>
      <w:szCs w:val="22"/>
      <w:lang w:val="ru-RU" w:eastAsia="en-US" w:bidi="ar-SA"/>
    </w:rPr>
  </w:style>
  <w:style w:type="paragraph" w:customStyle="1" w:styleId="102">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03">
    <w:name w:val="CM31"/>
    <w:basedOn w:val="87"/>
    <w:next w:val="87"/>
    <w:qFormat/>
    <w:uiPriority w:val="99"/>
    <w:pPr>
      <w:spacing w:line="426" w:lineRule="atLeast"/>
    </w:pPr>
    <w:rPr>
      <w:color w:val="auto"/>
    </w:rPr>
  </w:style>
  <w:style w:type="paragraph" w:customStyle="1" w:styleId="104">
    <w:name w:val="CM35"/>
    <w:basedOn w:val="87"/>
    <w:next w:val="87"/>
    <w:qFormat/>
    <w:uiPriority w:val="99"/>
    <w:rPr>
      <w:color w:val="auto"/>
    </w:rPr>
  </w:style>
  <w:style w:type="paragraph" w:customStyle="1" w:styleId="105">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kern w:val="0"/>
      <w:sz w:val="24"/>
      <w:szCs w:val="24"/>
    </w:rPr>
  </w:style>
  <w:style w:type="character" w:customStyle="1" w:styleId="106">
    <w:name w:val="font11"/>
    <w:basedOn w:val="45"/>
    <w:qFormat/>
    <w:uiPriority w:val="0"/>
    <w:rPr>
      <w:rFonts w:hint="eastAsia" w:ascii="仿宋" w:hAnsi="仿宋" w:eastAsia="仿宋" w:cs="仿宋"/>
      <w:color w:val="000000"/>
      <w:sz w:val="28"/>
      <w:szCs w:val="28"/>
      <w:u w:val="none"/>
    </w:rPr>
  </w:style>
  <w:style w:type="character" w:customStyle="1" w:styleId="107">
    <w:name w:val="font21"/>
    <w:basedOn w:val="45"/>
    <w:qFormat/>
    <w:uiPriority w:val="0"/>
    <w:rPr>
      <w:rFonts w:hint="eastAsia" w:ascii="仿宋" w:hAnsi="仿宋" w:eastAsia="仿宋" w:cs="仿宋"/>
      <w:b/>
      <w:bCs/>
      <w:color w:val="000000"/>
      <w:sz w:val="28"/>
      <w:szCs w:val="28"/>
      <w:u w:val="none"/>
    </w:rPr>
  </w:style>
  <w:style w:type="paragraph" w:customStyle="1" w:styleId="108">
    <w:name w:val="表格文字"/>
    <w:basedOn w:val="1"/>
    <w:next w:val="1"/>
    <w:qFormat/>
    <w:uiPriority w:val="0"/>
    <w:pPr>
      <w:adjustRightInd w:val="0"/>
      <w:spacing w:line="420" w:lineRule="atLeast"/>
      <w:jc w:val="left"/>
    </w:pPr>
    <w:rPr>
      <w:rFonts w:ascii="Times New Roman" w:hAnsi="Times New Roman" w:cs="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106</Pages>
  <Words>59424</Words>
  <Characters>61037</Characters>
  <Lines>519</Lines>
  <Paragraphs>146</Paragraphs>
  <TotalTime>8</TotalTime>
  <ScaleCrop>false</ScaleCrop>
  <LinksUpToDate>false</LinksUpToDate>
  <CharactersWithSpaces>64332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2019-04-08T01:56:00Z</dcterms:created>
  <dc:creator>aa</dc:creator>
  <cp:lastModifiedBy>fang</cp:lastModifiedBy>
  <cp:lastPrinted>2024-07-25T13:19:26Z</cp:lastPrinted>
  <dcterms:modified xsi:type="dcterms:W3CDTF">2024-07-25T13:25:30Z</dcterms:modified>
  <dc:title>SF-2019-0206</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B92C9846C9EB4F60AF0CDDB9A8EA9A4A_13</vt:lpwstr>
  </property>
</Properties>
</file>