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28"/>
          <w:szCs w:val="28"/>
        </w:rPr>
      </w:pPr>
      <w:r>
        <w:rPr>
          <w:rFonts w:hint="eastAsia" w:ascii="宋体" w:hAnsi="宋体"/>
          <w:b/>
          <w:sz w:val="28"/>
          <w:szCs w:val="28"/>
        </w:rPr>
        <w:t>仙村镇沙头-基岗片区1409.749亩地块基础设施建设工程项目</w:t>
      </w:r>
    </w:p>
    <w:p>
      <w:pPr>
        <w:spacing w:line="360" w:lineRule="auto"/>
        <w:jc w:val="center"/>
        <w:rPr>
          <w:rFonts w:ascii="宋体" w:hAnsi="宋体"/>
          <w:b/>
          <w:color w:val="000000" w:themeColor="text1"/>
          <w:sz w:val="30"/>
          <w:szCs w:val="30"/>
        </w:rPr>
      </w:pPr>
      <w:r>
        <w:rPr>
          <w:rFonts w:hint="eastAsia" w:ascii="宋体" w:hAnsi="宋体"/>
          <w:b/>
          <w:sz w:val="28"/>
          <w:szCs w:val="28"/>
        </w:rPr>
        <w:t>监理服务（项目编号：JG2024-</w:t>
      </w:r>
      <w:bookmarkStart w:id="0" w:name="OLE_LINK1"/>
      <w:r>
        <w:rPr>
          <w:rFonts w:hint="eastAsia" w:ascii="宋体" w:hAnsi="宋体"/>
          <w:b/>
          <w:sz w:val="30"/>
          <w:szCs w:val="30"/>
        </w:rPr>
        <w:t>3175</w:t>
      </w:r>
      <w:bookmarkEnd w:id="0"/>
      <w:r>
        <w:rPr>
          <w:rFonts w:hint="eastAsia" w:ascii="宋体" w:hAnsi="宋体"/>
          <w:b/>
          <w:sz w:val="28"/>
          <w:szCs w:val="28"/>
        </w:rPr>
        <w:t>）</w:t>
      </w:r>
      <w:r>
        <w:rPr>
          <w:rFonts w:hint="eastAsia" w:ascii="宋体" w:hAnsi="宋体"/>
          <w:b/>
          <w:color w:val="000000" w:themeColor="text1"/>
          <w:sz w:val="30"/>
          <w:szCs w:val="30"/>
        </w:rPr>
        <w:t>评标报告</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由</w:t>
      </w:r>
      <w:r>
        <w:rPr>
          <w:rFonts w:hint="eastAsia" w:ascii="宋体" w:hAnsi="宋体"/>
          <w:color w:val="000000" w:themeColor="text1"/>
          <w:sz w:val="24"/>
          <w:u w:val="single"/>
        </w:rPr>
        <w:t>广州市增城区仙村镇人民政府</w:t>
      </w:r>
      <w:r>
        <w:rPr>
          <w:rFonts w:hint="eastAsia" w:ascii="宋体" w:hAnsi="宋体"/>
          <w:color w:val="000000" w:themeColor="text1"/>
          <w:sz w:val="24"/>
        </w:rPr>
        <w:t>组织的</w:t>
      </w:r>
      <w:r>
        <w:rPr>
          <w:rFonts w:hint="eastAsia" w:ascii="宋体" w:hAnsi="宋体"/>
          <w:color w:val="000000" w:themeColor="text1"/>
          <w:sz w:val="24"/>
          <w:u w:val="single"/>
        </w:rPr>
        <w:t>仙村镇沙头-基岗片区1409.749亩地块基础设施建设工程项目监理服务（项目编号：JG2024-3175）</w:t>
      </w:r>
      <w:r>
        <w:rPr>
          <w:rFonts w:hint="eastAsia" w:ascii="宋体" w:hAnsi="宋体"/>
          <w:color w:val="000000" w:themeColor="text1"/>
          <w:sz w:val="24"/>
        </w:rPr>
        <w:t>招标项目，已委托</w:t>
      </w:r>
      <w:r>
        <w:rPr>
          <w:rFonts w:hint="eastAsia" w:ascii="宋体" w:hAnsi="宋体"/>
          <w:color w:val="000000" w:themeColor="text1"/>
          <w:sz w:val="24"/>
          <w:u w:val="single"/>
        </w:rPr>
        <w:t>广州一新项目管理有限公司</w:t>
      </w:r>
      <w:r>
        <w:rPr>
          <w:rFonts w:hint="eastAsia" w:ascii="宋体" w:hAnsi="宋体"/>
          <w:color w:val="000000" w:themeColor="text1"/>
          <w:sz w:val="24"/>
        </w:rPr>
        <w:t>在广州公共资源交易中心组织进行公开招标，已经完成评标程序。本项目实施电子化招投标，现将评标情况报告如下：</w:t>
      </w:r>
    </w:p>
    <w:p>
      <w:pPr>
        <w:spacing w:line="360" w:lineRule="auto"/>
        <w:ind w:firstLine="482" w:firstLineChars="200"/>
        <w:rPr>
          <w:rFonts w:ascii="宋体" w:hAnsi="宋体"/>
          <w:b/>
          <w:color w:val="000000" w:themeColor="text1"/>
          <w:sz w:val="24"/>
        </w:rPr>
      </w:pPr>
      <w:r>
        <w:rPr>
          <w:rFonts w:hint="eastAsia" w:ascii="宋体" w:hAnsi="宋体"/>
          <w:b/>
          <w:color w:val="000000" w:themeColor="text1"/>
          <w:sz w:val="24"/>
        </w:rPr>
        <w:t>一、接受投标文件及开标情况</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本项目于2024年07月03日至2024年07月23日在广州公共资源交易中心网、中国招标投标公共服务平台、广东省招标投标监管网及广州市增城区人民政府门户网上发布招标公告</w:t>
      </w:r>
      <w:r>
        <w:rPr>
          <w:rStyle w:val="8"/>
          <w:rFonts w:hint="eastAsia" w:ascii="宋体" w:hAnsi="宋体" w:cs="宋体"/>
          <w:color w:val="000000" w:themeColor="text1"/>
          <w:sz w:val="24"/>
          <w:szCs w:val="24"/>
        </w:rPr>
        <w:t>。</w:t>
      </w:r>
      <w:r>
        <w:rPr>
          <w:rFonts w:hint="eastAsia" w:ascii="宋体" w:hAnsi="宋体"/>
          <w:color w:val="000000" w:themeColor="text1"/>
          <w:sz w:val="24"/>
        </w:rPr>
        <w:t>于2024年07月03日00：00至2024年07月23日09:30在</w:t>
      </w:r>
      <w:r>
        <w:rPr>
          <w:rFonts w:ascii="宋体" w:hAnsi="宋体"/>
          <w:color w:val="000000" w:themeColor="text1"/>
          <w:sz w:val="24"/>
        </w:rPr>
        <w:t>广州公共资源交易中心</w:t>
      </w:r>
      <w:r>
        <w:rPr>
          <w:rFonts w:hint="eastAsia" w:ascii="宋体" w:hAnsi="宋体"/>
          <w:color w:val="000000" w:themeColor="text1"/>
          <w:sz w:val="24"/>
        </w:rPr>
        <w:t>网站接受网上投标登记。在截止时间内共有</w:t>
      </w:r>
      <w:r>
        <w:rPr>
          <w:rFonts w:hint="eastAsia" w:ascii="宋体" w:hAnsi="宋体"/>
          <w:color w:val="000000" w:themeColor="text1"/>
          <w:sz w:val="24"/>
          <w:u w:val="single"/>
        </w:rPr>
        <w:t>5</w:t>
      </w:r>
      <w:r>
        <w:rPr>
          <w:rFonts w:hint="eastAsia" w:ascii="宋体" w:hAnsi="宋体"/>
          <w:color w:val="000000" w:themeColor="text1"/>
          <w:sz w:val="24"/>
        </w:rPr>
        <w:t>家投标单位参加本项目的投标登记，</w:t>
      </w:r>
      <w:r>
        <w:rPr>
          <w:rFonts w:hint="eastAsia" w:ascii="宋体" w:hAnsi="宋体"/>
          <w:color w:val="000000" w:themeColor="text1"/>
          <w:sz w:val="24"/>
          <w:u w:val="single"/>
        </w:rPr>
        <w:t>其中5家投标单位成功递交了投标文件，分别为:</w:t>
      </w:r>
      <w:r>
        <w:rPr>
          <w:rFonts w:hint="eastAsia" w:ascii="宋体" w:hAnsi="宋体"/>
          <w:sz w:val="24"/>
          <w:u w:val="single"/>
        </w:rPr>
        <w:t>1、广东省建筑工程监理有限公司2、广东重工建设监理有限公司3、广东广华晟建设有限公司4、广东海外建设咨询有限公司5、广州市房实建设工程管理有限公司</w:t>
      </w:r>
      <w:r>
        <w:rPr>
          <w:rFonts w:hint="eastAsia" w:ascii="宋体" w:hAnsi="宋体"/>
          <w:sz w:val="24"/>
        </w:rPr>
        <w:t>。该</w:t>
      </w:r>
      <w:r>
        <w:rPr>
          <w:rFonts w:hint="eastAsia" w:ascii="宋体" w:hAnsi="宋体"/>
          <w:color w:val="000000" w:themeColor="text1"/>
          <w:sz w:val="24"/>
        </w:rPr>
        <w:t>项目于2024年07月23日09:30在广州公共资源交易中心增城交易部第1开标室进行开标工作，开标全过程均在广州公共资源交易中心电子见证下进行。开标情况详见《开标记录表》。</w:t>
      </w:r>
    </w:p>
    <w:p>
      <w:pPr>
        <w:spacing w:line="360" w:lineRule="auto"/>
        <w:ind w:firstLine="570"/>
        <w:rPr>
          <w:rFonts w:ascii="宋体" w:hAnsi="宋体"/>
          <w:b/>
          <w:color w:val="000000" w:themeColor="text1"/>
          <w:sz w:val="24"/>
        </w:rPr>
      </w:pPr>
      <w:r>
        <w:rPr>
          <w:rFonts w:hint="eastAsia" w:ascii="宋体" w:hAnsi="宋体"/>
          <w:b/>
          <w:color w:val="000000" w:themeColor="text1"/>
          <w:sz w:val="24"/>
        </w:rPr>
        <w:t>二、评标委员会组成</w:t>
      </w:r>
    </w:p>
    <w:p>
      <w:pPr>
        <w:spacing w:line="360" w:lineRule="auto"/>
        <w:ind w:firstLine="480" w:firstLineChars="200"/>
        <w:rPr>
          <w:rFonts w:ascii="宋体" w:hAnsi="宋体"/>
          <w:sz w:val="24"/>
        </w:rPr>
      </w:pPr>
      <w:r>
        <w:rPr>
          <w:rFonts w:hint="eastAsia" w:ascii="宋体" w:hAnsi="宋体"/>
          <w:sz w:val="24"/>
        </w:rPr>
        <w:t>根据招标文件的规定，招标人依法组建评标委员，该</w:t>
      </w:r>
      <w:r>
        <w:rPr>
          <w:rFonts w:ascii="宋体" w:hAnsi="宋体"/>
          <w:sz w:val="24"/>
        </w:rPr>
        <w:t>评标委员会</w:t>
      </w:r>
      <w:r>
        <w:rPr>
          <w:rFonts w:hint="eastAsia" w:ascii="宋体" w:hAnsi="宋体"/>
          <w:sz w:val="24"/>
        </w:rPr>
        <w:t>由5人组成，评标专家均由广东省综合评标评审专家库中随机抽取产生，具体评标专家名单如下：</w:t>
      </w:r>
    </w:p>
    <w:p>
      <w:pPr>
        <w:spacing w:line="360" w:lineRule="auto"/>
        <w:ind w:firstLine="480" w:firstLineChars="200"/>
        <w:rPr>
          <w:rFonts w:hint="eastAsia" w:ascii="宋体" w:hAnsi="宋体"/>
          <w:sz w:val="24"/>
        </w:rPr>
      </w:pPr>
      <w:r>
        <w:rPr>
          <w:rFonts w:hint="eastAsia" w:ascii="宋体" w:hAnsi="宋体"/>
          <w:sz w:val="24"/>
        </w:rPr>
        <w:t>评标委员会组长：</w:t>
      </w:r>
    </w:p>
    <w:p>
      <w:pPr>
        <w:spacing w:line="360" w:lineRule="auto"/>
        <w:ind w:firstLine="480" w:firstLineChars="200"/>
        <w:rPr>
          <w:rFonts w:ascii="宋体" w:hAnsi="宋体"/>
          <w:sz w:val="24"/>
          <w:u w:val="single"/>
        </w:rPr>
      </w:pPr>
      <w:r>
        <w:rPr>
          <w:rFonts w:hint="eastAsia" w:ascii="宋体" w:hAnsi="宋体"/>
          <w:sz w:val="24"/>
        </w:rPr>
        <w:t>评委委员会成员：</w:t>
      </w:r>
      <w:bookmarkStart w:id="2" w:name="_GoBack"/>
      <w:bookmarkEnd w:id="2"/>
    </w:p>
    <w:p>
      <w:pPr>
        <w:spacing w:line="360" w:lineRule="auto"/>
        <w:ind w:firstLine="480" w:firstLineChars="200"/>
        <w:rPr>
          <w:rFonts w:ascii="宋体" w:hAnsi="宋体"/>
          <w:sz w:val="24"/>
        </w:rPr>
      </w:pPr>
      <w:r>
        <w:rPr>
          <w:rFonts w:hint="eastAsia" w:ascii="宋体" w:hAnsi="宋体"/>
          <w:sz w:val="24"/>
        </w:rPr>
        <w:t>本项目整个评标工作在广州公共资源交易中心见证下进行，各评委都严格遵守评标纪律。</w:t>
      </w:r>
    </w:p>
    <w:p>
      <w:pPr>
        <w:spacing w:line="360" w:lineRule="auto"/>
        <w:ind w:firstLine="570"/>
        <w:rPr>
          <w:rFonts w:ascii="宋体" w:hAnsi="宋体"/>
          <w:b/>
          <w:color w:val="000000" w:themeColor="text1"/>
          <w:sz w:val="24"/>
        </w:rPr>
      </w:pPr>
      <w:r>
        <w:rPr>
          <w:rFonts w:hint="eastAsia" w:ascii="宋体" w:hAnsi="宋体"/>
          <w:b/>
          <w:color w:val="000000" w:themeColor="text1"/>
          <w:sz w:val="24"/>
        </w:rPr>
        <w:t>三、评审情况及结果</w:t>
      </w:r>
    </w:p>
    <w:p>
      <w:pPr>
        <w:spacing w:line="360" w:lineRule="auto"/>
        <w:ind w:firstLine="360" w:firstLineChars="150"/>
        <w:rPr>
          <w:rFonts w:ascii="宋体" w:hAnsi="宋体"/>
          <w:color w:val="000000" w:themeColor="text1"/>
          <w:sz w:val="24"/>
        </w:rPr>
      </w:pPr>
      <w:r>
        <w:rPr>
          <w:rFonts w:hint="eastAsia" w:ascii="宋体" w:hAnsi="宋体"/>
          <w:color w:val="000000" w:themeColor="text1"/>
          <w:sz w:val="24"/>
        </w:rPr>
        <w:t>评标工作于2024年07月24日09：00在广州公共资源交易中心增城交易部第3评标室进行。</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本项目评标方法采用综合评估法，评标委员会成员根据招标文件规定的评标标准和方法，依次按以下程序进行评审：</w:t>
      </w:r>
    </w:p>
    <w:p>
      <w:pPr>
        <w:spacing w:line="580" w:lineRule="exact"/>
        <w:ind w:left="120" w:leftChars="57" w:firstLine="448" w:firstLineChars="187"/>
        <w:rPr>
          <w:rFonts w:ascii="宋体" w:hAnsi="宋体"/>
          <w:color w:val="000000"/>
          <w:sz w:val="24"/>
        </w:rPr>
      </w:pPr>
      <w:r>
        <w:rPr>
          <w:rFonts w:hint="eastAsia" w:ascii="宋体" w:hAnsi="宋体"/>
          <w:color w:val="000000" w:themeColor="text1"/>
          <w:sz w:val="24"/>
        </w:rPr>
        <w:t>1、</w:t>
      </w:r>
      <w:r>
        <w:rPr>
          <w:rFonts w:hint="eastAsia" w:ascii="宋体" w:hAnsi="宋体"/>
          <w:color w:val="000000"/>
          <w:sz w:val="24"/>
        </w:rPr>
        <w:t>对投标单位进行形式性评审，共有</w:t>
      </w:r>
      <w:r>
        <w:rPr>
          <w:rFonts w:hint="eastAsia" w:ascii="宋体" w:hAnsi="宋体"/>
          <w:color w:val="000000"/>
          <w:sz w:val="24"/>
          <w:u w:val="single"/>
        </w:rPr>
        <w:t>5</w:t>
      </w:r>
      <w:r>
        <w:rPr>
          <w:rFonts w:hint="eastAsia" w:ascii="宋体" w:hAnsi="宋体"/>
          <w:color w:val="000000"/>
          <w:sz w:val="24"/>
        </w:rPr>
        <w:t>家投标申请人通过形式性评审，具体情况详见《形式评审记录表》、《形式评审汇总表》。</w:t>
      </w:r>
    </w:p>
    <w:p>
      <w:pPr>
        <w:spacing w:line="580" w:lineRule="exact"/>
        <w:ind w:firstLine="570"/>
        <w:rPr>
          <w:rFonts w:ascii="宋体" w:hAnsi="宋体"/>
          <w:color w:val="000000"/>
          <w:sz w:val="24"/>
        </w:rPr>
      </w:pPr>
      <w:r>
        <w:rPr>
          <w:rFonts w:hint="eastAsia" w:ascii="宋体" w:hAnsi="宋体"/>
          <w:color w:val="000000"/>
          <w:sz w:val="24"/>
        </w:rPr>
        <w:t>2、</w:t>
      </w:r>
      <w:r>
        <w:rPr>
          <w:rFonts w:ascii="宋体" w:hAnsi="宋体"/>
          <w:color w:val="000000"/>
          <w:sz w:val="24"/>
        </w:rPr>
        <w:t>对通过</w:t>
      </w:r>
      <w:r>
        <w:rPr>
          <w:rFonts w:hint="eastAsia" w:ascii="宋体" w:hAnsi="宋体"/>
          <w:color w:val="000000"/>
          <w:sz w:val="24"/>
        </w:rPr>
        <w:t>形式性评审</w:t>
      </w:r>
      <w:r>
        <w:rPr>
          <w:rFonts w:ascii="宋体" w:hAnsi="宋体"/>
          <w:color w:val="000000"/>
          <w:sz w:val="24"/>
        </w:rPr>
        <w:t>的各投标文件</w:t>
      </w:r>
      <w:r>
        <w:rPr>
          <w:rFonts w:hint="eastAsia" w:ascii="宋体" w:hAnsi="宋体"/>
          <w:color w:val="000000"/>
          <w:sz w:val="24"/>
        </w:rPr>
        <w:t>再</w:t>
      </w:r>
      <w:r>
        <w:rPr>
          <w:rFonts w:ascii="宋体" w:hAnsi="宋体"/>
          <w:color w:val="000000"/>
          <w:sz w:val="24"/>
        </w:rPr>
        <w:t>进行</w:t>
      </w:r>
      <w:r>
        <w:rPr>
          <w:rFonts w:hint="eastAsia" w:ascii="宋体" w:hAnsi="宋体"/>
          <w:color w:val="000000"/>
          <w:sz w:val="24"/>
        </w:rPr>
        <w:t>资格评审，评标委员会首先按照资格审查的标准对</w:t>
      </w:r>
      <w:r>
        <w:rPr>
          <w:rFonts w:hint="eastAsia" w:ascii="宋体" w:hAnsi="宋体"/>
          <w:color w:val="000000"/>
          <w:sz w:val="24"/>
          <w:u w:val="single"/>
        </w:rPr>
        <w:t>5</w:t>
      </w:r>
      <w:r>
        <w:rPr>
          <w:rFonts w:hint="eastAsia" w:ascii="宋体" w:hAnsi="宋体"/>
          <w:color w:val="000000"/>
          <w:sz w:val="24"/>
        </w:rPr>
        <w:t>家递交投标文件的投标人进行审查，经审查，共有</w:t>
      </w:r>
      <w:r>
        <w:rPr>
          <w:rFonts w:hint="eastAsia" w:ascii="宋体" w:hAnsi="宋体"/>
          <w:color w:val="000000"/>
          <w:sz w:val="24"/>
          <w:u w:val="single"/>
        </w:rPr>
        <w:t>5</w:t>
      </w:r>
      <w:r>
        <w:rPr>
          <w:rFonts w:hint="eastAsia" w:ascii="宋体" w:hAnsi="宋体"/>
          <w:color w:val="000000"/>
          <w:sz w:val="24"/>
        </w:rPr>
        <w:t>家投标申请人通过资格审查。详见《资格评审记录表》、《资格评审汇总表》及资格审查情况报告。</w:t>
      </w:r>
    </w:p>
    <w:p>
      <w:pPr>
        <w:spacing w:line="580" w:lineRule="exact"/>
        <w:ind w:firstLine="570"/>
        <w:rPr>
          <w:rFonts w:ascii="宋体" w:hAnsi="宋体"/>
          <w:color w:val="000000"/>
          <w:sz w:val="24"/>
        </w:rPr>
      </w:pPr>
      <w:r>
        <w:rPr>
          <w:rFonts w:hint="eastAsia" w:ascii="宋体" w:hAnsi="宋体"/>
          <w:color w:val="000000"/>
          <w:sz w:val="24"/>
        </w:rPr>
        <w:t>3、对通过资格审查的投标文件进行响应性审查，经审查，共有</w:t>
      </w:r>
      <w:r>
        <w:rPr>
          <w:rFonts w:hint="eastAsia" w:ascii="宋体" w:hAnsi="宋体"/>
          <w:sz w:val="24"/>
          <w:u w:val="single"/>
        </w:rPr>
        <w:t>5</w:t>
      </w:r>
      <w:r>
        <w:rPr>
          <w:rFonts w:hint="eastAsia" w:ascii="宋体" w:hAnsi="宋体"/>
          <w:color w:val="000000"/>
          <w:sz w:val="24"/>
        </w:rPr>
        <w:t>家投标申请人通过响应性审查。详见本工程《响应性评审记录表》、《响应性评审汇总表》。</w:t>
      </w:r>
    </w:p>
    <w:p>
      <w:pPr>
        <w:spacing w:line="580" w:lineRule="exact"/>
        <w:ind w:firstLine="570"/>
        <w:rPr>
          <w:rFonts w:ascii="宋体" w:hAnsi="宋体"/>
          <w:color w:val="000000"/>
          <w:sz w:val="24"/>
        </w:rPr>
      </w:pPr>
      <w:r>
        <w:rPr>
          <w:rFonts w:hint="eastAsia" w:ascii="宋体" w:hAnsi="宋体"/>
          <w:color w:val="000000"/>
          <w:sz w:val="24"/>
        </w:rPr>
        <w:t>4、评委对通过初步评审的投标单位进行详细评审，包括资</w:t>
      </w:r>
      <w:r>
        <w:rPr>
          <w:rFonts w:hint="eastAsia" w:ascii="宋体" w:hAnsi="宋体" w:cs="宋体"/>
          <w:sz w:val="24"/>
        </w:rPr>
        <w:t>信业绩部分、监理大纲部分、投标报价部分，</w:t>
      </w:r>
      <w:r>
        <w:rPr>
          <w:rFonts w:hint="eastAsia" w:ascii="宋体" w:hAnsi="宋体"/>
          <w:color w:val="000000"/>
          <w:sz w:val="24"/>
        </w:rPr>
        <w:t>以及按照总分高低进行排序，具体得分及排序情况详见：《</w:t>
      </w:r>
      <w:r>
        <w:rPr>
          <w:rFonts w:ascii="宋体" w:hAnsi="宋体"/>
          <w:color w:val="000000"/>
          <w:sz w:val="24"/>
        </w:rPr>
        <w:t>资信业绩</w:t>
      </w:r>
      <w:r>
        <w:rPr>
          <w:rFonts w:hint="eastAsia" w:ascii="宋体" w:hAnsi="宋体"/>
          <w:color w:val="000000"/>
          <w:sz w:val="24"/>
        </w:rPr>
        <w:t>评分记录表》、《</w:t>
      </w:r>
      <w:r>
        <w:rPr>
          <w:rFonts w:ascii="宋体" w:hAnsi="宋体"/>
          <w:color w:val="000000"/>
          <w:sz w:val="24"/>
        </w:rPr>
        <w:t>资信业绩</w:t>
      </w:r>
      <w:r>
        <w:rPr>
          <w:rFonts w:hint="eastAsia" w:ascii="宋体" w:hAnsi="宋体"/>
          <w:color w:val="000000"/>
          <w:sz w:val="24"/>
        </w:rPr>
        <w:t>评分汇总表》、《</w:t>
      </w:r>
      <w:r>
        <w:rPr>
          <w:rFonts w:ascii="宋体" w:hAnsi="宋体"/>
          <w:color w:val="000000"/>
          <w:sz w:val="24"/>
        </w:rPr>
        <w:t>监理大纲</w:t>
      </w:r>
      <w:r>
        <w:rPr>
          <w:rFonts w:hint="eastAsia" w:ascii="宋体" w:hAnsi="宋体"/>
          <w:color w:val="000000"/>
          <w:sz w:val="24"/>
        </w:rPr>
        <w:t>记录表》、《</w:t>
      </w:r>
      <w:r>
        <w:rPr>
          <w:rFonts w:ascii="宋体" w:hAnsi="宋体"/>
          <w:color w:val="000000"/>
          <w:sz w:val="24"/>
        </w:rPr>
        <w:t>监理大纲</w:t>
      </w:r>
      <w:r>
        <w:rPr>
          <w:rFonts w:hint="eastAsia" w:ascii="宋体" w:hAnsi="宋体"/>
          <w:color w:val="000000"/>
          <w:sz w:val="24"/>
        </w:rPr>
        <w:t>汇总表》、《投标报价记录表》、《得分汇总记录表》、《推荐中标候选人记录表》。</w:t>
      </w:r>
    </w:p>
    <w:p>
      <w:pPr>
        <w:spacing w:line="360" w:lineRule="auto"/>
        <w:ind w:firstLine="570"/>
        <w:rPr>
          <w:rFonts w:ascii="宋体" w:hAnsi="宋体"/>
          <w:color w:val="000000" w:themeColor="text1"/>
          <w:sz w:val="24"/>
        </w:rPr>
      </w:pPr>
      <w:r>
        <w:rPr>
          <w:rFonts w:hint="eastAsia" w:ascii="宋体" w:hAnsi="宋体"/>
          <w:color w:val="000000"/>
          <w:sz w:val="24"/>
        </w:rPr>
        <w:t>5、编写评标报告，向招标人推荐中标候选人名单。</w:t>
      </w:r>
    </w:p>
    <w:p>
      <w:pPr>
        <w:spacing w:line="360" w:lineRule="auto"/>
        <w:ind w:firstLine="570"/>
        <w:rPr>
          <w:rFonts w:ascii="宋体" w:hAnsi="宋体"/>
          <w:color w:val="000000" w:themeColor="text1"/>
          <w:sz w:val="24"/>
        </w:rPr>
      </w:pPr>
      <w:r>
        <w:rPr>
          <w:rFonts w:hint="eastAsia" w:ascii="宋体" w:hAnsi="宋体"/>
          <w:color w:val="000000" w:themeColor="text1"/>
          <w:sz w:val="24"/>
        </w:rPr>
        <w:t>根据招标文件规定，评标委员会将综合总得分由高到低的排名顺序推荐前3名中标候选人，评标委员会一致推荐：</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第一中标候选人：</w:t>
      </w:r>
      <w:r>
        <w:rPr>
          <w:rFonts w:hint="eastAsia" w:ascii="宋体" w:hAnsi="宋体"/>
          <w:sz w:val="24"/>
        </w:rPr>
        <w:t>广东省建筑工程监理有限公司</w:t>
      </w:r>
      <w:r>
        <w:rPr>
          <w:rFonts w:hint="eastAsia" w:ascii="宋体" w:hAnsi="宋体"/>
          <w:color w:val="000000" w:themeColor="text1"/>
          <w:sz w:val="24"/>
        </w:rPr>
        <w:t>，投标报价：1925700            元，总得分：96.14分。</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第二中标候选人：广东海外建设咨询有限公司，投标报价：1929600元，总得分： 86.43 分。</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第三中标候选人：广东重工建设监理有限公司，投标报价：1904300元，总得分： 81.21分。</w:t>
      </w:r>
    </w:p>
    <w:p>
      <w:pPr>
        <w:spacing w:line="360" w:lineRule="auto"/>
        <w:ind w:firstLine="570"/>
        <w:rPr>
          <w:rFonts w:ascii="宋体" w:hAnsi="宋体"/>
          <w:color w:val="000000" w:themeColor="text1"/>
          <w:sz w:val="24"/>
        </w:rPr>
      </w:pPr>
    </w:p>
    <w:p>
      <w:pPr>
        <w:spacing w:line="360" w:lineRule="auto"/>
        <w:ind w:firstLine="570"/>
        <w:rPr>
          <w:rFonts w:ascii="宋体" w:hAnsi="宋体"/>
          <w:color w:val="000000" w:themeColor="text1"/>
          <w:sz w:val="24"/>
        </w:rPr>
      </w:pPr>
      <w:r>
        <w:rPr>
          <w:rFonts w:hint="eastAsia" w:ascii="宋体" w:hAnsi="宋体"/>
          <w:color w:val="000000" w:themeColor="text1"/>
          <w:sz w:val="24"/>
        </w:rPr>
        <w:t>评标委员会全体成员（签名）：</w:t>
      </w:r>
    </w:p>
    <w:p>
      <w:pPr>
        <w:spacing w:line="360" w:lineRule="auto"/>
        <w:jc w:val="right"/>
        <w:rPr>
          <w:rFonts w:ascii="宋体" w:hAnsi="宋体"/>
          <w:color w:val="000000" w:themeColor="text1"/>
          <w:sz w:val="24"/>
        </w:rPr>
      </w:pPr>
      <w:r>
        <w:rPr>
          <w:rFonts w:hint="eastAsia" w:ascii="宋体" w:hAnsi="宋体"/>
          <w:color w:val="000000" w:themeColor="text1"/>
          <w:sz w:val="24"/>
        </w:rPr>
        <w:t>日期：2024年07月24日</w:t>
      </w:r>
      <w:bookmarkStart w:id="1" w:name="YEAR"/>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5949080"/>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1ZGJjYzUxNzg3MjhjYzY1M2Y5NDhhZjg2M2E5YWYifQ=="/>
  </w:docVars>
  <w:rsids>
    <w:rsidRoot w:val="00C22801"/>
    <w:rsid w:val="000002DF"/>
    <w:rsid w:val="00001150"/>
    <w:rsid w:val="0000303A"/>
    <w:rsid w:val="0002521A"/>
    <w:rsid w:val="00064478"/>
    <w:rsid w:val="000655CC"/>
    <w:rsid w:val="00070D93"/>
    <w:rsid w:val="000859AE"/>
    <w:rsid w:val="00093DD8"/>
    <w:rsid w:val="000D7F37"/>
    <w:rsid w:val="00121156"/>
    <w:rsid w:val="001443B8"/>
    <w:rsid w:val="00157059"/>
    <w:rsid w:val="0016371E"/>
    <w:rsid w:val="001A1158"/>
    <w:rsid w:val="001A5DFD"/>
    <w:rsid w:val="001B1049"/>
    <w:rsid w:val="001B1DBC"/>
    <w:rsid w:val="002036C5"/>
    <w:rsid w:val="00205972"/>
    <w:rsid w:val="002155D6"/>
    <w:rsid w:val="00244304"/>
    <w:rsid w:val="00250859"/>
    <w:rsid w:val="00253E60"/>
    <w:rsid w:val="0026615F"/>
    <w:rsid w:val="002829C9"/>
    <w:rsid w:val="002C5BDC"/>
    <w:rsid w:val="002E7F32"/>
    <w:rsid w:val="003049B9"/>
    <w:rsid w:val="00334094"/>
    <w:rsid w:val="00371282"/>
    <w:rsid w:val="00375D16"/>
    <w:rsid w:val="00380DBD"/>
    <w:rsid w:val="00387C2B"/>
    <w:rsid w:val="00396541"/>
    <w:rsid w:val="003C4950"/>
    <w:rsid w:val="00403FEA"/>
    <w:rsid w:val="004106B8"/>
    <w:rsid w:val="00432AF1"/>
    <w:rsid w:val="00450A0F"/>
    <w:rsid w:val="0045580E"/>
    <w:rsid w:val="0050467E"/>
    <w:rsid w:val="0054329E"/>
    <w:rsid w:val="00547418"/>
    <w:rsid w:val="0055188D"/>
    <w:rsid w:val="0057511B"/>
    <w:rsid w:val="00583008"/>
    <w:rsid w:val="005A4F6F"/>
    <w:rsid w:val="005A516B"/>
    <w:rsid w:val="005B1779"/>
    <w:rsid w:val="005D5D74"/>
    <w:rsid w:val="006203F5"/>
    <w:rsid w:val="0062527A"/>
    <w:rsid w:val="006267AE"/>
    <w:rsid w:val="0063141E"/>
    <w:rsid w:val="006348CC"/>
    <w:rsid w:val="006473D0"/>
    <w:rsid w:val="00653AC9"/>
    <w:rsid w:val="006640CF"/>
    <w:rsid w:val="00675D7D"/>
    <w:rsid w:val="00686B28"/>
    <w:rsid w:val="006E4FE9"/>
    <w:rsid w:val="006F3B19"/>
    <w:rsid w:val="006F6BC4"/>
    <w:rsid w:val="007339D8"/>
    <w:rsid w:val="00747A89"/>
    <w:rsid w:val="007877F9"/>
    <w:rsid w:val="007A458E"/>
    <w:rsid w:val="007B1C88"/>
    <w:rsid w:val="007B3AA4"/>
    <w:rsid w:val="007C4BD6"/>
    <w:rsid w:val="007E0E8F"/>
    <w:rsid w:val="007F6BFC"/>
    <w:rsid w:val="008251CA"/>
    <w:rsid w:val="00825430"/>
    <w:rsid w:val="00825963"/>
    <w:rsid w:val="00833991"/>
    <w:rsid w:val="00866174"/>
    <w:rsid w:val="008A2C88"/>
    <w:rsid w:val="008A4C80"/>
    <w:rsid w:val="008B50FC"/>
    <w:rsid w:val="008E6CD9"/>
    <w:rsid w:val="008E74ED"/>
    <w:rsid w:val="008E74FC"/>
    <w:rsid w:val="008F0143"/>
    <w:rsid w:val="00904A2B"/>
    <w:rsid w:val="00907207"/>
    <w:rsid w:val="00923667"/>
    <w:rsid w:val="00955775"/>
    <w:rsid w:val="009639B4"/>
    <w:rsid w:val="00985829"/>
    <w:rsid w:val="00987BB3"/>
    <w:rsid w:val="009A7FD5"/>
    <w:rsid w:val="009B4958"/>
    <w:rsid w:val="009C07F2"/>
    <w:rsid w:val="009D46F2"/>
    <w:rsid w:val="009F4EF7"/>
    <w:rsid w:val="00A10E94"/>
    <w:rsid w:val="00A17E0F"/>
    <w:rsid w:val="00A421BD"/>
    <w:rsid w:val="00A45920"/>
    <w:rsid w:val="00AA55B3"/>
    <w:rsid w:val="00AC4BE8"/>
    <w:rsid w:val="00B15167"/>
    <w:rsid w:val="00B17EC9"/>
    <w:rsid w:val="00B20F01"/>
    <w:rsid w:val="00B25D0C"/>
    <w:rsid w:val="00B268CB"/>
    <w:rsid w:val="00B618CD"/>
    <w:rsid w:val="00B866BD"/>
    <w:rsid w:val="00BA2F18"/>
    <w:rsid w:val="00BF4612"/>
    <w:rsid w:val="00C0226F"/>
    <w:rsid w:val="00C0448D"/>
    <w:rsid w:val="00C22801"/>
    <w:rsid w:val="00C67A29"/>
    <w:rsid w:val="00C740B9"/>
    <w:rsid w:val="00C90C16"/>
    <w:rsid w:val="00CD4FB4"/>
    <w:rsid w:val="00D02490"/>
    <w:rsid w:val="00D12CD1"/>
    <w:rsid w:val="00D36F65"/>
    <w:rsid w:val="00D37FB7"/>
    <w:rsid w:val="00D41526"/>
    <w:rsid w:val="00D422C0"/>
    <w:rsid w:val="00D62195"/>
    <w:rsid w:val="00D6547A"/>
    <w:rsid w:val="00D74154"/>
    <w:rsid w:val="00D9495C"/>
    <w:rsid w:val="00DB7736"/>
    <w:rsid w:val="00DE6850"/>
    <w:rsid w:val="00E040FF"/>
    <w:rsid w:val="00E529E5"/>
    <w:rsid w:val="00E668E3"/>
    <w:rsid w:val="00E67085"/>
    <w:rsid w:val="00E9391A"/>
    <w:rsid w:val="00EA04FD"/>
    <w:rsid w:val="00EA30D9"/>
    <w:rsid w:val="00EB0B42"/>
    <w:rsid w:val="00EE24F7"/>
    <w:rsid w:val="00EF1891"/>
    <w:rsid w:val="00EF4A20"/>
    <w:rsid w:val="00F41B7A"/>
    <w:rsid w:val="00F85B20"/>
    <w:rsid w:val="00FA78AE"/>
    <w:rsid w:val="00FB1722"/>
    <w:rsid w:val="00FB4828"/>
    <w:rsid w:val="00FE79C9"/>
    <w:rsid w:val="00FE7DF5"/>
    <w:rsid w:val="00FF7226"/>
    <w:rsid w:val="02361C99"/>
    <w:rsid w:val="02432704"/>
    <w:rsid w:val="04B26A66"/>
    <w:rsid w:val="07AA14EB"/>
    <w:rsid w:val="0A8B649D"/>
    <w:rsid w:val="0AD80A90"/>
    <w:rsid w:val="0DED5259"/>
    <w:rsid w:val="13D90AA7"/>
    <w:rsid w:val="13E22B90"/>
    <w:rsid w:val="141A2F2C"/>
    <w:rsid w:val="14600150"/>
    <w:rsid w:val="14B91A41"/>
    <w:rsid w:val="17966920"/>
    <w:rsid w:val="1E8F6ECA"/>
    <w:rsid w:val="2058035A"/>
    <w:rsid w:val="224348EB"/>
    <w:rsid w:val="22BD588C"/>
    <w:rsid w:val="27D52B4D"/>
    <w:rsid w:val="29384849"/>
    <w:rsid w:val="2BED5F02"/>
    <w:rsid w:val="2EB23E9F"/>
    <w:rsid w:val="31F60934"/>
    <w:rsid w:val="34513B0A"/>
    <w:rsid w:val="34847CB3"/>
    <w:rsid w:val="390239C4"/>
    <w:rsid w:val="39255411"/>
    <w:rsid w:val="3AF4634F"/>
    <w:rsid w:val="3B192255"/>
    <w:rsid w:val="3C935168"/>
    <w:rsid w:val="3CCB421E"/>
    <w:rsid w:val="3CD25A47"/>
    <w:rsid w:val="3E16102B"/>
    <w:rsid w:val="3FCB1E69"/>
    <w:rsid w:val="410B4B44"/>
    <w:rsid w:val="41C37A62"/>
    <w:rsid w:val="437B687E"/>
    <w:rsid w:val="438546D6"/>
    <w:rsid w:val="439B20D7"/>
    <w:rsid w:val="43BF176C"/>
    <w:rsid w:val="45B47585"/>
    <w:rsid w:val="46DF53D3"/>
    <w:rsid w:val="47E24795"/>
    <w:rsid w:val="48585FBE"/>
    <w:rsid w:val="4C920235"/>
    <w:rsid w:val="4D5108B9"/>
    <w:rsid w:val="515626A1"/>
    <w:rsid w:val="52954D75"/>
    <w:rsid w:val="52DB10B0"/>
    <w:rsid w:val="53FA3ED8"/>
    <w:rsid w:val="54FD3D21"/>
    <w:rsid w:val="57547A76"/>
    <w:rsid w:val="5AB30ACC"/>
    <w:rsid w:val="5B0F7D00"/>
    <w:rsid w:val="5E890536"/>
    <w:rsid w:val="5F3154A6"/>
    <w:rsid w:val="609617B8"/>
    <w:rsid w:val="61566544"/>
    <w:rsid w:val="61A02FE8"/>
    <w:rsid w:val="63425493"/>
    <w:rsid w:val="64C37BF6"/>
    <w:rsid w:val="664A646B"/>
    <w:rsid w:val="68711546"/>
    <w:rsid w:val="6ABF7ECC"/>
    <w:rsid w:val="6B5C045C"/>
    <w:rsid w:val="6CA433CB"/>
    <w:rsid w:val="6D63188B"/>
    <w:rsid w:val="6FA663A2"/>
    <w:rsid w:val="70DA0FCE"/>
    <w:rsid w:val="73507AF9"/>
    <w:rsid w:val="73787E12"/>
    <w:rsid w:val="739F1AE8"/>
    <w:rsid w:val="763F191E"/>
    <w:rsid w:val="7A212F9C"/>
    <w:rsid w:val="7C8C10D8"/>
    <w:rsid w:val="7D203FD8"/>
    <w:rsid w:val="7E4077B4"/>
    <w:rsid w:val="7EC84C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2"/>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autoRedefine/>
    <w:unhideWhenUsed/>
    <w:qFormat/>
    <w:uiPriority w:val="99"/>
    <w:rPr>
      <w:color w:val="000000"/>
      <w:sz w:val="18"/>
      <w:szCs w:val="18"/>
      <w:u w:val="none"/>
    </w:rPr>
  </w:style>
  <w:style w:type="paragraph" w:customStyle="1" w:styleId="9">
    <w:name w:val="Char"/>
    <w:basedOn w:val="1"/>
    <w:autoRedefine/>
    <w:qFormat/>
    <w:uiPriority w:val="0"/>
    <w:pPr>
      <w:widowControl/>
      <w:spacing w:after="160" w:line="240" w:lineRule="exact"/>
      <w:jc w:val="left"/>
    </w:pPr>
    <w:rPr>
      <w:rFonts w:ascii="Arial" w:hAnsi="Arial" w:cs="Arial"/>
      <w:color w:val="000000"/>
      <w:sz w:val="24"/>
    </w:rPr>
  </w:style>
  <w:style w:type="character" w:customStyle="1" w:styleId="10">
    <w:name w:val="页眉 Char"/>
    <w:basedOn w:val="7"/>
    <w:link w:val="5"/>
    <w:qFormat/>
    <w:uiPriority w:val="99"/>
    <w:rPr>
      <w:rFonts w:ascii="Times New Roman" w:hAnsi="Times New Roman" w:eastAsia="宋体" w:cs="Times New Roman"/>
      <w:sz w:val="18"/>
      <w:szCs w:val="18"/>
    </w:rPr>
  </w:style>
  <w:style w:type="character" w:customStyle="1" w:styleId="11">
    <w:name w:val="页脚 Char"/>
    <w:basedOn w:val="7"/>
    <w:link w:val="4"/>
    <w:qFormat/>
    <w:uiPriority w:val="99"/>
    <w:rPr>
      <w:rFonts w:ascii="Times New Roman" w:hAnsi="Times New Roman" w:eastAsia="宋体" w:cs="Times New Roman"/>
      <w:sz w:val="18"/>
      <w:szCs w:val="18"/>
    </w:rPr>
  </w:style>
  <w:style w:type="character" w:customStyle="1" w:styleId="12">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221</Words>
  <Characters>1262</Characters>
  <Lines>10</Lines>
  <Paragraphs>2</Paragraphs>
  <TotalTime>230</TotalTime>
  <ScaleCrop>false</ScaleCrop>
  <LinksUpToDate>false</LinksUpToDate>
  <CharactersWithSpaces>1481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2017-03-02T01:40:00Z</dcterms:created>
  <dc:creator>广东科信工程管理有限公司</dc:creator>
  <cp:lastModifiedBy>asus ye</cp:lastModifiedBy>
  <cp:lastPrinted>2024-07-24T06:25:00Z</cp:lastPrinted>
  <dcterms:modified xsi:type="dcterms:W3CDTF">2024-07-24T12:34:30Z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E9E82AB4E4734F869CB604380A9D2B90_13</vt:lpwstr>
  </property>
</Properties>
</file>