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eastAsia="宋体"/>
          <w:b/>
          <w:color w:val="auto"/>
          <w:sz w:val="52"/>
          <w:szCs w:val="52"/>
          <w:lang w:eastAsia="zh-CN"/>
        </w:rPr>
      </w:pPr>
      <w:r>
        <w:rPr>
          <w:rFonts w:hint="eastAsia" w:eastAsia="宋体"/>
          <w:b/>
          <w:color w:val="auto"/>
          <w:sz w:val="52"/>
          <w:szCs w:val="52"/>
          <w:lang w:eastAsia="zh-CN"/>
        </w:rPr>
        <w:drawing>
          <wp:inline distT="0" distB="0" distL="114300" distR="114300">
            <wp:extent cx="5812155" cy="8619490"/>
            <wp:effectExtent l="0" t="0" r="17145" b="10160"/>
            <wp:docPr id="2" name="图片 2"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
                    <pic:cNvPicPr>
                      <a:picLocks noChangeAspect="1"/>
                    </pic:cNvPicPr>
                  </pic:nvPicPr>
                  <pic:blipFill>
                    <a:blip r:embed="rId9"/>
                    <a:stretch>
                      <a:fillRect/>
                    </a:stretch>
                  </pic:blipFill>
                  <pic:spPr>
                    <a:xfrm>
                      <a:off x="0" y="0"/>
                      <a:ext cx="5812155" cy="8619490"/>
                    </a:xfrm>
                    <a:prstGeom prst="rect">
                      <a:avLst/>
                    </a:prstGeom>
                  </pic:spPr>
                </pic:pic>
              </a:graphicData>
            </a:graphic>
          </wp:inline>
        </w:drawing>
      </w:r>
    </w:p>
    <w:p>
      <w:pPr>
        <w:spacing w:line="360" w:lineRule="auto"/>
        <w:ind w:firstLine="945"/>
        <w:rPr>
          <w:color w:val="auto"/>
          <w:sz w:val="30"/>
          <w:u w:val="single"/>
        </w:rPr>
      </w:pPr>
    </w:p>
    <w:p>
      <w:pPr>
        <w:pStyle w:val="2"/>
        <w:rPr>
          <w:color w:val="auto"/>
        </w:rPr>
      </w:pPr>
    </w:p>
    <w:p>
      <w:pPr>
        <w:pStyle w:val="6"/>
        <w:tabs>
          <w:tab w:val="left" w:pos="6107"/>
        </w:tabs>
        <w:jc w:val="center"/>
        <w:rPr>
          <w:rFonts w:ascii="宋体" w:hAnsi="宋体" w:cs="宋体"/>
          <w:b/>
          <w:color w:val="auto"/>
          <w:sz w:val="44"/>
          <w:szCs w:val="44"/>
        </w:rPr>
      </w:pPr>
      <w:bookmarkStart w:id="0" w:name="_Toc20607"/>
      <w:r>
        <w:rPr>
          <w:rFonts w:hint="eastAsia" w:ascii="宋体" w:hAnsi="宋体" w:cs="宋体"/>
          <w:b/>
          <w:color w:val="auto"/>
          <w:sz w:val="44"/>
          <w:szCs w:val="44"/>
        </w:rPr>
        <w:t>目  录</w:t>
      </w:r>
      <w:bookmarkEnd w:id="0"/>
    </w:p>
    <w:p>
      <w:pPr>
        <w:spacing w:line="360" w:lineRule="auto"/>
        <w:jc w:val="center"/>
        <w:rPr>
          <w:rFonts w:ascii="宋体" w:hAnsi="宋体" w:cs="宋体"/>
          <w:b/>
          <w:color w:val="auto"/>
          <w:sz w:val="24"/>
          <w:szCs w:val="24"/>
        </w:rPr>
      </w:pPr>
    </w:p>
    <w:p>
      <w:pPr>
        <w:pStyle w:val="25"/>
        <w:tabs>
          <w:tab w:val="right" w:leader="dot" w:pos="9746"/>
          <w:tab w:val="clear" w:pos="900"/>
          <w:tab w:val="clear" w:pos="8296"/>
        </w:tabs>
        <w:spacing w:line="600" w:lineRule="auto"/>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"1-4" \h \z \u </w:instrText>
      </w:r>
      <w:r>
        <w:rPr>
          <w:rFonts w:hint="eastAsia" w:ascii="宋体" w:hAnsi="宋体" w:cs="宋体"/>
          <w:color w:val="auto"/>
          <w:sz w:val="28"/>
          <w:szCs w:val="28"/>
        </w:rPr>
        <w:fldChar w:fldCharType="separate"/>
      </w:r>
      <w:r>
        <w:rPr>
          <w:color w:val="auto"/>
        </w:rPr>
        <w:fldChar w:fldCharType="begin"/>
      </w:r>
      <w:r>
        <w:rPr>
          <w:color w:val="auto"/>
        </w:rPr>
        <w:instrText xml:space="preserve"> HYPERLINK \l "_Toc15047" </w:instrText>
      </w:r>
      <w:r>
        <w:rPr>
          <w:color w:val="auto"/>
        </w:rPr>
        <w:fldChar w:fldCharType="separate"/>
      </w:r>
      <w:r>
        <w:rPr>
          <w:rFonts w:hint="eastAsia" w:ascii="宋体" w:hAnsi="宋体" w:cs="宋体"/>
          <w:color w:val="auto"/>
          <w:sz w:val="28"/>
          <w:szCs w:val="28"/>
        </w:rPr>
        <w:t>第一章 招标公告</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p>
    <w:p>
      <w:pPr>
        <w:pStyle w:val="25"/>
        <w:tabs>
          <w:tab w:val="right" w:leader="dot" w:pos="9746"/>
          <w:tab w:val="clear" w:pos="900"/>
          <w:tab w:val="clear" w:pos="8296"/>
        </w:tabs>
        <w:spacing w:line="600" w:lineRule="auto"/>
        <w:rPr>
          <w:rFonts w:ascii="宋体" w:hAnsi="宋体" w:cs="宋体"/>
          <w:color w:val="auto"/>
          <w:sz w:val="28"/>
          <w:szCs w:val="28"/>
        </w:rPr>
      </w:pPr>
      <w:r>
        <w:rPr>
          <w:color w:val="auto"/>
        </w:rPr>
        <w:fldChar w:fldCharType="begin"/>
      </w:r>
      <w:r>
        <w:rPr>
          <w:color w:val="auto"/>
        </w:rPr>
        <w:instrText xml:space="preserve"> HYPERLINK \l "_Toc3407" </w:instrText>
      </w:r>
      <w:r>
        <w:rPr>
          <w:color w:val="auto"/>
        </w:rPr>
        <w:fldChar w:fldCharType="separate"/>
      </w:r>
      <w:r>
        <w:rPr>
          <w:rFonts w:hint="eastAsia" w:ascii="宋体" w:hAnsi="宋体" w:cs="宋体"/>
          <w:color w:val="auto"/>
          <w:sz w:val="28"/>
          <w:szCs w:val="28"/>
        </w:rPr>
        <w:t>第二章 投标须知前附表及投标人须知</w:t>
      </w:r>
      <w:r>
        <w:rPr>
          <w:rFonts w:hint="eastAsia" w:ascii="宋体" w:hAnsi="宋体" w:cs="宋体"/>
          <w:color w:val="auto"/>
          <w:sz w:val="28"/>
          <w:szCs w:val="28"/>
        </w:rPr>
        <w:tab/>
      </w:r>
      <w:r>
        <w:rPr>
          <w:rFonts w:hint="eastAsia" w:ascii="宋体" w:hAnsi="宋体" w:cs="宋体"/>
          <w:color w:val="auto"/>
          <w:sz w:val="28"/>
          <w:szCs w:val="28"/>
        </w:rPr>
        <w:t>6</w:t>
      </w:r>
      <w:r>
        <w:rPr>
          <w:rFonts w:hint="eastAsia" w:ascii="宋体" w:hAnsi="宋体" w:cs="宋体"/>
          <w:color w:val="auto"/>
          <w:sz w:val="28"/>
          <w:szCs w:val="28"/>
        </w:rPr>
        <w:fldChar w:fldCharType="end"/>
      </w:r>
    </w:p>
    <w:p>
      <w:pPr>
        <w:pStyle w:val="25"/>
        <w:tabs>
          <w:tab w:val="right" w:leader="dot" w:pos="9746"/>
          <w:tab w:val="clear" w:pos="900"/>
          <w:tab w:val="clear" w:pos="8296"/>
        </w:tabs>
        <w:spacing w:line="600" w:lineRule="auto"/>
        <w:rPr>
          <w:rFonts w:ascii="宋体" w:hAnsi="宋体" w:cs="宋体"/>
          <w:color w:val="auto"/>
          <w:sz w:val="28"/>
          <w:szCs w:val="28"/>
        </w:rPr>
      </w:pPr>
      <w:r>
        <w:rPr>
          <w:color w:val="auto"/>
        </w:rPr>
        <w:fldChar w:fldCharType="begin"/>
      </w:r>
      <w:r>
        <w:rPr>
          <w:color w:val="auto"/>
        </w:rPr>
        <w:instrText xml:space="preserve"> HYPERLINK \l "_Toc12546" </w:instrText>
      </w:r>
      <w:r>
        <w:rPr>
          <w:color w:val="auto"/>
        </w:rPr>
        <w:fldChar w:fldCharType="separate"/>
      </w:r>
      <w:r>
        <w:rPr>
          <w:rFonts w:hint="eastAsia" w:ascii="宋体" w:hAnsi="宋体" w:cs="宋体"/>
          <w:color w:val="auto"/>
          <w:sz w:val="28"/>
          <w:szCs w:val="28"/>
        </w:rPr>
        <w:t>第三章 评标办法和标准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_Toc12546 \h </w:instrText>
      </w:r>
      <w:r>
        <w:rPr>
          <w:rFonts w:hint="eastAsia" w:ascii="宋体" w:hAnsi="宋体" w:cs="宋体"/>
          <w:color w:val="auto"/>
          <w:sz w:val="28"/>
          <w:szCs w:val="28"/>
        </w:rPr>
        <w:fldChar w:fldCharType="separate"/>
      </w:r>
      <w:r>
        <w:rPr>
          <w:rFonts w:hint="eastAsia" w:ascii="宋体" w:hAnsi="宋体" w:cs="宋体"/>
          <w:color w:val="auto"/>
          <w:sz w:val="28"/>
          <w:szCs w:val="28"/>
        </w:rPr>
        <w:t>22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5"/>
        <w:tabs>
          <w:tab w:val="right" w:leader="dot" w:pos="9746"/>
          <w:tab w:val="clear" w:pos="900"/>
          <w:tab w:val="clear" w:pos="8296"/>
        </w:tabs>
        <w:spacing w:line="600" w:lineRule="auto"/>
        <w:rPr>
          <w:rFonts w:ascii="宋体" w:hAnsi="宋体" w:cs="宋体"/>
          <w:color w:val="auto"/>
          <w:sz w:val="28"/>
          <w:szCs w:val="28"/>
        </w:rPr>
      </w:pPr>
      <w:r>
        <w:rPr>
          <w:color w:val="auto"/>
        </w:rPr>
        <w:fldChar w:fldCharType="begin"/>
      </w:r>
      <w:r>
        <w:rPr>
          <w:color w:val="auto"/>
        </w:rPr>
        <w:instrText xml:space="preserve"> HYPERLINK \l "_Toc21240" </w:instrText>
      </w:r>
      <w:r>
        <w:rPr>
          <w:color w:val="auto"/>
        </w:rPr>
        <w:fldChar w:fldCharType="separate"/>
      </w:r>
      <w:r>
        <w:rPr>
          <w:rFonts w:hint="eastAsia" w:ascii="宋体" w:hAnsi="宋体" w:cs="宋体"/>
          <w:color w:val="auto"/>
          <w:sz w:val="28"/>
          <w:szCs w:val="28"/>
        </w:rPr>
        <w:t>第四章 合同条款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_Toc21240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5"/>
        <w:tabs>
          <w:tab w:val="right" w:leader="dot" w:pos="9746"/>
          <w:tab w:val="clear" w:pos="900"/>
          <w:tab w:val="clear" w:pos="8296"/>
        </w:tabs>
        <w:spacing w:line="600" w:lineRule="auto"/>
        <w:rPr>
          <w:rFonts w:ascii="宋体" w:hAnsi="宋体" w:cs="宋体"/>
          <w:color w:val="auto"/>
          <w:sz w:val="28"/>
          <w:szCs w:val="28"/>
        </w:rPr>
      </w:pPr>
      <w:r>
        <w:rPr>
          <w:color w:val="auto"/>
        </w:rPr>
        <w:fldChar w:fldCharType="begin"/>
      </w:r>
      <w:r>
        <w:rPr>
          <w:color w:val="auto"/>
        </w:rPr>
        <w:instrText xml:space="preserve"> HYPERLINK \l "_Toc26905" </w:instrText>
      </w:r>
      <w:r>
        <w:rPr>
          <w:color w:val="auto"/>
        </w:rPr>
        <w:fldChar w:fldCharType="separate"/>
      </w:r>
      <w:r>
        <w:rPr>
          <w:rFonts w:hint="eastAsia" w:ascii="宋体" w:hAnsi="宋体" w:cs="宋体"/>
          <w:color w:val="auto"/>
          <w:sz w:val="28"/>
          <w:szCs w:val="28"/>
        </w:rPr>
        <w:t>第五章 技术标准和设计任务书</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_Toc26905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lang w:val="en-US" w:eastAsia="zh-CN"/>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5"/>
        <w:tabs>
          <w:tab w:val="right" w:leader="dot" w:pos="9746"/>
          <w:tab w:val="clear" w:pos="900"/>
          <w:tab w:val="clear" w:pos="8296"/>
        </w:tabs>
        <w:spacing w:line="600" w:lineRule="auto"/>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"_Toc2334" </w:instrText>
      </w:r>
      <w:r>
        <w:rPr>
          <w:color w:val="auto"/>
        </w:rPr>
        <w:fldChar w:fldCharType="separate"/>
      </w:r>
      <w:r>
        <w:rPr>
          <w:rFonts w:hint="eastAsia" w:ascii="宋体" w:hAnsi="宋体" w:cs="宋体"/>
          <w:color w:val="auto"/>
          <w:sz w:val="28"/>
          <w:szCs w:val="28"/>
        </w:rPr>
        <w:t>第六章 设计有关资料（另附）</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_Toc2334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7</w:t>
      </w:r>
    </w:p>
    <w:p>
      <w:pPr>
        <w:pStyle w:val="25"/>
        <w:tabs>
          <w:tab w:val="right" w:leader="dot" w:pos="9746"/>
          <w:tab w:val="clear" w:pos="900"/>
          <w:tab w:val="clear" w:pos="8296"/>
        </w:tabs>
        <w:spacing w:line="600" w:lineRule="auto"/>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"_Toc16008" </w:instrText>
      </w:r>
      <w:r>
        <w:rPr>
          <w:color w:val="auto"/>
        </w:rPr>
        <w:fldChar w:fldCharType="separate"/>
      </w:r>
      <w:r>
        <w:rPr>
          <w:rFonts w:hint="eastAsia" w:ascii="宋体" w:hAnsi="宋体" w:cs="宋体"/>
          <w:color w:val="auto"/>
          <w:sz w:val="28"/>
          <w:szCs w:val="28"/>
        </w:rPr>
        <w:t>第七章 投标文件格式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_Toc16008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8</w:t>
      </w:r>
    </w:p>
    <w:p>
      <w:pPr>
        <w:pStyle w:val="17"/>
        <w:tabs>
          <w:tab w:val="right" w:leader="dot" w:pos="9746"/>
        </w:tabs>
        <w:spacing w:line="600" w:lineRule="auto"/>
        <w:ind w:left="800"/>
        <w:rPr>
          <w:rFonts w:ascii="宋体" w:hAnsi="宋体" w:cs="宋体"/>
          <w:color w:val="auto"/>
          <w:sz w:val="28"/>
          <w:szCs w:val="28"/>
        </w:rPr>
        <w:sectPr>
          <w:headerReference r:id="rId5" w:type="default"/>
          <w:footerReference r:id="rId6" w:type="default"/>
          <w:pgSz w:w="11906" w:h="16838"/>
          <w:pgMar w:top="1440" w:right="1080" w:bottom="1440" w:left="1080" w:header="851" w:footer="992" w:gutter="0"/>
          <w:pgNumType w:start="1"/>
          <w:cols w:space="720" w:num="1"/>
          <w:docGrid w:linePitch="312" w:charSpace="0"/>
        </w:sectPr>
      </w:pPr>
    </w:p>
    <w:p>
      <w:pPr>
        <w:spacing w:line="240" w:lineRule="auto"/>
        <w:rPr>
          <w:color w:val="auto"/>
        </w:rPr>
      </w:pPr>
      <w:r>
        <w:rPr>
          <w:rFonts w:hint="eastAsia" w:ascii="宋体" w:hAnsi="宋体" w:cs="宋体"/>
          <w:color w:val="auto"/>
          <w:sz w:val="28"/>
          <w:szCs w:val="28"/>
        </w:rPr>
        <w:fldChar w:fldCharType="end"/>
      </w:r>
      <w:bookmarkStart w:id="1" w:name="_Toc142138202"/>
    </w:p>
    <w:p>
      <w:pPr>
        <w:pStyle w:val="3"/>
        <w:numPr>
          <w:ilvl w:val="0"/>
          <w:numId w:val="2"/>
        </w:numPr>
        <w:spacing w:before="0" w:after="0"/>
        <w:jc w:val="center"/>
        <w:rPr>
          <w:color w:val="auto"/>
        </w:rPr>
      </w:pPr>
      <w:r>
        <w:rPr>
          <w:rFonts w:hint="eastAsia"/>
          <w:color w:val="auto"/>
        </w:rPr>
        <w:t xml:space="preserve"> </w:t>
      </w:r>
      <w:bookmarkStart w:id="2" w:name="_Toc15047"/>
      <w:r>
        <w:rPr>
          <w:rFonts w:hint="eastAsia"/>
          <w:color w:val="auto"/>
        </w:rPr>
        <w:t>招标公告</w:t>
      </w:r>
      <w:bookmarkEnd w:id="1"/>
      <w:bookmarkEnd w:id="2"/>
    </w:p>
    <w:p>
      <w:pPr>
        <w:spacing w:after="200" w:line="400" w:lineRule="exact"/>
        <w:jc w:val="center"/>
        <w:rPr>
          <w:rFonts w:ascii="宋体" w:hAnsi="宋体" w:cs="宋体"/>
          <w:b/>
          <w:color w:val="auto"/>
          <w:sz w:val="36"/>
          <w:szCs w:val="36"/>
        </w:rPr>
      </w:pPr>
      <w:r>
        <w:rPr>
          <w:rFonts w:hint="eastAsia" w:ascii="宋体" w:hAnsi="宋体" w:cs="宋体"/>
          <w:b/>
          <w:color w:val="auto"/>
          <w:sz w:val="36"/>
          <w:szCs w:val="36"/>
        </w:rPr>
        <w:t xml:space="preserve"> 大埔县智慧停车场项目(勘察、设计)招标公告</w:t>
      </w:r>
    </w:p>
    <w:p>
      <w:pPr>
        <w:spacing w:line="288" w:lineRule="auto"/>
        <w:rPr>
          <w:rFonts w:ascii="宋体" w:hAnsi="宋体" w:cs="宋体"/>
          <w:color w:val="auto"/>
          <w:sz w:val="24"/>
          <w:szCs w:val="24"/>
        </w:rPr>
      </w:pPr>
      <w:r>
        <w:rPr>
          <w:rFonts w:hint="eastAsia" w:ascii="宋体" w:hAnsi="宋体" w:cs="宋体"/>
          <w:b/>
          <w:color w:val="auto"/>
          <w:sz w:val="24"/>
          <w:szCs w:val="24"/>
        </w:rPr>
        <w:t>1.招标条件</w:t>
      </w:r>
    </w:p>
    <w:p>
      <w:pPr>
        <w:widowControl/>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本招标项目</w:t>
      </w:r>
      <w:r>
        <w:rPr>
          <w:rFonts w:hint="eastAsia" w:ascii="宋体" w:hAnsi="宋体" w:cs="宋体"/>
          <w:color w:val="auto"/>
          <w:sz w:val="24"/>
          <w:szCs w:val="24"/>
          <w:u w:val="single"/>
        </w:rPr>
        <w:t>大埔县智慧停车场项目(勘察、设计)</w:t>
      </w:r>
      <w:r>
        <w:rPr>
          <w:rFonts w:hint="eastAsia" w:ascii="宋体" w:hAnsi="宋体" w:cs="宋体"/>
          <w:color w:val="auto"/>
          <w:sz w:val="24"/>
          <w:szCs w:val="24"/>
        </w:rPr>
        <w:t>已由</w:t>
      </w:r>
      <w:r>
        <w:rPr>
          <w:rFonts w:hint="eastAsia" w:ascii="宋体" w:hAnsi="宋体" w:cs="宋体"/>
          <w:color w:val="auto"/>
          <w:sz w:val="24"/>
          <w:szCs w:val="24"/>
          <w:u w:val="single"/>
        </w:rPr>
        <w:t>大埔县发展和改革局</w:t>
      </w:r>
      <w:r>
        <w:rPr>
          <w:rFonts w:hint="eastAsia" w:ascii="宋体" w:hAnsi="宋体" w:cs="宋体"/>
          <w:color w:val="auto"/>
          <w:sz w:val="24"/>
          <w:szCs w:val="24"/>
        </w:rPr>
        <w:t>以</w:t>
      </w:r>
      <w:r>
        <w:rPr>
          <w:rFonts w:hint="eastAsia" w:ascii="宋体" w:hAnsi="宋体" w:cs="宋体"/>
          <w:color w:val="auto"/>
          <w:sz w:val="24"/>
          <w:szCs w:val="24"/>
          <w:u w:val="single"/>
        </w:rPr>
        <w:t>埔发改〔2021〕183号文（投资项目统一代码：2110-441422-04-01-849282）</w:t>
      </w:r>
      <w:r>
        <w:rPr>
          <w:rFonts w:hint="eastAsia" w:ascii="宋体" w:hAnsi="宋体" w:cs="宋体"/>
          <w:color w:val="auto"/>
          <w:sz w:val="24"/>
          <w:szCs w:val="24"/>
        </w:rPr>
        <w:t>批准建设，招标人为</w:t>
      </w:r>
      <w:r>
        <w:rPr>
          <w:rFonts w:hint="eastAsia" w:ascii="宋体" w:hAnsi="宋体" w:cs="宋体"/>
          <w:color w:val="auto"/>
          <w:sz w:val="24"/>
          <w:szCs w:val="24"/>
          <w:u w:val="single"/>
        </w:rPr>
        <w:t>大埔县城市管理和综合执法局</w:t>
      </w:r>
      <w:r>
        <w:rPr>
          <w:rFonts w:hint="eastAsia" w:ascii="宋体" w:hAnsi="宋体" w:cs="宋体"/>
          <w:color w:val="auto"/>
          <w:sz w:val="24"/>
          <w:szCs w:val="24"/>
        </w:rPr>
        <w:t>，建设资金来源</w:t>
      </w:r>
      <w:r>
        <w:rPr>
          <w:rFonts w:hint="eastAsia" w:ascii="宋体" w:hAnsi="宋体" w:cs="宋体"/>
          <w:color w:val="auto"/>
          <w:sz w:val="24"/>
          <w:szCs w:val="24"/>
          <w:u w:val="single"/>
        </w:rPr>
        <w:t>除积极争取上级资金外，其余不足部分地方财政统筹解决</w:t>
      </w:r>
      <w:r>
        <w:rPr>
          <w:rFonts w:hint="eastAsia" w:ascii="宋体" w:hAnsi="宋体" w:cs="宋体"/>
          <w:color w:val="auto"/>
          <w:sz w:val="24"/>
          <w:szCs w:val="24"/>
        </w:rPr>
        <w:t>。项目已具备招标条件，现对该项目的</w:t>
      </w:r>
      <w:r>
        <w:rPr>
          <w:rFonts w:hint="eastAsia" w:ascii="宋体" w:hAnsi="宋体" w:cs="宋体"/>
          <w:color w:val="auto"/>
          <w:sz w:val="24"/>
          <w:szCs w:val="24"/>
          <w:u w:val="single"/>
        </w:rPr>
        <w:t>勘察设计</w:t>
      </w:r>
      <w:r>
        <w:rPr>
          <w:rFonts w:hint="eastAsia" w:ascii="宋体" w:hAnsi="宋体" w:cs="宋体"/>
          <w:color w:val="auto"/>
          <w:sz w:val="24"/>
          <w:szCs w:val="24"/>
        </w:rPr>
        <w:t>进行公开招标。</w:t>
      </w:r>
    </w:p>
    <w:p>
      <w:pPr>
        <w:spacing w:line="288" w:lineRule="auto"/>
        <w:rPr>
          <w:rFonts w:ascii="宋体" w:hAnsi="宋体" w:cs="宋体"/>
          <w:color w:val="auto"/>
          <w:sz w:val="24"/>
          <w:szCs w:val="24"/>
        </w:rPr>
      </w:pPr>
      <w:bookmarkStart w:id="3" w:name="_Toc287866157"/>
      <w:bookmarkStart w:id="4" w:name="_Toc287963416"/>
      <w:bookmarkStart w:id="5" w:name="_Toc287968823"/>
      <w:r>
        <w:rPr>
          <w:rFonts w:hint="eastAsia" w:ascii="宋体" w:hAnsi="宋体" w:cs="宋体"/>
          <w:b/>
          <w:color w:val="auto"/>
          <w:sz w:val="24"/>
          <w:szCs w:val="24"/>
        </w:rPr>
        <w:t>2.项目概况及招标范围</w:t>
      </w:r>
      <w:bookmarkEnd w:id="3"/>
      <w:bookmarkEnd w:id="4"/>
      <w:bookmarkEnd w:id="5"/>
    </w:p>
    <w:p>
      <w:pPr>
        <w:widowControl/>
        <w:spacing w:line="288" w:lineRule="auto"/>
        <w:ind w:firstLine="480" w:firstLineChars="200"/>
        <w:rPr>
          <w:rFonts w:ascii="宋体" w:hAnsi="宋体" w:cs="宋体"/>
          <w:color w:val="auto"/>
          <w:sz w:val="24"/>
          <w:szCs w:val="24"/>
        </w:rPr>
      </w:pPr>
      <w:r>
        <w:rPr>
          <w:rFonts w:hint="eastAsia" w:ascii="宋体" w:hAnsi="宋体" w:cs="宋体"/>
          <w:color w:val="auto"/>
          <w:sz w:val="24"/>
          <w:szCs w:val="24"/>
        </w:rPr>
        <w:t>2.1工程名称：</w:t>
      </w:r>
      <w:r>
        <w:rPr>
          <w:rFonts w:hint="eastAsia" w:ascii="宋体" w:hAnsi="宋体" w:cs="宋体"/>
          <w:color w:val="auto"/>
          <w:sz w:val="24"/>
          <w:szCs w:val="24"/>
          <w:u w:val="single"/>
        </w:rPr>
        <w:t>大埔县智慧停车场项目(勘察、设计)</w:t>
      </w:r>
    </w:p>
    <w:p>
      <w:pPr>
        <w:widowControl/>
        <w:spacing w:line="288"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2.2建设地点：</w:t>
      </w:r>
      <w:r>
        <w:rPr>
          <w:rFonts w:hint="eastAsia" w:ascii="宋体" w:hAnsi="宋体" w:cs="宋体"/>
          <w:color w:val="auto"/>
          <w:sz w:val="24"/>
          <w:szCs w:val="24"/>
          <w:u w:val="single"/>
        </w:rPr>
        <w:t>大埔县县城。</w:t>
      </w:r>
    </w:p>
    <w:p>
      <w:pPr>
        <w:spacing w:line="288" w:lineRule="auto"/>
        <w:ind w:firstLine="480" w:firstLineChars="200"/>
        <w:rPr>
          <w:rFonts w:ascii="宋体" w:hAnsi="宋体" w:cs="宋体"/>
          <w:color w:val="auto"/>
          <w:sz w:val="24"/>
          <w:szCs w:val="24"/>
        </w:rPr>
      </w:pPr>
      <w:r>
        <w:rPr>
          <w:rFonts w:hint="eastAsia" w:ascii="宋体" w:hAnsi="宋体" w:cs="宋体"/>
          <w:color w:val="auto"/>
          <w:sz w:val="24"/>
          <w:szCs w:val="24"/>
        </w:rPr>
        <w:t>2.3 工程建设规模：大埔县城区同仁路以北、沿河东路以西、环城大道以南、西环路、环城大道及西环路以东以及黎家坪部分路段辖区范围内的道路停车场及停车泊位进行智慧化改造，并在拥堵严重地段增建立体停车场。其中智慧化改造车位5121个，新建立体停车场4个，涉及车位1000个，占地面积约70000平方米。</w:t>
      </w:r>
    </w:p>
    <w:p>
      <w:pPr>
        <w:tabs>
          <w:tab w:val="left" w:pos="1800"/>
        </w:tabs>
        <w:spacing w:line="288" w:lineRule="auto"/>
        <w:ind w:firstLine="480" w:firstLineChars="200"/>
        <w:rPr>
          <w:rFonts w:ascii="宋体" w:hAnsi="宋体" w:cs="宋体"/>
          <w:bCs/>
          <w:color w:val="auto"/>
          <w:sz w:val="24"/>
          <w:szCs w:val="24"/>
        </w:rPr>
      </w:pPr>
      <w:r>
        <w:rPr>
          <w:rFonts w:hint="eastAsia" w:ascii="宋体" w:hAnsi="宋体" w:cs="宋体"/>
          <w:bCs/>
          <w:color w:val="auto"/>
          <w:sz w:val="24"/>
          <w:szCs w:val="24"/>
        </w:rPr>
        <w:t>2.4招标范围：</w:t>
      </w:r>
      <w:r>
        <w:rPr>
          <w:rFonts w:hint="eastAsia" w:ascii="宋体" w:hAnsi="宋体" w:cs="宋体"/>
          <w:color w:val="auto"/>
          <w:sz w:val="24"/>
          <w:szCs w:val="24"/>
        </w:rPr>
        <w:t>大埔县城区</w:t>
      </w:r>
      <w:r>
        <w:rPr>
          <w:rFonts w:hint="eastAsia" w:ascii="宋体" w:hAnsi="宋体" w:cs="宋体"/>
          <w:bCs/>
          <w:color w:val="auto"/>
          <w:sz w:val="24"/>
          <w:szCs w:val="24"/>
        </w:rPr>
        <w:t>。</w:t>
      </w:r>
    </w:p>
    <w:p>
      <w:pPr>
        <w:tabs>
          <w:tab w:val="left" w:pos="1800"/>
        </w:tabs>
        <w:spacing w:line="288" w:lineRule="auto"/>
        <w:ind w:firstLine="480" w:firstLineChars="200"/>
        <w:rPr>
          <w:rFonts w:ascii="宋体" w:hAnsi="宋体" w:cs="宋体"/>
          <w:bCs/>
          <w:color w:val="auto"/>
          <w:sz w:val="24"/>
          <w:szCs w:val="24"/>
        </w:rPr>
      </w:pPr>
      <w:r>
        <w:rPr>
          <w:rFonts w:hint="eastAsia" w:ascii="宋体" w:hAnsi="宋体" w:cs="宋体"/>
          <w:bCs/>
          <w:color w:val="auto"/>
          <w:sz w:val="24"/>
          <w:szCs w:val="24"/>
        </w:rPr>
        <w:t>完成</w:t>
      </w:r>
      <w:r>
        <w:rPr>
          <w:rFonts w:hint="eastAsia" w:ascii="宋体" w:hAnsi="宋体" w:cs="宋体"/>
          <w:color w:val="auto"/>
          <w:sz w:val="24"/>
          <w:szCs w:val="24"/>
        </w:rPr>
        <w:t>大埔县城区范围内</w:t>
      </w:r>
      <w:r>
        <w:rPr>
          <w:rFonts w:hint="eastAsia" w:ascii="宋体" w:hAnsi="宋体" w:cs="宋体"/>
          <w:bCs/>
          <w:color w:val="auto"/>
          <w:sz w:val="24"/>
          <w:szCs w:val="24"/>
        </w:rPr>
        <w:t>的</w:t>
      </w:r>
      <w:r>
        <w:rPr>
          <w:rFonts w:hint="eastAsia" w:ascii="宋体" w:hAnsi="宋体" w:cs="宋体"/>
          <w:color w:val="auto"/>
          <w:sz w:val="24"/>
          <w:szCs w:val="24"/>
        </w:rPr>
        <w:t>勘察工作（含详细勘察、</w:t>
      </w:r>
      <w:r>
        <w:rPr>
          <w:rFonts w:hint="eastAsia" w:ascii="宋体" w:hAnsi="宋体" w:cs="宋体"/>
          <w:bCs/>
          <w:color w:val="auto"/>
          <w:sz w:val="24"/>
          <w:szCs w:val="24"/>
        </w:rPr>
        <w:t>测量、物探、</w:t>
      </w:r>
      <w:r>
        <w:rPr>
          <w:rFonts w:hint="eastAsia" w:ascii="宋体" w:hAnsi="宋体" w:cs="宋体"/>
          <w:color w:val="auto"/>
          <w:sz w:val="24"/>
          <w:szCs w:val="24"/>
        </w:rPr>
        <w:t>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p>
      <w:pPr>
        <w:tabs>
          <w:tab w:val="left" w:pos="1800"/>
        </w:tabs>
        <w:spacing w:line="288" w:lineRule="auto"/>
        <w:ind w:firstLine="480" w:firstLineChars="200"/>
        <w:rPr>
          <w:rFonts w:ascii="宋体" w:hAnsi="宋体" w:cs="宋体"/>
          <w:bCs/>
          <w:color w:val="auto"/>
          <w:sz w:val="24"/>
          <w:szCs w:val="24"/>
        </w:rPr>
      </w:pPr>
      <w:r>
        <w:rPr>
          <w:rFonts w:hint="eastAsia" w:ascii="宋体" w:hAnsi="宋体" w:cs="宋体"/>
          <w:bCs/>
          <w:color w:val="auto"/>
          <w:sz w:val="24"/>
          <w:szCs w:val="24"/>
        </w:rPr>
        <w:t>2.5招标控制价：312.30万元，其中勘察费64.57万元、设计费247.73万元（最终以财政审核中心为准）。</w:t>
      </w:r>
    </w:p>
    <w:p>
      <w:pPr>
        <w:pStyle w:val="6"/>
        <w:snapToGrid w:val="0"/>
        <w:spacing w:line="288" w:lineRule="auto"/>
        <w:ind w:firstLine="480" w:firstLineChars="200"/>
        <w:rPr>
          <w:rFonts w:ascii="宋体" w:hAnsi="宋体" w:cs="宋体"/>
          <w:bCs/>
          <w:color w:val="auto"/>
          <w:kern w:val="0"/>
          <w:sz w:val="24"/>
          <w:szCs w:val="24"/>
        </w:rPr>
      </w:pPr>
      <w:r>
        <w:rPr>
          <w:rFonts w:hint="eastAsia" w:ascii="宋体" w:hAnsi="宋体" w:cs="宋体"/>
          <w:color w:val="auto"/>
          <w:sz w:val="24"/>
          <w:szCs w:val="24"/>
        </w:rPr>
        <w:t>2.6勘察、设计周期：总工期30天，其中，勘察：合同签订后25个日历天内完成。设计：（1）方案设计：合同签订后10个日历天内；（2）施工图设计：建设工程规划许可证核发后20个日历天内</w:t>
      </w:r>
      <w:r>
        <w:rPr>
          <w:rFonts w:hint="eastAsia" w:ascii="宋体" w:hAnsi="宋体" w:cs="宋体"/>
          <w:bCs/>
          <w:color w:val="auto"/>
          <w:kern w:val="0"/>
          <w:sz w:val="24"/>
          <w:szCs w:val="24"/>
        </w:rPr>
        <w:t>。</w:t>
      </w:r>
    </w:p>
    <w:p>
      <w:pPr>
        <w:pStyle w:val="6"/>
        <w:numPr>
          <w:ilvl w:val="0"/>
          <w:numId w:val="3"/>
        </w:numPr>
        <w:snapToGrid w:val="0"/>
        <w:spacing w:line="288" w:lineRule="auto"/>
        <w:ind w:firstLine="0"/>
        <w:rPr>
          <w:rFonts w:ascii="宋体" w:hAnsi="宋体" w:cs="宋体"/>
          <w:b/>
          <w:color w:val="auto"/>
          <w:sz w:val="24"/>
          <w:szCs w:val="24"/>
        </w:rPr>
      </w:pPr>
      <w:r>
        <w:rPr>
          <w:rFonts w:hint="eastAsia" w:ascii="宋体" w:hAnsi="宋体" w:cs="宋体"/>
          <w:b/>
          <w:color w:val="auto"/>
          <w:sz w:val="24"/>
          <w:szCs w:val="24"/>
        </w:rPr>
        <w:t>投标人资格要求</w:t>
      </w:r>
    </w:p>
    <w:p>
      <w:pPr>
        <w:pStyle w:val="6"/>
        <w:numPr>
          <w:ilvl w:val="1"/>
          <w:numId w:val="3"/>
        </w:numPr>
        <w:snapToGrid w:val="0"/>
        <w:spacing w:line="288" w:lineRule="auto"/>
        <w:ind w:firstLine="352" w:firstLineChars="147"/>
        <w:rPr>
          <w:rFonts w:ascii="宋体" w:hAnsi="宋体" w:cs="宋体"/>
          <w:bCs/>
          <w:color w:val="auto"/>
          <w:sz w:val="24"/>
          <w:szCs w:val="24"/>
        </w:rPr>
      </w:pPr>
      <w:r>
        <w:rPr>
          <w:rFonts w:hint="eastAsia" w:ascii="宋体" w:hAnsi="宋体" w:cs="宋体"/>
          <w:bCs/>
          <w:color w:val="auto"/>
          <w:sz w:val="24"/>
          <w:szCs w:val="24"/>
        </w:rPr>
        <w:t>投标人（独立体或联合体各方）应当具备独立法人资格。</w:t>
      </w:r>
    </w:p>
    <w:p>
      <w:pPr>
        <w:pStyle w:val="6"/>
        <w:numPr>
          <w:ilvl w:val="1"/>
          <w:numId w:val="3"/>
        </w:numPr>
        <w:snapToGrid w:val="0"/>
        <w:spacing w:line="288" w:lineRule="auto"/>
        <w:ind w:firstLine="352" w:firstLineChars="147"/>
        <w:rPr>
          <w:rFonts w:ascii="宋体" w:hAnsi="宋体" w:cs="宋体"/>
          <w:color w:val="auto"/>
          <w:sz w:val="24"/>
          <w:szCs w:val="24"/>
        </w:rPr>
      </w:pPr>
      <w:r>
        <w:rPr>
          <w:rFonts w:hint="eastAsia" w:ascii="宋体" w:hAnsi="宋体"/>
          <w:color w:val="auto"/>
          <w:sz w:val="24"/>
        </w:rPr>
        <w:t>投标人须同时具备建设行政主管部门颁发的以下资质证书，否则投标人可以组成联合体投标，联合体的家数最多不能超过两家，应以具备相应设计资质且承担设计任务的单位为</w:t>
      </w:r>
      <w:r>
        <w:rPr>
          <w:rFonts w:hint="eastAsia" w:ascii="宋体" w:hAnsi="宋体"/>
          <w:b/>
          <w:bCs/>
          <w:color w:val="auto"/>
          <w:sz w:val="24"/>
        </w:rPr>
        <w:t>牵头方</w:t>
      </w:r>
      <w:r>
        <w:rPr>
          <w:rFonts w:hint="eastAsia" w:ascii="宋体" w:hAnsi="宋体"/>
          <w:color w:val="auto"/>
          <w:sz w:val="24"/>
        </w:rPr>
        <w:t>，并签订联合体协议书。</w:t>
      </w:r>
    </w:p>
    <w:p>
      <w:pPr>
        <w:widowControl/>
        <w:tabs>
          <w:tab w:val="left" w:pos="900"/>
          <w:tab w:val="left" w:pos="1100"/>
        </w:tabs>
        <w:spacing w:line="288" w:lineRule="auto"/>
        <w:ind w:left="-14" w:leftChars="-7" w:firstLine="240" w:firstLineChars="100"/>
        <w:rPr>
          <w:rFonts w:ascii="宋体" w:hAnsi="宋体" w:cs="宋体"/>
          <w:bCs/>
          <w:color w:val="auto"/>
          <w:sz w:val="24"/>
          <w:szCs w:val="24"/>
        </w:rPr>
      </w:pPr>
      <w:r>
        <w:rPr>
          <w:rFonts w:hint="eastAsia" w:ascii="宋体" w:hAnsi="宋体" w:cs="宋体"/>
          <w:bCs/>
          <w:color w:val="auto"/>
          <w:sz w:val="24"/>
          <w:szCs w:val="24"/>
        </w:rPr>
        <w:t>（1）投标人须具备建设行政主管部门颁发的</w:t>
      </w:r>
      <w:r>
        <w:rPr>
          <w:rFonts w:hint="eastAsia" w:ascii="宋体" w:hAnsi="宋体" w:cs="宋体"/>
          <w:b/>
          <w:color w:val="auto"/>
          <w:sz w:val="24"/>
          <w:szCs w:val="24"/>
        </w:rPr>
        <w:t>工程设计综合资质甲级</w:t>
      </w:r>
      <w:r>
        <w:rPr>
          <w:rFonts w:hint="eastAsia" w:ascii="宋体" w:hAnsi="宋体" w:cs="宋体"/>
          <w:bCs/>
          <w:color w:val="auto"/>
          <w:sz w:val="24"/>
          <w:szCs w:val="24"/>
        </w:rPr>
        <w:t>；</w:t>
      </w:r>
    </w:p>
    <w:p>
      <w:pPr>
        <w:widowControl/>
        <w:tabs>
          <w:tab w:val="left" w:pos="900"/>
          <w:tab w:val="left" w:pos="1100"/>
        </w:tabs>
        <w:spacing w:line="288" w:lineRule="auto"/>
        <w:ind w:left="-14" w:leftChars="-7" w:firstLine="241" w:firstLineChars="100"/>
        <w:rPr>
          <w:rFonts w:ascii="宋体" w:hAnsi="宋体" w:cs="宋体"/>
          <w:bCs/>
          <w:color w:val="auto"/>
          <w:sz w:val="24"/>
          <w:szCs w:val="24"/>
          <w:highlight w:val="none"/>
        </w:rPr>
      </w:pPr>
      <w:r>
        <w:rPr>
          <w:rFonts w:hint="eastAsia" w:ascii="宋体" w:hAnsi="宋体" w:cs="宋体"/>
          <w:b/>
          <w:color w:val="auto"/>
          <w:sz w:val="24"/>
          <w:szCs w:val="24"/>
          <w:highlight w:val="none"/>
        </w:rPr>
        <w:t>或同时具备建筑行业工程设计乙级或以上资质和市政行业工程设计乙级或以上资质；</w:t>
      </w:r>
    </w:p>
    <w:p>
      <w:pPr>
        <w:widowControl/>
        <w:tabs>
          <w:tab w:val="left" w:pos="900"/>
          <w:tab w:val="left" w:pos="1100"/>
        </w:tabs>
        <w:spacing w:line="288" w:lineRule="auto"/>
        <w:ind w:left="-14" w:leftChars="-7"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或同时具备建筑行业（建筑工程）专业设计乙级或以上资质和市政行业工程设计乙级或以上资质;</w:t>
      </w:r>
    </w:p>
    <w:p>
      <w:pPr>
        <w:widowControl/>
        <w:tabs>
          <w:tab w:val="left" w:pos="900"/>
          <w:tab w:val="left" w:pos="1100"/>
        </w:tabs>
        <w:spacing w:line="288" w:lineRule="auto"/>
        <w:ind w:left="-14" w:leftChars="-7"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或同时具备建筑行业工程设计乙级或以上资质和市政行业（道路工程）专业设计乙级或以上资质；</w:t>
      </w:r>
    </w:p>
    <w:p>
      <w:pPr>
        <w:widowControl/>
        <w:tabs>
          <w:tab w:val="left" w:pos="900"/>
          <w:tab w:val="left" w:pos="1100"/>
        </w:tabs>
        <w:spacing w:line="288" w:lineRule="auto"/>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或同时具备建筑行业（建筑工程）专业设计乙级或以上资质和市政行业（道路工程）专业设计乙级或以上资质；</w:t>
      </w:r>
    </w:p>
    <w:p>
      <w:pPr>
        <w:pStyle w:val="6"/>
        <w:numPr>
          <w:ilvl w:val="0"/>
          <w:numId w:val="4"/>
        </w:numPr>
        <w:snapToGrid w:val="0"/>
        <w:spacing w:line="288" w:lineRule="auto"/>
        <w:ind w:firstLine="352" w:firstLineChars="147"/>
        <w:rPr>
          <w:rFonts w:ascii="宋体" w:hAnsi="宋体" w:cs="宋体"/>
          <w:bCs/>
          <w:color w:val="auto"/>
          <w:sz w:val="24"/>
          <w:szCs w:val="24"/>
        </w:rPr>
      </w:pPr>
      <w:r>
        <w:rPr>
          <w:rFonts w:hint="eastAsia" w:ascii="宋体" w:hAnsi="宋体" w:cs="宋体"/>
          <w:bCs/>
          <w:color w:val="auto"/>
          <w:sz w:val="24"/>
          <w:szCs w:val="24"/>
          <w:highlight w:val="none"/>
        </w:rPr>
        <w:t>投标人须具备建设行政主管部门颁发的</w:t>
      </w:r>
      <w:r>
        <w:rPr>
          <w:rFonts w:hint="eastAsia" w:ascii="宋体" w:hAnsi="宋体" w:cs="宋体"/>
          <w:b/>
          <w:color w:val="auto"/>
          <w:sz w:val="24"/>
          <w:szCs w:val="24"/>
          <w:highlight w:val="none"/>
        </w:rPr>
        <w:t>工程</w:t>
      </w:r>
      <w:r>
        <w:rPr>
          <w:rFonts w:hint="eastAsia" w:ascii="宋体" w:hAnsi="宋体" w:cs="宋体"/>
          <w:b/>
          <w:color w:val="auto"/>
          <w:sz w:val="24"/>
          <w:szCs w:val="24"/>
        </w:rPr>
        <w:t>勘察综合甲级</w:t>
      </w:r>
      <w:r>
        <w:rPr>
          <w:rFonts w:hint="eastAsia" w:ascii="宋体" w:hAnsi="宋体" w:cs="宋体"/>
          <w:bCs/>
          <w:color w:val="auto"/>
          <w:sz w:val="24"/>
          <w:szCs w:val="24"/>
        </w:rPr>
        <w:t>；</w:t>
      </w:r>
      <w:r>
        <w:rPr>
          <w:rFonts w:hint="eastAsia" w:ascii="宋体" w:hAnsi="宋体" w:cs="宋体"/>
          <w:b/>
          <w:color w:val="auto"/>
          <w:sz w:val="24"/>
          <w:szCs w:val="24"/>
        </w:rPr>
        <w:t>或具备工程勘察专业类(岩土工程和工程测量)乙级或以上的工程勘察资质</w:t>
      </w:r>
      <w:r>
        <w:rPr>
          <w:rFonts w:hint="eastAsia" w:ascii="宋体" w:hAnsi="宋体" w:cs="宋体"/>
          <w:bCs/>
          <w:color w:val="auto"/>
          <w:sz w:val="24"/>
          <w:szCs w:val="24"/>
        </w:rPr>
        <w:t>证书。</w:t>
      </w:r>
    </w:p>
    <w:p>
      <w:pPr>
        <w:pStyle w:val="6"/>
        <w:snapToGrid w:val="0"/>
        <w:spacing w:line="288" w:lineRule="auto"/>
        <w:ind w:firstLine="0"/>
        <w:rPr>
          <w:rFonts w:ascii="宋体" w:hAnsi="宋体" w:cs="宋体"/>
          <w:b/>
          <w:color w:val="auto"/>
          <w:sz w:val="24"/>
          <w:szCs w:val="24"/>
        </w:rPr>
      </w:pPr>
      <w:r>
        <w:rPr>
          <w:rFonts w:hint="eastAsia" w:ascii="宋体" w:hAnsi="宋体" w:cs="宋体"/>
          <w:bCs/>
          <w:color w:val="auto"/>
          <w:sz w:val="24"/>
          <w:szCs w:val="24"/>
        </w:rPr>
        <w:t xml:space="preserve">    </w:t>
      </w:r>
      <w:r>
        <w:rPr>
          <w:rFonts w:hint="eastAsia" w:ascii="宋体" w:hAnsi="宋体" w:cs="宋体"/>
          <w:b/>
          <w:color w:val="auto"/>
          <w:sz w:val="24"/>
          <w:szCs w:val="24"/>
        </w:rPr>
        <w:t xml:space="preserve">注：关于资质有效期均按照《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要求。 </w:t>
      </w:r>
    </w:p>
    <w:p>
      <w:pPr>
        <w:widowControl/>
        <w:tabs>
          <w:tab w:val="left" w:pos="900"/>
          <w:tab w:val="left" w:pos="1100"/>
        </w:tabs>
        <w:spacing w:line="288" w:lineRule="auto"/>
        <w:ind w:firstLine="398" w:firstLineChars="166"/>
        <w:rPr>
          <w:rFonts w:ascii="宋体" w:hAnsi="宋体" w:cs="宋体"/>
          <w:color w:val="auto"/>
          <w:sz w:val="24"/>
          <w:szCs w:val="24"/>
        </w:rPr>
      </w:pPr>
      <w:r>
        <w:rPr>
          <w:rFonts w:hint="eastAsia" w:ascii="宋体" w:hAnsi="宋体" w:cs="宋体"/>
          <w:color w:val="auto"/>
          <w:sz w:val="24"/>
          <w:szCs w:val="24"/>
        </w:rPr>
        <w:t>3.3投标人委派的项目负责人必须是本单位在册人员，并满足以下资格条件：</w:t>
      </w:r>
    </w:p>
    <w:p>
      <w:pPr>
        <w:widowControl/>
        <w:tabs>
          <w:tab w:val="left" w:pos="900"/>
          <w:tab w:val="left" w:pos="1100"/>
        </w:tabs>
        <w:spacing w:line="288" w:lineRule="auto"/>
        <w:ind w:firstLine="360" w:firstLineChars="150"/>
        <w:rPr>
          <w:rFonts w:ascii="宋体" w:hAnsi="宋体" w:cs="宋体"/>
          <w:color w:val="auto"/>
          <w:sz w:val="24"/>
          <w:szCs w:val="24"/>
        </w:rPr>
      </w:pPr>
      <w:r>
        <w:rPr>
          <w:rFonts w:hint="eastAsia" w:ascii="宋体" w:hAnsi="宋体" w:cs="宋体"/>
          <w:color w:val="auto"/>
          <w:sz w:val="24"/>
          <w:szCs w:val="24"/>
        </w:rPr>
        <w:t>（1）拟担任本项目的勘察项目负责人:</w:t>
      </w:r>
      <w:r>
        <w:rPr>
          <w:rFonts w:hint="eastAsia" w:ascii="宋体" w:hAnsi="宋体" w:cs="宋体"/>
          <w:b/>
          <w:bCs/>
          <w:color w:val="auto"/>
          <w:sz w:val="24"/>
          <w:szCs w:val="24"/>
          <w:u w:val="single"/>
        </w:rPr>
        <w:t>应具备注册土木（岩土）工程师执业资格或勘察类相关专业高级工程师或以上资格。（勘察类相关专业是指：岩土工程、水文地质与工程地质等勘察类相关专业)</w:t>
      </w:r>
      <w:r>
        <w:rPr>
          <w:rFonts w:hint="eastAsia" w:ascii="宋体" w:hAnsi="宋体" w:cs="宋体"/>
          <w:color w:val="auto"/>
          <w:sz w:val="24"/>
          <w:szCs w:val="24"/>
        </w:rPr>
        <w:t>；</w:t>
      </w:r>
    </w:p>
    <w:p>
      <w:pPr>
        <w:widowControl/>
        <w:tabs>
          <w:tab w:val="left" w:pos="900"/>
          <w:tab w:val="left" w:pos="1100"/>
        </w:tabs>
        <w:spacing w:line="288" w:lineRule="auto"/>
        <w:ind w:firstLine="360" w:firstLineChars="150"/>
        <w:rPr>
          <w:rFonts w:ascii="宋体" w:hAnsi="宋体" w:cs="宋体"/>
          <w:color w:val="auto"/>
          <w:sz w:val="24"/>
          <w:szCs w:val="24"/>
        </w:rPr>
      </w:pPr>
      <w:r>
        <w:rPr>
          <w:rFonts w:hint="eastAsia" w:ascii="宋体" w:hAnsi="宋体" w:cs="宋体"/>
          <w:color w:val="auto"/>
          <w:sz w:val="24"/>
          <w:szCs w:val="24"/>
        </w:rPr>
        <w:t>（2）拟担任本项目的设计项目负责人:</w:t>
      </w:r>
      <w:r>
        <w:rPr>
          <w:rFonts w:hint="eastAsia" w:ascii="宋体" w:hAnsi="宋体" w:cs="宋体"/>
          <w:b/>
          <w:bCs/>
          <w:color w:val="auto"/>
          <w:sz w:val="24"/>
          <w:u w:val="single"/>
        </w:rPr>
        <w:t>应具备一级注册建筑师</w:t>
      </w:r>
      <w:r>
        <w:rPr>
          <w:rFonts w:hint="eastAsia" w:ascii="宋体" w:hAnsi="宋体" w:cs="宋体"/>
          <w:color w:val="auto"/>
          <w:sz w:val="24"/>
          <w:szCs w:val="24"/>
        </w:rPr>
        <w:t xml:space="preserve">。 </w:t>
      </w:r>
    </w:p>
    <w:p>
      <w:pPr>
        <w:pStyle w:val="6"/>
        <w:snapToGrid w:val="0"/>
        <w:spacing w:line="288" w:lineRule="auto"/>
        <w:ind w:firstLine="352" w:firstLineChars="147"/>
        <w:rPr>
          <w:rFonts w:ascii="宋体" w:hAnsi="宋体" w:cs="宋体"/>
          <w:color w:val="auto"/>
          <w:kern w:val="0"/>
          <w:sz w:val="24"/>
          <w:szCs w:val="24"/>
          <w:u w:val="single"/>
        </w:rPr>
      </w:pPr>
      <w:r>
        <w:rPr>
          <w:rFonts w:hint="eastAsia" w:ascii="宋体" w:hAnsi="宋体" w:cs="宋体"/>
          <w:color w:val="auto"/>
          <w:sz w:val="24"/>
          <w:szCs w:val="24"/>
        </w:rPr>
        <w:t>3.4</w:t>
      </w:r>
      <w:r>
        <w:rPr>
          <w:rFonts w:hint="eastAsia" w:ascii="宋体" w:hAnsi="宋体" w:cs="宋体"/>
          <w:color w:val="auto"/>
          <w:sz w:val="24"/>
        </w:rPr>
        <w:t>投标人（联合体所有成员）开标前须按照《梅州市建筑市场诚信管理办法（修订）》的要求和《梅州市住房和城乡建设局关于建设工程企业诚信信息登记有关问题的通知》（梅市建函〔2016〕365号）、《关于暂停招标文件对人员信息登记要求的通知》（梅市建函〔2021〕220号）的要求到梅州市住房和城乡建设局办理企业登记并已在该平台公开发布。</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widowControl/>
        <w:spacing w:line="288" w:lineRule="auto"/>
        <w:ind w:firstLine="480"/>
        <w:rPr>
          <w:rFonts w:ascii="宋体" w:hAnsi="宋体" w:cs="宋体"/>
          <w:color w:val="auto"/>
          <w:sz w:val="18"/>
          <w:szCs w:val="18"/>
        </w:rPr>
      </w:pPr>
      <w:r>
        <w:rPr>
          <w:rFonts w:hint="eastAsia" w:ascii="宋体" w:hAnsi="宋体" w:cs="宋体"/>
          <w:color w:val="auto"/>
          <w:sz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pPr>
        <w:widowControl/>
        <w:spacing w:line="288" w:lineRule="auto"/>
        <w:ind w:firstLine="480"/>
        <w:rPr>
          <w:rFonts w:ascii="宋体" w:hAnsi="宋体" w:cs="宋体"/>
          <w:color w:val="auto"/>
          <w:sz w:val="18"/>
          <w:szCs w:val="18"/>
        </w:rPr>
      </w:pPr>
      <w:r>
        <w:rPr>
          <w:rFonts w:hint="eastAsia" w:ascii="宋体" w:hAnsi="宋体" w:cs="宋体"/>
          <w:color w:val="auto"/>
          <w:sz w:val="24"/>
          <w:szCs w:val="24"/>
        </w:rPr>
        <w:t>3.5投标人信誉要求：</w:t>
      </w:r>
    </w:p>
    <w:p>
      <w:pPr>
        <w:snapToGrid w:val="0"/>
        <w:spacing w:line="288" w:lineRule="auto"/>
        <w:ind w:firstLine="480" w:firstLineChars="200"/>
        <w:rPr>
          <w:rFonts w:ascii="宋体" w:hAnsi="宋体"/>
          <w:color w:val="auto"/>
          <w:sz w:val="24"/>
          <w:highlight w:val="yellow"/>
        </w:rPr>
      </w:pPr>
      <w:r>
        <w:rPr>
          <w:rFonts w:hint="eastAsia" w:ascii="宋体" w:hAnsi="宋体"/>
          <w:color w:val="auto"/>
          <w:sz w:val="24"/>
        </w:rPr>
        <w:t>自2021年9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w:t>
      </w:r>
    </w:p>
    <w:p>
      <w:pPr>
        <w:snapToGrid w:val="0"/>
        <w:spacing w:line="288" w:lineRule="auto"/>
        <w:ind w:firstLine="480" w:firstLineChars="200"/>
        <w:rPr>
          <w:rFonts w:ascii="宋体" w:hAnsi="宋体"/>
          <w:color w:val="auto"/>
          <w:sz w:val="24"/>
        </w:rPr>
      </w:pPr>
      <w:r>
        <w:rPr>
          <w:rFonts w:hint="eastAsia" w:ascii="宋体" w:hAnsi="宋体"/>
          <w:color w:val="auto"/>
          <w:sz w:val="24"/>
        </w:rPr>
        <w:t xml:space="preserve">3.6 </w:t>
      </w:r>
      <w:r>
        <w:rPr>
          <w:rFonts w:hint="eastAsia" w:ascii="宋体" w:hAnsi="宋体"/>
          <w:b/>
          <w:bCs/>
          <w:color w:val="auto"/>
          <w:sz w:val="24"/>
        </w:rPr>
        <w:t>投标人(联合体所有成员）、建筑设计项目负责人</w:t>
      </w:r>
      <w:r>
        <w:rPr>
          <w:rFonts w:hint="eastAsia" w:ascii="宋体" w:hAnsi="宋体"/>
          <w:color w:val="auto"/>
          <w:sz w:val="24"/>
        </w:rPr>
        <w:t>还应在广州公共资源交易中心办理投标企业信息及人员信息登记，无企业信息登记及人员信息登记的资格申请将不予受理。企业信息登记的办理详情参见广州公共资源交易中心网站服务指南栏目。</w:t>
      </w:r>
    </w:p>
    <w:p>
      <w:pPr>
        <w:snapToGrid w:val="0"/>
        <w:spacing w:line="288" w:lineRule="auto"/>
        <w:rPr>
          <w:rFonts w:ascii="宋体" w:hAnsi="宋体"/>
          <w:b/>
          <w:color w:val="auto"/>
          <w:sz w:val="24"/>
        </w:rPr>
      </w:pPr>
      <w:r>
        <w:rPr>
          <w:rFonts w:hint="eastAsia" w:ascii="宋体" w:hAnsi="宋体"/>
          <w:b/>
          <w:color w:val="auto"/>
          <w:sz w:val="24"/>
        </w:rPr>
        <w:t>4、资格审查要求和评标办法：</w:t>
      </w:r>
    </w:p>
    <w:p>
      <w:pPr>
        <w:snapToGrid w:val="0"/>
        <w:spacing w:line="288" w:lineRule="auto"/>
        <w:ind w:firstLine="480" w:firstLineChars="200"/>
        <w:rPr>
          <w:rFonts w:ascii="宋体" w:hAnsi="宋体"/>
          <w:color w:val="auto"/>
          <w:sz w:val="24"/>
        </w:rPr>
      </w:pPr>
      <w:r>
        <w:rPr>
          <w:rFonts w:hint="eastAsia" w:ascii="宋体" w:hAnsi="宋体"/>
          <w:color w:val="auto"/>
          <w:sz w:val="24"/>
        </w:rPr>
        <w:t>4.1本次招标采用资格后审方式；资格审查的具体要求见招标文件；资格审查不合格的投标人投标文件将被否决。</w:t>
      </w:r>
    </w:p>
    <w:p>
      <w:pPr>
        <w:snapToGrid w:val="0"/>
        <w:spacing w:line="288" w:lineRule="auto"/>
        <w:ind w:firstLine="480" w:firstLineChars="200"/>
        <w:rPr>
          <w:rFonts w:ascii="宋体" w:hAnsi="宋体"/>
          <w:color w:val="auto"/>
          <w:sz w:val="24"/>
        </w:rPr>
      </w:pPr>
      <w:r>
        <w:rPr>
          <w:rFonts w:hint="eastAsia" w:ascii="宋体" w:hAnsi="宋体"/>
          <w:color w:val="auto"/>
          <w:sz w:val="24"/>
        </w:rPr>
        <w:t>4.2评定标办法：综合评估法。</w:t>
      </w:r>
    </w:p>
    <w:p>
      <w:pPr>
        <w:numPr>
          <w:ilvl w:val="0"/>
          <w:numId w:val="5"/>
        </w:numPr>
        <w:snapToGrid w:val="0"/>
        <w:spacing w:line="288" w:lineRule="auto"/>
        <w:rPr>
          <w:rFonts w:ascii="宋体" w:hAnsi="宋体"/>
          <w:b/>
          <w:color w:val="auto"/>
          <w:sz w:val="24"/>
        </w:rPr>
      </w:pPr>
      <w:r>
        <w:rPr>
          <w:rFonts w:hint="eastAsia" w:ascii="宋体" w:hAnsi="宋体"/>
          <w:b/>
          <w:color w:val="auto"/>
          <w:sz w:val="24"/>
        </w:rPr>
        <w:t>其他要求：</w:t>
      </w:r>
    </w:p>
    <w:p>
      <w:pPr>
        <w:snapToGrid w:val="0"/>
        <w:spacing w:line="288" w:lineRule="auto"/>
        <w:ind w:firstLine="480" w:firstLineChars="200"/>
        <w:rPr>
          <w:rFonts w:ascii="宋体" w:hAnsi="宋体"/>
          <w:color w:val="auto"/>
          <w:sz w:val="24"/>
        </w:rPr>
      </w:pPr>
      <w:r>
        <w:rPr>
          <w:rFonts w:hint="eastAsia" w:ascii="宋体" w:hAnsi="宋体"/>
          <w:bCs/>
          <w:color w:val="auto"/>
          <w:sz w:val="24"/>
        </w:rPr>
        <w:t>5.1</w:t>
      </w:r>
      <w:r>
        <w:rPr>
          <w:rFonts w:hint="eastAsia" w:ascii="宋体" w:hAnsi="宋体"/>
          <w:color w:val="auto"/>
          <w:sz w:val="24"/>
        </w:rPr>
        <w:t>与招标人存在利害关系可能影响招标公正性的法人及其他组织，不得参加投标。单位负责人为同一人或者存在控股、管理关系的不同单位，不得同时参加投标。</w:t>
      </w:r>
    </w:p>
    <w:p>
      <w:pPr>
        <w:snapToGrid w:val="0"/>
        <w:spacing w:line="360" w:lineRule="auto"/>
        <w:ind w:firstLine="480" w:firstLineChars="200"/>
        <w:rPr>
          <w:rFonts w:ascii="宋体" w:hAnsi="宋体"/>
          <w:color w:val="auto"/>
          <w:sz w:val="24"/>
        </w:rPr>
      </w:pPr>
      <w:r>
        <w:rPr>
          <w:rFonts w:hint="eastAsia" w:ascii="宋体" w:hAnsi="宋体"/>
          <w:color w:val="auto"/>
          <w:sz w:val="24"/>
        </w:rPr>
        <w:t>5.2项目应实行限额设计，初步设计的建设内容和建设标准不得超过可行性研究报告批复的范围，编制初步设计概算不得超过经批准的可行性研究报告建安费总投资，编制施工图预算不得超过初步设计概算中的工程费用。</w:t>
      </w:r>
    </w:p>
    <w:p>
      <w:pPr>
        <w:pStyle w:val="2"/>
        <w:rPr>
          <w:color w:val="auto"/>
        </w:rPr>
      </w:pPr>
    </w:p>
    <w:p>
      <w:pPr>
        <w:snapToGrid w:val="0"/>
        <w:spacing w:line="288" w:lineRule="auto"/>
        <w:rPr>
          <w:rFonts w:ascii="宋体" w:hAnsi="宋体"/>
          <w:b/>
          <w:color w:val="auto"/>
          <w:sz w:val="24"/>
        </w:rPr>
      </w:pPr>
      <w:r>
        <w:rPr>
          <w:rFonts w:hint="eastAsia" w:ascii="宋体" w:hAnsi="宋体"/>
          <w:b/>
          <w:color w:val="auto"/>
          <w:sz w:val="24"/>
        </w:rPr>
        <w:t>6、招标文件获取</w:t>
      </w:r>
    </w:p>
    <w:p>
      <w:pPr>
        <w:adjustRightInd/>
        <w:spacing w:line="288" w:lineRule="auto"/>
        <w:ind w:left="720" w:leftChars="240" w:hanging="240" w:hangingChars="100"/>
        <w:textAlignment w:val="auto"/>
        <w:rPr>
          <w:rFonts w:ascii="宋体" w:hAnsi="宋体"/>
          <w:color w:val="auto"/>
          <w:kern w:val="2"/>
          <w:sz w:val="24"/>
          <w:szCs w:val="24"/>
        </w:rPr>
      </w:pPr>
      <w:r>
        <w:rPr>
          <w:rFonts w:hint="eastAsia" w:ascii="宋体" w:hAnsi="宋体"/>
          <w:color w:val="auto"/>
          <w:kern w:val="2"/>
          <w:sz w:val="24"/>
          <w:szCs w:val="24"/>
        </w:rPr>
        <w:t>6.1本项目采用网上邀请，纸质投标。凡有意参加投标者，于</w:t>
      </w:r>
      <w:r>
        <w:rPr>
          <w:rFonts w:hint="eastAsia" w:ascii="宋体" w:hAnsi="宋体"/>
          <w:color w:val="auto"/>
          <w:kern w:val="2"/>
          <w:sz w:val="24"/>
          <w:szCs w:val="24"/>
          <w:lang w:val="en-US" w:eastAsia="zh-CN"/>
        </w:rPr>
        <w:t xml:space="preserve">   </w:t>
      </w:r>
      <w:r>
        <w:rPr>
          <w:rFonts w:hint="eastAsia" w:ascii="宋体" w:hAnsi="宋体"/>
          <w:color w:val="auto"/>
          <w:kern w:val="2"/>
          <w:sz w:val="24"/>
          <w:szCs w:val="24"/>
        </w:rPr>
        <w:t xml:space="preserve">年  月  日 时  分至 </w:t>
      </w:r>
    </w:p>
    <w:p>
      <w:pPr>
        <w:adjustRightInd/>
        <w:spacing w:line="288" w:lineRule="auto"/>
        <w:ind w:left="720" w:leftChars="240" w:hanging="240" w:hangingChars="100"/>
        <w:textAlignment w:val="auto"/>
        <w:rPr>
          <w:rFonts w:ascii="宋体" w:hAnsi="宋体"/>
          <w:color w:val="auto"/>
          <w:kern w:val="2"/>
          <w:sz w:val="24"/>
          <w:szCs w:val="24"/>
        </w:rPr>
      </w:pPr>
      <w:r>
        <w:rPr>
          <w:rFonts w:hint="eastAsia" w:ascii="宋体" w:hAnsi="宋体"/>
          <w:color w:val="auto"/>
          <w:kern w:val="2"/>
          <w:sz w:val="24"/>
          <w:szCs w:val="24"/>
        </w:rPr>
        <w:t>年  月  日  时  分，登录广州公共资源交易中心交易平台网站办理网上登记手续。详见</w:t>
      </w:r>
    </w:p>
    <w:p>
      <w:pPr>
        <w:adjustRightInd/>
        <w:spacing w:line="288" w:lineRule="auto"/>
        <w:textAlignment w:val="auto"/>
        <w:rPr>
          <w:rFonts w:ascii="宋体" w:hAnsi="宋体"/>
          <w:color w:val="auto"/>
          <w:kern w:val="2"/>
          <w:sz w:val="24"/>
          <w:szCs w:val="24"/>
        </w:rPr>
      </w:pPr>
      <w:r>
        <w:rPr>
          <w:rFonts w:hint="eastAsia" w:ascii="宋体" w:hAnsi="宋体"/>
          <w:color w:val="auto"/>
          <w:kern w:val="2"/>
          <w:sz w:val="24"/>
          <w:szCs w:val="24"/>
        </w:rPr>
        <w:t>广州公共资源交易中心网站发布的最新版操作指引。</w:t>
      </w:r>
    </w:p>
    <w:p>
      <w:pPr>
        <w:adjustRightInd/>
        <w:spacing w:line="288" w:lineRule="auto"/>
        <w:ind w:firstLine="480" w:firstLineChars="200"/>
        <w:textAlignment w:val="auto"/>
        <w:rPr>
          <w:rFonts w:hint="eastAsia" w:ascii="宋体" w:hAnsi="宋体"/>
          <w:color w:val="auto"/>
          <w:kern w:val="2"/>
          <w:sz w:val="24"/>
          <w:szCs w:val="24"/>
        </w:rPr>
      </w:pPr>
      <w:r>
        <w:rPr>
          <w:rFonts w:hint="eastAsia" w:ascii="宋体" w:hAnsi="宋体"/>
          <w:color w:val="auto"/>
          <w:kern w:val="2"/>
          <w:sz w:val="24"/>
          <w:szCs w:val="24"/>
        </w:rPr>
        <w:t>6.2广州公共资源交易中心交易平台网站发布。招标文件一经在广州公共资源交易中心交易平台发布，视为发售给投标人，招标文件（及相关资料）由投标人自行在广州公共资源交易中心交易平台网站或在本招标公告附件免费下载。</w:t>
      </w:r>
    </w:p>
    <w:p>
      <w:pPr>
        <w:pStyle w:val="2"/>
        <w:rPr>
          <w:color w:val="auto"/>
        </w:rPr>
      </w:pPr>
    </w:p>
    <w:p>
      <w:pPr>
        <w:numPr>
          <w:ilvl w:val="0"/>
          <w:numId w:val="6"/>
        </w:numPr>
        <w:snapToGrid w:val="0"/>
        <w:spacing w:line="288" w:lineRule="auto"/>
        <w:rPr>
          <w:rFonts w:ascii="宋体" w:hAnsi="宋体"/>
          <w:b/>
          <w:color w:val="auto"/>
          <w:sz w:val="24"/>
        </w:rPr>
      </w:pPr>
      <w:r>
        <w:rPr>
          <w:rFonts w:hint="eastAsia" w:ascii="宋体" w:hAnsi="宋体"/>
          <w:b/>
          <w:color w:val="auto"/>
          <w:sz w:val="24"/>
        </w:rPr>
        <w:t>投标文件的递交和开标</w:t>
      </w:r>
    </w:p>
    <w:p>
      <w:pPr>
        <w:adjustRightInd/>
        <w:spacing w:line="288" w:lineRule="auto"/>
        <w:ind w:firstLine="480" w:firstLineChars="200"/>
        <w:textAlignment w:val="auto"/>
        <w:rPr>
          <w:rFonts w:ascii="宋体" w:hAnsi="宋体"/>
          <w:color w:val="auto"/>
          <w:kern w:val="2"/>
          <w:sz w:val="24"/>
          <w:szCs w:val="24"/>
        </w:rPr>
      </w:pPr>
      <w:r>
        <w:rPr>
          <w:rFonts w:hint="eastAsia" w:ascii="宋体" w:hAnsi="宋体"/>
          <w:color w:val="auto"/>
          <w:kern w:val="2"/>
          <w:sz w:val="24"/>
          <w:szCs w:val="24"/>
        </w:rPr>
        <w:t>7.1本项目采用资格后审方式。采用纸质标流程，投标人需要在投标截止时间前递交纸质投标文件。</w:t>
      </w:r>
    </w:p>
    <w:p>
      <w:pPr>
        <w:adjustRightInd/>
        <w:spacing w:line="288" w:lineRule="auto"/>
        <w:ind w:firstLine="480" w:firstLineChars="200"/>
        <w:textAlignment w:val="auto"/>
        <w:rPr>
          <w:rFonts w:ascii="宋体" w:hAnsi="宋体"/>
          <w:color w:val="auto"/>
          <w:kern w:val="2"/>
          <w:sz w:val="24"/>
          <w:szCs w:val="24"/>
        </w:rPr>
      </w:pPr>
      <w:r>
        <w:rPr>
          <w:rFonts w:hint="eastAsia" w:ascii="宋体" w:hAnsi="宋体"/>
          <w:color w:val="auto"/>
          <w:kern w:val="2"/>
          <w:sz w:val="24"/>
          <w:szCs w:val="24"/>
        </w:rPr>
        <w:t>7.2投标文件递交的截止时间为    年   月   日   时   分，投标人应于当日   时   分至 时   分将投标文件递交至广州公共资源交易中心（广州市天河区天润路333号）开标室（具体详见广州公共资源交易中心网站关于本项目招投标活动日程安排）。</w:t>
      </w:r>
    </w:p>
    <w:p>
      <w:pPr>
        <w:numPr>
          <w:ilvl w:val="0"/>
          <w:numId w:val="6"/>
        </w:numPr>
        <w:adjustRightInd/>
        <w:spacing w:line="288" w:lineRule="auto"/>
        <w:ind w:left="0" w:leftChars="0" w:firstLine="0" w:firstLineChars="0"/>
        <w:textAlignment w:val="auto"/>
        <w:rPr>
          <w:rFonts w:hint="eastAsia" w:ascii="宋体" w:hAnsi="宋体" w:cs="宋体"/>
          <w:color w:val="auto"/>
          <w:kern w:val="2"/>
          <w:sz w:val="24"/>
          <w:szCs w:val="24"/>
        </w:rPr>
      </w:pPr>
      <w:r>
        <w:rPr>
          <w:rFonts w:hint="eastAsia" w:ascii="宋体" w:hAnsi="宋体" w:cs="宋体"/>
          <w:b/>
          <w:color w:val="auto"/>
          <w:kern w:val="2"/>
          <w:sz w:val="24"/>
          <w:szCs w:val="24"/>
        </w:rPr>
        <w:t>技术成果经济补偿:</w:t>
      </w:r>
      <w:r>
        <w:rPr>
          <w:rFonts w:hint="eastAsia" w:ascii="宋体" w:hAnsi="宋体" w:cs="宋体"/>
          <w:color w:val="auto"/>
          <w:kern w:val="2"/>
          <w:sz w:val="24"/>
          <w:szCs w:val="24"/>
        </w:rPr>
        <w:t>本次招标对未中标人投标文件中的技术成果不给予经济补偿。</w:t>
      </w:r>
    </w:p>
    <w:p>
      <w:pPr>
        <w:pStyle w:val="2"/>
        <w:numPr>
          <w:ilvl w:val="0"/>
          <w:numId w:val="0"/>
        </w:numPr>
        <w:ind w:leftChars="0"/>
        <w:rPr>
          <w:color w:val="auto"/>
        </w:rPr>
      </w:pPr>
    </w:p>
    <w:p>
      <w:pPr>
        <w:snapToGrid w:val="0"/>
        <w:spacing w:line="288" w:lineRule="auto"/>
        <w:rPr>
          <w:rFonts w:ascii="宋体" w:hAnsi="宋体"/>
          <w:b/>
          <w:color w:val="auto"/>
          <w:sz w:val="24"/>
        </w:rPr>
      </w:pPr>
      <w:r>
        <w:rPr>
          <w:rFonts w:hint="eastAsia" w:ascii="宋体" w:hAnsi="宋体"/>
          <w:b/>
          <w:color w:val="auto"/>
          <w:sz w:val="24"/>
        </w:rPr>
        <w:t xml:space="preserve">9、投标保证金              </w:t>
      </w:r>
    </w:p>
    <w:p>
      <w:pPr>
        <w:snapToGrid w:val="0"/>
        <w:spacing w:line="288" w:lineRule="auto"/>
        <w:ind w:firstLine="480" w:firstLineChars="200"/>
        <w:rPr>
          <w:rFonts w:hint="eastAsia" w:ascii="宋体" w:hAnsi="宋体"/>
          <w:color w:val="auto"/>
          <w:sz w:val="24"/>
        </w:rPr>
      </w:pPr>
      <w:r>
        <w:rPr>
          <w:rFonts w:hint="eastAsia" w:ascii="宋体" w:hAnsi="宋体"/>
          <w:color w:val="auto"/>
          <w:sz w:val="24"/>
        </w:rPr>
        <w:t>投标人应按招标文件规定提交投标保证金。</w:t>
      </w:r>
    </w:p>
    <w:p>
      <w:pPr>
        <w:pStyle w:val="2"/>
        <w:rPr>
          <w:color w:val="auto"/>
        </w:rPr>
      </w:pPr>
    </w:p>
    <w:p>
      <w:pPr>
        <w:snapToGrid w:val="0"/>
        <w:spacing w:line="288" w:lineRule="auto"/>
        <w:rPr>
          <w:rFonts w:ascii="宋体" w:hAnsi="宋体"/>
          <w:b/>
          <w:color w:val="auto"/>
          <w:sz w:val="24"/>
        </w:rPr>
      </w:pPr>
      <w:r>
        <w:rPr>
          <w:rFonts w:hint="eastAsia" w:ascii="宋体" w:hAnsi="宋体"/>
          <w:b/>
          <w:color w:val="auto"/>
          <w:sz w:val="24"/>
        </w:rPr>
        <w:t>10、发布公告的媒介</w:t>
      </w:r>
    </w:p>
    <w:p>
      <w:pPr>
        <w:snapToGrid w:val="0"/>
        <w:spacing w:line="288" w:lineRule="auto"/>
        <w:ind w:firstLine="480" w:firstLineChars="200"/>
        <w:rPr>
          <w:rFonts w:ascii="宋体" w:hAnsi="宋体"/>
          <w:color w:val="auto"/>
          <w:sz w:val="24"/>
        </w:rPr>
      </w:pPr>
      <w:r>
        <w:rPr>
          <w:rFonts w:hint="eastAsia" w:ascii="宋体" w:hAnsi="宋体"/>
          <w:color w:val="auto"/>
          <w:sz w:val="24"/>
        </w:rPr>
        <w:t>本次招标公告同时在</w:t>
      </w:r>
      <w:r>
        <w:rPr>
          <w:rFonts w:hint="eastAsia" w:ascii="宋体" w:hAnsi="宋体"/>
          <w:color w:val="auto"/>
          <w:sz w:val="24"/>
          <w:u w:val="single"/>
        </w:rPr>
        <w:t>广州公共资源交易中心网站、广东省招标投标监管网</w:t>
      </w:r>
      <w:r>
        <w:rPr>
          <w:rFonts w:hint="eastAsia" w:ascii="宋体" w:hAnsi="宋体"/>
          <w:color w:val="auto"/>
          <w:sz w:val="24"/>
          <w:szCs w:val="22"/>
        </w:rPr>
        <w:t>上</w:t>
      </w:r>
      <w:r>
        <w:rPr>
          <w:rFonts w:hint="eastAsia" w:ascii="宋体" w:hAnsi="宋体"/>
          <w:color w:val="auto"/>
          <w:sz w:val="24"/>
        </w:rPr>
        <w:t>发布。本公告的修改、补充在广州公共资源交易中心网站发布。本公告在各媒体发布的文本如有不同之处，以在广州公共资源交易中心网站发布的文本为准。</w:t>
      </w:r>
    </w:p>
    <w:p>
      <w:pPr>
        <w:pStyle w:val="32"/>
        <w:spacing w:before="0" w:beforeAutospacing="0" w:after="120" w:afterAutospacing="0" w:line="540" w:lineRule="exact"/>
        <w:jc w:val="both"/>
        <w:rPr>
          <w:rFonts w:ascii="Calibri" w:hAnsi="Calibri" w:eastAsia="微软雅黑" w:cs="Calibri"/>
          <w:color w:val="auto"/>
          <w:sz w:val="21"/>
          <w:szCs w:val="21"/>
        </w:rPr>
      </w:pPr>
      <w:r>
        <w:rPr>
          <w:rFonts w:hint="eastAsia" w:ascii="宋体" w:hAnsi="宋体"/>
          <w:color w:val="auto"/>
          <w:szCs w:val="22"/>
        </w:rPr>
        <w:t xml:space="preserve"> </w:t>
      </w:r>
      <w:r>
        <w:rPr>
          <w:rFonts w:hint="eastAsia" w:cs="Calibri"/>
          <w:b/>
          <w:bCs/>
          <w:color w:val="auto"/>
        </w:rPr>
        <w:t>11、联系方式</w:t>
      </w:r>
    </w:p>
    <w:p>
      <w:pPr>
        <w:pStyle w:val="32"/>
        <w:spacing w:before="0" w:beforeAutospacing="0" w:after="120" w:afterAutospacing="0" w:line="360" w:lineRule="auto"/>
        <w:ind w:firstLine="480" w:firstLineChars="200"/>
        <w:jc w:val="both"/>
        <w:rPr>
          <w:rFonts w:ascii="Calibri" w:hAnsi="Calibri" w:eastAsia="微软雅黑" w:cs="Calibri"/>
          <w:color w:val="auto"/>
          <w:sz w:val="21"/>
          <w:szCs w:val="21"/>
        </w:rPr>
      </w:pPr>
      <w:r>
        <w:rPr>
          <w:rFonts w:hint="eastAsia" w:cs="Calibri"/>
          <w:color w:val="auto"/>
        </w:rPr>
        <w:t>招标人：</w:t>
      </w:r>
      <w:r>
        <w:rPr>
          <w:rFonts w:hint="eastAsia" w:cs="Calibri"/>
          <w:color w:val="auto"/>
          <w:u w:val="single"/>
        </w:rPr>
        <w:t>大埔县城市管理和综合执法局（盖章）</w:t>
      </w:r>
    </w:p>
    <w:p>
      <w:pPr>
        <w:pStyle w:val="32"/>
        <w:spacing w:before="0" w:beforeAutospacing="0" w:after="120" w:afterAutospacing="0" w:line="360" w:lineRule="auto"/>
        <w:ind w:firstLine="480" w:firstLineChars="200"/>
        <w:jc w:val="both"/>
        <w:rPr>
          <w:rFonts w:ascii="Calibri" w:hAnsi="Calibri" w:eastAsia="微软雅黑" w:cs="Calibri"/>
          <w:color w:val="auto"/>
          <w:sz w:val="21"/>
          <w:szCs w:val="21"/>
        </w:rPr>
      </w:pPr>
      <w:r>
        <w:rPr>
          <w:rFonts w:hint="eastAsia" w:cs="Calibri"/>
          <w:color w:val="auto"/>
        </w:rPr>
        <w:t>地   址：</w:t>
      </w:r>
      <w:r>
        <w:rPr>
          <w:rFonts w:hint="eastAsia" w:cs="Calibri"/>
          <w:color w:val="auto"/>
          <w:u w:val="single"/>
        </w:rPr>
        <w:t>梅州市大埔县内环西路与畹香路交汇处西</w:t>
      </w:r>
    </w:p>
    <w:p>
      <w:pPr>
        <w:pStyle w:val="32"/>
        <w:spacing w:before="0" w:beforeAutospacing="0" w:after="120" w:afterAutospacing="0" w:line="360" w:lineRule="auto"/>
        <w:ind w:firstLine="480" w:firstLineChars="200"/>
        <w:jc w:val="both"/>
        <w:rPr>
          <w:rFonts w:cs="Calibri"/>
          <w:color w:val="auto"/>
          <w:u w:val="single"/>
        </w:rPr>
      </w:pPr>
      <w:r>
        <w:rPr>
          <w:rFonts w:hint="eastAsia" w:cs="Calibri"/>
          <w:color w:val="auto"/>
        </w:rPr>
        <w:t>联系人：</w:t>
      </w:r>
      <w:r>
        <w:rPr>
          <w:rFonts w:hint="eastAsia" w:cs="Calibri"/>
          <w:color w:val="auto"/>
          <w:u w:val="single"/>
        </w:rPr>
        <w:t>吴小姐</w:t>
      </w:r>
      <w:r>
        <w:rPr>
          <w:rFonts w:hint="eastAsia" w:cs="Calibri"/>
          <w:color w:val="auto"/>
        </w:rPr>
        <w:t xml:space="preserve">   电   话：</w:t>
      </w:r>
      <w:r>
        <w:rPr>
          <w:rFonts w:hint="eastAsia" w:cs="Calibri"/>
          <w:color w:val="auto"/>
          <w:u w:val="single"/>
        </w:rPr>
        <w:t xml:space="preserve">0753-5531336      </w:t>
      </w:r>
    </w:p>
    <w:p>
      <w:pPr>
        <w:pStyle w:val="32"/>
        <w:spacing w:before="0" w:beforeAutospacing="0" w:after="120" w:afterAutospacing="0" w:line="360" w:lineRule="auto"/>
        <w:ind w:firstLine="420" w:firstLineChars="200"/>
        <w:jc w:val="both"/>
        <w:rPr>
          <w:rFonts w:ascii="Calibri" w:hAnsi="Calibri" w:eastAsia="微软雅黑" w:cs="Calibri"/>
          <w:color w:val="auto"/>
          <w:sz w:val="21"/>
          <w:szCs w:val="21"/>
        </w:rPr>
      </w:pPr>
      <w:r>
        <w:rPr>
          <w:rFonts w:ascii="Calibri" w:hAnsi="Calibri" w:eastAsia="微软雅黑" w:cs="Calibri"/>
          <w:color w:val="auto"/>
          <w:sz w:val="21"/>
          <w:szCs w:val="21"/>
        </w:rPr>
        <w:t> </w:t>
      </w:r>
      <w:r>
        <w:rPr>
          <w:rFonts w:hint="eastAsia" w:cs="Calibri"/>
          <w:color w:val="auto"/>
        </w:rPr>
        <w:t>招标代理：</w:t>
      </w:r>
      <w:r>
        <w:rPr>
          <w:rFonts w:hint="eastAsia" w:ascii="宋体" w:hAnsi="宋体"/>
          <w:color w:val="auto"/>
          <w:u w:val="single"/>
        </w:rPr>
        <w:t>梅州市众汇工程管理有限公司</w:t>
      </w:r>
      <w:r>
        <w:rPr>
          <w:rFonts w:hint="eastAsia" w:cs="Calibri"/>
          <w:color w:val="auto"/>
          <w:u w:val="single"/>
        </w:rPr>
        <w:t>（盖章）</w:t>
      </w:r>
    </w:p>
    <w:p>
      <w:pPr>
        <w:snapToGrid w:val="0"/>
        <w:spacing w:line="360" w:lineRule="auto"/>
        <w:ind w:firstLine="480" w:firstLineChars="200"/>
        <w:rPr>
          <w:rFonts w:ascii="Calibri" w:hAnsi="Calibri" w:eastAsia="微软雅黑" w:cs="Calibri"/>
          <w:color w:val="auto"/>
          <w:sz w:val="21"/>
          <w:szCs w:val="21"/>
        </w:rPr>
      </w:pPr>
      <w:r>
        <w:rPr>
          <w:rFonts w:hint="eastAsia" w:cs="Calibri"/>
          <w:color w:val="auto"/>
          <w:sz w:val="24"/>
          <w:szCs w:val="24"/>
        </w:rPr>
        <w:t>地   址</w:t>
      </w:r>
      <w:r>
        <w:rPr>
          <w:rFonts w:hint="eastAsia" w:ascii="宋体" w:hAnsi="宋体"/>
          <w:color w:val="auto"/>
          <w:sz w:val="24"/>
          <w:szCs w:val="24"/>
        </w:rPr>
        <w:t>：</w:t>
      </w:r>
      <w:r>
        <w:rPr>
          <w:rFonts w:hint="eastAsia" w:ascii="宋体" w:hAnsi="宋体"/>
          <w:color w:val="auto"/>
          <w:sz w:val="24"/>
          <w:szCs w:val="24"/>
          <w:u w:val="single"/>
        </w:rPr>
        <w:t>梅州市梅江区华南大道47-5号二楼</w:t>
      </w:r>
    </w:p>
    <w:p>
      <w:pPr>
        <w:pStyle w:val="32"/>
        <w:spacing w:before="0" w:beforeAutospacing="0" w:after="120" w:afterAutospacing="0" w:line="360" w:lineRule="auto"/>
        <w:ind w:firstLine="480" w:firstLineChars="200"/>
        <w:jc w:val="both"/>
        <w:rPr>
          <w:rFonts w:cs="Calibri"/>
          <w:color w:val="auto"/>
        </w:rPr>
      </w:pPr>
      <w:r>
        <w:rPr>
          <w:rFonts w:hint="eastAsia" w:cs="Calibri"/>
          <w:color w:val="auto"/>
        </w:rPr>
        <w:t>联系人：</w:t>
      </w:r>
      <w:r>
        <w:rPr>
          <w:rFonts w:hint="eastAsia" w:cs="Calibri"/>
          <w:color w:val="auto"/>
          <w:u w:val="single"/>
        </w:rPr>
        <w:t>古工</w:t>
      </w:r>
      <w:r>
        <w:rPr>
          <w:rFonts w:hint="eastAsia" w:cs="Calibri"/>
          <w:color w:val="auto"/>
        </w:rPr>
        <w:t xml:space="preserve">  电   话：</w:t>
      </w:r>
      <w:r>
        <w:rPr>
          <w:rFonts w:hint="eastAsia" w:ascii="宋体" w:hAnsi="宋体"/>
          <w:color w:val="auto"/>
          <w:u w:val="single"/>
        </w:rPr>
        <w:t xml:space="preserve">0753-2114888      </w:t>
      </w:r>
      <w:r>
        <w:rPr>
          <w:rFonts w:hint="eastAsia" w:cs="Calibri"/>
          <w:color w:val="auto"/>
        </w:rPr>
        <w:t xml:space="preserve">   </w:t>
      </w:r>
    </w:p>
    <w:p>
      <w:pPr>
        <w:pStyle w:val="32"/>
        <w:spacing w:before="0" w:beforeAutospacing="0" w:after="120" w:afterAutospacing="0" w:line="540" w:lineRule="exact"/>
        <w:ind w:firstLine="240"/>
        <w:jc w:val="right"/>
        <w:rPr>
          <w:rFonts w:cs="Calibri"/>
          <w:color w:val="auto"/>
        </w:rPr>
      </w:pPr>
      <w:r>
        <w:rPr>
          <w:rFonts w:hint="eastAsia" w:cs="Calibri"/>
          <w:color w:val="auto"/>
        </w:rPr>
        <w:t xml:space="preserve">    年  月  日</w:t>
      </w:r>
    </w:p>
    <w:p>
      <w:pPr>
        <w:pStyle w:val="32"/>
        <w:spacing w:beforeAutospacing="0" w:after="120" w:afterAutospacing="0"/>
        <w:ind w:firstLine="3915" w:firstLineChars="1300"/>
        <w:jc w:val="both"/>
        <w:rPr>
          <w:rFonts w:cs="Calibri"/>
          <w:b/>
          <w:bCs/>
          <w:color w:val="auto"/>
          <w:sz w:val="30"/>
          <w:szCs w:val="30"/>
        </w:rPr>
      </w:pPr>
    </w:p>
    <w:p>
      <w:pPr>
        <w:pStyle w:val="32"/>
        <w:spacing w:beforeAutospacing="0" w:after="120" w:afterAutospacing="0"/>
        <w:ind w:firstLine="3915" w:firstLineChars="1300"/>
        <w:jc w:val="both"/>
        <w:rPr>
          <w:rFonts w:ascii="Calibri" w:hAnsi="Calibri" w:eastAsia="微软雅黑" w:cs="Calibri"/>
          <w:color w:val="auto"/>
          <w:sz w:val="21"/>
          <w:szCs w:val="21"/>
        </w:rPr>
      </w:pPr>
      <w:r>
        <w:rPr>
          <w:rFonts w:hint="eastAsia" w:cs="Calibri"/>
          <w:b/>
          <w:bCs/>
          <w:color w:val="auto"/>
          <w:sz w:val="30"/>
          <w:szCs w:val="30"/>
        </w:rPr>
        <w:t>联合体协议书</w:t>
      </w:r>
    </w:p>
    <w:p>
      <w:pPr>
        <w:pStyle w:val="32"/>
        <w:spacing w:before="0" w:beforeAutospacing="0" w:after="120" w:afterAutospacing="0" w:line="360" w:lineRule="auto"/>
        <w:ind w:firstLine="480"/>
        <w:jc w:val="both"/>
        <w:rPr>
          <w:rFonts w:eastAsia="微软雅黑"/>
          <w:color w:val="auto"/>
          <w:u w:val="single"/>
        </w:rPr>
      </w:pP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（所有成员单位名称）自愿组成联合体，共同参加</w:t>
      </w:r>
      <w:r>
        <w:rPr>
          <w:rFonts w:hint="eastAsia" w:asciiTheme="minorEastAsia" w:hAnsiTheme="minorEastAsia" w:eastAsiaTheme="minorEastAsia" w:cstheme="minorEastAsia"/>
          <w:color w:val="auto"/>
          <w:sz w:val="24"/>
          <w:szCs w:val="24"/>
          <w:u w:val="single"/>
        </w:rPr>
        <w:t>大埔县智慧停车场项目(勘察、设计)</w:t>
      </w:r>
      <w:r>
        <w:rPr>
          <w:rFonts w:hint="eastAsia" w:asciiTheme="minorEastAsia" w:hAnsiTheme="minorEastAsia" w:eastAsiaTheme="minorEastAsia" w:cstheme="minorEastAsia"/>
          <w:color w:val="auto"/>
          <w:sz w:val="24"/>
          <w:szCs w:val="24"/>
        </w:rPr>
        <w:t>投标。现就联合体投标事宜订立如下协议。</w:t>
      </w: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（单位名称）为联合体牵头人，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为联合体成员方。</w:t>
      </w: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联合体牵头人合法代表联合体各成员负责本招标项目投标文件编制和合同商定活动，并代表联合体提交和接收相关的资料、信息及指示，并处理与之有关的一切事务，负责合同实施阶段的主办、组织和协调工作。</w:t>
      </w: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3、联合体将严格按照招标文件的各项要求，递交投标文件，履行合同，并对外承担连带责任。</w:t>
      </w: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4、如果中标，联合体各方将依照下述分工原则，就各方的具体工作范围和相应的责任、权利和义务，另行签订协议或合同，并报发包人。</w:t>
      </w:r>
    </w:p>
    <w:p>
      <w:pPr>
        <w:spacing w:line="48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5、本协议书自签署之日起生效，合同履行完毕后自动失效。 </w:t>
      </w:r>
    </w:p>
    <w:p>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6、本协议书联合体成员和招标人各执一份，附投标文件正本一份（附入投标文件正本内）。</w:t>
      </w:r>
    </w:p>
    <w:p>
      <w:pPr>
        <w:rPr>
          <w:color w:val="auto"/>
        </w:rPr>
      </w:pPr>
    </w:p>
    <w:p>
      <w:pPr>
        <w:spacing w:line="360" w:lineRule="auto"/>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牵头人名称：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（盖单位章）</w:t>
      </w:r>
    </w:p>
    <w:p>
      <w:pPr>
        <w:spacing w:line="360" w:lineRule="auto"/>
        <w:ind w:firstLine="3840" w:firstLineChars="16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分工内容：</w:t>
      </w:r>
    </w:p>
    <w:p>
      <w:pPr>
        <w:spacing w:line="360" w:lineRule="auto"/>
        <w:ind w:firstLine="3840" w:firstLineChars="16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w:t>
      </w:r>
      <w:r>
        <w:rPr>
          <w:rFonts w:hint="eastAsia" w:asciiTheme="minorEastAsia" w:hAnsiTheme="minorEastAsia" w:eastAsiaTheme="minorEastAsia" w:cstheme="minorEastAsia"/>
          <w:color w:val="auto"/>
          <w:sz w:val="24"/>
          <w:szCs w:val="24"/>
          <w:u w:val="single"/>
        </w:rPr>
        <w:t xml:space="preserve">                               </w:t>
      </w:r>
    </w:p>
    <w:p>
      <w:pPr>
        <w:spacing w:line="360" w:lineRule="auto"/>
        <w:rPr>
          <w:rFonts w:asciiTheme="minorEastAsia" w:hAnsiTheme="minorEastAsia" w:eastAsiaTheme="minorEastAsia" w:cstheme="minorEastAsia"/>
          <w:color w:val="auto"/>
          <w:sz w:val="24"/>
          <w:szCs w:val="24"/>
        </w:rPr>
      </w:pPr>
    </w:p>
    <w:p>
      <w:pPr>
        <w:spacing w:line="360" w:lineRule="auto"/>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成员名称：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（盖单位章）</w:t>
      </w:r>
    </w:p>
    <w:p>
      <w:pPr>
        <w:spacing w:line="360" w:lineRule="auto"/>
        <w:ind w:firstLine="4080" w:firstLineChars="17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分工内容：</w:t>
      </w:r>
    </w:p>
    <w:p>
      <w:pPr>
        <w:spacing w:line="360" w:lineRule="auto"/>
        <w:ind w:firstLine="4080" w:firstLineChars="17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法定代表人（签字或盖章）：</w:t>
      </w:r>
      <w:r>
        <w:rPr>
          <w:rFonts w:hint="eastAsia" w:asciiTheme="minorEastAsia" w:hAnsiTheme="minorEastAsia" w:eastAsiaTheme="minorEastAsia" w:cstheme="minorEastAsia"/>
          <w:color w:val="auto"/>
          <w:sz w:val="24"/>
          <w:szCs w:val="24"/>
          <w:u w:val="single"/>
        </w:rPr>
        <w:t xml:space="preserve">                             </w:t>
      </w:r>
    </w:p>
    <w:p>
      <w:pPr>
        <w:wordWrap w:val="0"/>
        <w:spacing w:line="360" w:lineRule="auto"/>
        <w:ind w:right="960" w:firstLine="720" w:firstLineChars="3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6"/>
        <w:rPr>
          <w:color w:val="auto"/>
        </w:rPr>
      </w:pPr>
    </w:p>
    <w:p>
      <w:pPr>
        <w:rPr>
          <w:color w:val="auto"/>
        </w:rPr>
      </w:pPr>
    </w:p>
    <w:p>
      <w:pPr>
        <w:pStyle w:val="2"/>
        <w:rPr>
          <w:color w:val="auto"/>
        </w:rPr>
      </w:pPr>
    </w:p>
    <w:p>
      <w:pPr>
        <w:pStyle w:val="2"/>
        <w:rPr>
          <w:color w:val="auto"/>
        </w:rPr>
      </w:pPr>
    </w:p>
    <w:p>
      <w:pPr>
        <w:wordWrap w:val="0"/>
        <w:spacing w:line="360" w:lineRule="auto"/>
        <w:ind w:right="960" w:firstLine="1080" w:firstLineChars="300"/>
        <w:jc w:val="center"/>
        <w:outlineLvl w:val="0"/>
        <w:rPr>
          <w:rFonts w:ascii="宋体" w:hAnsi="宋体" w:cs="宋体"/>
          <w:b/>
          <w:bCs/>
          <w:color w:val="auto"/>
          <w:sz w:val="24"/>
          <w:szCs w:val="24"/>
        </w:rPr>
      </w:pPr>
      <w:bookmarkStart w:id="6" w:name="_Toc3407"/>
      <w:r>
        <w:rPr>
          <w:rFonts w:hint="eastAsia"/>
          <w:color w:val="auto"/>
          <w:sz w:val="36"/>
          <w:szCs w:val="36"/>
        </w:rPr>
        <w:t>第二章 投标须知前附表及投标人须知</w:t>
      </w:r>
      <w:bookmarkEnd w:id="6"/>
    </w:p>
    <w:p>
      <w:pPr>
        <w:ind w:firstLine="4096" w:firstLineChars="1700"/>
        <w:rPr>
          <w:rFonts w:ascii="宋体" w:hAnsi="宋体" w:cs="宋体"/>
          <w:b/>
          <w:bCs/>
          <w:color w:val="auto"/>
          <w:sz w:val="24"/>
          <w:szCs w:val="24"/>
        </w:rPr>
      </w:pPr>
      <w:r>
        <w:rPr>
          <w:rFonts w:hint="eastAsia" w:ascii="宋体" w:hAnsi="宋体" w:cs="宋体"/>
          <w:b/>
          <w:bCs/>
          <w:color w:val="auto"/>
          <w:sz w:val="24"/>
          <w:szCs w:val="24"/>
        </w:rPr>
        <w:t>投标须知前附表</w:t>
      </w:r>
    </w:p>
    <w:tbl>
      <w:tblPr>
        <w:tblStyle w:val="37"/>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74"/>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8" w:type="dxa"/>
            <w:tcBorders>
              <w:top w:val="single" w:color="auto" w:sz="8" w:space="0"/>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项号</w:t>
            </w:r>
          </w:p>
        </w:tc>
        <w:tc>
          <w:tcPr>
            <w:tcW w:w="2174" w:type="dxa"/>
            <w:tcBorders>
              <w:top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条款名称</w:t>
            </w:r>
          </w:p>
        </w:tc>
        <w:tc>
          <w:tcPr>
            <w:tcW w:w="7076" w:type="dxa"/>
            <w:tcBorders>
              <w:top w:val="single" w:color="auto" w:sz="4" w:space="0"/>
              <w:left w:val="single" w:color="auto" w:sz="4" w:space="0"/>
              <w:right w:val="single" w:color="auto" w:sz="8" w:space="0"/>
            </w:tcBorders>
            <w:vAlign w:val="center"/>
          </w:tcPr>
          <w:p>
            <w:pPr>
              <w:adjustRightInd/>
              <w:spacing w:line="288" w:lineRule="auto"/>
              <w:jc w:val="center"/>
              <w:textAlignment w:val="auto"/>
              <w:rPr>
                <w:rFonts w:ascii="宋体" w:hAnsi="宋体"/>
                <w:color w:val="auto"/>
                <w:kern w:val="2"/>
                <w:sz w:val="24"/>
                <w:szCs w:val="24"/>
              </w:rPr>
            </w:pPr>
            <w:r>
              <w:rPr>
                <w:rFonts w:hint="eastAsia" w:ascii="宋体" w:hAnsi="宋体"/>
                <w:color w:val="auto"/>
                <w:kern w:val="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招标人</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名  称：</w:t>
            </w:r>
            <w:r>
              <w:rPr>
                <w:rFonts w:hint="eastAsia" w:ascii="宋体" w:hAnsi="宋体"/>
                <w:color w:val="auto"/>
                <w:kern w:val="2"/>
                <w:sz w:val="24"/>
                <w:szCs w:val="24"/>
                <w:lang w:val="zh-CN"/>
              </w:rPr>
              <w:t>大埔县城市管理和综合执法局</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 xml:space="preserve">地  址：梅州市大埔县内环西路与畹香路交汇处西 </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 xml:space="preserve">联系人：吴小姐        联系电话：0753-5531336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w:t>
            </w:r>
          </w:p>
        </w:tc>
        <w:tc>
          <w:tcPr>
            <w:tcW w:w="2174" w:type="dxa"/>
            <w:tcBorders>
              <w:right w:val="single" w:color="auto" w:sz="4" w:space="0"/>
            </w:tcBorders>
            <w:vAlign w:val="center"/>
          </w:tcPr>
          <w:p>
            <w:pPr>
              <w:spacing w:line="440" w:lineRule="exact"/>
              <w:jc w:val="center"/>
              <w:rPr>
                <w:rFonts w:ascii="宋体" w:hAnsi="宋体"/>
                <w:color w:val="auto"/>
                <w:sz w:val="24"/>
              </w:rPr>
            </w:pPr>
            <w:r>
              <w:rPr>
                <w:rFonts w:ascii="宋体" w:hAnsi="宋体"/>
                <w:color w:val="auto"/>
                <w:sz w:val="24"/>
              </w:rPr>
              <w:t>招标代理机构</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名称：梅州市众汇工程管理有限公司</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地址：梅州市梅江区华南大道47-5号二楼</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 xml:space="preserve">联系人：古工    联系电话：0753-2114888 </w:t>
            </w:r>
            <w:r>
              <w:rPr>
                <w:color w:val="auto"/>
              </w:rPr>
              <w:fldChar w:fldCharType="begin"/>
            </w:r>
            <w:r>
              <w:rPr>
                <w:color w:val="auto"/>
              </w:rPr>
              <w:instrText xml:space="preserve"> HYPERLINK "mailto:bjzj_gz@163.com" </w:instrText>
            </w:r>
            <w:r>
              <w:rPr>
                <w:color w:val="auto"/>
              </w:rPr>
              <w:fldChar w:fldCharType="separate"/>
            </w:r>
            <w:r>
              <w:rPr>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项目名称</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大埔县智慧停车场项目(勘察、设计)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4</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建设地点</w:t>
            </w:r>
          </w:p>
        </w:tc>
        <w:tc>
          <w:tcPr>
            <w:tcW w:w="7076" w:type="dxa"/>
            <w:tcBorders>
              <w:left w:val="single" w:color="auto" w:sz="4" w:space="0"/>
              <w:right w:val="single" w:color="auto" w:sz="4"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大埔县</w:t>
            </w:r>
            <w:r>
              <w:rPr>
                <w:rFonts w:hint="eastAsia" w:ascii="宋体" w:hAnsi="宋体"/>
                <w:color w:val="auto"/>
                <w:sz w:val="24"/>
              </w:rPr>
              <w:t>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5</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资金来源</w:t>
            </w:r>
          </w:p>
        </w:tc>
        <w:tc>
          <w:tcPr>
            <w:tcW w:w="7076" w:type="dxa"/>
            <w:tcBorders>
              <w:left w:val="single" w:color="auto" w:sz="4" w:space="0"/>
              <w:right w:val="single" w:color="auto" w:sz="4"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除积极争取上级资金外，其余不足部分地方财政统筹解决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6</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项目规模</w:t>
            </w:r>
          </w:p>
        </w:tc>
        <w:tc>
          <w:tcPr>
            <w:tcW w:w="7076" w:type="dxa"/>
            <w:tcBorders>
              <w:left w:val="single" w:color="auto" w:sz="4" w:space="0"/>
              <w:right w:val="single" w:color="auto" w:sz="4"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大埔县城区同仁路以北、沿河东路以西、环城大道以南、西环路、环城大道及西环路以东以及黎家坪部分路段辖区范围内的道路停车场及停车泊位进行智慧化改造，并在拥堵严重地段增建立体停车场。其中智慧化改造车位5121个，新建立体停车场4个，涉及车位1000个，占地面积约70000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7</w:t>
            </w:r>
          </w:p>
        </w:tc>
        <w:tc>
          <w:tcPr>
            <w:tcW w:w="2174" w:type="dxa"/>
            <w:tcBorders>
              <w:right w:val="single" w:color="auto" w:sz="4" w:space="0"/>
            </w:tcBorders>
            <w:vAlign w:val="center"/>
          </w:tcPr>
          <w:p>
            <w:pPr>
              <w:pStyle w:val="6"/>
              <w:snapToGrid w:val="0"/>
              <w:spacing w:line="440" w:lineRule="exact"/>
              <w:ind w:left="-108" w:leftChars="-54" w:firstLine="108" w:firstLineChars="45"/>
              <w:jc w:val="center"/>
              <w:rPr>
                <w:rFonts w:ascii="宋体" w:hAnsi="宋体" w:cs="宋体"/>
                <w:color w:val="auto"/>
                <w:sz w:val="24"/>
                <w:szCs w:val="24"/>
              </w:rPr>
            </w:pPr>
            <w:r>
              <w:rPr>
                <w:rFonts w:hint="eastAsia" w:ascii="宋体" w:hAnsi="宋体" w:cs="宋体"/>
                <w:color w:val="auto"/>
                <w:sz w:val="24"/>
                <w:szCs w:val="24"/>
              </w:rPr>
              <w:t>招标范围</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完成大埔县城区范围内的勘察工作（含详细勘察、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8</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勘察、设计周期</w:t>
            </w:r>
          </w:p>
        </w:tc>
        <w:tc>
          <w:tcPr>
            <w:tcW w:w="7076" w:type="dxa"/>
            <w:tcBorders>
              <w:left w:val="single" w:color="auto" w:sz="4" w:space="0"/>
              <w:right w:val="single" w:color="auto" w:sz="8" w:space="0"/>
            </w:tcBorders>
            <w:vAlign w:val="center"/>
          </w:tcPr>
          <w:p>
            <w:pPr>
              <w:pStyle w:val="6"/>
              <w:snapToGrid w:val="0"/>
              <w:spacing w:line="288" w:lineRule="auto"/>
              <w:ind w:firstLine="0"/>
              <w:rPr>
                <w:rFonts w:ascii="宋体" w:hAnsi="宋体"/>
                <w:color w:val="auto"/>
                <w:sz w:val="24"/>
                <w:szCs w:val="24"/>
              </w:rPr>
            </w:pPr>
            <w:r>
              <w:rPr>
                <w:rFonts w:hint="eastAsia" w:ascii="宋体" w:hAnsi="宋体"/>
                <w:color w:val="auto"/>
                <w:sz w:val="24"/>
                <w:szCs w:val="24"/>
              </w:rPr>
              <w:t>总工期30天，</w:t>
            </w:r>
            <w:r>
              <w:rPr>
                <w:rFonts w:hint="eastAsia" w:ascii="宋体" w:hAnsi="宋体" w:cs="宋体"/>
                <w:color w:val="auto"/>
                <w:sz w:val="24"/>
                <w:szCs w:val="24"/>
              </w:rPr>
              <w:t>其中，勘察：合同签订后25个日历天内完成。设计：（1）方案设计：合同签订后10个日历天内；（2）施工图设计：建设工程规划许可证核发后20个日历天内</w:t>
            </w:r>
            <w:r>
              <w:rPr>
                <w:rFonts w:hint="eastAsia" w:ascii="宋体" w:hAnsi="宋体" w:cs="宋体"/>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9</w:t>
            </w:r>
          </w:p>
        </w:tc>
        <w:tc>
          <w:tcPr>
            <w:tcW w:w="2174" w:type="dxa"/>
            <w:tcBorders>
              <w:right w:val="single" w:color="auto" w:sz="4" w:space="0"/>
            </w:tcBorders>
            <w:vAlign w:val="center"/>
          </w:tcPr>
          <w:p>
            <w:pPr>
              <w:tabs>
                <w:tab w:val="left" w:pos="1800"/>
              </w:tabs>
              <w:spacing w:line="540" w:lineRule="exact"/>
              <w:jc w:val="center"/>
              <w:rPr>
                <w:rFonts w:ascii="宋体" w:hAnsi="宋体" w:cs="宋体"/>
                <w:color w:val="auto"/>
                <w:sz w:val="24"/>
                <w:szCs w:val="24"/>
              </w:rPr>
            </w:pPr>
            <w:r>
              <w:rPr>
                <w:rFonts w:hint="eastAsia" w:ascii="宋体" w:hAnsi="宋体" w:cs="宋体"/>
                <w:color w:val="auto"/>
                <w:sz w:val="24"/>
                <w:szCs w:val="24"/>
              </w:rPr>
              <w:t>质量标准</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质量标准：符合国家、行业颁布的工程勘察、设计规范要求。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10</w:t>
            </w:r>
          </w:p>
        </w:tc>
        <w:tc>
          <w:tcPr>
            <w:tcW w:w="2174" w:type="dxa"/>
            <w:tcBorders>
              <w:right w:val="single" w:color="auto" w:sz="4" w:space="0"/>
            </w:tcBorders>
            <w:vAlign w:val="center"/>
          </w:tcPr>
          <w:p>
            <w:pPr>
              <w:pStyle w:val="6"/>
              <w:snapToGrid w:val="0"/>
              <w:spacing w:line="240" w:lineRule="auto"/>
              <w:ind w:firstLine="0"/>
              <w:jc w:val="center"/>
              <w:rPr>
                <w:rFonts w:ascii="宋体" w:hAnsi="宋体" w:cs="宋体"/>
                <w:color w:val="auto"/>
                <w:sz w:val="24"/>
                <w:szCs w:val="24"/>
              </w:rPr>
            </w:pPr>
            <w:r>
              <w:rPr>
                <w:rFonts w:hint="eastAsia" w:ascii="宋体" w:hAnsi="宋体" w:cs="宋体"/>
                <w:color w:val="auto"/>
                <w:sz w:val="24"/>
                <w:szCs w:val="24"/>
              </w:rPr>
              <w:t>资格审查方式</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11</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合格投标人资格条件</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12</w:t>
            </w:r>
          </w:p>
        </w:tc>
        <w:tc>
          <w:tcPr>
            <w:tcW w:w="2174" w:type="dxa"/>
            <w:tcBorders>
              <w:right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费用承担和设计成果补偿</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不补偿</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eq \o\ac(□,×)</w:instrText>
            </w:r>
            <w:r>
              <w:rPr>
                <w:rFonts w:hint="eastAsia" w:ascii="宋体" w:hAnsi="宋体"/>
                <w:color w:val="auto"/>
                <w:kern w:val="2"/>
                <w:sz w:val="24"/>
                <w:szCs w:val="24"/>
              </w:rPr>
              <w:fldChar w:fldCharType="end"/>
            </w:r>
            <w:r>
              <w:rPr>
                <w:rFonts w:hint="eastAsia" w:ascii="宋体" w:hAnsi="宋体"/>
                <w:color w:val="auto"/>
                <w:kern w:val="2"/>
                <w:sz w:val="24"/>
                <w:szCs w:val="24"/>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13</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踏勘现场</w:t>
            </w:r>
          </w:p>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时间地点</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不组织：投标人自行前往踏勘，考察现场的费用由投标人自己承担。考察期间所发生的人身伤害及财产损失由投标人自己负责，因投标人原因引起的对第三方的其他损失或伤害由投标人承担。</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eq \o\ac(□,×)</w:instrText>
            </w:r>
            <w:r>
              <w:rPr>
                <w:rFonts w:hint="eastAsia" w:ascii="宋体" w:hAnsi="宋体"/>
                <w:color w:val="auto"/>
                <w:kern w:val="2"/>
                <w:sz w:val="24"/>
                <w:szCs w:val="24"/>
              </w:rPr>
              <w:fldChar w:fldCharType="end"/>
            </w:r>
            <w:r>
              <w:rPr>
                <w:rFonts w:hint="eastAsia" w:ascii="宋体" w:hAnsi="宋体"/>
                <w:color w:val="auto"/>
                <w:kern w:val="2"/>
                <w:sz w:val="24"/>
                <w:szCs w:val="24"/>
              </w:rPr>
              <w:t>组织，踏勘时间：</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14</w:t>
            </w:r>
          </w:p>
        </w:tc>
        <w:tc>
          <w:tcPr>
            <w:tcW w:w="2174" w:type="dxa"/>
            <w:tcBorders>
              <w:right w:val="single" w:color="auto" w:sz="4" w:space="0"/>
            </w:tcBorders>
            <w:vAlign w:val="center"/>
          </w:tcPr>
          <w:p>
            <w:pPr>
              <w:pStyle w:val="6"/>
              <w:snapToGrid w:val="0"/>
              <w:spacing w:line="360" w:lineRule="auto"/>
              <w:ind w:firstLine="0"/>
              <w:jc w:val="center"/>
              <w:rPr>
                <w:rFonts w:ascii="宋体" w:hAnsi="宋体" w:cs="宋体"/>
                <w:bCs/>
                <w:color w:val="auto"/>
                <w:sz w:val="24"/>
                <w:szCs w:val="24"/>
              </w:rPr>
            </w:pPr>
            <w:r>
              <w:rPr>
                <w:rFonts w:hint="eastAsia" w:ascii="宋体" w:hAnsi="宋体" w:cs="宋体"/>
                <w:bCs/>
                <w:color w:val="auto"/>
                <w:sz w:val="24"/>
                <w:szCs w:val="24"/>
              </w:rPr>
              <w:t>招标人澄清、修改或答疑期限和投标人质疑期限</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1、方式：网上答疑；</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2、投标人质疑期限：在投标截止日期前15日；</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3、招标人澄清、修补或答疑期限：在投标截止日期前10日；</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4、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5、招标答疑纪要一经广州公共资源交易中心网站发布，视作已发给所有投标人。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15</w:t>
            </w:r>
          </w:p>
        </w:tc>
        <w:tc>
          <w:tcPr>
            <w:tcW w:w="2174" w:type="dxa"/>
            <w:tcBorders>
              <w:right w:val="single" w:color="auto" w:sz="4" w:space="0"/>
            </w:tcBorders>
            <w:vAlign w:val="center"/>
          </w:tcPr>
          <w:p>
            <w:pPr>
              <w:pStyle w:val="6"/>
              <w:snapToGrid w:val="0"/>
              <w:spacing w:line="440" w:lineRule="exact"/>
              <w:ind w:firstLine="0"/>
              <w:jc w:val="center"/>
              <w:rPr>
                <w:rFonts w:ascii="宋体" w:hAnsi="宋体"/>
                <w:color w:val="auto"/>
                <w:sz w:val="24"/>
                <w:szCs w:val="24"/>
              </w:rPr>
            </w:pPr>
            <w:r>
              <w:rPr>
                <w:rFonts w:hint="eastAsia" w:ascii="宋体" w:hAnsi="宋体"/>
                <w:color w:val="auto"/>
                <w:sz w:val="24"/>
                <w:szCs w:val="24"/>
              </w:rPr>
              <w:t>勘察、设计费招标控制价</w:t>
            </w:r>
          </w:p>
        </w:tc>
        <w:tc>
          <w:tcPr>
            <w:tcW w:w="7076" w:type="dxa"/>
            <w:tcBorders>
              <w:left w:val="single" w:color="auto" w:sz="4" w:space="0"/>
              <w:right w:val="single" w:color="auto" w:sz="8" w:space="0"/>
            </w:tcBorders>
            <w:vAlign w:val="center"/>
          </w:tcPr>
          <w:p>
            <w:pPr>
              <w:tabs>
                <w:tab w:val="left" w:pos="1800"/>
              </w:tabs>
              <w:spacing w:line="288" w:lineRule="auto"/>
              <w:rPr>
                <w:rFonts w:ascii="宋体" w:hAnsi="宋体"/>
                <w:color w:val="auto"/>
                <w:kern w:val="2"/>
                <w:sz w:val="24"/>
                <w:szCs w:val="24"/>
              </w:rPr>
            </w:pPr>
            <w:r>
              <w:rPr>
                <w:rFonts w:hint="eastAsia" w:ascii="宋体" w:hAnsi="宋体" w:cs="宋体"/>
                <w:bCs/>
                <w:color w:val="auto"/>
                <w:sz w:val="24"/>
                <w:szCs w:val="24"/>
              </w:rPr>
              <w:t>招标控制价：312.30万元，其中勘察费64.57万元、设计费247.73万元（最终以财政审核中心为准）。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16</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olor w:val="auto"/>
                <w:sz w:val="24"/>
                <w:szCs w:val="24"/>
              </w:rPr>
              <w:t>勘察、</w:t>
            </w:r>
            <w:r>
              <w:rPr>
                <w:rFonts w:hint="eastAsia" w:ascii="宋体" w:hAnsi="宋体" w:cs="宋体"/>
                <w:color w:val="auto"/>
                <w:sz w:val="24"/>
                <w:szCs w:val="24"/>
              </w:rPr>
              <w:t>设计费投标报价</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勘察、设计费：在投标函中填报投标下浮率。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17</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highlight w:val="none"/>
              </w:rPr>
            </w:pPr>
            <w:r>
              <w:rPr>
                <w:rFonts w:hint="eastAsia" w:ascii="宋体" w:hAnsi="宋体"/>
                <w:color w:val="auto"/>
                <w:sz w:val="24"/>
                <w:szCs w:val="24"/>
                <w:highlight w:val="none"/>
              </w:rPr>
              <w:t>勘察、</w:t>
            </w:r>
            <w:r>
              <w:rPr>
                <w:rFonts w:hint="eastAsia" w:ascii="宋体" w:hAnsi="宋体" w:cs="宋体"/>
                <w:color w:val="auto"/>
                <w:sz w:val="24"/>
                <w:szCs w:val="24"/>
                <w:highlight w:val="none"/>
              </w:rPr>
              <w:t>设计费有效报价范围</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18</w:t>
            </w:r>
          </w:p>
        </w:tc>
        <w:tc>
          <w:tcPr>
            <w:tcW w:w="2174" w:type="dxa"/>
            <w:tcBorders>
              <w:right w:val="single" w:color="auto" w:sz="4" w:space="0"/>
            </w:tcBorders>
            <w:vAlign w:val="center"/>
          </w:tcPr>
          <w:p>
            <w:pPr>
              <w:pStyle w:val="6"/>
              <w:snapToGrid w:val="0"/>
              <w:spacing w:line="440" w:lineRule="exact"/>
              <w:ind w:firstLine="0"/>
              <w:jc w:val="center"/>
              <w:rPr>
                <w:rFonts w:ascii="宋体" w:hAnsi="宋体"/>
                <w:color w:val="auto"/>
                <w:sz w:val="24"/>
                <w:szCs w:val="24"/>
              </w:rPr>
            </w:pPr>
            <w:r>
              <w:rPr>
                <w:rFonts w:hint="eastAsia" w:ascii="宋体" w:hAnsi="宋体"/>
                <w:color w:val="auto"/>
                <w:sz w:val="24"/>
                <w:szCs w:val="24"/>
              </w:rPr>
              <w:t>合同付款方式</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勘察费支付办法：合同签订并确认进场后，勘察人提出申请，经有关程序审批后发包人10个工作日内支付勘察合同总额的 20％；承包人提交全部勘</w:t>
            </w:r>
            <w:r>
              <w:rPr>
                <w:rFonts w:hint="eastAsia" w:ascii="宋体" w:hAnsi="宋体"/>
                <w:color w:val="auto"/>
                <w:kern w:val="2"/>
                <w:sz w:val="24"/>
                <w:szCs w:val="24"/>
                <w:lang w:eastAsia="zh-Hans"/>
              </w:rPr>
              <w:t>察</w:t>
            </w:r>
            <w:r>
              <w:rPr>
                <w:rFonts w:hint="eastAsia" w:ascii="宋体" w:hAnsi="宋体"/>
                <w:color w:val="auto"/>
                <w:kern w:val="2"/>
                <w:sz w:val="24"/>
                <w:szCs w:val="24"/>
              </w:rPr>
              <w:t>成果资料经有关部门审核合格并按要求出具岩土勘察报告后，请款申请经有关程序审批后10个工作日内累计支付至勘察费用的50%；工程竣工验收完成后，余款申请经有关程序审批后10个工作日内付清。</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设计费支付条件和金额：</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（1）合同签订并进入设计阶段后，设计人提出申请，经有关程序审批后发包人10个工作日内支付设计合同总额的20％；</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（2）初步设计完成且全部工程施工图设计文件均按期完成并审核合格，施工图预算编制审核完成后，向设计人累计支付至合同总额的50％设计费；</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 xml:space="preserve">（3）设计费余款待工程竣工验收合格经财政结算定案后，设计人提出申请，经有关程序审批后发包人10个工作日内支付。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19</w:t>
            </w:r>
          </w:p>
        </w:tc>
        <w:tc>
          <w:tcPr>
            <w:tcW w:w="2174" w:type="dxa"/>
            <w:tcBorders>
              <w:right w:val="single" w:color="auto" w:sz="4" w:space="0"/>
            </w:tcBorders>
            <w:vAlign w:val="center"/>
          </w:tcPr>
          <w:p>
            <w:pPr>
              <w:pStyle w:val="6"/>
              <w:snapToGrid w:val="0"/>
              <w:spacing w:line="240" w:lineRule="auto"/>
              <w:ind w:firstLine="0"/>
              <w:jc w:val="center"/>
              <w:rPr>
                <w:rFonts w:ascii="宋体" w:hAnsi="宋体" w:cs="宋体"/>
                <w:bCs/>
                <w:color w:val="auto"/>
                <w:sz w:val="24"/>
                <w:szCs w:val="24"/>
              </w:rPr>
            </w:pPr>
            <w:r>
              <w:rPr>
                <w:rFonts w:hint="eastAsia" w:ascii="宋体" w:hAnsi="宋体" w:cs="宋体"/>
                <w:bCs/>
                <w:color w:val="auto"/>
                <w:sz w:val="24"/>
                <w:szCs w:val="24"/>
              </w:rPr>
              <w:t>结算方式</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设计费：参照国家发展计划委员会、建设部2002年颁布的《工程勘察设计收费标准》，以施工图预算经财政投资审核中心审定后的工程建安费造价为基数计算，计算得出工程设计费的标准收费额×（1-中标下浮率）。费用包含方案设计、初步设计及概算、施工图设计、深化设计、二次设计、变更设计等整个工程项目设计的相关工作、工程量清单及预算编制及施工现场驻点指导与配合服务，招标人不再支付其它附属的任何费用。</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勘察费：勘察费结算价=按《工程勘察设计收费标准（2002年修订本）》计费标准计算工程勘察费×（1-中标下浮率）。费用包含制订勘察纲要、进行勘探点定点测量费、取岩芯样收费、室内试验费、剪切波速测试、土壤氡浓度测试；其他费用：技术工作费、大型机械搬运费、勘察所需的水电及附属设施等勘察作业以及编制工程勘察文件和岩土工程设计文件等费用，招标人不再支付其它附属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20</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投标有效期</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本招标项目的投标有效期为投标截止期后90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5" w:hRule="atLeast"/>
        </w:trPr>
        <w:tc>
          <w:tcPr>
            <w:tcW w:w="708" w:type="dxa"/>
            <w:tcBorders>
              <w:left w:val="single" w:color="auto" w:sz="8" w:space="0"/>
              <w:bottom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21</w:t>
            </w:r>
          </w:p>
        </w:tc>
        <w:tc>
          <w:tcPr>
            <w:tcW w:w="2174" w:type="dxa"/>
            <w:tcBorders>
              <w:bottom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投标保证金提交方式和金额</w:t>
            </w:r>
          </w:p>
        </w:tc>
        <w:tc>
          <w:tcPr>
            <w:tcW w:w="7076" w:type="dxa"/>
            <w:tcBorders>
              <w:left w:val="single" w:color="auto" w:sz="4" w:space="0"/>
              <w:bottom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保证金提交方式（任选其一）：</w:t>
            </w: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 xml:space="preserve">银行保函   </w:t>
            </w: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 xml:space="preserve"> 银行转账</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投标保证金保证数额：</w:t>
            </w:r>
            <w:r>
              <w:rPr>
                <w:rFonts w:hint="eastAsia" w:ascii="宋体" w:hAnsi="宋体"/>
                <w:b/>
                <w:bCs/>
                <w:color w:val="auto"/>
                <w:kern w:val="2"/>
                <w:sz w:val="24"/>
                <w:szCs w:val="24"/>
              </w:rPr>
              <w:t>陆万元整</w:t>
            </w:r>
            <w:r>
              <w:rPr>
                <w:rFonts w:hint="eastAsia" w:ascii="宋体" w:hAnsi="宋体"/>
                <w:color w:val="auto"/>
                <w:kern w:val="2"/>
                <w:sz w:val="24"/>
                <w:szCs w:val="24"/>
              </w:rPr>
              <w:t>。</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1、银行转账</w:t>
            </w:r>
          </w:p>
          <w:p>
            <w:pPr>
              <w:adjustRightInd/>
              <w:spacing w:line="288" w:lineRule="auto"/>
              <w:ind w:left="240" w:hanging="240" w:hangingChars="100"/>
              <w:jc w:val="left"/>
              <w:textAlignment w:val="auto"/>
              <w:rPr>
                <w:rFonts w:ascii="宋体" w:hAnsi="宋体"/>
                <w:color w:val="auto"/>
                <w:kern w:val="2"/>
                <w:sz w:val="24"/>
                <w:szCs w:val="24"/>
              </w:rPr>
            </w:pPr>
            <w:r>
              <w:rPr>
                <w:rFonts w:hint="eastAsia" w:ascii="宋体" w:hAnsi="宋体"/>
                <w:color w:val="auto"/>
                <w:kern w:val="2"/>
                <w:sz w:val="24"/>
                <w:szCs w:val="24"/>
              </w:rPr>
              <w:t>提交时限：投标截止时间前（具体详见广州公共资源交易中心网站关于本项目招投标活动日程安排）。</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户  名：梅州市众汇工程管理有限公司</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 xml:space="preserve">账  号：44050172813800000282  </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开户行：中国建设银行股份有限公司梅州城南支行</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（缴款时在“备注栏”填写标识符：</w:t>
            </w:r>
            <w:r>
              <w:rPr>
                <w:rFonts w:hint="eastAsia" w:ascii="宋体" w:hAnsi="宋体"/>
                <w:b/>
                <w:bCs/>
                <w:color w:val="auto"/>
                <w:kern w:val="2"/>
                <w:sz w:val="24"/>
                <w:szCs w:val="24"/>
              </w:rPr>
              <w:t>智慧停车场勘察设计</w:t>
            </w:r>
            <w:r>
              <w:rPr>
                <w:rFonts w:hint="eastAsia" w:ascii="宋体" w:hAnsi="宋体"/>
                <w:color w:val="auto"/>
                <w:kern w:val="2"/>
                <w:sz w:val="24"/>
                <w:szCs w:val="24"/>
              </w:rPr>
              <w:t xml:space="preserve">)。                       </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投标保证金必须从投标人的基本账户汇入指定账户,否则视为无效投标保证金，其递交的投标文件一律视作无效投标文件。</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最迟应当在书面合同签订后5日内向中标人和未中标的投标人退还投标保证金，投标保证金的银行同期存款利息用作抵扣银行退款手续费。</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中标人无正当理由不与招标人订立合同，在签订合同时向招标人提出附加条件，或者不按照招标文件要求提交履约保证金的，取消中标资格，没收其投标担保金。</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其他：投标保证金到账情况由招标代理机构负责查实。</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银行保函</w:t>
            </w:r>
          </w:p>
          <w:p>
            <w:pPr>
              <w:pStyle w:val="12"/>
              <w:topLinePunct/>
              <w:rPr>
                <w:rFonts w:hAnsi="宋体"/>
                <w:color w:val="auto"/>
                <w:szCs w:val="24"/>
              </w:rPr>
            </w:pPr>
            <w:r>
              <w:rPr>
                <w:rFonts w:hint="eastAsia" w:hAnsi="宋体"/>
                <w:color w:val="auto"/>
                <w:szCs w:val="24"/>
              </w:rPr>
              <w:fldChar w:fldCharType="begin"/>
            </w:r>
            <w:r>
              <w:rPr>
                <w:rFonts w:hint="eastAsia" w:hAnsi="宋体"/>
                <w:color w:val="auto"/>
                <w:szCs w:val="24"/>
              </w:rPr>
              <w:instrText xml:space="preserve"> eq \o\ac(□,√)</w:instrText>
            </w:r>
            <w:r>
              <w:rPr>
                <w:rFonts w:hint="eastAsia" w:hAnsi="宋体"/>
                <w:color w:val="auto"/>
                <w:szCs w:val="24"/>
              </w:rPr>
              <w:fldChar w:fldCharType="end"/>
            </w:r>
            <w:r>
              <w:rPr>
                <w:rFonts w:hint="eastAsia" w:hAnsi="宋体"/>
                <w:color w:val="auto"/>
                <w:szCs w:val="24"/>
              </w:rPr>
              <w:t>投标人应在投标保证金截止时间前将银行出具的投标保函原件单独提交。（具体详见广州公共资源交易中心网站关于本项目招投标活动日程安排）。</w:t>
            </w:r>
          </w:p>
          <w:p>
            <w:pPr>
              <w:adjustRightInd/>
              <w:spacing w:line="288" w:lineRule="auto"/>
              <w:jc w:val="left"/>
              <w:textAlignment w:val="auto"/>
              <w:rPr>
                <w:rFonts w:ascii="宋体" w:hAnsi="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708" w:type="dxa"/>
            <w:tcBorders>
              <w:left w:val="single" w:color="auto" w:sz="8" w:space="0"/>
              <w:bottom w:val="single" w:color="auto" w:sz="4" w:space="0"/>
            </w:tcBorders>
            <w:vAlign w:val="center"/>
          </w:tcPr>
          <w:p>
            <w:pPr>
              <w:pStyle w:val="6"/>
              <w:snapToGrid w:val="0"/>
              <w:spacing w:line="440" w:lineRule="exact"/>
              <w:ind w:firstLine="0"/>
              <w:jc w:val="center"/>
              <w:rPr>
                <w:rFonts w:ascii="宋体" w:hAnsi="宋体" w:cs="宋体"/>
                <w:color w:val="auto"/>
                <w:sz w:val="24"/>
                <w:szCs w:val="24"/>
              </w:rPr>
            </w:pPr>
          </w:p>
        </w:tc>
        <w:tc>
          <w:tcPr>
            <w:tcW w:w="2174" w:type="dxa"/>
            <w:tcBorders>
              <w:bottom w:val="single" w:color="auto" w:sz="4" w:space="0"/>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p>
        </w:tc>
        <w:tc>
          <w:tcPr>
            <w:tcW w:w="7076" w:type="dxa"/>
            <w:tcBorders>
              <w:left w:val="single" w:color="auto" w:sz="4" w:space="0"/>
              <w:bottom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投标人采用银行出具的投标保函提交投标担保的，必须是由投标人的基本账户行开启，保函中须标明本招标文件的项目名称、受益人为招标人，所提供的担保金额须与本次招标所要求的投标保证金等额，保函有效期与本招标文件规定的投标有效期的截止时间须相同。如未在规定时间提交银行保函的或提供的保函不符合要求的，则视为无效投标担保，其递交的投标文件一律视作无效投标文件。</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招标人最迟应当在书面合同签订后5日内向投标人退还银行保函原件。非中标候选人应当在中标结果公告后5个工作日内前往招标代理机构办公地点领取银行保函原件，中标候选人领取时间另行通知，领取时须单独携带法定代表人身份证明书原件（委托代理人另外提供法定代表人授权委托书原件）、本人身份证原件，逾期未领取视为投标人自动放弃领取保函，责任由投标人自行承担。</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中标人无正当理由不与招标人订立合同，在签订合同时向招标人提出附加条件，或者不按照招标文件要求提交履约保证金的，取消中标资格，且向银行提交索赔意向书，没收其投标担保金。</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其他：投标保证金到账情况由招标代理机构及招标人负责查实。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22</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ascii="宋体" w:hAnsi="宋体"/>
                <w:color w:val="auto"/>
                <w:sz w:val="24"/>
                <w:szCs w:val="24"/>
              </w:rPr>
              <w:t>是否允许</w:t>
            </w:r>
            <w:r>
              <w:rPr>
                <w:rFonts w:hint="eastAsia" w:ascii="宋体" w:hAnsi="宋体"/>
                <w:color w:val="auto"/>
                <w:sz w:val="24"/>
                <w:szCs w:val="24"/>
              </w:rPr>
              <w:t>递交备</w:t>
            </w:r>
            <w:r>
              <w:rPr>
                <w:rFonts w:ascii="宋体" w:hAnsi="宋体"/>
                <w:color w:val="auto"/>
                <w:sz w:val="24"/>
                <w:szCs w:val="24"/>
              </w:rPr>
              <w:t>选投标方案</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 xml:space="preserve">不允许      </w:t>
            </w: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23</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ascii="宋体" w:hAnsi="宋体"/>
                <w:color w:val="auto"/>
                <w:sz w:val="24"/>
                <w:szCs w:val="24"/>
              </w:rPr>
              <w:t>签字或盖章要求</w:t>
            </w:r>
          </w:p>
        </w:tc>
        <w:tc>
          <w:tcPr>
            <w:tcW w:w="7076" w:type="dxa"/>
            <w:tcBorders>
              <w:left w:val="single" w:color="auto" w:sz="4" w:space="0"/>
              <w:right w:val="single" w:color="auto" w:sz="8" w:space="0"/>
            </w:tcBorders>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招标文件所附格式中有明确签名、盖章位置的，须按照格式签名、盖章。副本可采用签名盖章后的正本的复印件。正本与副本不一致时以正本为准。以联合体形式参与投标的，投标文件盖章应盖联合体牵头人单位公章，签字或盖章应由联合体牵头人法定代表人（签字或盖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24</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投标文件份数</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正本一份，副本四份；电子文件一份（电子文件应采用电子U盘或光盘提交）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25</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ascii="宋体" w:hAnsi="宋体"/>
                <w:color w:val="auto"/>
                <w:sz w:val="24"/>
                <w:szCs w:val="24"/>
              </w:rPr>
              <w:t>装订</w:t>
            </w:r>
            <w:r>
              <w:rPr>
                <w:rFonts w:hint="eastAsia" w:ascii="宋体" w:hAnsi="宋体"/>
                <w:color w:val="auto"/>
                <w:sz w:val="24"/>
                <w:szCs w:val="24"/>
              </w:rPr>
              <w:t>及包装</w:t>
            </w:r>
            <w:r>
              <w:rPr>
                <w:rFonts w:ascii="宋体" w:hAnsi="宋体"/>
                <w:color w:val="auto"/>
                <w:sz w:val="24"/>
                <w:szCs w:val="24"/>
              </w:rPr>
              <w:t>要求</w:t>
            </w:r>
          </w:p>
        </w:tc>
        <w:tc>
          <w:tcPr>
            <w:tcW w:w="7076" w:type="dxa"/>
            <w:tcBorders>
              <w:left w:val="single" w:color="auto" w:sz="4" w:space="0"/>
              <w:right w:val="single" w:color="auto" w:sz="8" w:space="0"/>
            </w:tcBorders>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投标文件的正本与副本应分别装订成册，电子文件采用电子U盘或光盘形式（包括投标文件全部内容），电子文件必须独立封包与投标文件同时提交。所有投标文件统一包装在一个密封袋中。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26</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ascii="宋体" w:hAnsi="宋体"/>
                <w:color w:val="auto"/>
                <w:sz w:val="24"/>
                <w:szCs w:val="24"/>
              </w:rPr>
              <w:t>是否退还投标文件</w:t>
            </w:r>
          </w:p>
        </w:tc>
        <w:tc>
          <w:tcPr>
            <w:tcW w:w="7076" w:type="dxa"/>
            <w:tcBorders>
              <w:left w:val="single" w:color="auto" w:sz="4" w:space="0"/>
              <w:right w:val="single" w:color="auto" w:sz="8" w:space="0"/>
            </w:tcBorders>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☑否</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27</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投标文件的递交截止时间及递交地点</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递交时间：    年   月     日   时  分</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截止时间：    年   月     日   时  分</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递交地点：广州公共资源交易中心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28</w:t>
            </w:r>
          </w:p>
        </w:tc>
        <w:tc>
          <w:tcPr>
            <w:tcW w:w="2174" w:type="dxa"/>
            <w:tcBorders>
              <w:right w:val="single" w:color="auto" w:sz="4"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开标时间</w:t>
            </w:r>
          </w:p>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和地点</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开标时间：    年   月     日   时   分</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开标地点：广州公共资源交易中心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29</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开标程序</w:t>
            </w:r>
          </w:p>
        </w:tc>
        <w:tc>
          <w:tcPr>
            <w:tcW w:w="7076" w:type="dxa"/>
            <w:tcBorders>
              <w:left w:val="single" w:color="auto" w:sz="4" w:space="0"/>
              <w:right w:val="single" w:color="auto" w:sz="8" w:space="0"/>
            </w:tcBorders>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密封情况检查：招标人、监督人员及投标人代表检查</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开标顺序：随机启封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30</w:t>
            </w:r>
          </w:p>
        </w:tc>
        <w:tc>
          <w:tcPr>
            <w:tcW w:w="2174" w:type="dxa"/>
            <w:tcBorders>
              <w:right w:val="single" w:color="auto" w:sz="4" w:space="0"/>
            </w:tcBorders>
            <w:vAlign w:val="center"/>
          </w:tcPr>
          <w:p>
            <w:pPr>
              <w:spacing w:line="440" w:lineRule="exact"/>
              <w:jc w:val="center"/>
              <w:rPr>
                <w:rFonts w:ascii="宋体" w:hAnsi="宋体"/>
                <w:color w:val="auto"/>
                <w:sz w:val="24"/>
                <w:szCs w:val="24"/>
              </w:rPr>
            </w:pPr>
            <w:r>
              <w:rPr>
                <w:rFonts w:hint="eastAsia" w:ascii="宋体" w:hAnsi="宋体"/>
                <w:color w:val="auto"/>
                <w:sz w:val="24"/>
                <w:szCs w:val="24"/>
              </w:rPr>
              <w:t>评标委员会的组建</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评标专家确定方式：由招标人依法组建。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31</w:t>
            </w:r>
          </w:p>
        </w:tc>
        <w:tc>
          <w:tcPr>
            <w:tcW w:w="2174" w:type="dxa"/>
            <w:tcBorders>
              <w:right w:val="single" w:color="auto" w:sz="4" w:space="0"/>
            </w:tcBorders>
            <w:vAlign w:val="center"/>
          </w:tcPr>
          <w:p>
            <w:pPr>
              <w:spacing w:line="500" w:lineRule="exact"/>
              <w:jc w:val="center"/>
              <w:rPr>
                <w:rFonts w:ascii="宋体" w:hAnsi="宋体"/>
                <w:color w:val="auto"/>
                <w:sz w:val="24"/>
                <w:szCs w:val="24"/>
              </w:rPr>
            </w:pPr>
            <w:r>
              <w:rPr>
                <w:rFonts w:hint="eastAsia" w:ascii="宋体" w:hAnsi="宋体"/>
                <w:color w:val="auto"/>
                <w:sz w:val="24"/>
                <w:szCs w:val="24"/>
              </w:rPr>
              <w:t>是否授权评标委员会确定中标人</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推荐的中标候选人数：3名，该项目评标结果公示无异议后，则确定第一中标候选人为中标人。</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eq \o\ac(□,×)</w:instrText>
            </w:r>
            <w:r>
              <w:rPr>
                <w:rFonts w:hint="eastAsia" w:ascii="宋体" w:hAnsi="宋体"/>
                <w:color w:val="auto"/>
                <w:kern w:val="2"/>
                <w:sz w:val="24"/>
                <w:szCs w:val="24"/>
              </w:rPr>
              <w:fldChar w:fldCharType="end"/>
            </w:r>
            <w:r>
              <w:rPr>
                <w:rFonts w:hint="eastAsia" w:ascii="宋体" w:hAnsi="宋体"/>
                <w:color w:val="auto"/>
                <w:kern w:val="2"/>
                <w:sz w:val="24"/>
                <w:szCs w:val="24"/>
              </w:rPr>
              <w:t>否，推荐的中标候选人数：/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32</w:t>
            </w:r>
          </w:p>
        </w:tc>
        <w:tc>
          <w:tcPr>
            <w:tcW w:w="2174" w:type="dxa"/>
            <w:tcBorders>
              <w:right w:val="single" w:color="auto" w:sz="4" w:space="0"/>
            </w:tcBorders>
            <w:vAlign w:val="center"/>
          </w:tcPr>
          <w:p>
            <w:pPr>
              <w:spacing w:line="440" w:lineRule="exact"/>
              <w:jc w:val="center"/>
              <w:rPr>
                <w:rFonts w:ascii="宋体" w:hAnsi="宋体"/>
                <w:color w:val="auto"/>
                <w:sz w:val="24"/>
              </w:rPr>
            </w:pPr>
            <w:r>
              <w:rPr>
                <w:rFonts w:hint="eastAsia" w:ascii="宋体" w:hAnsi="宋体"/>
                <w:color w:val="auto"/>
                <w:sz w:val="24"/>
              </w:rPr>
              <w:t>中标候选人公示媒介</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广州公共资源交易中心网站、广东省招标投标监管网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33</w:t>
            </w:r>
          </w:p>
        </w:tc>
        <w:tc>
          <w:tcPr>
            <w:tcW w:w="2174" w:type="dxa"/>
            <w:tcBorders>
              <w:right w:val="single" w:color="auto" w:sz="4" w:space="0"/>
            </w:tcBorders>
            <w:vAlign w:val="center"/>
          </w:tcPr>
          <w:p>
            <w:pPr>
              <w:pStyle w:val="6"/>
              <w:snapToGrid w:val="0"/>
              <w:spacing w:line="440" w:lineRule="exact"/>
              <w:ind w:left="-8" w:firstLine="0"/>
              <w:jc w:val="center"/>
              <w:rPr>
                <w:rFonts w:ascii="宋体" w:hAnsi="宋体" w:cs="宋体"/>
                <w:color w:val="auto"/>
                <w:sz w:val="24"/>
                <w:szCs w:val="24"/>
              </w:rPr>
            </w:pPr>
            <w:r>
              <w:rPr>
                <w:rFonts w:hint="eastAsia" w:ascii="宋体" w:hAnsi="宋体" w:cs="宋体"/>
                <w:color w:val="auto"/>
                <w:sz w:val="24"/>
                <w:szCs w:val="24"/>
              </w:rPr>
              <w:t>合同签订</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招标人和中标人应当在投标有效期内并在自中标通知书发出之日起三十日内，按照招标文件和中标人的投标文件订立书面合同。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34</w:t>
            </w:r>
          </w:p>
        </w:tc>
        <w:tc>
          <w:tcPr>
            <w:tcW w:w="2174" w:type="dxa"/>
            <w:tcBorders>
              <w:right w:val="single" w:color="auto" w:sz="4" w:space="0"/>
            </w:tcBorders>
            <w:vAlign w:val="center"/>
          </w:tcPr>
          <w:p>
            <w:pPr>
              <w:pStyle w:val="6"/>
              <w:snapToGrid w:val="0"/>
              <w:spacing w:line="440" w:lineRule="exact"/>
              <w:ind w:left="-8" w:firstLine="0"/>
              <w:jc w:val="center"/>
              <w:rPr>
                <w:rFonts w:ascii="宋体" w:hAnsi="宋体" w:cs="宋体"/>
                <w:color w:val="auto"/>
                <w:sz w:val="24"/>
                <w:szCs w:val="24"/>
              </w:rPr>
            </w:pPr>
            <w:r>
              <w:rPr>
                <w:rFonts w:hint="eastAsia" w:ascii="宋体" w:hAnsi="宋体" w:cs="宋体"/>
                <w:color w:val="auto"/>
                <w:sz w:val="24"/>
                <w:szCs w:val="24"/>
              </w:rPr>
              <w:t>未中标方案</w:t>
            </w:r>
          </w:p>
          <w:p>
            <w:pPr>
              <w:pStyle w:val="6"/>
              <w:snapToGrid w:val="0"/>
              <w:spacing w:line="440" w:lineRule="exact"/>
              <w:ind w:left="-8" w:firstLine="0"/>
              <w:jc w:val="center"/>
              <w:rPr>
                <w:rFonts w:ascii="宋体" w:hAnsi="宋体" w:cs="宋体"/>
                <w:color w:val="auto"/>
                <w:sz w:val="24"/>
                <w:szCs w:val="24"/>
              </w:rPr>
            </w:pPr>
            <w:r>
              <w:rPr>
                <w:rFonts w:hint="eastAsia" w:ascii="宋体" w:hAnsi="宋体" w:cs="宋体"/>
                <w:color w:val="auto"/>
                <w:sz w:val="24"/>
                <w:szCs w:val="24"/>
              </w:rPr>
              <w:t>补偿</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35</w:t>
            </w:r>
          </w:p>
        </w:tc>
        <w:tc>
          <w:tcPr>
            <w:tcW w:w="2174" w:type="dxa"/>
            <w:tcBorders>
              <w:right w:val="single" w:color="auto" w:sz="4" w:space="0"/>
            </w:tcBorders>
            <w:vAlign w:val="center"/>
          </w:tcPr>
          <w:p>
            <w:pPr>
              <w:pStyle w:val="6"/>
              <w:snapToGrid w:val="0"/>
              <w:spacing w:line="440" w:lineRule="exact"/>
              <w:ind w:left="-8" w:leftChars="-4" w:firstLine="480" w:firstLineChars="200"/>
              <w:rPr>
                <w:rFonts w:ascii="宋体" w:hAnsi="宋体" w:cs="宋体"/>
                <w:color w:val="auto"/>
                <w:sz w:val="24"/>
                <w:szCs w:val="24"/>
              </w:rPr>
            </w:pPr>
            <w:r>
              <w:rPr>
                <w:rFonts w:hint="eastAsia" w:ascii="宋体" w:hAnsi="宋体" w:cs="宋体"/>
                <w:color w:val="auto"/>
                <w:sz w:val="24"/>
                <w:szCs w:val="24"/>
              </w:rPr>
              <w:t>分包</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不允许：投标单位承诺中标后不得将本项目的勘察、设计工作进行分包、转包或委托第三方实施。</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fldChar w:fldCharType="begin"/>
            </w:r>
            <w:r>
              <w:rPr>
                <w:rFonts w:hint="eastAsia" w:ascii="宋体" w:hAnsi="宋体"/>
                <w:color w:val="auto"/>
                <w:kern w:val="2"/>
                <w:sz w:val="24"/>
                <w:szCs w:val="24"/>
              </w:rPr>
              <w:instrText xml:space="preserve"> eq \o\ac(□,×)</w:instrText>
            </w:r>
            <w:r>
              <w:rPr>
                <w:rFonts w:hint="eastAsia" w:ascii="宋体" w:hAnsi="宋体"/>
                <w:color w:val="auto"/>
                <w:kern w:val="2"/>
                <w:sz w:val="24"/>
                <w:szCs w:val="24"/>
              </w:rPr>
              <w:fldChar w:fldCharType="end"/>
            </w:r>
            <w:r>
              <w:rPr>
                <w:rFonts w:hint="eastAsia" w:ascii="宋体" w:hAnsi="宋体"/>
                <w:color w:val="auto"/>
                <w:kern w:val="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36</w:t>
            </w:r>
          </w:p>
        </w:tc>
        <w:tc>
          <w:tcPr>
            <w:tcW w:w="2174" w:type="dxa"/>
            <w:tcBorders>
              <w:right w:val="single" w:color="auto" w:sz="4" w:space="0"/>
            </w:tcBorders>
            <w:vAlign w:val="center"/>
          </w:tcPr>
          <w:p>
            <w:pPr>
              <w:pStyle w:val="6"/>
              <w:snapToGrid w:val="0"/>
              <w:spacing w:line="440" w:lineRule="exact"/>
              <w:ind w:left="-8" w:leftChars="-4" w:firstLine="480" w:firstLineChars="200"/>
              <w:rPr>
                <w:rFonts w:ascii="宋体" w:hAnsi="宋体" w:cs="宋体"/>
                <w:color w:val="auto"/>
                <w:sz w:val="24"/>
                <w:szCs w:val="24"/>
              </w:rPr>
            </w:pPr>
            <w:r>
              <w:rPr>
                <w:rFonts w:hint="eastAsia" w:ascii="宋体" w:hAnsi="宋体" w:cs="宋体"/>
                <w:color w:val="auto"/>
                <w:sz w:val="24"/>
                <w:szCs w:val="24"/>
              </w:rPr>
              <w:t>解释权</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构成本招标文件的各组成文件应互为解释，互为说明；如有不明确或不一致，构成合同文件的组成内容的，以合同文件约定内容为准，且以专用合同条款约定的合同文件优先顺序解释；仅使用于招标投标阶段的约定，按招标公告、投标须知、评标办法、投标文件格式的先后顺序解释，同一文件中就同一事项的约定不一致的，以逻辑顺序在后者为准；同一文件不同版本之间有不一致的，以形成时间在后者为准。按本款前述约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trPr>
        <w:tc>
          <w:tcPr>
            <w:tcW w:w="708" w:type="dxa"/>
            <w:tcBorders>
              <w:left w:val="single" w:color="auto" w:sz="8" w:space="0"/>
            </w:tcBorders>
            <w:vAlign w:val="center"/>
          </w:tcPr>
          <w:p>
            <w:pPr>
              <w:pStyle w:val="6"/>
              <w:snapToGrid w:val="0"/>
              <w:spacing w:line="440" w:lineRule="exact"/>
              <w:ind w:firstLine="0"/>
              <w:jc w:val="center"/>
              <w:rPr>
                <w:rFonts w:ascii="宋体" w:hAnsi="宋体" w:cs="宋体"/>
                <w:color w:val="auto"/>
                <w:sz w:val="24"/>
                <w:szCs w:val="24"/>
              </w:rPr>
            </w:pPr>
            <w:r>
              <w:rPr>
                <w:rFonts w:hint="eastAsia" w:ascii="宋体" w:hAnsi="宋体" w:cs="宋体"/>
                <w:color w:val="auto"/>
                <w:sz w:val="24"/>
                <w:szCs w:val="24"/>
              </w:rPr>
              <w:t>37</w:t>
            </w:r>
          </w:p>
        </w:tc>
        <w:tc>
          <w:tcPr>
            <w:tcW w:w="2174" w:type="dxa"/>
            <w:tcBorders>
              <w:right w:val="single" w:color="auto" w:sz="4" w:space="0"/>
            </w:tcBorders>
            <w:vAlign w:val="center"/>
          </w:tcPr>
          <w:p>
            <w:pPr>
              <w:spacing w:line="440" w:lineRule="exact"/>
              <w:jc w:val="center"/>
              <w:rPr>
                <w:rFonts w:ascii="宋体" w:hAnsi="宋体"/>
                <w:color w:val="auto"/>
                <w:sz w:val="24"/>
              </w:rPr>
            </w:pPr>
            <w:r>
              <w:rPr>
                <w:rFonts w:hint="eastAsia" w:ascii="宋体" w:hAnsi="宋体"/>
                <w:color w:val="auto"/>
                <w:sz w:val="24"/>
              </w:rPr>
              <w:t>投标费用</w:t>
            </w:r>
          </w:p>
        </w:tc>
        <w:tc>
          <w:tcPr>
            <w:tcW w:w="7076" w:type="dxa"/>
            <w:tcBorders>
              <w:left w:val="single" w:color="auto" w:sz="4" w:space="0"/>
              <w:right w:val="single" w:color="auto" w:sz="8" w:space="0"/>
            </w:tcBorders>
            <w:vAlign w:val="center"/>
          </w:tcPr>
          <w:p>
            <w:pPr>
              <w:adjustRightInd/>
              <w:spacing w:line="288" w:lineRule="auto"/>
              <w:jc w:val="left"/>
              <w:textAlignment w:val="auto"/>
              <w:rPr>
                <w:rFonts w:ascii="宋体" w:hAnsi="宋体"/>
                <w:color w:val="auto"/>
                <w:kern w:val="2"/>
                <w:sz w:val="24"/>
                <w:szCs w:val="24"/>
              </w:rPr>
            </w:pPr>
            <w:r>
              <w:rPr>
                <w:rFonts w:ascii="宋体" w:hAnsi="宋体"/>
                <w:color w:val="auto"/>
                <w:kern w:val="2"/>
                <w:sz w:val="24"/>
                <w:szCs w:val="24"/>
              </w:rPr>
              <w:t>①</w:t>
            </w:r>
            <w:r>
              <w:rPr>
                <w:rFonts w:hint="eastAsia" w:ascii="宋体" w:hAnsi="宋体"/>
                <w:color w:val="auto"/>
                <w:kern w:val="2"/>
                <w:sz w:val="24"/>
                <w:szCs w:val="24"/>
              </w:rPr>
              <w:t>交易中心交易服务费，中标候选人公示结束后3日内由中标人支付。</w:t>
            </w:r>
          </w:p>
          <w:p>
            <w:pPr>
              <w:adjustRightInd/>
              <w:spacing w:line="288" w:lineRule="auto"/>
              <w:jc w:val="left"/>
              <w:textAlignment w:val="auto"/>
              <w:rPr>
                <w:rFonts w:ascii="宋体" w:hAnsi="宋体"/>
                <w:color w:val="auto"/>
                <w:kern w:val="2"/>
                <w:sz w:val="24"/>
                <w:szCs w:val="24"/>
              </w:rPr>
            </w:pPr>
            <w:r>
              <w:rPr>
                <w:rFonts w:hint="eastAsia" w:ascii="宋体" w:hAnsi="宋体"/>
                <w:color w:val="auto"/>
                <w:kern w:val="2"/>
                <w:sz w:val="24"/>
                <w:szCs w:val="24"/>
              </w:rPr>
              <w:t>②投标人应依据招标人提供的所有资料和自己对现场查勘来编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pPr>
              <w:pStyle w:val="6"/>
              <w:ind w:firstLine="0"/>
              <w:rPr>
                <w:rFonts w:ascii="宋体" w:hAnsi="宋体"/>
                <w:color w:val="auto"/>
                <w:sz w:val="24"/>
                <w:szCs w:val="24"/>
              </w:rPr>
            </w:pPr>
            <w:r>
              <w:rPr>
                <w:rFonts w:ascii="宋体" w:hAnsi="宋体"/>
                <w:color w:val="auto"/>
                <w:sz w:val="24"/>
                <w:szCs w:val="24"/>
              </w:rPr>
              <w:t>③</w:t>
            </w:r>
            <w:r>
              <w:rPr>
                <w:rFonts w:hint="eastAsia" w:ascii="宋体" w:hAnsi="宋体"/>
                <w:color w:val="auto"/>
                <w:sz w:val="24"/>
                <w:szCs w:val="24"/>
              </w:rPr>
              <w:t>招标代理服务费</w:t>
            </w:r>
          </w:p>
          <w:p>
            <w:pPr>
              <w:pStyle w:val="6"/>
              <w:ind w:firstLine="0"/>
              <w:rPr>
                <w:rFonts w:ascii="宋体" w:hAnsi="宋体"/>
                <w:color w:val="auto"/>
                <w:sz w:val="24"/>
                <w:szCs w:val="24"/>
              </w:rPr>
            </w:pPr>
            <w:r>
              <w:rPr>
                <w:rFonts w:hint="eastAsia" w:ascii="宋体" w:hAnsi="宋体"/>
                <w:color w:val="auto"/>
                <w:sz w:val="24"/>
                <w:szCs w:val="24"/>
              </w:rPr>
              <w:t>根据本项目招标代理合同约定，本项目的招标代理服务费由中标人支付。中标人须在中标候选人公示期结束后、领取中标通知书前须向招标代理机构一次性支付招标代理服务费。</w:t>
            </w:r>
          </w:p>
        </w:tc>
      </w:tr>
    </w:tbl>
    <w:p>
      <w:pPr>
        <w:spacing w:line="500" w:lineRule="exact"/>
        <w:rPr>
          <w:b/>
          <w:bCs/>
          <w:color w:val="auto"/>
          <w:sz w:val="32"/>
          <w:szCs w:val="32"/>
          <w:lang w:eastAsia="zh-Hans"/>
        </w:rPr>
      </w:pPr>
      <w:bookmarkStart w:id="7" w:name="_Toc382381107"/>
      <w:r>
        <w:rPr>
          <w:rFonts w:hint="eastAsia"/>
          <w:color w:val="auto"/>
          <w:sz w:val="32"/>
          <w:szCs w:val="32"/>
        </w:rPr>
        <w:br w:type="page"/>
      </w:r>
      <w:bookmarkEnd w:id="7"/>
      <w:r>
        <w:rPr>
          <w:rFonts w:hint="eastAsia"/>
          <w:b/>
          <w:bCs/>
          <w:color w:val="auto"/>
          <w:sz w:val="32"/>
          <w:szCs w:val="32"/>
          <w:lang w:eastAsia="zh-Hans"/>
        </w:rPr>
        <w:t>一</w:t>
      </w:r>
      <w:r>
        <w:rPr>
          <w:b/>
          <w:bCs/>
          <w:color w:val="auto"/>
          <w:sz w:val="32"/>
          <w:szCs w:val="32"/>
          <w:lang w:eastAsia="zh-Hans"/>
        </w:rPr>
        <w:t>、</w:t>
      </w:r>
      <w:r>
        <w:rPr>
          <w:rFonts w:hint="eastAsia"/>
          <w:b/>
          <w:bCs/>
          <w:color w:val="auto"/>
          <w:sz w:val="32"/>
          <w:szCs w:val="32"/>
          <w:lang w:eastAsia="zh-Hans"/>
        </w:rPr>
        <w:t>投标</w:t>
      </w:r>
      <w:r>
        <w:rPr>
          <w:rFonts w:hint="eastAsia"/>
          <w:b/>
          <w:bCs/>
          <w:color w:val="auto"/>
          <w:sz w:val="32"/>
          <w:szCs w:val="32"/>
        </w:rPr>
        <w:t>人</w:t>
      </w:r>
      <w:r>
        <w:rPr>
          <w:rFonts w:hint="eastAsia"/>
          <w:b/>
          <w:bCs/>
          <w:color w:val="auto"/>
          <w:sz w:val="32"/>
          <w:szCs w:val="32"/>
          <w:lang w:eastAsia="zh-Hans"/>
        </w:rPr>
        <w:t>须知</w:t>
      </w:r>
    </w:p>
    <w:p>
      <w:pPr>
        <w:spacing w:line="500" w:lineRule="exact"/>
        <w:rPr>
          <w:b/>
          <w:color w:val="auto"/>
          <w:sz w:val="28"/>
          <w:szCs w:val="28"/>
        </w:rPr>
      </w:pPr>
      <w:r>
        <w:rPr>
          <w:rFonts w:hint="eastAsia"/>
          <w:b/>
          <w:color w:val="auto"/>
          <w:sz w:val="28"/>
          <w:szCs w:val="28"/>
        </w:rPr>
        <w:t>1、总则</w:t>
      </w:r>
    </w:p>
    <w:p>
      <w:pPr>
        <w:spacing w:line="500" w:lineRule="exact"/>
        <w:rPr>
          <w:b/>
          <w:color w:val="auto"/>
          <w:sz w:val="28"/>
          <w:szCs w:val="28"/>
        </w:rPr>
      </w:pPr>
      <w:r>
        <w:rPr>
          <w:rFonts w:hint="eastAsia"/>
          <w:b/>
          <w:color w:val="auto"/>
          <w:sz w:val="28"/>
          <w:szCs w:val="28"/>
        </w:rPr>
        <w:t>1.1工程说明</w:t>
      </w:r>
    </w:p>
    <w:p>
      <w:pPr>
        <w:spacing w:line="500" w:lineRule="exact"/>
        <w:rPr>
          <w:color w:val="auto"/>
          <w:sz w:val="24"/>
          <w:szCs w:val="24"/>
        </w:rPr>
      </w:pPr>
      <w:r>
        <w:rPr>
          <w:rFonts w:hint="eastAsia"/>
          <w:color w:val="auto"/>
          <w:sz w:val="24"/>
          <w:szCs w:val="24"/>
        </w:rPr>
        <w:t>根据《中华人民共和国招标投标法》、《中华人民共和国招标投标法实施条例》、国家八部委第2号令《工程建设项目勘察、设计招标投标办法》等有关法律、法规和规章，通过公开招标方式选定设计单位。</w:t>
      </w:r>
    </w:p>
    <w:p>
      <w:pPr>
        <w:spacing w:line="500" w:lineRule="exact"/>
        <w:rPr>
          <w:color w:val="auto"/>
          <w:sz w:val="24"/>
          <w:szCs w:val="24"/>
        </w:rPr>
      </w:pPr>
      <w:r>
        <w:rPr>
          <w:rFonts w:hint="eastAsia"/>
          <w:color w:val="auto"/>
          <w:sz w:val="24"/>
          <w:szCs w:val="24"/>
        </w:rPr>
        <w:t>1.1.1招标项目工程说明及要求：详见投标须知前附表。</w:t>
      </w:r>
    </w:p>
    <w:p>
      <w:pPr>
        <w:tabs>
          <w:tab w:val="left" w:pos="1800"/>
        </w:tabs>
        <w:spacing w:line="500" w:lineRule="exact"/>
        <w:ind w:left="480" w:hanging="480" w:hangingChars="200"/>
        <w:rPr>
          <w:color w:val="auto"/>
          <w:sz w:val="24"/>
          <w:szCs w:val="24"/>
        </w:rPr>
      </w:pPr>
      <w:r>
        <w:rPr>
          <w:rFonts w:hint="eastAsia"/>
          <w:color w:val="auto"/>
          <w:sz w:val="24"/>
          <w:szCs w:val="24"/>
        </w:rPr>
        <w:t>1.1.2中标人原则上应承担中标后后续阶段设计和服务工作，包括但不限于施工图设计</w:t>
      </w:r>
    </w:p>
    <w:p>
      <w:pPr>
        <w:tabs>
          <w:tab w:val="left" w:pos="1800"/>
        </w:tabs>
        <w:spacing w:line="500" w:lineRule="exact"/>
        <w:ind w:left="480" w:hanging="480" w:hangingChars="200"/>
        <w:rPr>
          <w:color w:val="auto"/>
          <w:sz w:val="24"/>
          <w:szCs w:val="24"/>
        </w:rPr>
      </w:pPr>
      <w:r>
        <w:rPr>
          <w:rFonts w:hint="eastAsia"/>
          <w:color w:val="auto"/>
          <w:sz w:val="24"/>
          <w:szCs w:val="24"/>
        </w:rPr>
        <w:t>等及施工现场指导与配合服务</w:t>
      </w:r>
      <w:r>
        <w:rPr>
          <w:rFonts w:hint="eastAsia" w:ascii="宋体" w:hAnsi="宋体" w:cs="宋体"/>
          <w:bCs/>
          <w:color w:val="auto"/>
          <w:sz w:val="24"/>
          <w:szCs w:val="24"/>
        </w:rPr>
        <w:t>。</w:t>
      </w:r>
    </w:p>
    <w:p>
      <w:pPr>
        <w:spacing w:line="500" w:lineRule="exact"/>
        <w:rPr>
          <w:b/>
          <w:color w:val="auto"/>
          <w:sz w:val="28"/>
          <w:szCs w:val="28"/>
        </w:rPr>
      </w:pPr>
      <w:r>
        <w:rPr>
          <w:rFonts w:hint="eastAsia"/>
          <w:b/>
          <w:color w:val="auto"/>
          <w:sz w:val="28"/>
          <w:szCs w:val="28"/>
        </w:rPr>
        <w:t>1.2、资格审查方式</w:t>
      </w:r>
    </w:p>
    <w:p>
      <w:pPr>
        <w:spacing w:line="500" w:lineRule="exact"/>
        <w:rPr>
          <w:color w:val="auto"/>
          <w:sz w:val="24"/>
          <w:szCs w:val="24"/>
        </w:rPr>
      </w:pPr>
      <w:r>
        <w:rPr>
          <w:rFonts w:hint="eastAsia"/>
          <w:color w:val="auto"/>
          <w:sz w:val="24"/>
          <w:szCs w:val="24"/>
        </w:rPr>
        <w:t>1.2.1本招标项目招标人对投标申请人的资格审查采用的方式见投标须知前附表第10项。</w:t>
      </w:r>
    </w:p>
    <w:p>
      <w:pPr>
        <w:spacing w:line="500" w:lineRule="exact"/>
        <w:rPr>
          <w:color w:val="auto"/>
          <w:sz w:val="24"/>
          <w:szCs w:val="24"/>
        </w:rPr>
      </w:pPr>
      <w:r>
        <w:rPr>
          <w:rFonts w:hint="eastAsia"/>
          <w:color w:val="auto"/>
          <w:sz w:val="24"/>
          <w:szCs w:val="24"/>
        </w:rPr>
        <w:t>1.2.2 经资格审查合格的投标申请人才能成为投标人。</w:t>
      </w:r>
    </w:p>
    <w:p>
      <w:pPr>
        <w:spacing w:line="500" w:lineRule="exact"/>
        <w:rPr>
          <w:b/>
          <w:color w:val="auto"/>
          <w:sz w:val="28"/>
          <w:szCs w:val="28"/>
        </w:rPr>
      </w:pPr>
      <w:r>
        <w:rPr>
          <w:rFonts w:hint="eastAsia"/>
          <w:b/>
          <w:color w:val="auto"/>
          <w:sz w:val="28"/>
          <w:szCs w:val="28"/>
        </w:rPr>
        <w:t>1.3、投标人的资格要求</w:t>
      </w:r>
    </w:p>
    <w:p>
      <w:pPr>
        <w:spacing w:line="500" w:lineRule="exact"/>
        <w:rPr>
          <w:color w:val="auto"/>
          <w:sz w:val="24"/>
          <w:szCs w:val="24"/>
        </w:rPr>
      </w:pPr>
      <w:r>
        <w:rPr>
          <w:rFonts w:hint="eastAsia"/>
          <w:color w:val="auto"/>
          <w:sz w:val="24"/>
          <w:szCs w:val="24"/>
        </w:rPr>
        <w:t>投标人的资格要求见投标须知前附表第11项。</w:t>
      </w:r>
    </w:p>
    <w:p>
      <w:pPr>
        <w:spacing w:line="500" w:lineRule="exact"/>
        <w:rPr>
          <w:b/>
          <w:color w:val="auto"/>
          <w:sz w:val="28"/>
          <w:szCs w:val="28"/>
        </w:rPr>
      </w:pPr>
      <w:r>
        <w:rPr>
          <w:rFonts w:hint="eastAsia"/>
          <w:b/>
          <w:color w:val="auto"/>
          <w:sz w:val="28"/>
          <w:szCs w:val="28"/>
        </w:rPr>
        <w:t>1.4、投标费用</w:t>
      </w:r>
    </w:p>
    <w:p>
      <w:pPr>
        <w:spacing w:line="500" w:lineRule="exact"/>
        <w:rPr>
          <w:color w:val="auto"/>
          <w:sz w:val="24"/>
          <w:szCs w:val="24"/>
        </w:rPr>
      </w:pPr>
      <w:r>
        <w:rPr>
          <w:rFonts w:hint="eastAsia"/>
          <w:color w:val="auto"/>
          <w:sz w:val="24"/>
          <w:szCs w:val="24"/>
        </w:rPr>
        <w:t>投标人应承担己方投标文件编制与递交等参加本招标活动所涉及的一切费用。</w:t>
      </w:r>
    </w:p>
    <w:p>
      <w:pPr>
        <w:spacing w:line="500" w:lineRule="exact"/>
        <w:rPr>
          <w:b/>
          <w:color w:val="auto"/>
          <w:sz w:val="28"/>
          <w:szCs w:val="28"/>
        </w:rPr>
      </w:pPr>
      <w:r>
        <w:rPr>
          <w:rFonts w:hint="eastAsia"/>
          <w:b/>
          <w:color w:val="auto"/>
          <w:sz w:val="28"/>
          <w:szCs w:val="28"/>
        </w:rPr>
        <w:t>1.5、踏勘现场</w:t>
      </w:r>
    </w:p>
    <w:p>
      <w:pPr>
        <w:spacing w:line="500" w:lineRule="exact"/>
        <w:rPr>
          <w:color w:val="auto"/>
          <w:sz w:val="24"/>
          <w:szCs w:val="24"/>
        </w:rPr>
      </w:pPr>
      <w:r>
        <w:rPr>
          <w:rFonts w:hint="eastAsia"/>
          <w:color w:val="auto"/>
          <w:sz w:val="24"/>
          <w:szCs w:val="24"/>
        </w:rPr>
        <w:t>1.5.1本工程不组织现场勘察，如有需要，投标人可自行与招标人联系对现场及其周围环境进行考察。</w:t>
      </w:r>
    </w:p>
    <w:p>
      <w:pPr>
        <w:spacing w:line="500" w:lineRule="exact"/>
        <w:rPr>
          <w:color w:val="auto"/>
          <w:sz w:val="24"/>
          <w:szCs w:val="24"/>
        </w:rPr>
      </w:pPr>
      <w:r>
        <w:rPr>
          <w:rFonts w:hint="eastAsia"/>
          <w:color w:val="auto"/>
          <w:sz w:val="24"/>
          <w:szCs w:val="24"/>
        </w:rPr>
        <w:t>1.5.2投标人自行与招标人联系对现场及其周围环境进行考察，以便投标人获取有关编制投标文件和签署合同所涉及现场的资料。投标人承担踏勘现场所发生的自身费用。</w:t>
      </w:r>
    </w:p>
    <w:p>
      <w:pPr>
        <w:spacing w:line="500" w:lineRule="exact"/>
        <w:rPr>
          <w:color w:val="auto"/>
          <w:sz w:val="24"/>
          <w:szCs w:val="24"/>
        </w:rPr>
      </w:pPr>
      <w:r>
        <w:rPr>
          <w:rFonts w:hint="eastAsia"/>
          <w:color w:val="auto"/>
          <w:sz w:val="24"/>
          <w:szCs w:val="24"/>
        </w:rPr>
        <w:t>1.5.3 招标人向投标人提供的有关现场的数据和资料，是招标人现有的能被投标人利用的资料，招标人对投标人做出的任何推论、理解和结论均不负责任。</w:t>
      </w:r>
    </w:p>
    <w:p>
      <w:pPr>
        <w:spacing w:line="500" w:lineRule="exact"/>
        <w:rPr>
          <w:b/>
          <w:color w:val="auto"/>
          <w:sz w:val="28"/>
          <w:szCs w:val="28"/>
        </w:rPr>
      </w:pPr>
      <w:r>
        <w:rPr>
          <w:rFonts w:hint="eastAsia"/>
          <w:b/>
          <w:color w:val="auto"/>
          <w:sz w:val="28"/>
          <w:szCs w:val="28"/>
        </w:rPr>
        <w:t>1.6、知识产权</w:t>
      </w:r>
    </w:p>
    <w:p>
      <w:pPr>
        <w:spacing w:line="500" w:lineRule="exact"/>
        <w:rPr>
          <w:color w:val="auto"/>
          <w:sz w:val="24"/>
          <w:szCs w:val="24"/>
        </w:rPr>
      </w:pPr>
      <w:r>
        <w:rPr>
          <w:rFonts w:hint="eastAsia"/>
          <w:color w:val="auto"/>
          <w:sz w:val="24"/>
          <w:szCs w:val="24"/>
        </w:rPr>
        <w:t>1.6.1投标人拥有设计方案的著作权（版权）。未经投标人书面同意，招标人不得将交付的设计方案向第三方转让或用于本招标范围以外的其他建设项目。</w:t>
      </w:r>
    </w:p>
    <w:p>
      <w:pPr>
        <w:spacing w:line="500" w:lineRule="exact"/>
        <w:rPr>
          <w:color w:val="auto"/>
          <w:sz w:val="24"/>
          <w:szCs w:val="24"/>
        </w:rPr>
      </w:pPr>
      <w:r>
        <w:rPr>
          <w:rFonts w:hint="eastAsia"/>
          <w:color w:val="auto"/>
          <w:sz w:val="24"/>
          <w:szCs w:val="24"/>
        </w:rPr>
        <w:t>1.6.2招标人与中标人签署设计合同后，招标人在该建设项目中拥有中标方案的使用权。中标人应保护招标人一旦使用其设计方案不能受到来自第三方的侵权诉讼或索赔，否则中标人应承担由此而产生的一切责任。</w:t>
      </w:r>
    </w:p>
    <w:p>
      <w:pPr>
        <w:spacing w:line="500" w:lineRule="exact"/>
        <w:rPr>
          <w:color w:val="auto"/>
          <w:sz w:val="24"/>
          <w:szCs w:val="24"/>
        </w:rPr>
      </w:pPr>
      <w:r>
        <w:rPr>
          <w:rFonts w:hint="eastAsia"/>
          <w:color w:val="auto"/>
          <w:sz w:val="24"/>
          <w:szCs w:val="24"/>
        </w:rPr>
        <w:t>1.6.3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w:t>
      </w:r>
    </w:p>
    <w:p>
      <w:pPr>
        <w:spacing w:line="500" w:lineRule="exact"/>
        <w:rPr>
          <w:color w:val="auto"/>
          <w:sz w:val="24"/>
          <w:szCs w:val="24"/>
        </w:rPr>
      </w:pPr>
      <w:r>
        <w:rPr>
          <w:rFonts w:hint="eastAsia"/>
          <w:color w:val="auto"/>
          <w:sz w:val="24"/>
          <w:szCs w:val="24"/>
        </w:rPr>
        <w:t>1.6.4招标人按投标须知相关规定给予未中标的投标人经济补偿后，有权部分采用该投标人的设计方案对中标设计方案进行优化，该未中标的投标人应保证招标人采用其投标设计不受到第三方关于侵犯设计权的指控，任何第三方如果提出侵权指控，该投标人应与第三方交涉，承担可能发生的一切法律责任、后果和费用，并赔偿招标人的损失。</w:t>
      </w:r>
    </w:p>
    <w:p>
      <w:pPr>
        <w:spacing w:line="500" w:lineRule="exact"/>
        <w:rPr>
          <w:rFonts w:asciiTheme="minorEastAsia" w:hAnsiTheme="minorEastAsia" w:eastAsiaTheme="minorEastAsia"/>
          <w:b/>
          <w:bCs/>
          <w:color w:val="auto"/>
          <w:sz w:val="32"/>
          <w:szCs w:val="32"/>
        </w:rPr>
      </w:pPr>
      <w:bookmarkStart w:id="8" w:name="_Toc152042318"/>
      <w:bookmarkStart w:id="9" w:name="_Toc376814065"/>
      <w:bookmarkStart w:id="10" w:name="_Toc376813721"/>
      <w:bookmarkStart w:id="11" w:name="_Toc247527567"/>
      <w:bookmarkStart w:id="12" w:name="_Toc376722613"/>
      <w:bookmarkStart w:id="13" w:name="_Toc376722698"/>
      <w:bookmarkStart w:id="14" w:name="_Toc11941097"/>
      <w:bookmarkStart w:id="15" w:name="_Toc376715927"/>
      <w:bookmarkStart w:id="16" w:name="_Toc367880312"/>
      <w:bookmarkStart w:id="17" w:name="_Toc247513966"/>
      <w:bookmarkStart w:id="18" w:name="_Toc152045542"/>
      <w:bookmarkStart w:id="19" w:name="_Toc144974510"/>
      <w:bookmarkStart w:id="20" w:name="_Toc376722782"/>
      <w:bookmarkStart w:id="21" w:name="_Toc394248455"/>
      <w:bookmarkStart w:id="22" w:name="_Toc394435776"/>
      <w:r>
        <w:rPr>
          <w:rFonts w:hint="eastAsia" w:asciiTheme="minorEastAsia" w:hAnsiTheme="minorEastAsia" w:eastAsiaTheme="minorEastAsia"/>
          <w:b/>
          <w:color w:val="auto"/>
          <w:sz w:val="32"/>
          <w:szCs w:val="32"/>
        </w:rPr>
        <w:t>2. 招标文件</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00" w:lineRule="exact"/>
        <w:rPr>
          <w:b/>
          <w:color w:val="auto"/>
          <w:sz w:val="28"/>
          <w:szCs w:val="28"/>
        </w:rPr>
      </w:pPr>
      <w:bookmarkStart w:id="23" w:name="_Toc376814066"/>
      <w:bookmarkStart w:id="24" w:name="_Toc152045543"/>
      <w:bookmarkStart w:id="25" w:name="_Toc144974511"/>
      <w:bookmarkStart w:id="26" w:name="_Toc247513967"/>
      <w:bookmarkStart w:id="27" w:name="_Toc247527568"/>
      <w:bookmarkStart w:id="28" w:name="_Toc152042319"/>
      <w:bookmarkStart w:id="29" w:name="_Toc376813722"/>
      <w:bookmarkStart w:id="30" w:name="_Toc376715928"/>
      <w:bookmarkStart w:id="31" w:name="_Toc376722783"/>
      <w:bookmarkStart w:id="32" w:name="_Toc376722614"/>
      <w:bookmarkStart w:id="33" w:name="_Toc394248456"/>
      <w:bookmarkStart w:id="34" w:name="_Toc11941098"/>
      <w:bookmarkStart w:id="35" w:name="_Toc367880313"/>
      <w:bookmarkStart w:id="36" w:name="_Toc394435777"/>
      <w:bookmarkStart w:id="37" w:name="_Toc376722699"/>
      <w:r>
        <w:rPr>
          <w:rFonts w:hint="eastAsia"/>
          <w:b/>
          <w:color w:val="auto"/>
          <w:sz w:val="28"/>
          <w:szCs w:val="28"/>
        </w:rPr>
        <w:t>2.1 招标文件的组成</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00" w:lineRule="exact"/>
        <w:rPr>
          <w:color w:val="auto"/>
          <w:sz w:val="24"/>
        </w:rPr>
      </w:pPr>
      <w:r>
        <w:rPr>
          <w:rFonts w:hint="eastAsia"/>
          <w:color w:val="auto"/>
          <w:sz w:val="24"/>
        </w:rPr>
        <w:t>　　本招标文件包括：</w:t>
      </w:r>
    </w:p>
    <w:p>
      <w:pPr>
        <w:spacing w:line="500" w:lineRule="exact"/>
        <w:ind w:firstLine="480" w:firstLineChars="200"/>
        <w:rPr>
          <w:color w:val="auto"/>
          <w:sz w:val="24"/>
        </w:rPr>
      </w:pPr>
      <w:r>
        <w:rPr>
          <w:rFonts w:hint="eastAsia"/>
          <w:color w:val="auto"/>
          <w:sz w:val="24"/>
        </w:rPr>
        <w:t>（1）招标公告；</w:t>
      </w:r>
    </w:p>
    <w:p>
      <w:pPr>
        <w:spacing w:line="500" w:lineRule="exact"/>
        <w:ind w:firstLine="480" w:firstLineChars="200"/>
        <w:rPr>
          <w:color w:val="auto"/>
          <w:sz w:val="24"/>
        </w:rPr>
      </w:pPr>
      <w:r>
        <w:rPr>
          <w:rFonts w:hint="eastAsia"/>
          <w:color w:val="auto"/>
          <w:sz w:val="24"/>
        </w:rPr>
        <w:t>（2）</w:t>
      </w:r>
      <w:r>
        <w:rPr>
          <w:rFonts w:hint="eastAsia" w:ascii="宋体" w:hAnsi="宋体"/>
          <w:color w:val="auto"/>
          <w:sz w:val="24"/>
          <w:szCs w:val="24"/>
        </w:rPr>
        <w:t>投标须知前附表及</w:t>
      </w:r>
      <w:r>
        <w:rPr>
          <w:rFonts w:hint="eastAsia"/>
          <w:color w:val="auto"/>
          <w:sz w:val="24"/>
        </w:rPr>
        <w:t>投标人须知；</w:t>
      </w:r>
    </w:p>
    <w:p>
      <w:pPr>
        <w:spacing w:line="500" w:lineRule="exact"/>
        <w:ind w:firstLine="480" w:firstLineChars="200"/>
        <w:rPr>
          <w:color w:val="auto"/>
          <w:sz w:val="24"/>
        </w:rPr>
      </w:pPr>
      <w:r>
        <w:rPr>
          <w:rFonts w:hint="eastAsia"/>
          <w:color w:val="auto"/>
          <w:sz w:val="24"/>
        </w:rPr>
        <w:t>（3）</w:t>
      </w:r>
      <w:r>
        <w:rPr>
          <w:rFonts w:hint="eastAsia" w:ascii="宋体" w:hAnsi="宋体"/>
          <w:color w:val="auto"/>
          <w:sz w:val="24"/>
          <w:szCs w:val="24"/>
        </w:rPr>
        <w:t>评标办法和标准</w:t>
      </w:r>
      <w:r>
        <w:rPr>
          <w:rFonts w:hint="eastAsia"/>
          <w:color w:val="auto"/>
          <w:sz w:val="24"/>
        </w:rPr>
        <w:t>；</w:t>
      </w:r>
    </w:p>
    <w:p>
      <w:pPr>
        <w:spacing w:line="500" w:lineRule="exact"/>
        <w:ind w:firstLine="480" w:firstLineChars="200"/>
        <w:rPr>
          <w:color w:val="auto"/>
          <w:sz w:val="24"/>
        </w:rPr>
      </w:pPr>
      <w:r>
        <w:rPr>
          <w:rFonts w:hint="eastAsia"/>
          <w:color w:val="auto"/>
          <w:sz w:val="24"/>
        </w:rPr>
        <w:t>（4）合同条款；</w:t>
      </w:r>
    </w:p>
    <w:p>
      <w:pPr>
        <w:spacing w:line="500" w:lineRule="exact"/>
        <w:ind w:firstLine="480" w:firstLineChars="200"/>
        <w:rPr>
          <w:rFonts w:ascii="宋体" w:hAnsi="宋体"/>
          <w:color w:val="auto"/>
          <w:sz w:val="24"/>
          <w:szCs w:val="24"/>
        </w:rPr>
      </w:pPr>
      <w:r>
        <w:rPr>
          <w:rFonts w:hint="eastAsia"/>
          <w:color w:val="auto"/>
          <w:sz w:val="24"/>
        </w:rPr>
        <w:t>（5）</w:t>
      </w:r>
      <w:r>
        <w:rPr>
          <w:rFonts w:hint="eastAsia" w:ascii="宋体" w:hAnsi="宋体"/>
          <w:color w:val="auto"/>
          <w:sz w:val="24"/>
          <w:szCs w:val="24"/>
        </w:rPr>
        <w:t>技术标准和设计任务书</w:t>
      </w:r>
    </w:p>
    <w:p>
      <w:pPr>
        <w:spacing w:line="500" w:lineRule="exact"/>
        <w:ind w:firstLine="480" w:firstLineChars="200"/>
        <w:rPr>
          <w:color w:val="auto"/>
          <w:sz w:val="24"/>
        </w:rPr>
      </w:pPr>
      <w:r>
        <w:rPr>
          <w:rFonts w:hint="eastAsia" w:ascii="宋体" w:hAnsi="宋体"/>
          <w:color w:val="auto"/>
          <w:sz w:val="24"/>
          <w:szCs w:val="24"/>
        </w:rPr>
        <w:t>（6）设计有关资料</w:t>
      </w:r>
    </w:p>
    <w:p>
      <w:pPr>
        <w:spacing w:line="500" w:lineRule="exact"/>
        <w:ind w:firstLine="480" w:firstLineChars="200"/>
        <w:rPr>
          <w:color w:val="auto"/>
          <w:sz w:val="24"/>
        </w:rPr>
      </w:pPr>
      <w:r>
        <w:rPr>
          <w:rFonts w:hint="eastAsia"/>
          <w:color w:val="auto"/>
          <w:sz w:val="24"/>
        </w:rPr>
        <w:t>（7）投标文件格式；</w:t>
      </w:r>
    </w:p>
    <w:p>
      <w:pPr>
        <w:spacing w:line="500" w:lineRule="exact"/>
        <w:ind w:firstLine="480" w:firstLineChars="200"/>
        <w:rPr>
          <w:color w:val="auto"/>
          <w:sz w:val="24"/>
        </w:rPr>
      </w:pPr>
      <w:r>
        <w:rPr>
          <w:rFonts w:hint="eastAsia"/>
          <w:color w:val="auto"/>
          <w:sz w:val="24"/>
        </w:rPr>
        <w:t>除本投标须知第2.1款所述的招标文件内容外，招标人在招标期间、符合法定时间发出的答疑、澄清、修改或补充内容，均是招标文件的组成部分，对招标人和投标人起约束作用。</w:t>
      </w:r>
    </w:p>
    <w:p>
      <w:pPr>
        <w:spacing w:line="500" w:lineRule="exact"/>
        <w:rPr>
          <w:b/>
          <w:color w:val="auto"/>
          <w:sz w:val="28"/>
          <w:szCs w:val="28"/>
        </w:rPr>
      </w:pPr>
      <w:bookmarkStart w:id="38" w:name="_Toc152042320"/>
      <w:bookmarkStart w:id="39" w:name="_Toc247527569"/>
      <w:bookmarkStart w:id="40" w:name="_Toc376722615"/>
      <w:bookmarkStart w:id="41" w:name="_Toc376813723"/>
      <w:bookmarkStart w:id="42" w:name="_Toc394435778"/>
      <w:bookmarkStart w:id="43" w:name="_Toc11941099"/>
      <w:bookmarkStart w:id="44" w:name="_Toc394248457"/>
      <w:bookmarkStart w:id="45" w:name="_Toc376715929"/>
      <w:bookmarkStart w:id="46" w:name="_Toc152045544"/>
      <w:bookmarkStart w:id="47" w:name="_Toc376814067"/>
      <w:bookmarkStart w:id="48" w:name="_Toc376722700"/>
      <w:bookmarkStart w:id="49" w:name="_Toc144974512"/>
      <w:bookmarkStart w:id="50" w:name="_Toc376722784"/>
      <w:bookmarkStart w:id="51" w:name="_Toc367880314"/>
      <w:bookmarkStart w:id="52" w:name="_Toc247513968"/>
      <w:r>
        <w:rPr>
          <w:rFonts w:hint="eastAsia"/>
          <w:b/>
          <w:color w:val="auto"/>
          <w:sz w:val="28"/>
          <w:szCs w:val="28"/>
        </w:rPr>
        <w:t>2.2 招标文件的澄清</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rPr>
      </w:pPr>
      <w:bookmarkStart w:id="53" w:name="_Toc376813725"/>
      <w:bookmarkStart w:id="54" w:name="_Toc144974514"/>
      <w:bookmarkStart w:id="55" w:name="_Toc247527571"/>
      <w:bookmarkStart w:id="56" w:name="_Toc152045546"/>
      <w:bookmarkStart w:id="57" w:name="_Toc247513970"/>
      <w:bookmarkStart w:id="58" w:name="_Toc376722786"/>
      <w:bookmarkStart w:id="59" w:name="_Toc394435780"/>
      <w:bookmarkStart w:id="60" w:name="_Toc367880316"/>
      <w:bookmarkStart w:id="61" w:name="_Toc376814069"/>
      <w:bookmarkStart w:id="62" w:name="_Toc376722702"/>
      <w:bookmarkStart w:id="63" w:name="_Toc376715931"/>
      <w:bookmarkStart w:id="64" w:name="_Toc394248459"/>
      <w:bookmarkStart w:id="65" w:name="_Toc152042322"/>
      <w:bookmarkStart w:id="66" w:name="_Toc11941101"/>
      <w:bookmarkStart w:id="67" w:name="_Toc376722617"/>
      <w:r>
        <w:rPr>
          <w:rFonts w:hint="eastAsia" w:cs="宋体" w:asciiTheme="minorEastAsia" w:hAnsiTheme="minorEastAsia" w:eastAsiaTheme="minorEastAsia"/>
          <w:color w:val="auto"/>
          <w:kern w:val="2"/>
          <w:sz w:val="24"/>
          <w:szCs w:val="24"/>
        </w:rPr>
        <w:t>2.2.1投标人应仔细阅读和检查招标文件的全部内容。如发现缺页或附件不全及其他投标人认为需要澄清的情况，应在投标须知前附表规定的时间前以署名的方式向招标人提出，要求招标人对招标文件予以澄清。</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2.2.2招标文件解释权利归招标人和招标代理机构，招标文件解释顺序按照发出时间的逆反顺序。</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2.2.3招标答疑采用网上答疑方式进行。投标人若对招标文件(包括招标控制价)有疑问的，可在规定的时间内通过广州公共资源交易中心网站将问题提交给招标人或招标代理人，提交问题时一律不得署名。</w:t>
      </w:r>
    </w:p>
    <w:p>
      <w:pPr>
        <w:adjustRightInd/>
        <w:spacing w:line="500" w:lineRule="exact"/>
        <w:ind w:left="-2" w:leftChars="-1" w:right="-42" w:rightChars="-21" w:firstLine="480" w:firstLineChars="200"/>
        <w:textAlignment w:val="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网上答疑的操作指南为：投标人登录广州公共资源交易中心数字交易平台→进入“我是投标人”页面→进入“招标答疑提问”页面→通过项目编号或名称找到所需的项目→在上述答疑时间内点击“答疑提问”→无记名或匿名提出问题。</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2.2.4招标答疑纪要一经在广州公共资源交易中心网站发布，视作已发放给所有投标人。</w:t>
      </w:r>
    </w:p>
    <w:p>
      <w:pPr>
        <w:adjustRightInd/>
        <w:spacing w:line="500" w:lineRule="exact"/>
        <w:ind w:left="-2" w:leftChars="-1" w:right="-42" w:rightChars="-21" w:firstLine="360" w:firstLineChars="150"/>
        <w:textAlignment w:val="auto"/>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2.2.5招标答疑纪要为招标文件的一部分。投标人可在广州公共资源交易中心网站浏览、下载招标答疑纪要。</w:t>
      </w:r>
    </w:p>
    <w:p>
      <w:pPr>
        <w:spacing w:line="500" w:lineRule="exact"/>
        <w:ind w:firstLine="360" w:firstLineChars="150"/>
        <w:rPr>
          <w:rFonts w:cs="宋体" w:asciiTheme="minorEastAsia" w:hAnsiTheme="minorEastAsia" w:eastAsiaTheme="minorEastAsia"/>
          <w:color w:val="auto"/>
          <w:kern w:val="2"/>
          <w:sz w:val="24"/>
          <w:szCs w:val="24"/>
        </w:rPr>
      </w:pPr>
      <w:r>
        <w:rPr>
          <w:rFonts w:hint="eastAsia" w:cs="宋体" w:asciiTheme="minorEastAsia" w:hAnsiTheme="minorEastAsia" w:eastAsiaTheme="minorEastAsia"/>
          <w:color w:val="auto"/>
          <w:kern w:val="2"/>
          <w:sz w:val="24"/>
          <w:szCs w:val="24"/>
        </w:rPr>
        <w:t>2.2.6若招标答疑纪要与招标文件有矛盾时，以广州公共资源交易中心网站最后发布的答疑纪要为准。</w:t>
      </w:r>
    </w:p>
    <w:p>
      <w:pPr>
        <w:pStyle w:val="2"/>
        <w:rPr>
          <w:color w:val="auto"/>
        </w:rPr>
      </w:pPr>
    </w:p>
    <w:p>
      <w:pPr>
        <w:spacing w:line="500" w:lineRule="exact"/>
        <w:ind w:firstLine="354" w:firstLineChars="147"/>
        <w:rPr>
          <w:rFonts w:asciiTheme="minorEastAsia" w:hAnsiTheme="minorEastAsia" w:eastAsiaTheme="minorEastAsia"/>
          <w:b/>
          <w:color w:val="auto"/>
          <w:sz w:val="24"/>
          <w:szCs w:val="24"/>
        </w:rPr>
      </w:pPr>
      <w:bookmarkStart w:id="68" w:name="_Toc144974513"/>
      <w:bookmarkStart w:id="69" w:name="_Toc376722785"/>
      <w:bookmarkStart w:id="70" w:name="_Toc376813724"/>
      <w:bookmarkStart w:id="71" w:name="_Toc152042321"/>
      <w:bookmarkStart w:id="72" w:name="_Toc11941100"/>
      <w:bookmarkStart w:id="73" w:name="_Toc247527570"/>
      <w:bookmarkStart w:id="74" w:name="_Toc376715930"/>
      <w:bookmarkStart w:id="75" w:name="_Toc247513969"/>
      <w:bookmarkStart w:id="76" w:name="_Toc376722616"/>
      <w:bookmarkStart w:id="77" w:name="_Toc394248458"/>
      <w:bookmarkStart w:id="78" w:name="_Toc152045545"/>
      <w:bookmarkStart w:id="79" w:name="_Toc376722701"/>
      <w:bookmarkStart w:id="80" w:name="_Toc394435779"/>
      <w:bookmarkStart w:id="81" w:name="_Toc376814068"/>
      <w:bookmarkStart w:id="82" w:name="_Toc367880315"/>
      <w:r>
        <w:rPr>
          <w:rFonts w:hint="eastAsia" w:asciiTheme="minorEastAsia" w:hAnsiTheme="minorEastAsia" w:eastAsiaTheme="minorEastAsia"/>
          <w:b/>
          <w:color w:val="auto"/>
          <w:sz w:val="24"/>
          <w:szCs w:val="24"/>
        </w:rPr>
        <w:t>2.3 招标文件的修改</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Theme="minorEastAsia" w:hAnsiTheme="minorEastAsia" w:eastAsiaTheme="minorEastAsia"/>
          <w:b/>
          <w:color w:val="auto"/>
          <w:sz w:val="24"/>
          <w:szCs w:val="24"/>
        </w:rPr>
        <w:t>、补充</w:t>
      </w:r>
    </w:p>
    <w:p>
      <w:pPr>
        <w:spacing w:line="50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2.3.1 招标人修改招标文件的时间距投标须知前附表规定的投标截止时间不足15天的，并且澄清内容影响投标文件编制的，将相应延长投标截止时间。</w:t>
      </w:r>
    </w:p>
    <w:p>
      <w:pPr>
        <w:spacing w:line="500" w:lineRule="exact"/>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2.3.2 招标文件的修改、补充参考招标文件的澄清方式进行。</w:t>
      </w:r>
    </w:p>
    <w:p>
      <w:pPr>
        <w:spacing w:line="500" w:lineRule="exact"/>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3. 投标文件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Theme="minorEastAsia" w:hAnsiTheme="minorEastAsia" w:eastAsiaTheme="minorEastAsia"/>
          <w:b/>
          <w:color w:val="auto"/>
          <w:sz w:val="32"/>
          <w:szCs w:val="32"/>
        </w:rPr>
        <w:t>的编制</w:t>
      </w:r>
    </w:p>
    <w:p>
      <w:pPr>
        <w:spacing w:line="500" w:lineRule="exact"/>
        <w:rPr>
          <w:b/>
          <w:color w:val="auto"/>
          <w:sz w:val="28"/>
          <w:szCs w:val="28"/>
        </w:rPr>
      </w:pPr>
      <w:bookmarkStart w:id="83" w:name="_Toc11941102"/>
      <w:bookmarkStart w:id="84" w:name="_Toc376722703"/>
      <w:bookmarkStart w:id="85" w:name="_Toc367880317"/>
      <w:bookmarkStart w:id="86" w:name="_Toc152045547"/>
      <w:bookmarkStart w:id="87" w:name="_Toc376715932"/>
      <w:bookmarkStart w:id="88" w:name="_Toc394248460"/>
      <w:bookmarkStart w:id="89" w:name="_Toc376814070"/>
      <w:bookmarkStart w:id="90" w:name="_Toc152042323"/>
      <w:bookmarkStart w:id="91" w:name="_Toc376722618"/>
      <w:bookmarkStart w:id="92" w:name="_Toc394435781"/>
      <w:bookmarkStart w:id="93" w:name="_Toc376813726"/>
      <w:bookmarkStart w:id="94" w:name="_Toc247527572"/>
      <w:bookmarkStart w:id="95" w:name="_Toc376722787"/>
      <w:bookmarkStart w:id="96" w:name="_Toc144974515"/>
      <w:bookmarkStart w:id="97" w:name="_Toc247513971"/>
      <w:r>
        <w:rPr>
          <w:rFonts w:hint="eastAsia"/>
          <w:b/>
          <w:color w:val="auto"/>
          <w:sz w:val="28"/>
          <w:szCs w:val="28"/>
        </w:rPr>
        <w:t>3.1 投标文件的组成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00" w:lineRule="exact"/>
        <w:ind w:firstLine="480" w:firstLineChars="200"/>
        <w:rPr>
          <w:color w:val="auto"/>
          <w:sz w:val="24"/>
        </w:rPr>
      </w:pPr>
      <w:r>
        <w:rPr>
          <w:rFonts w:hint="eastAsia"/>
          <w:color w:val="auto"/>
          <w:sz w:val="24"/>
        </w:rPr>
        <w:t>投标文件应包括下列内容：</w:t>
      </w:r>
    </w:p>
    <w:p>
      <w:pPr>
        <w:spacing w:line="500" w:lineRule="exact"/>
        <w:ind w:firstLine="480" w:firstLineChars="200"/>
        <w:rPr>
          <w:color w:val="auto"/>
          <w:sz w:val="24"/>
        </w:rPr>
      </w:pPr>
      <w:r>
        <w:rPr>
          <w:rFonts w:hint="eastAsia"/>
          <w:color w:val="auto"/>
          <w:sz w:val="24"/>
        </w:rPr>
        <w:t>3.1.1</w:t>
      </w:r>
      <w:r>
        <w:rPr>
          <w:rFonts w:hint="eastAsia" w:ascii="宋体" w:hAnsi="宋体"/>
          <w:b/>
          <w:color w:val="auto"/>
          <w:sz w:val="24"/>
          <w:szCs w:val="24"/>
        </w:rPr>
        <w:t>资格审查文件</w:t>
      </w:r>
      <w:r>
        <w:rPr>
          <w:rFonts w:hint="eastAsia" w:ascii="宋体" w:hAnsi="宋体"/>
          <w:color w:val="auto"/>
          <w:sz w:val="24"/>
          <w:szCs w:val="24"/>
        </w:rPr>
        <w:t>、</w:t>
      </w:r>
      <w:r>
        <w:rPr>
          <w:rFonts w:hint="eastAsia" w:ascii="宋体" w:hAnsi="宋体"/>
          <w:b/>
          <w:color w:val="auto"/>
          <w:sz w:val="24"/>
          <w:szCs w:val="24"/>
        </w:rPr>
        <w:t>商务文件</w:t>
      </w:r>
      <w:r>
        <w:rPr>
          <w:rFonts w:hint="eastAsia" w:ascii="宋体" w:hAnsi="宋体"/>
          <w:color w:val="auto"/>
          <w:sz w:val="24"/>
          <w:szCs w:val="24"/>
        </w:rPr>
        <w:t>、</w:t>
      </w:r>
      <w:r>
        <w:rPr>
          <w:rFonts w:hint="eastAsia" w:ascii="宋体" w:hAnsi="宋体"/>
          <w:b/>
          <w:color w:val="auto"/>
          <w:sz w:val="24"/>
          <w:szCs w:val="24"/>
        </w:rPr>
        <w:t>技术文件三</w:t>
      </w:r>
      <w:r>
        <w:rPr>
          <w:rFonts w:hint="eastAsia" w:ascii="宋体" w:hAnsi="宋体"/>
          <w:color w:val="auto"/>
          <w:sz w:val="24"/>
          <w:szCs w:val="24"/>
        </w:rPr>
        <w:t>部分组成</w:t>
      </w:r>
    </w:p>
    <w:p>
      <w:pPr>
        <w:pStyle w:val="6"/>
        <w:tabs>
          <w:tab w:val="left" w:pos="1000"/>
        </w:tabs>
        <w:spacing w:line="500" w:lineRule="exact"/>
        <w:ind w:left="510" w:firstLine="0"/>
        <w:rPr>
          <w:rFonts w:ascii="宋体" w:hAnsi="宋体" w:cs="宋体"/>
          <w:color w:val="auto"/>
          <w:sz w:val="24"/>
          <w:szCs w:val="24"/>
        </w:rPr>
      </w:pPr>
      <w:bookmarkStart w:id="98" w:name="_Toc394435782"/>
      <w:bookmarkStart w:id="99" w:name="_Toc11941103"/>
      <w:bookmarkStart w:id="100" w:name="_Toc394248461"/>
      <w:r>
        <w:rPr>
          <w:rFonts w:hint="eastAsia" w:ascii="宋体" w:hAnsi="宋体" w:cs="宋体"/>
          <w:b/>
          <w:color w:val="auto"/>
          <w:sz w:val="24"/>
          <w:szCs w:val="24"/>
        </w:rPr>
        <w:t>3.1.1.1资格审查文件</w:t>
      </w:r>
      <w:r>
        <w:rPr>
          <w:rFonts w:hint="eastAsia" w:ascii="宋体" w:hAnsi="宋体" w:cs="宋体"/>
          <w:color w:val="auto"/>
          <w:sz w:val="24"/>
          <w:szCs w:val="24"/>
        </w:rPr>
        <w:t>包括下列内容：</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法定代表人资格证明书原件及其授权委托书原件；</w:t>
      </w:r>
      <w:r>
        <w:rPr>
          <w:rFonts w:hint="eastAsia" w:ascii="宋体" w:hAnsi="宋体"/>
          <w:color w:val="auto"/>
          <w:sz w:val="24"/>
        </w:rPr>
        <w:t>（</w:t>
      </w:r>
      <w:r>
        <w:rPr>
          <w:rFonts w:hint="eastAsia" w:ascii="宋体" w:hAnsi="宋体"/>
          <w:color w:val="auto"/>
          <w:sz w:val="24"/>
          <w:szCs w:val="24"/>
        </w:rPr>
        <w:t>按第七章投标文件格式</w:t>
      </w:r>
      <w:r>
        <w:rPr>
          <w:rFonts w:hint="eastAsia" w:ascii="宋体" w:hAnsi="宋体"/>
          <w:color w:val="auto"/>
          <w:sz w:val="24"/>
        </w:rPr>
        <w:t>）</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企业营业执照副本；</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资质证书副本；</w:t>
      </w:r>
    </w:p>
    <w:p>
      <w:pPr>
        <w:pStyle w:val="6"/>
        <w:numPr>
          <w:ilvl w:val="0"/>
          <w:numId w:val="7"/>
        </w:numPr>
        <w:spacing w:line="500" w:lineRule="exact"/>
        <w:rPr>
          <w:rFonts w:ascii="宋体" w:hAnsi="宋体" w:cs="宋体"/>
          <w:color w:val="auto"/>
          <w:sz w:val="24"/>
          <w:szCs w:val="24"/>
        </w:rPr>
      </w:pPr>
      <w:r>
        <w:rPr>
          <w:rFonts w:hint="eastAsia" w:ascii="宋体" w:hAnsi="宋体"/>
          <w:color w:val="auto"/>
          <w:sz w:val="24"/>
        </w:rPr>
        <w:t>联合体协议书</w:t>
      </w:r>
      <w:r>
        <w:rPr>
          <w:rFonts w:hint="eastAsia" w:ascii="宋体" w:hAnsi="宋体" w:cs="宋体"/>
          <w:color w:val="auto"/>
          <w:sz w:val="24"/>
          <w:szCs w:val="24"/>
        </w:rPr>
        <w:t>原件</w:t>
      </w:r>
      <w:r>
        <w:rPr>
          <w:rFonts w:hint="eastAsia" w:ascii="宋体" w:hAnsi="宋体"/>
          <w:color w:val="auto"/>
          <w:sz w:val="24"/>
        </w:rPr>
        <w:t>；</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勘察、设计项目负责人注册证书或职称证书；</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勘察、设计项目负责人二代身份证；</w:t>
      </w:r>
    </w:p>
    <w:p>
      <w:pPr>
        <w:pStyle w:val="6"/>
        <w:numPr>
          <w:ilvl w:val="0"/>
          <w:numId w:val="7"/>
        </w:numPr>
        <w:spacing w:line="500" w:lineRule="exact"/>
        <w:rPr>
          <w:rFonts w:ascii="宋体" w:hAnsi="宋体" w:cs="宋体"/>
          <w:color w:val="auto"/>
          <w:sz w:val="24"/>
          <w:szCs w:val="24"/>
        </w:rPr>
      </w:pPr>
      <w:r>
        <w:rPr>
          <w:rFonts w:hint="eastAsia" w:ascii="宋体" w:hAnsi="宋体" w:cs="宋体"/>
          <w:color w:val="auto"/>
          <w:sz w:val="24"/>
          <w:szCs w:val="24"/>
        </w:rPr>
        <w:t>勘察、设计项目负责人近三个月</w:t>
      </w:r>
      <w:r>
        <w:rPr>
          <w:rFonts w:hint="eastAsia" w:ascii="宋体" w:hAnsi="宋体"/>
          <w:color w:val="auto"/>
          <w:sz w:val="24"/>
        </w:rPr>
        <w:t>（2022年1月～3月）</w:t>
      </w:r>
      <w:r>
        <w:rPr>
          <w:rFonts w:hint="eastAsia" w:ascii="宋体" w:hAnsi="宋体" w:cs="宋体"/>
          <w:color w:val="auto"/>
          <w:sz w:val="24"/>
          <w:szCs w:val="24"/>
        </w:rPr>
        <w:t>的社会保险凭证；</w:t>
      </w:r>
    </w:p>
    <w:p>
      <w:pPr>
        <w:pStyle w:val="6"/>
        <w:numPr>
          <w:ilvl w:val="0"/>
          <w:numId w:val="7"/>
        </w:numPr>
        <w:spacing w:line="500" w:lineRule="exact"/>
        <w:rPr>
          <w:rFonts w:ascii="宋体" w:hAnsi="宋体" w:cs="宋体"/>
          <w:color w:val="auto"/>
          <w:sz w:val="24"/>
          <w:szCs w:val="24"/>
        </w:rPr>
      </w:pPr>
      <w:r>
        <w:rPr>
          <w:rFonts w:hint="eastAsia" w:ascii="宋体" w:hAnsi="宋体"/>
          <w:color w:val="auto"/>
          <w:sz w:val="24"/>
        </w:rPr>
        <w:t>在“梅州市建筑市场诚信管理平台”办理的企业登记的相关证明材料；省外企业提供已按要求在“进粤企业和人员诚信信息登记平台”录入相关信息的相关证明文件</w:t>
      </w:r>
      <w:r>
        <w:rPr>
          <w:rFonts w:hint="eastAsia" w:ascii="宋体" w:hAnsi="宋体" w:cs="宋体"/>
          <w:color w:val="auto"/>
          <w:sz w:val="24"/>
          <w:szCs w:val="24"/>
        </w:rPr>
        <w:t>；</w:t>
      </w:r>
    </w:p>
    <w:p>
      <w:pPr>
        <w:pStyle w:val="6"/>
        <w:numPr>
          <w:ilvl w:val="0"/>
          <w:numId w:val="7"/>
        </w:numPr>
        <w:spacing w:line="500" w:lineRule="exact"/>
        <w:rPr>
          <w:rFonts w:ascii="宋体" w:hAnsi="宋体" w:cs="宋体"/>
          <w:color w:val="auto"/>
          <w:sz w:val="24"/>
          <w:szCs w:val="24"/>
        </w:rPr>
      </w:pPr>
      <w:r>
        <w:rPr>
          <w:rFonts w:hint="eastAsia" w:ascii="宋体" w:hAnsi="宋体"/>
          <w:color w:val="auto"/>
          <w:sz w:val="24"/>
          <w:szCs w:val="22"/>
        </w:rPr>
        <w:t>自2021年9月1日至本项目投标登记截止时间止（以处罚或通报日期为准），</w:t>
      </w:r>
      <w:r>
        <w:rPr>
          <w:rFonts w:hint="eastAsia" w:ascii="宋体" w:hAnsi="宋体" w:cs="宋体"/>
          <w:color w:val="auto"/>
          <w:sz w:val="24"/>
        </w:rPr>
        <w:t>企业和项目负责人在国家住房和城乡建设部“全国建筑市场监管公共服务平台”、“广东省建筑市场监管公共服务平台”、“梅州市住建局建筑市场诚信管理平台”上未有被限制参与投标的信息，</w:t>
      </w:r>
      <w:r>
        <w:rPr>
          <w:rFonts w:hint="eastAsia" w:ascii="宋体" w:hAnsi="宋体" w:cs="宋体"/>
          <w:b/>
          <w:bCs/>
          <w:color w:val="auto"/>
          <w:sz w:val="24"/>
        </w:rPr>
        <w:t>提供承诺书</w:t>
      </w:r>
      <w:r>
        <w:rPr>
          <w:rFonts w:hint="eastAsia" w:ascii="宋体" w:hAnsi="宋体" w:cs="宋体"/>
          <w:color w:val="auto"/>
          <w:sz w:val="24"/>
        </w:rPr>
        <w:t>。</w:t>
      </w:r>
    </w:p>
    <w:p>
      <w:pPr>
        <w:pStyle w:val="6"/>
        <w:tabs>
          <w:tab w:val="left" w:pos="1000"/>
        </w:tabs>
        <w:spacing w:line="500" w:lineRule="exact"/>
        <w:ind w:firstLine="0"/>
        <w:rPr>
          <w:rFonts w:ascii="宋体" w:hAnsi="宋体" w:cs="宋体"/>
          <w:b/>
          <w:color w:val="auto"/>
          <w:kern w:val="0"/>
          <w:sz w:val="24"/>
          <w:szCs w:val="24"/>
        </w:rPr>
      </w:pPr>
      <w:r>
        <w:rPr>
          <w:rFonts w:hint="eastAsia" w:ascii="宋体" w:hAnsi="宋体" w:cs="宋体"/>
          <w:b/>
          <w:color w:val="auto"/>
          <w:kern w:val="0"/>
          <w:sz w:val="24"/>
          <w:szCs w:val="24"/>
        </w:rPr>
        <w:t>备注：</w:t>
      </w:r>
      <w:r>
        <w:rPr>
          <w:rFonts w:hint="eastAsia" w:ascii="宋体" w:hAnsi="宋体" w:cs="宋体"/>
          <w:b/>
          <w:color w:val="auto"/>
          <w:sz w:val="24"/>
        </w:rPr>
        <w:t>除1）、4）资料提供原件外，其它资料提供复印件，加盖投标单位公章。</w:t>
      </w:r>
      <w:r>
        <w:rPr>
          <w:rFonts w:hint="eastAsia" w:ascii="宋体" w:hAnsi="宋体"/>
          <w:color w:val="auto"/>
          <w:sz w:val="24"/>
        </w:rPr>
        <w:t>（如</w:t>
      </w:r>
      <w:r>
        <w:rPr>
          <w:rFonts w:hint="eastAsia" w:ascii="宋体" w:hAnsi="宋体" w:cs="宋体"/>
          <w:color w:val="auto"/>
          <w:sz w:val="24"/>
          <w:szCs w:val="24"/>
        </w:rPr>
        <w:t>联合体投标，加盖联合体牵头方公章</w:t>
      </w:r>
      <w:r>
        <w:rPr>
          <w:rFonts w:hint="eastAsia" w:ascii="宋体" w:hAnsi="宋体"/>
          <w:color w:val="auto"/>
          <w:sz w:val="24"/>
        </w:rPr>
        <w:t>）</w:t>
      </w:r>
    </w:p>
    <w:p>
      <w:pPr>
        <w:spacing w:line="500" w:lineRule="exact"/>
        <w:ind w:right="-45"/>
        <w:jc w:val="left"/>
        <w:rPr>
          <w:rFonts w:ascii="宋体" w:hAnsi="宋体" w:cs="宋体"/>
          <w:color w:val="auto"/>
          <w:sz w:val="24"/>
          <w:szCs w:val="24"/>
        </w:rPr>
      </w:pPr>
      <w:r>
        <w:rPr>
          <w:rFonts w:hint="eastAsia" w:ascii="宋体" w:hAnsi="宋体" w:cs="宋体"/>
          <w:b/>
          <w:color w:val="auto"/>
          <w:sz w:val="24"/>
          <w:szCs w:val="24"/>
        </w:rPr>
        <w:t xml:space="preserve">    3.1.1.2.商务文件</w:t>
      </w:r>
      <w:r>
        <w:rPr>
          <w:rFonts w:hint="eastAsia" w:ascii="宋体" w:hAnsi="宋体" w:cs="宋体"/>
          <w:color w:val="auto"/>
          <w:sz w:val="24"/>
          <w:szCs w:val="24"/>
        </w:rPr>
        <w:t>包括下列内容：</w:t>
      </w:r>
    </w:p>
    <w:p>
      <w:pPr>
        <w:numPr>
          <w:ilvl w:val="0"/>
          <w:numId w:val="8"/>
        </w:numPr>
        <w:spacing w:line="500" w:lineRule="exact"/>
        <w:rPr>
          <w:rFonts w:ascii="宋体" w:hAnsi="宋体" w:cs="宋体"/>
          <w:color w:val="auto"/>
          <w:sz w:val="24"/>
        </w:rPr>
      </w:pPr>
      <w:r>
        <w:rPr>
          <w:rFonts w:hint="eastAsia" w:ascii="宋体" w:hAnsi="宋体" w:cs="宋体"/>
          <w:color w:val="auto"/>
          <w:sz w:val="24"/>
        </w:rPr>
        <w:t>投标函；</w:t>
      </w:r>
    </w:p>
    <w:p>
      <w:pPr>
        <w:numPr>
          <w:ilvl w:val="0"/>
          <w:numId w:val="8"/>
        </w:numPr>
        <w:spacing w:line="500" w:lineRule="exact"/>
        <w:rPr>
          <w:rFonts w:ascii="宋体" w:hAnsi="宋体" w:cs="宋体"/>
          <w:color w:val="auto"/>
          <w:sz w:val="24"/>
        </w:rPr>
      </w:pPr>
      <w:r>
        <w:rPr>
          <w:rFonts w:hint="eastAsia" w:ascii="宋体" w:hAnsi="宋体" w:cs="宋体"/>
          <w:color w:val="auto"/>
          <w:sz w:val="24"/>
        </w:rPr>
        <w:t>投标函附表；</w:t>
      </w:r>
    </w:p>
    <w:p>
      <w:pPr>
        <w:numPr>
          <w:ilvl w:val="0"/>
          <w:numId w:val="8"/>
        </w:numPr>
        <w:spacing w:line="500" w:lineRule="exact"/>
        <w:rPr>
          <w:rFonts w:ascii="宋体" w:hAnsi="宋体" w:cs="宋体"/>
          <w:color w:val="auto"/>
          <w:sz w:val="24"/>
        </w:rPr>
      </w:pPr>
      <w:r>
        <w:rPr>
          <w:rFonts w:hint="eastAsia" w:ascii="宋体" w:hAnsi="宋体" w:cs="宋体"/>
          <w:color w:val="auto"/>
          <w:sz w:val="24"/>
        </w:rPr>
        <w:t>企业荣誉；</w:t>
      </w:r>
    </w:p>
    <w:p>
      <w:pPr>
        <w:numPr>
          <w:ilvl w:val="0"/>
          <w:numId w:val="8"/>
        </w:numPr>
        <w:spacing w:line="500" w:lineRule="exact"/>
        <w:rPr>
          <w:rFonts w:ascii="宋体" w:hAnsi="宋体" w:cs="宋体"/>
          <w:color w:val="auto"/>
          <w:sz w:val="24"/>
        </w:rPr>
      </w:pPr>
      <w:r>
        <w:rPr>
          <w:rFonts w:hint="eastAsia" w:ascii="宋体" w:hAnsi="宋体" w:cs="宋体"/>
          <w:color w:val="auto"/>
          <w:sz w:val="24"/>
        </w:rPr>
        <w:t>企业获奖；</w:t>
      </w:r>
    </w:p>
    <w:p>
      <w:pPr>
        <w:numPr>
          <w:ilvl w:val="0"/>
          <w:numId w:val="8"/>
        </w:numPr>
        <w:spacing w:line="500" w:lineRule="exact"/>
        <w:rPr>
          <w:rFonts w:ascii="宋体" w:hAnsi="宋体" w:cs="宋体"/>
          <w:color w:val="auto"/>
          <w:sz w:val="24"/>
        </w:rPr>
      </w:pPr>
      <w:r>
        <w:rPr>
          <w:rFonts w:hint="eastAsia" w:hAnsi="宋体"/>
          <w:color w:val="auto"/>
          <w:sz w:val="24"/>
        </w:rPr>
        <w:t>企业业绩</w:t>
      </w:r>
      <w:r>
        <w:rPr>
          <w:rFonts w:hint="eastAsia" w:ascii="宋体" w:hAnsi="宋体" w:cs="宋体"/>
          <w:color w:val="auto"/>
          <w:sz w:val="24"/>
        </w:rPr>
        <w:t>；</w:t>
      </w:r>
    </w:p>
    <w:p>
      <w:pPr>
        <w:numPr>
          <w:ilvl w:val="0"/>
          <w:numId w:val="8"/>
        </w:numPr>
        <w:spacing w:line="500" w:lineRule="exact"/>
        <w:rPr>
          <w:rFonts w:ascii="宋体" w:hAnsi="宋体" w:cs="宋体"/>
          <w:color w:val="auto"/>
          <w:sz w:val="24"/>
        </w:rPr>
      </w:pPr>
      <w:r>
        <w:rPr>
          <w:rFonts w:hint="eastAsia" w:hAnsi="宋体"/>
          <w:color w:val="auto"/>
          <w:sz w:val="24"/>
        </w:rPr>
        <w:t>企业实力</w:t>
      </w:r>
      <w:r>
        <w:rPr>
          <w:rFonts w:hint="eastAsia" w:ascii="宋体" w:hAnsi="宋体" w:cs="宋体"/>
          <w:color w:val="auto"/>
          <w:sz w:val="24"/>
        </w:rPr>
        <w:t>；</w:t>
      </w:r>
    </w:p>
    <w:p>
      <w:pPr>
        <w:pStyle w:val="85"/>
        <w:numPr>
          <w:ilvl w:val="0"/>
          <w:numId w:val="8"/>
        </w:numPr>
        <w:spacing w:line="500" w:lineRule="exact"/>
        <w:ind w:firstLineChars="0"/>
        <w:rPr>
          <w:rFonts w:ascii="宋体" w:hAnsi="宋体" w:cs="宋体"/>
          <w:color w:val="auto"/>
          <w:sz w:val="24"/>
        </w:rPr>
      </w:pPr>
      <w:r>
        <w:rPr>
          <w:rFonts w:hint="eastAsia" w:hAnsi="宋体"/>
          <w:color w:val="auto"/>
          <w:sz w:val="24"/>
        </w:rPr>
        <w:t>项目负责人实力</w:t>
      </w:r>
      <w:r>
        <w:rPr>
          <w:rFonts w:hint="eastAsia" w:ascii="宋体" w:hAnsi="宋体" w:cs="宋体"/>
          <w:color w:val="auto"/>
          <w:sz w:val="24"/>
        </w:rPr>
        <w:t>；</w:t>
      </w:r>
    </w:p>
    <w:p>
      <w:pPr>
        <w:pStyle w:val="85"/>
        <w:numPr>
          <w:ilvl w:val="0"/>
          <w:numId w:val="8"/>
        </w:numPr>
        <w:spacing w:line="500" w:lineRule="exact"/>
        <w:ind w:firstLineChars="0"/>
        <w:rPr>
          <w:rFonts w:ascii="宋体" w:hAnsi="宋体" w:cs="宋体"/>
          <w:color w:val="auto"/>
          <w:sz w:val="24"/>
        </w:rPr>
      </w:pPr>
      <w:r>
        <w:rPr>
          <w:rFonts w:hint="eastAsia" w:hAnsi="宋体"/>
          <w:color w:val="auto"/>
          <w:sz w:val="24"/>
        </w:rPr>
        <w:t>其他主要设计人员情况</w:t>
      </w:r>
      <w:r>
        <w:rPr>
          <w:rFonts w:hint="eastAsia" w:ascii="宋体" w:hAnsi="宋体" w:cs="宋体"/>
          <w:color w:val="auto"/>
          <w:sz w:val="24"/>
        </w:rPr>
        <w:t>；</w:t>
      </w:r>
    </w:p>
    <w:p>
      <w:pPr>
        <w:pStyle w:val="85"/>
        <w:numPr>
          <w:ilvl w:val="0"/>
          <w:numId w:val="8"/>
        </w:numPr>
        <w:spacing w:line="500" w:lineRule="exact"/>
        <w:ind w:firstLineChars="0"/>
        <w:rPr>
          <w:rFonts w:ascii="宋体" w:hAnsi="宋体" w:cs="宋体"/>
          <w:color w:val="auto"/>
          <w:sz w:val="24"/>
        </w:rPr>
      </w:pPr>
      <w:r>
        <w:rPr>
          <w:rFonts w:hint="eastAsia" w:ascii="宋体" w:hAnsi="宋体" w:cs="宋体"/>
          <w:color w:val="auto"/>
          <w:sz w:val="24"/>
        </w:rPr>
        <w:t>项目负责人和其他主要专业设计人员到位承诺书；</w:t>
      </w:r>
    </w:p>
    <w:p>
      <w:pPr>
        <w:numPr>
          <w:ilvl w:val="0"/>
          <w:numId w:val="8"/>
        </w:numPr>
        <w:spacing w:line="500" w:lineRule="exact"/>
        <w:rPr>
          <w:rFonts w:ascii="宋体" w:hAnsi="宋体" w:cs="宋体"/>
          <w:color w:val="auto"/>
          <w:sz w:val="24"/>
        </w:rPr>
      </w:pPr>
      <w:r>
        <w:rPr>
          <w:rFonts w:hint="eastAsia" w:ascii="宋体" w:hAnsi="宋体" w:cs="宋体"/>
          <w:color w:val="auto"/>
          <w:sz w:val="24"/>
        </w:rPr>
        <w:t>服务保证；</w:t>
      </w:r>
    </w:p>
    <w:p>
      <w:pPr>
        <w:numPr>
          <w:ilvl w:val="0"/>
          <w:numId w:val="8"/>
        </w:numPr>
        <w:spacing w:line="500" w:lineRule="exact"/>
        <w:rPr>
          <w:rFonts w:ascii="宋体" w:hAnsi="宋体" w:cs="宋体"/>
          <w:color w:val="auto"/>
          <w:sz w:val="24"/>
          <w:szCs w:val="22"/>
        </w:rPr>
      </w:pPr>
      <w:r>
        <w:rPr>
          <w:rFonts w:hint="eastAsia" w:ascii="宋体" w:hAnsi="宋体" w:cs="宋体"/>
          <w:color w:val="auto"/>
          <w:sz w:val="24"/>
          <w:szCs w:val="22"/>
        </w:rPr>
        <w:t>承诺书(投标单位提供中标后不得将本项目的勘察、设计工作进行分包、转包或委托第三方实施的承诺书 )</w:t>
      </w:r>
    </w:p>
    <w:p>
      <w:pPr>
        <w:numPr>
          <w:ilvl w:val="0"/>
          <w:numId w:val="8"/>
        </w:numPr>
        <w:spacing w:line="500" w:lineRule="exact"/>
        <w:rPr>
          <w:rFonts w:ascii="宋体" w:hAnsi="宋体" w:cs="宋体"/>
          <w:color w:val="auto"/>
          <w:sz w:val="24"/>
          <w:szCs w:val="22"/>
        </w:rPr>
      </w:pPr>
      <w:r>
        <w:rPr>
          <w:rFonts w:hint="eastAsia" w:ascii="宋体" w:hAnsi="宋体" w:cs="宋体"/>
          <w:color w:val="auto"/>
          <w:sz w:val="24"/>
          <w:szCs w:val="22"/>
        </w:rPr>
        <w:t>其他资料（根据招标文件的要求和投标人认为需要提供的资料）</w:t>
      </w:r>
    </w:p>
    <w:p>
      <w:pPr>
        <w:pStyle w:val="6"/>
        <w:tabs>
          <w:tab w:val="left" w:pos="1000"/>
        </w:tabs>
        <w:spacing w:line="500" w:lineRule="exact"/>
        <w:rPr>
          <w:rFonts w:ascii="宋体" w:hAnsi="宋体" w:cs="宋体"/>
          <w:color w:val="auto"/>
          <w:sz w:val="24"/>
          <w:szCs w:val="24"/>
        </w:rPr>
      </w:pPr>
      <w:r>
        <w:rPr>
          <w:rFonts w:hint="eastAsia" w:ascii="宋体" w:hAnsi="宋体" w:cs="宋体"/>
          <w:b/>
          <w:color w:val="auto"/>
          <w:sz w:val="24"/>
          <w:szCs w:val="24"/>
        </w:rPr>
        <w:t>3.1.1.</w:t>
      </w:r>
      <w:r>
        <w:rPr>
          <w:rFonts w:hint="eastAsia" w:ascii="宋体" w:hAnsi="宋体" w:cs="宋体"/>
          <w:b/>
          <w:color w:val="auto"/>
          <w:kern w:val="0"/>
          <w:sz w:val="24"/>
        </w:rPr>
        <w:t>3技术文件</w:t>
      </w:r>
      <w:r>
        <w:rPr>
          <w:rFonts w:hint="eastAsia" w:ascii="宋体" w:hAnsi="宋体" w:cs="宋体"/>
          <w:color w:val="auto"/>
          <w:sz w:val="24"/>
          <w:szCs w:val="24"/>
        </w:rPr>
        <w:t>应包括以下内容：</w:t>
      </w:r>
    </w:p>
    <w:p>
      <w:pPr>
        <w:numPr>
          <w:ilvl w:val="0"/>
          <w:numId w:val="9"/>
        </w:numPr>
        <w:spacing w:line="500" w:lineRule="exact"/>
        <w:rPr>
          <w:rFonts w:ascii="宋体" w:hAnsi="宋体" w:cs="宋体"/>
          <w:color w:val="auto"/>
          <w:sz w:val="24"/>
        </w:rPr>
      </w:pPr>
      <w:r>
        <w:rPr>
          <w:rFonts w:hint="eastAsia" w:ascii="宋体" w:hAnsi="宋体" w:cs="宋体"/>
          <w:color w:val="auto"/>
          <w:sz w:val="24"/>
        </w:rPr>
        <w:t>设计说明和设计图纸汇编缩印本；</w:t>
      </w:r>
    </w:p>
    <w:p>
      <w:pPr>
        <w:numPr>
          <w:ilvl w:val="0"/>
          <w:numId w:val="9"/>
        </w:numPr>
        <w:spacing w:line="500" w:lineRule="exact"/>
        <w:rPr>
          <w:rFonts w:ascii="宋体" w:hAnsi="宋体" w:cs="宋体"/>
          <w:color w:val="auto"/>
          <w:sz w:val="24"/>
        </w:rPr>
      </w:pPr>
      <w:r>
        <w:rPr>
          <w:rFonts w:hint="eastAsia" w:ascii="宋体" w:hAnsi="宋体" w:cs="宋体"/>
          <w:color w:val="auto"/>
          <w:sz w:val="24"/>
        </w:rPr>
        <w:t>电子文档（</w:t>
      </w:r>
      <w:r>
        <w:rPr>
          <w:rFonts w:hint="eastAsia"/>
          <w:color w:val="auto"/>
          <w:sz w:val="24"/>
          <w:szCs w:val="24"/>
        </w:rPr>
        <w:t>包含投标文件全部内容，文件需为PDF或JPG格式</w:t>
      </w:r>
      <w:r>
        <w:rPr>
          <w:rFonts w:hint="eastAsia" w:ascii="宋体" w:hAnsi="宋体" w:cs="宋体"/>
          <w:color w:val="auto"/>
          <w:sz w:val="24"/>
        </w:rPr>
        <w:t>）</w:t>
      </w:r>
    </w:p>
    <w:p>
      <w:pPr>
        <w:numPr>
          <w:ilvl w:val="0"/>
          <w:numId w:val="9"/>
        </w:numPr>
        <w:spacing w:line="500" w:lineRule="exact"/>
        <w:rPr>
          <w:rFonts w:ascii="宋体" w:hAnsi="宋体" w:cs="宋体"/>
          <w:color w:val="auto"/>
          <w:sz w:val="24"/>
        </w:rPr>
      </w:pPr>
      <w:r>
        <w:rPr>
          <w:rFonts w:hint="eastAsia" w:ascii="宋体" w:hAnsi="宋体" w:cs="宋体"/>
          <w:color w:val="auto"/>
          <w:sz w:val="24"/>
        </w:rPr>
        <w:t>其他技术文件（当招标文件有要求时须提供）。</w:t>
      </w:r>
    </w:p>
    <w:p>
      <w:pPr>
        <w:spacing w:line="500" w:lineRule="exact"/>
        <w:rPr>
          <w:b/>
          <w:color w:val="auto"/>
          <w:sz w:val="30"/>
          <w:szCs w:val="30"/>
        </w:rPr>
      </w:pPr>
      <w:r>
        <w:rPr>
          <w:rFonts w:hint="eastAsia"/>
          <w:b/>
          <w:color w:val="auto"/>
          <w:sz w:val="30"/>
          <w:szCs w:val="30"/>
        </w:rPr>
        <w:t>3.2对投标文件的要求</w:t>
      </w:r>
    </w:p>
    <w:p>
      <w:pPr>
        <w:pStyle w:val="6"/>
        <w:tabs>
          <w:tab w:val="left" w:pos="1000"/>
        </w:tabs>
        <w:spacing w:line="500" w:lineRule="exact"/>
        <w:ind w:firstLine="0"/>
        <w:rPr>
          <w:rFonts w:ascii="宋体" w:hAnsi="宋体"/>
          <w:b/>
          <w:color w:val="auto"/>
          <w:sz w:val="24"/>
          <w:szCs w:val="24"/>
        </w:rPr>
      </w:pPr>
      <w:r>
        <w:rPr>
          <w:rFonts w:hint="eastAsia" w:ascii="宋体" w:hAnsi="宋体"/>
          <w:color w:val="auto"/>
          <w:sz w:val="24"/>
        </w:rPr>
        <w:t xml:space="preserve">    1）招标人只允许每个投标人报送一个设计方案，投标人所提交的投标文件应符合招标文件的要求，满足评标需要的全部资料。</w:t>
      </w:r>
    </w:p>
    <w:p>
      <w:pPr>
        <w:pStyle w:val="6"/>
        <w:tabs>
          <w:tab w:val="left" w:pos="1000"/>
        </w:tabs>
        <w:spacing w:line="500" w:lineRule="exact"/>
        <w:ind w:firstLine="480" w:firstLineChars="200"/>
        <w:rPr>
          <w:rFonts w:ascii="宋体" w:hAnsi="宋体"/>
          <w:color w:val="auto"/>
          <w:sz w:val="24"/>
          <w:szCs w:val="24"/>
        </w:rPr>
      </w:pPr>
      <w:r>
        <w:rPr>
          <w:rFonts w:hint="eastAsia" w:ascii="宋体" w:hAnsi="宋体"/>
          <w:color w:val="auto"/>
          <w:sz w:val="24"/>
        </w:rPr>
        <w:t>2）</w:t>
      </w:r>
      <w:r>
        <w:rPr>
          <w:rFonts w:hint="eastAsia" w:ascii="宋体" w:hAnsi="宋体"/>
          <w:color w:val="auto"/>
          <w:sz w:val="24"/>
          <w:szCs w:val="24"/>
        </w:rPr>
        <w:t>投标文件应包含本须知第3.1条中规定的内容，</w:t>
      </w:r>
      <w:r>
        <w:rPr>
          <w:rFonts w:hint="eastAsia" w:ascii="宋体" w:hAnsi="宋体"/>
          <w:b/>
          <w:color w:val="auto"/>
          <w:sz w:val="24"/>
          <w:szCs w:val="24"/>
        </w:rPr>
        <w:t>投标人提交的投标文件使用招标文件第七章所规定的投标文件全部格式</w:t>
      </w:r>
      <w:r>
        <w:rPr>
          <w:rFonts w:hint="eastAsia" w:ascii="宋体" w:hAnsi="宋体"/>
          <w:color w:val="auto"/>
          <w:sz w:val="24"/>
          <w:szCs w:val="24"/>
        </w:rPr>
        <w:t>（表格可以按同样格式扩展），包括完整地填写</w:t>
      </w:r>
      <w:r>
        <w:rPr>
          <w:rFonts w:hint="eastAsia" w:ascii="宋体" w:hAnsi="宋体"/>
          <w:b/>
          <w:color w:val="auto"/>
          <w:sz w:val="24"/>
          <w:szCs w:val="24"/>
        </w:rPr>
        <w:t>投标函</w:t>
      </w:r>
      <w:r>
        <w:rPr>
          <w:rFonts w:hint="eastAsia" w:ascii="宋体" w:hAnsi="宋体"/>
          <w:color w:val="auto"/>
          <w:sz w:val="24"/>
          <w:szCs w:val="24"/>
        </w:rPr>
        <w:t>和</w:t>
      </w:r>
      <w:r>
        <w:rPr>
          <w:rFonts w:hint="eastAsia" w:ascii="宋体" w:hAnsi="宋体"/>
          <w:b/>
          <w:color w:val="auto"/>
          <w:sz w:val="24"/>
          <w:szCs w:val="24"/>
        </w:rPr>
        <w:t>投标函附表</w:t>
      </w:r>
      <w:r>
        <w:rPr>
          <w:rFonts w:hint="eastAsia" w:ascii="宋体" w:hAnsi="宋体"/>
          <w:color w:val="auto"/>
          <w:sz w:val="24"/>
          <w:szCs w:val="24"/>
        </w:rPr>
        <w:t>。</w:t>
      </w:r>
    </w:p>
    <w:p>
      <w:pPr>
        <w:pStyle w:val="6"/>
        <w:tabs>
          <w:tab w:val="left" w:pos="1000"/>
        </w:tabs>
        <w:spacing w:line="500" w:lineRule="exact"/>
        <w:ind w:firstLine="0"/>
        <w:rPr>
          <w:rFonts w:ascii="宋体" w:hAnsi="宋体"/>
          <w:b/>
          <w:color w:val="auto"/>
          <w:sz w:val="24"/>
          <w:szCs w:val="24"/>
        </w:rPr>
      </w:pPr>
      <w:r>
        <w:rPr>
          <w:rFonts w:hint="eastAsia" w:ascii="宋体" w:hAnsi="宋体" w:cs="宋体"/>
          <w:bCs/>
          <w:color w:val="auto"/>
          <w:kern w:val="0"/>
          <w:sz w:val="24"/>
        </w:rPr>
        <w:t xml:space="preserve">    3）</w:t>
      </w:r>
      <w:r>
        <w:rPr>
          <w:rFonts w:ascii="宋体" w:hAnsi="宋体" w:cs="宋体"/>
          <w:b/>
          <w:color w:val="auto"/>
          <w:kern w:val="0"/>
          <w:sz w:val="24"/>
        </w:rPr>
        <w:t>投标人应当按照招标文件的要求编制</w:t>
      </w:r>
      <w:r>
        <w:rPr>
          <w:rFonts w:hint="eastAsia" w:ascii="宋体" w:hAnsi="宋体" w:cs="宋体"/>
          <w:b/>
          <w:color w:val="auto"/>
          <w:kern w:val="0"/>
          <w:sz w:val="24"/>
        </w:rPr>
        <w:t>技术</w:t>
      </w:r>
      <w:r>
        <w:rPr>
          <w:rFonts w:ascii="宋体" w:hAnsi="宋体" w:cs="宋体"/>
          <w:b/>
          <w:color w:val="auto"/>
          <w:kern w:val="0"/>
          <w:sz w:val="24"/>
        </w:rPr>
        <w:t>文件</w:t>
      </w:r>
      <w:r>
        <w:rPr>
          <w:rFonts w:hint="eastAsia" w:ascii="宋体" w:hAnsi="宋体" w:cs="宋体"/>
          <w:b/>
          <w:color w:val="auto"/>
          <w:kern w:val="0"/>
          <w:sz w:val="24"/>
        </w:rPr>
        <w:t>，具体要求详见招标文件第五章“技术标准和设计任务书”和第七章投标文件格式中的“四.技术文件格式”</w:t>
      </w:r>
      <w:r>
        <w:rPr>
          <w:rFonts w:hint="eastAsia" w:ascii="宋体" w:hAnsi="宋体" w:cs="宋体"/>
          <w:color w:val="auto"/>
          <w:kern w:val="0"/>
          <w:sz w:val="24"/>
        </w:rPr>
        <w:t>。</w:t>
      </w:r>
    </w:p>
    <w:p>
      <w:pPr>
        <w:pStyle w:val="6"/>
        <w:tabs>
          <w:tab w:val="left" w:pos="1000"/>
        </w:tabs>
        <w:spacing w:line="500" w:lineRule="exact"/>
        <w:ind w:firstLine="480" w:firstLineChars="200"/>
        <w:rPr>
          <w:rFonts w:ascii="宋体" w:hAnsi="宋体"/>
          <w:b/>
          <w:color w:val="auto"/>
          <w:sz w:val="24"/>
          <w:szCs w:val="24"/>
        </w:rPr>
      </w:pPr>
      <w:r>
        <w:rPr>
          <w:rFonts w:hint="eastAsia" w:ascii="宋体" w:hAnsi="宋体"/>
          <w:color w:val="auto"/>
          <w:sz w:val="24"/>
        </w:rPr>
        <w:t>4）</w:t>
      </w:r>
      <w:r>
        <w:rPr>
          <w:rFonts w:ascii="宋体" w:hAnsi="宋体"/>
          <w:color w:val="auto"/>
          <w:sz w:val="24"/>
        </w:rPr>
        <w:t>投标人</w:t>
      </w:r>
      <w:r>
        <w:rPr>
          <w:rFonts w:ascii="宋体" w:hAnsi="宋体" w:cs="宋体"/>
          <w:color w:val="auto"/>
          <w:kern w:val="0"/>
          <w:sz w:val="24"/>
          <w:szCs w:val="24"/>
        </w:rPr>
        <w:t>在投标文件有关技术方案和要求中不得指定与工程建设项目有关的重要设备、材料的生产供应者，或者含有倾向或者排斥特定生产供应者的内容。</w:t>
      </w:r>
    </w:p>
    <w:p>
      <w:pPr>
        <w:pStyle w:val="6"/>
        <w:tabs>
          <w:tab w:val="left" w:pos="1000"/>
        </w:tabs>
        <w:spacing w:line="500" w:lineRule="exact"/>
        <w:ind w:firstLine="480" w:firstLineChars="200"/>
        <w:rPr>
          <w:rFonts w:ascii="宋体" w:hAnsi="宋体"/>
          <w:b/>
          <w:color w:val="auto"/>
          <w:sz w:val="24"/>
          <w:szCs w:val="24"/>
        </w:rPr>
      </w:pPr>
      <w:r>
        <w:rPr>
          <w:rFonts w:hint="eastAsia" w:ascii="宋体" w:hAnsi="宋体"/>
          <w:color w:val="auto"/>
          <w:sz w:val="24"/>
        </w:rPr>
        <w:t>5）投标</w:t>
      </w:r>
      <w:r>
        <w:rPr>
          <w:rFonts w:hint="eastAsia" w:ascii="宋体" w:hAnsi="宋体" w:cs="宋体"/>
          <w:color w:val="auto"/>
          <w:kern w:val="0"/>
          <w:sz w:val="24"/>
          <w:szCs w:val="24"/>
        </w:rPr>
        <w:t>人不得通过故意压低投资额、降低施工技术要求、减少占地面积，或者缩短工期等手段弄虚作假，骗取中标。</w:t>
      </w:r>
    </w:p>
    <w:p>
      <w:pPr>
        <w:spacing w:line="500" w:lineRule="exact"/>
        <w:rPr>
          <w:b/>
          <w:color w:val="auto"/>
          <w:sz w:val="30"/>
          <w:szCs w:val="30"/>
        </w:rPr>
      </w:pPr>
      <w:r>
        <w:rPr>
          <w:rFonts w:hint="eastAsia"/>
          <w:b/>
          <w:color w:val="auto"/>
          <w:sz w:val="30"/>
          <w:szCs w:val="30"/>
        </w:rPr>
        <w:t>3.3</w:t>
      </w:r>
      <w:bookmarkEnd w:id="98"/>
      <w:bookmarkEnd w:id="99"/>
      <w:bookmarkEnd w:id="100"/>
      <w:r>
        <w:rPr>
          <w:rFonts w:hint="eastAsia"/>
          <w:b/>
          <w:color w:val="auto"/>
          <w:sz w:val="30"/>
          <w:szCs w:val="30"/>
        </w:rPr>
        <w:t>投标报价和合同金额</w:t>
      </w:r>
    </w:p>
    <w:p>
      <w:pPr>
        <w:spacing w:line="500" w:lineRule="exact"/>
        <w:ind w:firstLine="480" w:firstLineChars="200"/>
        <w:rPr>
          <w:color w:val="auto"/>
          <w:sz w:val="24"/>
        </w:rPr>
      </w:pPr>
      <w:r>
        <w:rPr>
          <w:rFonts w:hint="eastAsia"/>
          <w:color w:val="auto"/>
          <w:sz w:val="24"/>
        </w:rPr>
        <w:t>3.3.1.本招标项目的合同金额，应是完成本须知第1条中所述的和合同条款上所列招标项目的设计范围、设计周期、以及设计服务内容的全部制定的，不得以任何理由予以重复，其根据为招标人向投标人提供的招标文件。</w:t>
      </w:r>
    </w:p>
    <w:p>
      <w:pPr>
        <w:spacing w:line="500" w:lineRule="exact"/>
        <w:ind w:firstLine="480" w:firstLineChars="200"/>
        <w:rPr>
          <w:color w:val="auto"/>
          <w:sz w:val="24"/>
        </w:rPr>
      </w:pPr>
      <w:r>
        <w:rPr>
          <w:rFonts w:hint="eastAsia"/>
          <w:color w:val="auto"/>
          <w:sz w:val="24"/>
        </w:rPr>
        <w:t>3.3.2.合同金额为招标人向中标人支付的各项金额的总和，包括完成本投标须知第3.3.1款所确定的设计业务所需的全部费用。除非招标人对招标文件予以修改。施工图纸应通过有关部门审查合格并提供报建所需的设计文件及后续服务等工作。</w:t>
      </w:r>
    </w:p>
    <w:p>
      <w:pPr>
        <w:spacing w:line="500" w:lineRule="exact"/>
        <w:ind w:firstLine="480" w:firstLineChars="200"/>
        <w:rPr>
          <w:rFonts w:asciiTheme="minorEastAsia" w:hAnsiTheme="minorEastAsia" w:eastAsiaTheme="minorEastAsia" w:cstheme="minorEastAsia"/>
          <w:color w:val="auto"/>
          <w:sz w:val="24"/>
        </w:rPr>
      </w:pPr>
      <w:r>
        <w:rPr>
          <w:rFonts w:hint="eastAsia"/>
          <w:color w:val="auto"/>
          <w:sz w:val="24"/>
        </w:rPr>
        <w:t>3.3.3. 投标人参照国家发展计划委员会、建设部2002年颁布的《工程勘察设计收费标准》填报下浮率</w:t>
      </w:r>
      <w:r>
        <w:rPr>
          <w:rFonts w:hint="eastAsia" w:asciiTheme="minorEastAsia" w:hAnsiTheme="minorEastAsia" w:eastAsiaTheme="minorEastAsia" w:cstheme="minorEastAsia"/>
          <w:color w:val="auto"/>
          <w:sz w:val="24"/>
        </w:rPr>
        <w:t>。</w:t>
      </w:r>
    </w:p>
    <w:p>
      <w:pPr>
        <w:spacing w:line="500" w:lineRule="exact"/>
        <w:ind w:firstLine="480" w:firstLineChars="200"/>
        <w:rPr>
          <w:color w:val="auto"/>
          <w:sz w:val="24"/>
        </w:rPr>
      </w:pPr>
      <w:r>
        <w:rPr>
          <w:rFonts w:hint="eastAsia"/>
          <w:color w:val="auto"/>
          <w:sz w:val="24"/>
        </w:rPr>
        <w:t>3.3.4招标人和中标人按中标的勘察、设计费报价金额签订合同。</w:t>
      </w:r>
    </w:p>
    <w:p>
      <w:pPr>
        <w:spacing w:line="500" w:lineRule="exact"/>
        <w:ind w:firstLine="480" w:firstLineChars="200"/>
        <w:rPr>
          <w:color w:val="auto"/>
          <w:sz w:val="24"/>
        </w:rPr>
      </w:pPr>
      <w:r>
        <w:rPr>
          <w:rFonts w:hint="eastAsia"/>
          <w:color w:val="auto"/>
          <w:sz w:val="24"/>
        </w:rPr>
        <w:t>3.3.5未中标方案补偿费：无。</w:t>
      </w:r>
    </w:p>
    <w:p>
      <w:pPr>
        <w:spacing w:line="500" w:lineRule="exact"/>
        <w:ind w:firstLine="480" w:firstLineChars="200"/>
        <w:rPr>
          <w:color w:val="auto"/>
          <w:sz w:val="24"/>
        </w:rPr>
      </w:pPr>
      <w:r>
        <w:rPr>
          <w:rFonts w:hint="eastAsia"/>
          <w:color w:val="auto"/>
          <w:sz w:val="24"/>
        </w:rPr>
        <w:t>3.3.6 投标人只允许有一个报价，任何有选择的报价都不予接受。</w:t>
      </w:r>
    </w:p>
    <w:p>
      <w:pPr>
        <w:spacing w:line="500" w:lineRule="exact"/>
        <w:rPr>
          <w:b/>
          <w:color w:val="auto"/>
          <w:sz w:val="30"/>
          <w:szCs w:val="30"/>
        </w:rPr>
      </w:pPr>
      <w:bookmarkStart w:id="101" w:name="_Toc247527574"/>
      <w:bookmarkStart w:id="102" w:name="_Toc144974517"/>
      <w:bookmarkStart w:id="103" w:name="_Toc152042325"/>
      <w:bookmarkStart w:id="104" w:name="_Toc376722620"/>
      <w:bookmarkStart w:id="105" w:name="_Toc152045549"/>
      <w:bookmarkStart w:id="106" w:name="_Toc376715934"/>
      <w:bookmarkStart w:id="107" w:name="_Toc376813728"/>
      <w:bookmarkStart w:id="108" w:name="_Toc376814072"/>
      <w:bookmarkStart w:id="109" w:name="_Toc376722789"/>
      <w:bookmarkStart w:id="110" w:name="_Toc367880319"/>
      <w:bookmarkStart w:id="111" w:name="_Toc11941104"/>
      <w:bookmarkStart w:id="112" w:name="_Toc247513973"/>
      <w:bookmarkStart w:id="113" w:name="_Toc394435783"/>
      <w:bookmarkStart w:id="114" w:name="_Toc394248462"/>
      <w:bookmarkStart w:id="115" w:name="_Toc376722705"/>
      <w:r>
        <w:rPr>
          <w:rFonts w:hint="eastAsia"/>
          <w:b/>
          <w:color w:val="auto"/>
          <w:sz w:val="30"/>
          <w:szCs w:val="30"/>
        </w:rPr>
        <w:t>3.4投标有效期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500" w:lineRule="exact"/>
        <w:ind w:firstLine="480" w:firstLineChars="200"/>
        <w:rPr>
          <w:color w:val="auto"/>
          <w:sz w:val="24"/>
        </w:rPr>
      </w:pPr>
      <w:r>
        <w:rPr>
          <w:rFonts w:hint="eastAsia"/>
          <w:color w:val="auto"/>
          <w:sz w:val="24"/>
        </w:rPr>
        <w:t>3.4.1投标有效期为90天。</w:t>
      </w:r>
    </w:p>
    <w:p>
      <w:pPr>
        <w:spacing w:line="500" w:lineRule="exact"/>
        <w:ind w:firstLine="480" w:firstLineChars="200"/>
        <w:rPr>
          <w:color w:val="auto"/>
          <w:sz w:val="24"/>
        </w:rPr>
      </w:pPr>
      <w:r>
        <w:rPr>
          <w:rFonts w:hint="eastAsia"/>
          <w:color w:val="auto"/>
          <w:sz w:val="24"/>
        </w:rPr>
        <w:t>3.4.2 在投标有效期内，投标人撤销或修改其投标文件的，应承担招标文件和法律规定的责任。</w:t>
      </w:r>
    </w:p>
    <w:p>
      <w:pPr>
        <w:spacing w:line="500" w:lineRule="exact"/>
        <w:ind w:firstLine="480" w:firstLineChars="200"/>
        <w:rPr>
          <w:color w:val="auto"/>
          <w:sz w:val="24"/>
        </w:rPr>
      </w:pPr>
      <w:r>
        <w:rPr>
          <w:rFonts w:hint="eastAsia"/>
          <w:color w:val="auto"/>
          <w:sz w:val="24"/>
        </w:rPr>
        <w:t>3.4.3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500" w:lineRule="exact"/>
        <w:rPr>
          <w:b/>
          <w:color w:val="auto"/>
          <w:sz w:val="30"/>
          <w:szCs w:val="30"/>
        </w:rPr>
      </w:pPr>
      <w:bookmarkStart w:id="116" w:name="_Toc11941105"/>
      <w:bookmarkStart w:id="117" w:name="_Toc376722790"/>
      <w:bookmarkStart w:id="118" w:name="_Toc247513974"/>
      <w:bookmarkStart w:id="119" w:name="_Toc376715935"/>
      <w:bookmarkStart w:id="120" w:name="_Toc152045550"/>
      <w:bookmarkStart w:id="121" w:name="_Toc144974518"/>
      <w:bookmarkStart w:id="122" w:name="_Toc376722706"/>
      <w:bookmarkStart w:id="123" w:name="_Toc376722621"/>
      <w:bookmarkStart w:id="124" w:name="_Toc394435784"/>
      <w:bookmarkStart w:id="125" w:name="_Toc152042326"/>
      <w:bookmarkStart w:id="126" w:name="_Toc367880320"/>
      <w:bookmarkStart w:id="127" w:name="_Toc247527575"/>
      <w:bookmarkStart w:id="128" w:name="_Toc394248463"/>
      <w:bookmarkStart w:id="129" w:name="_Toc376813729"/>
      <w:bookmarkStart w:id="130" w:name="_Toc376814073"/>
      <w:r>
        <w:rPr>
          <w:rFonts w:hint="eastAsia"/>
          <w:b/>
          <w:color w:val="auto"/>
          <w:sz w:val="30"/>
          <w:szCs w:val="30"/>
        </w:rPr>
        <w:t>3.5投标保证金</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500" w:lineRule="exact"/>
        <w:ind w:firstLine="480" w:firstLineChars="200"/>
        <w:rPr>
          <w:color w:val="auto"/>
          <w:sz w:val="24"/>
        </w:rPr>
      </w:pPr>
      <w:r>
        <w:rPr>
          <w:rFonts w:hint="eastAsia"/>
          <w:color w:val="auto"/>
          <w:sz w:val="24"/>
        </w:rPr>
        <w:t>3.5.1 投标人在递交投标文件的同时，应按投标须知前附表规定的金额、担保形式的规定递交投标保证金，并作为其投标文件的组成部分。联合体投标的，其投标保证金由牵头人递交，并应符合投标须知前附表的规定。</w:t>
      </w:r>
    </w:p>
    <w:p>
      <w:pPr>
        <w:spacing w:line="500" w:lineRule="exact"/>
        <w:ind w:firstLine="480" w:firstLineChars="200"/>
        <w:rPr>
          <w:color w:val="auto"/>
          <w:sz w:val="24"/>
        </w:rPr>
      </w:pPr>
      <w:r>
        <w:rPr>
          <w:rFonts w:hint="eastAsia"/>
          <w:color w:val="auto"/>
          <w:sz w:val="24"/>
        </w:rPr>
        <w:t>3.5.2 投标人不按本章第3.5.1项要求提交投标保证金的，评标委员会将否决其投标。</w:t>
      </w:r>
    </w:p>
    <w:p>
      <w:pPr>
        <w:spacing w:line="500" w:lineRule="exact"/>
        <w:ind w:firstLine="480" w:firstLineChars="200"/>
        <w:rPr>
          <w:color w:val="auto"/>
          <w:sz w:val="24"/>
        </w:rPr>
      </w:pPr>
      <w:r>
        <w:rPr>
          <w:rFonts w:hint="eastAsia"/>
          <w:color w:val="auto"/>
          <w:sz w:val="24"/>
        </w:rPr>
        <w:t>3.5.3 招标人与中标人签订合同后5日内，向未中标的投标人和中标人</w:t>
      </w:r>
      <w:r>
        <w:rPr>
          <w:rFonts w:hint="eastAsia" w:ascii="宋体" w:hAnsi="宋体" w:cs="宋体"/>
          <w:color w:val="auto"/>
          <w:sz w:val="24"/>
          <w:szCs w:val="24"/>
        </w:rPr>
        <w:t>一次性退还投标保证金</w:t>
      </w:r>
      <w:r>
        <w:rPr>
          <w:rFonts w:hint="eastAsia"/>
          <w:color w:val="auto"/>
          <w:sz w:val="24"/>
        </w:rPr>
        <w:t>。</w:t>
      </w:r>
      <w:r>
        <w:rPr>
          <w:rFonts w:hint="eastAsia" w:ascii="宋体" w:hAnsi="宋体"/>
          <w:color w:val="auto"/>
          <w:sz w:val="24"/>
        </w:rPr>
        <w:t>投标保证金的银行同期存款利息用作抵扣银行退款手续费。</w:t>
      </w:r>
      <w:r>
        <w:rPr>
          <w:rFonts w:hint="eastAsia" w:ascii="宋体" w:hAnsi="宋体" w:cs="宋体"/>
          <w:color w:val="auto"/>
          <w:sz w:val="24"/>
          <w:szCs w:val="24"/>
        </w:rPr>
        <w:t>招标文件中规定给予未中标人经济补偿的，也应在此期限内一并给付。</w:t>
      </w:r>
    </w:p>
    <w:p>
      <w:pPr>
        <w:spacing w:line="500" w:lineRule="exact"/>
        <w:ind w:firstLine="480" w:firstLineChars="200"/>
        <w:rPr>
          <w:color w:val="auto"/>
          <w:sz w:val="24"/>
        </w:rPr>
      </w:pPr>
      <w:r>
        <w:rPr>
          <w:rFonts w:hint="eastAsia"/>
          <w:color w:val="auto"/>
          <w:sz w:val="24"/>
        </w:rPr>
        <w:t>3.5.4 有下列情形之一的，投标保证金将不予退还：</w:t>
      </w:r>
    </w:p>
    <w:p>
      <w:pPr>
        <w:spacing w:line="500" w:lineRule="exact"/>
        <w:ind w:firstLine="360" w:firstLineChars="150"/>
        <w:rPr>
          <w:color w:val="auto"/>
          <w:sz w:val="24"/>
        </w:rPr>
      </w:pPr>
      <w:r>
        <w:rPr>
          <w:rFonts w:hint="eastAsia"/>
          <w:color w:val="auto"/>
          <w:sz w:val="24"/>
        </w:rPr>
        <w:t>（1）投标人在规定的投标有效期内撤销或修改其投标文件；</w:t>
      </w:r>
    </w:p>
    <w:p>
      <w:pPr>
        <w:spacing w:line="500" w:lineRule="exact"/>
        <w:ind w:firstLine="360" w:firstLineChars="150"/>
        <w:rPr>
          <w:color w:val="auto"/>
          <w:sz w:val="24"/>
        </w:rPr>
      </w:pPr>
      <w:r>
        <w:rPr>
          <w:rFonts w:hint="eastAsia"/>
          <w:color w:val="auto"/>
          <w:sz w:val="24"/>
        </w:rPr>
        <w:t>（2）</w:t>
      </w:r>
      <w:bookmarkStart w:id="131" w:name="_Toc376722624"/>
      <w:bookmarkStart w:id="132" w:name="_Toc144974522"/>
      <w:bookmarkStart w:id="133" w:name="_Toc152042330"/>
      <w:bookmarkStart w:id="134" w:name="_Toc152045554"/>
      <w:bookmarkStart w:id="135" w:name="_Toc247513978"/>
      <w:bookmarkStart w:id="136" w:name="_Toc376813730"/>
      <w:bookmarkStart w:id="137" w:name="_Toc376722793"/>
      <w:bookmarkStart w:id="138" w:name="_Toc394248464"/>
      <w:bookmarkStart w:id="139" w:name="_Toc367880323"/>
      <w:bookmarkStart w:id="140" w:name="_Toc394435785"/>
      <w:bookmarkStart w:id="141" w:name="_Toc376814074"/>
      <w:bookmarkStart w:id="142" w:name="_Toc247527579"/>
      <w:bookmarkStart w:id="143" w:name="_Toc376722709"/>
      <w:bookmarkStart w:id="144" w:name="_Toc376715938"/>
      <w:r>
        <w:rPr>
          <w:rFonts w:hint="eastAsia"/>
          <w:color w:val="auto"/>
          <w:sz w:val="24"/>
        </w:rPr>
        <w:t>中标人未能在规定期限内与招标人签订合同协议。</w:t>
      </w:r>
    </w:p>
    <w:p>
      <w:pPr>
        <w:spacing w:line="500" w:lineRule="exact"/>
        <w:rPr>
          <w:b/>
          <w:color w:val="auto"/>
          <w:sz w:val="30"/>
          <w:szCs w:val="30"/>
        </w:rPr>
      </w:pPr>
      <w:bookmarkStart w:id="145" w:name="_Toc11941106"/>
      <w:r>
        <w:rPr>
          <w:rFonts w:hint="eastAsia"/>
          <w:b/>
          <w:color w:val="auto"/>
          <w:sz w:val="30"/>
          <w:szCs w:val="30"/>
        </w:rPr>
        <w:t>3.6投标文件的份数和签署</w:t>
      </w:r>
    </w:p>
    <w:p>
      <w:pPr>
        <w:pStyle w:val="6"/>
        <w:tabs>
          <w:tab w:val="left" w:pos="0"/>
        </w:tabs>
        <w:snapToGrid w:val="0"/>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（1）投标人应按前附表规定的份数提交投标文件。</w:t>
      </w:r>
    </w:p>
    <w:p>
      <w:pPr>
        <w:pStyle w:val="6"/>
        <w:tabs>
          <w:tab w:val="left" w:pos="0"/>
        </w:tabs>
        <w:snapToGrid w:val="0"/>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投标文件的正本和副本均需打（复）印或使用不褪色的蓝、黑墨水笔书写，字迹应清晰易于辨认，并应在投标文件封面上清楚的注明“正本”或“副本”。副本可以是正本加盖公章签字后的复印件。正本与副本如有不一致之处，则以正本为准。</w:t>
      </w:r>
    </w:p>
    <w:p>
      <w:pPr>
        <w:pStyle w:val="6"/>
        <w:tabs>
          <w:tab w:val="left" w:pos="0"/>
        </w:tabs>
        <w:snapToGrid w:val="0"/>
        <w:spacing w:line="5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（3）投标文件应按具体要求加盖投标人单位公章、法定代表人或委托代理人签字</w:t>
      </w:r>
      <w:r>
        <w:rPr>
          <w:rFonts w:hint="eastAsia" w:ascii="宋体" w:hAnsi="宋体" w:cs="宋体"/>
          <w:b/>
          <w:bCs/>
          <w:color w:val="auto"/>
          <w:sz w:val="24"/>
          <w:szCs w:val="24"/>
        </w:rPr>
        <w:t>。</w:t>
      </w:r>
      <w:r>
        <w:rPr>
          <w:rFonts w:hint="eastAsia" w:ascii="宋体" w:hAnsi="宋体" w:cs="宋体"/>
          <w:color w:val="auto"/>
          <w:sz w:val="24"/>
          <w:szCs w:val="24"/>
        </w:rPr>
        <w:t>由委托代理人签字的在投标文件中必须同时提交投标文件的法定代表人授权委托书，投标文件签署授权委托书格式、签字、盖章及内容均应符合要求，否则投标文件签署授权委托书无效。</w:t>
      </w:r>
    </w:p>
    <w:p>
      <w:pPr>
        <w:pStyle w:val="6"/>
        <w:tabs>
          <w:tab w:val="left" w:pos="0"/>
        </w:tabs>
        <w:snapToGrid w:val="0"/>
        <w:spacing w:line="500" w:lineRule="exact"/>
        <w:ind w:firstLine="482" w:firstLineChars="200"/>
        <w:jc w:val="left"/>
        <w:rPr>
          <w:rFonts w:ascii="宋体" w:hAnsi="宋体" w:cs="宋体"/>
          <w:color w:val="auto"/>
          <w:sz w:val="24"/>
          <w:szCs w:val="24"/>
        </w:rPr>
      </w:pPr>
      <w:r>
        <w:rPr>
          <w:rFonts w:hint="eastAsia" w:hAnsi="宋体"/>
          <w:b/>
          <w:bCs/>
          <w:color w:val="auto"/>
          <w:sz w:val="24"/>
          <w:szCs w:val="24"/>
        </w:rPr>
        <w:t>如联合体</w:t>
      </w:r>
      <w:r>
        <w:rPr>
          <w:rFonts w:hint="eastAsia" w:ascii="宋体" w:hAnsi="宋体"/>
          <w:b/>
          <w:bCs/>
          <w:color w:val="auto"/>
          <w:sz w:val="24"/>
        </w:rPr>
        <w:t>形式参与</w:t>
      </w:r>
      <w:r>
        <w:rPr>
          <w:rFonts w:hint="eastAsia" w:hAnsi="宋体"/>
          <w:b/>
          <w:bCs/>
          <w:color w:val="auto"/>
          <w:sz w:val="24"/>
          <w:szCs w:val="24"/>
        </w:rPr>
        <w:t>投标的，则投标申请人名称填写所有成员的名称【如***公司（牵头人）、***公司（成员）】，盖章应盖联合体牵头人单位公章，签字</w:t>
      </w:r>
      <w:r>
        <w:rPr>
          <w:rFonts w:hAnsi="宋体"/>
          <w:b/>
          <w:bCs/>
          <w:color w:val="auto"/>
          <w:sz w:val="24"/>
          <w:szCs w:val="24"/>
        </w:rPr>
        <w:t>或盖章</w:t>
      </w:r>
      <w:r>
        <w:rPr>
          <w:rFonts w:hint="eastAsia" w:hAnsi="宋体"/>
          <w:b/>
          <w:bCs/>
          <w:color w:val="auto"/>
          <w:sz w:val="24"/>
          <w:szCs w:val="24"/>
        </w:rPr>
        <w:t>应由联合体牵头人法定代表人（签字</w:t>
      </w:r>
      <w:r>
        <w:rPr>
          <w:rFonts w:hAnsi="宋体"/>
          <w:b/>
          <w:bCs/>
          <w:color w:val="auto"/>
          <w:sz w:val="24"/>
          <w:szCs w:val="24"/>
        </w:rPr>
        <w:t>或盖章</w:t>
      </w:r>
      <w:r>
        <w:rPr>
          <w:rFonts w:hint="eastAsia" w:hAnsi="宋体"/>
          <w:b/>
          <w:bCs/>
          <w:color w:val="auto"/>
          <w:sz w:val="24"/>
          <w:szCs w:val="24"/>
        </w:rPr>
        <w:t>）或其委托代理人签字，联合体协议除外</w:t>
      </w:r>
      <w:r>
        <w:rPr>
          <w:rFonts w:hint="eastAsia"/>
          <w:color w:val="auto"/>
          <w:sz w:val="24"/>
          <w:szCs w:val="24"/>
        </w:rPr>
        <w:t>。</w:t>
      </w:r>
    </w:p>
    <w:p>
      <w:pPr>
        <w:pStyle w:val="6"/>
        <w:tabs>
          <w:tab w:val="left" w:pos="0"/>
        </w:tabs>
        <w:snapToGrid w:val="0"/>
        <w:spacing w:line="500" w:lineRule="exact"/>
        <w:ind w:firstLine="480" w:firstLineChars="200"/>
        <w:jc w:val="left"/>
        <w:rPr>
          <w:b/>
          <w:color w:val="auto"/>
          <w:sz w:val="30"/>
          <w:szCs w:val="30"/>
        </w:rPr>
      </w:pPr>
      <w:r>
        <w:rPr>
          <w:rFonts w:hint="eastAsia" w:ascii="宋体" w:hAnsi="宋体" w:cs="宋体"/>
          <w:color w:val="auto"/>
          <w:sz w:val="24"/>
          <w:szCs w:val="24"/>
        </w:rPr>
        <w:t>（4）除投标人对错误处须修改外，全套投标文件应无涂改或行间插字和增删，如有修改，修改之处均应盖投标人单位公章或法定代表人（或委托代理人）签字。</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6" w:name="_Toc11941109"/>
      <w:bookmarkStart w:id="147" w:name="_Toc247513979"/>
      <w:bookmarkStart w:id="148" w:name="_Toc394435786"/>
      <w:bookmarkStart w:id="149" w:name="_Toc152045555"/>
      <w:bookmarkStart w:id="150" w:name="_Toc376814075"/>
      <w:bookmarkStart w:id="151" w:name="_Toc367880324"/>
      <w:bookmarkStart w:id="152" w:name="_Toc376722710"/>
      <w:bookmarkStart w:id="153" w:name="_Toc394248465"/>
      <w:bookmarkStart w:id="154" w:name="_Toc247527580"/>
      <w:bookmarkStart w:id="155" w:name="_Toc376813731"/>
      <w:bookmarkStart w:id="156" w:name="_Toc144974523"/>
      <w:bookmarkStart w:id="157" w:name="_Toc376715939"/>
      <w:bookmarkStart w:id="158" w:name="_Toc376722625"/>
      <w:bookmarkStart w:id="159" w:name="_Toc152042331"/>
      <w:bookmarkStart w:id="160" w:name="_Toc376722794"/>
    </w:p>
    <w:p>
      <w:pPr>
        <w:spacing w:line="500" w:lineRule="exact"/>
        <w:rPr>
          <w:b/>
          <w:color w:val="auto"/>
          <w:sz w:val="30"/>
          <w:szCs w:val="30"/>
        </w:rPr>
      </w:pPr>
      <w:r>
        <w:rPr>
          <w:rFonts w:hint="eastAsia"/>
          <w:b/>
          <w:color w:val="auto"/>
          <w:sz w:val="30"/>
          <w:szCs w:val="30"/>
        </w:rPr>
        <w:t>4. 投标</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500" w:lineRule="exact"/>
        <w:rPr>
          <w:b/>
          <w:color w:val="auto"/>
          <w:sz w:val="28"/>
          <w:szCs w:val="28"/>
        </w:rPr>
      </w:pPr>
      <w:bookmarkStart w:id="161" w:name="_Toc152045556"/>
      <w:bookmarkStart w:id="162" w:name="_Toc376722795"/>
      <w:bookmarkStart w:id="163" w:name="_Toc394248466"/>
      <w:bookmarkStart w:id="164" w:name="_Toc367880325"/>
      <w:bookmarkStart w:id="165" w:name="_Toc376814076"/>
      <w:bookmarkStart w:id="166" w:name="_Toc376722711"/>
      <w:bookmarkStart w:id="167" w:name="_Toc376715940"/>
      <w:bookmarkStart w:id="168" w:name="_Toc247513980"/>
      <w:bookmarkStart w:id="169" w:name="_Toc247527581"/>
      <w:bookmarkStart w:id="170" w:name="_Toc144974524"/>
      <w:bookmarkStart w:id="171" w:name="_Toc152042332"/>
      <w:bookmarkStart w:id="172" w:name="_Toc376722626"/>
      <w:bookmarkStart w:id="173" w:name="_Toc11941110"/>
      <w:bookmarkStart w:id="174" w:name="_Toc376813732"/>
      <w:bookmarkStart w:id="175" w:name="_Toc394435787"/>
      <w:r>
        <w:rPr>
          <w:rFonts w:hint="eastAsia"/>
          <w:b/>
          <w:color w:val="auto"/>
          <w:sz w:val="28"/>
          <w:szCs w:val="28"/>
        </w:rPr>
        <w:t>4.1 投标文件的密封和标记</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500" w:lineRule="exact"/>
        <w:ind w:firstLine="480" w:firstLineChars="200"/>
        <w:rPr>
          <w:color w:val="auto"/>
          <w:sz w:val="24"/>
        </w:rPr>
      </w:pPr>
      <w:r>
        <w:rPr>
          <w:rFonts w:hint="eastAsia"/>
          <w:color w:val="auto"/>
          <w:sz w:val="24"/>
        </w:rPr>
        <w:t>4.1.1 投标文件应进行包装、加贴封条，并在封套的封口处加盖投标人单位章。</w:t>
      </w:r>
    </w:p>
    <w:p>
      <w:pPr>
        <w:spacing w:line="500" w:lineRule="exact"/>
        <w:ind w:firstLine="480" w:firstLineChars="200"/>
        <w:rPr>
          <w:color w:val="auto"/>
          <w:sz w:val="24"/>
        </w:rPr>
      </w:pPr>
      <w:r>
        <w:rPr>
          <w:rFonts w:hint="eastAsia"/>
          <w:color w:val="auto"/>
          <w:sz w:val="24"/>
        </w:rPr>
        <w:t>4.1.2 投标文件封套上应写明的内容见投标须知前附表。</w:t>
      </w:r>
    </w:p>
    <w:p>
      <w:pPr>
        <w:spacing w:line="500" w:lineRule="exact"/>
        <w:ind w:firstLine="480" w:firstLineChars="200"/>
        <w:rPr>
          <w:color w:val="auto"/>
          <w:sz w:val="24"/>
        </w:rPr>
      </w:pPr>
      <w:r>
        <w:rPr>
          <w:rFonts w:hint="eastAsia"/>
          <w:color w:val="auto"/>
          <w:sz w:val="24"/>
        </w:rPr>
        <w:t>4.1.3 未按本章第4.1.1项和第4.1.2项要求密封和加写标记的投标文件，招标人不予受理。</w:t>
      </w:r>
    </w:p>
    <w:p>
      <w:pPr>
        <w:spacing w:line="500" w:lineRule="exact"/>
        <w:rPr>
          <w:b/>
          <w:color w:val="auto"/>
          <w:sz w:val="28"/>
          <w:szCs w:val="28"/>
        </w:rPr>
      </w:pPr>
      <w:bookmarkStart w:id="176" w:name="_Toc152045557"/>
      <w:bookmarkStart w:id="177" w:name="_Toc11941111"/>
      <w:bookmarkStart w:id="178" w:name="_Toc144974525"/>
      <w:bookmarkStart w:id="179" w:name="_Toc247527582"/>
      <w:bookmarkStart w:id="180" w:name="_Toc376715941"/>
      <w:bookmarkStart w:id="181" w:name="_Toc376722712"/>
      <w:bookmarkStart w:id="182" w:name="_Toc394248467"/>
      <w:bookmarkStart w:id="183" w:name="_Toc376813733"/>
      <w:bookmarkStart w:id="184" w:name="_Toc247513981"/>
      <w:bookmarkStart w:id="185" w:name="_Toc394435788"/>
      <w:bookmarkStart w:id="186" w:name="_Toc152042333"/>
      <w:bookmarkStart w:id="187" w:name="_Toc367880326"/>
      <w:bookmarkStart w:id="188" w:name="_Toc376722796"/>
      <w:bookmarkStart w:id="189" w:name="_Toc376814077"/>
      <w:bookmarkStart w:id="190" w:name="_Toc376722627"/>
      <w:r>
        <w:rPr>
          <w:rFonts w:hint="eastAsia"/>
          <w:b/>
          <w:color w:val="auto"/>
          <w:sz w:val="28"/>
          <w:szCs w:val="28"/>
        </w:rPr>
        <w:t>4.2 投标文件的递交</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500" w:lineRule="exact"/>
        <w:ind w:firstLine="480" w:firstLineChars="200"/>
        <w:rPr>
          <w:color w:val="auto"/>
          <w:sz w:val="24"/>
        </w:rPr>
      </w:pPr>
      <w:r>
        <w:rPr>
          <w:rFonts w:hint="eastAsia"/>
          <w:color w:val="auto"/>
          <w:sz w:val="24"/>
        </w:rPr>
        <w:t>4.2.1 投标人应在规定的投标截止时间前递交投标文件。</w:t>
      </w:r>
    </w:p>
    <w:p>
      <w:pPr>
        <w:spacing w:line="500" w:lineRule="exact"/>
        <w:ind w:firstLine="480" w:firstLineChars="200"/>
        <w:rPr>
          <w:color w:val="auto"/>
          <w:sz w:val="24"/>
        </w:rPr>
      </w:pPr>
      <w:r>
        <w:rPr>
          <w:rFonts w:hint="eastAsia"/>
          <w:color w:val="auto"/>
          <w:sz w:val="24"/>
        </w:rPr>
        <w:t>4.2.2 投标人递交投标文件的地点：见投标须知前附表。</w:t>
      </w:r>
    </w:p>
    <w:p>
      <w:pPr>
        <w:spacing w:line="500" w:lineRule="exact"/>
        <w:ind w:firstLine="480" w:firstLineChars="200"/>
        <w:rPr>
          <w:color w:val="auto"/>
          <w:sz w:val="24"/>
        </w:rPr>
      </w:pPr>
      <w:r>
        <w:rPr>
          <w:rFonts w:hint="eastAsia"/>
          <w:color w:val="auto"/>
          <w:sz w:val="24"/>
        </w:rPr>
        <w:t>4.2.3 除投标须知前附表另有规定外，投标人所递交的投标文件不予退还。</w:t>
      </w:r>
    </w:p>
    <w:p>
      <w:pPr>
        <w:spacing w:line="500" w:lineRule="exact"/>
        <w:ind w:firstLine="480" w:firstLineChars="200"/>
        <w:rPr>
          <w:color w:val="auto"/>
          <w:sz w:val="24"/>
        </w:rPr>
      </w:pPr>
      <w:r>
        <w:rPr>
          <w:rFonts w:hint="eastAsia"/>
          <w:color w:val="auto"/>
          <w:sz w:val="24"/>
        </w:rPr>
        <w:t>4.2.4 逾期送达的或者未送达指定地点的投标文件，招标人不予受理。</w:t>
      </w:r>
    </w:p>
    <w:p>
      <w:pPr>
        <w:spacing w:line="500" w:lineRule="exact"/>
        <w:rPr>
          <w:b/>
          <w:color w:val="auto"/>
          <w:sz w:val="28"/>
          <w:szCs w:val="28"/>
        </w:rPr>
      </w:pPr>
      <w:bookmarkStart w:id="191" w:name="_Toc152042334"/>
      <w:bookmarkStart w:id="192" w:name="_Toc394248468"/>
      <w:bookmarkStart w:id="193" w:name="_Toc376814078"/>
      <w:bookmarkStart w:id="194" w:name="_Toc247527583"/>
      <w:bookmarkStart w:id="195" w:name="_Toc11941112"/>
      <w:bookmarkStart w:id="196" w:name="_Toc376722797"/>
      <w:bookmarkStart w:id="197" w:name="_Toc376722628"/>
      <w:bookmarkStart w:id="198" w:name="_Toc152045558"/>
      <w:bookmarkStart w:id="199" w:name="_Toc247513982"/>
      <w:bookmarkStart w:id="200" w:name="_Toc376722713"/>
      <w:bookmarkStart w:id="201" w:name="_Toc144974526"/>
      <w:bookmarkStart w:id="202" w:name="_Toc394435789"/>
      <w:bookmarkStart w:id="203" w:name="_Toc376715942"/>
      <w:bookmarkStart w:id="204" w:name="_Toc367880327"/>
      <w:bookmarkStart w:id="205" w:name="_Toc376813734"/>
      <w:r>
        <w:rPr>
          <w:rFonts w:hint="eastAsia"/>
          <w:b/>
          <w:color w:val="auto"/>
          <w:sz w:val="28"/>
          <w:szCs w:val="28"/>
        </w:rPr>
        <w:t>4.3 投标文件的修改与撤回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500" w:lineRule="exact"/>
        <w:ind w:firstLine="480" w:firstLineChars="200"/>
        <w:rPr>
          <w:color w:val="auto"/>
          <w:sz w:val="24"/>
        </w:rPr>
      </w:pPr>
      <w:r>
        <w:rPr>
          <w:rFonts w:hint="eastAsia"/>
          <w:color w:val="auto"/>
          <w:sz w:val="24"/>
        </w:rPr>
        <w:t>4.3.1 在规定的投标截止时间前，投标人可以修改或撤回已递交的投标文件，但应以书面形式通知招标人。</w:t>
      </w:r>
    </w:p>
    <w:p>
      <w:pPr>
        <w:spacing w:line="500" w:lineRule="exact"/>
        <w:ind w:firstLine="480" w:firstLineChars="200"/>
        <w:rPr>
          <w:color w:val="auto"/>
          <w:sz w:val="24"/>
        </w:rPr>
      </w:pPr>
      <w:r>
        <w:rPr>
          <w:rFonts w:hint="eastAsia"/>
          <w:color w:val="auto"/>
          <w:sz w:val="24"/>
        </w:rPr>
        <w:t>4.3.2 投标人修改或撤回已递交投标文件的书面通知应按照要求签字和盖章。</w:t>
      </w:r>
    </w:p>
    <w:p>
      <w:pPr>
        <w:spacing w:line="500" w:lineRule="exact"/>
        <w:ind w:firstLine="480" w:firstLineChars="200"/>
        <w:rPr>
          <w:color w:val="auto"/>
          <w:sz w:val="24"/>
        </w:rPr>
      </w:pPr>
      <w:r>
        <w:rPr>
          <w:rFonts w:hint="eastAsia"/>
          <w:color w:val="auto"/>
          <w:sz w:val="24"/>
        </w:rPr>
        <w:t>4.3.3 投标人撤回投标文件的，招标人自收到投标人书面撤回通知之日起5日内退还已收取的投标保证金。</w:t>
      </w:r>
    </w:p>
    <w:p>
      <w:pPr>
        <w:spacing w:line="500" w:lineRule="exact"/>
        <w:ind w:firstLine="480" w:firstLineChars="200"/>
        <w:rPr>
          <w:color w:val="auto"/>
          <w:sz w:val="24"/>
        </w:rPr>
      </w:pPr>
      <w:r>
        <w:rPr>
          <w:rFonts w:hint="eastAsia"/>
          <w:color w:val="auto"/>
          <w:sz w:val="24"/>
        </w:rPr>
        <w:t>4.3.4 修改的内容为投标文件的组成部分。</w:t>
      </w:r>
    </w:p>
    <w:p>
      <w:pPr>
        <w:spacing w:line="500" w:lineRule="exact"/>
        <w:rPr>
          <w:b/>
          <w:color w:val="auto"/>
          <w:sz w:val="30"/>
          <w:szCs w:val="30"/>
        </w:rPr>
      </w:pPr>
      <w:bookmarkStart w:id="206" w:name="_Toc376715943"/>
      <w:bookmarkStart w:id="207" w:name="_Toc376814079"/>
      <w:bookmarkStart w:id="208" w:name="_Toc152042335"/>
      <w:bookmarkStart w:id="209" w:name="_Toc394435790"/>
      <w:bookmarkStart w:id="210" w:name="_Toc144974527"/>
      <w:bookmarkStart w:id="211" w:name="_Toc367880328"/>
      <w:bookmarkStart w:id="212" w:name="_Toc152045559"/>
      <w:bookmarkStart w:id="213" w:name="_Toc376813735"/>
      <w:bookmarkStart w:id="214" w:name="_Toc247527584"/>
      <w:bookmarkStart w:id="215" w:name="_Toc11941113"/>
      <w:bookmarkStart w:id="216" w:name="_Toc376722629"/>
      <w:bookmarkStart w:id="217" w:name="_Toc376722714"/>
      <w:bookmarkStart w:id="218" w:name="_Toc376722798"/>
      <w:bookmarkStart w:id="219" w:name="_Toc394248469"/>
      <w:bookmarkStart w:id="220" w:name="_Toc247513983"/>
      <w:r>
        <w:rPr>
          <w:rFonts w:hint="eastAsia"/>
          <w:b/>
          <w:color w:val="auto"/>
          <w:sz w:val="30"/>
          <w:szCs w:val="30"/>
        </w:rPr>
        <w:t>5. 开标</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500" w:lineRule="exact"/>
        <w:rPr>
          <w:b/>
          <w:color w:val="auto"/>
          <w:sz w:val="28"/>
          <w:szCs w:val="28"/>
        </w:rPr>
      </w:pPr>
      <w:bookmarkStart w:id="221" w:name="_Toc376814080"/>
      <w:bookmarkStart w:id="222" w:name="_Toc152042336"/>
      <w:bookmarkStart w:id="223" w:name="_Toc376715944"/>
      <w:bookmarkStart w:id="224" w:name="_Toc152045560"/>
      <w:bookmarkStart w:id="225" w:name="_Toc376813736"/>
      <w:bookmarkStart w:id="226" w:name="_Toc247513984"/>
      <w:bookmarkStart w:id="227" w:name="_Toc394248470"/>
      <w:bookmarkStart w:id="228" w:name="_Toc367880329"/>
      <w:bookmarkStart w:id="229" w:name="_Toc247527585"/>
      <w:bookmarkStart w:id="230" w:name="_Toc376722715"/>
      <w:bookmarkStart w:id="231" w:name="_Toc394435791"/>
      <w:bookmarkStart w:id="232" w:name="_Toc376722799"/>
      <w:bookmarkStart w:id="233" w:name="_Toc11941114"/>
      <w:bookmarkStart w:id="234" w:name="_Toc144974528"/>
      <w:bookmarkStart w:id="235" w:name="_Toc376722630"/>
      <w:r>
        <w:rPr>
          <w:rFonts w:hint="eastAsia"/>
          <w:b/>
          <w:color w:val="auto"/>
          <w:sz w:val="28"/>
          <w:szCs w:val="28"/>
        </w:rPr>
        <w:t>5.1 开标时间和地点</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500" w:lineRule="exact"/>
        <w:ind w:firstLine="480" w:firstLineChars="200"/>
        <w:rPr>
          <w:color w:val="auto"/>
          <w:sz w:val="24"/>
        </w:rPr>
      </w:pPr>
      <w:r>
        <w:rPr>
          <w:rFonts w:hint="eastAsia"/>
          <w:color w:val="auto"/>
          <w:sz w:val="24"/>
        </w:rPr>
        <w:t>招标人在规定的投标截止时间（开标时间）和投标须知前附表规定的地点公开开标，投标人的</w:t>
      </w:r>
      <w:r>
        <w:rPr>
          <w:rFonts w:hint="eastAsia" w:ascii="宋体" w:hAnsi="宋体"/>
          <w:color w:val="auto"/>
          <w:sz w:val="24"/>
        </w:rPr>
        <w:t>法定代表人或其授权代表</w:t>
      </w:r>
      <w:r>
        <w:rPr>
          <w:rFonts w:hint="eastAsia"/>
          <w:color w:val="auto"/>
          <w:sz w:val="24"/>
        </w:rPr>
        <w:t>应准时参加。</w:t>
      </w:r>
    </w:p>
    <w:p>
      <w:pPr>
        <w:spacing w:line="500" w:lineRule="exact"/>
        <w:rPr>
          <w:b/>
          <w:color w:val="auto"/>
          <w:sz w:val="28"/>
          <w:szCs w:val="28"/>
        </w:rPr>
      </w:pPr>
      <w:bookmarkStart w:id="236" w:name="_Toc376722631"/>
      <w:bookmarkStart w:id="237" w:name="_Toc394435792"/>
      <w:bookmarkStart w:id="238" w:name="_Toc394248471"/>
      <w:bookmarkStart w:id="239" w:name="_Toc367880330"/>
      <w:bookmarkStart w:id="240" w:name="_Toc376814081"/>
      <w:bookmarkStart w:id="241" w:name="_Toc376722800"/>
      <w:bookmarkStart w:id="242" w:name="_Toc376715945"/>
      <w:bookmarkStart w:id="243" w:name="_Toc376813737"/>
      <w:bookmarkStart w:id="244" w:name="_Toc247513985"/>
      <w:bookmarkStart w:id="245" w:name="_Toc247527586"/>
      <w:bookmarkStart w:id="246" w:name="_Toc152042337"/>
      <w:bookmarkStart w:id="247" w:name="_Toc144974529"/>
      <w:bookmarkStart w:id="248" w:name="_Toc376722716"/>
      <w:bookmarkStart w:id="249" w:name="_Toc152045561"/>
      <w:bookmarkStart w:id="250" w:name="_Toc11941115"/>
      <w:r>
        <w:rPr>
          <w:rFonts w:hint="eastAsia"/>
          <w:b/>
          <w:color w:val="auto"/>
          <w:sz w:val="28"/>
          <w:szCs w:val="28"/>
        </w:rPr>
        <w:t>5.2 开标程序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spacing w:line="500" w:lineRule="exact"/>
        <w:ind w:firstLine="480" w:firstLineChars="200"/>
        <w:rPr>
          <w:color w:val="auto"/>
          <w:sz w:val="24"/>
        </w:rPr>
      </w:pPr>
      <w:r>
        <w:rPr>
          <w:rFonts w:hint="eastAsia"/>
          <w:color w:val="auto"/>
          <w:sz w:val="24"/>
        </w:rPr>
        <w:t>(1)开标会议由招标人（或招标代理机构）主持；</w:t>
      </w:r>
    </w:p>
    <w:p>
      <w:pPr>
        <w:spacing w:line="500" w:lineRule="exact"/>
        <w:ind w:firstLine="480" w:firstLineChars="200"/>
        <w:rPr>
          <w:color w:val="auto"/>
          <w:sz w:val="24"/>
        </w:rPr>
      </w:pPr>
      <w:r>
        <w:rPr>
          <w:rFonts w:hint="eastAsia"/>
          <w:color w:val="auto"/>
          <w:sz w:val="24"/>
        </w:rPr>
        <w:t>(2)宣布参加开标会议的投标人和投标文件送达情况，宣布各</w:t>
      </w:r>
      <w:r>
        <w:rPr>
          <w:color w:val="auto"/>
          <w:sz w:val="24"/>
        </w:rPr>
        <w:t>投标</w:t>
      </w:r>
      <w:r>
        <w:rPr>
          <w:rFonts w:hint="eastAsia"/>
          <w:color w:val="auto"/>
          <w:sz w:val="24"/>
        </w:rPr>
        <w:t>人</w:t>
      </w:r>
      <w:r>
        <w:rPr>
          <w:color w:val="auto"/>
          <w:sz w:val="24"/>
        </w:rPr>
        <w:t>投标担保</w:t>
      </w:r>
      <w:r>
        <w:rPr>
          <w:rFonts w:hint="eastAsia"/>
          <w:color w:val="auto"/>
          <w:sz w:val="24"/>
        </w:rPr>
        <w:t>交纳</w:t>
      </w:r>
      <w:r>
        <w:rPr>
          <w:color w:val="auto"/>
          <w:sz w:val="24"/>
        </w:rPr>
        <w:t>情况；</w:t>
      </w:r>
    </w:p>
    <w:p>
      <w:pPr>
        <w:spacing w:line="500" w:lineRule="exact"/>
        <w:ind w:firstLine="480" w:firstLineChars="200"/>
        <w:rPr>
          <w:color w:val="auto"/>
          <w:sz w:val="24"/>
        </w:rPr>
      </w:pPr>
      <w:r>
        <w:rPr>
          <w:rFonts w:hint="eastAsia"/>
          <w:color w:val="auto"/>
          <w:sz w:val="24"/>
        </w:rPr>
        <w:t>(3) 招标人、监督人员及投标人代表对</w:t>
      </w:r>
      <w:r>
        <w:rPr>
          <w:color w:val="auto"/>
          <w:sz w:val="24"/>
        </w:rPr>
        <w:t>投标文件</w:t>
      </w:r>
      <w:r>
        <w:rPr>
          <w:rFonts w:hint="eastAsia"/>
          <w:color w:val="auto"/>
          <w:sz w:val="24"/>
        </w:rPr>
        <w:t>的</w:t>
      </w:r>
      <w:r>
        <w:rPr>
          <w:color w:val="auto"/>
          <w:sz w:val="24"/>
        </w:rPr>
        <w:t>密封情况进行检查</w:t>
      </w:r>
      <w:r>
        <w:rPr>
          <w:rFonts w:hint="eastAsia"/>
          <w:color w:val="auto"/>
          <w:sz w:val="24"/>
        </w:rPr>
        <w:t>，</w:t>
      </w:r>
      <w:r>
        <w:rPr>
          <w:color w:val="auto"/>
          <w:sz w:val="24"/>
        </w:rPr>
        <w:t>宣布检查结果；</w:t>
      </w:r>
    </w:p>
    <w:p>
      <w:pPr>
        <w:spacing w:line="500" w:lineRule="exact"/>
        <w:ind w:firstLine="480" w:firstLineChars="200"/>
        <w:rPr>
          <w:color w:val="auto"/>
          <w:sz w:val="24"/>
        </w:rPr>
      </w:pPr>
      <w:r>
        <w:rPr>
          <w:rFonts w:hint="eastAsia"/>
          <w:color w:val="auto"/>
          <w:sz w:val="24"/>
        </w:rPr>
        <w:t>(4)</w:t>
      </w:r>
      <w:r>
        <w:rPr>
          <w:color w:val="auto"/>
          <w:sz w:val="24"/>
        </w:rPr>
        <w:t>开启各投标</w:t>
      </w:r>
      <w:r>
        <w:rPr>
          <w:rFonts w:hint="eastAsia"/>
          <w:color w:val="auto"/>
          <w:sz w:val="24"/>
        </w:rPr>
        <w:t>人</w:t>
      </w:r>
      <w:r>
        <w:rPr>
          <w:color w:val="auto"/>
          <w:sz w:val="24"/>
        </w:rPr>
        <w:t>的</w:t>
      </w:r>
      <w:r>
        <w:rPr>
          <w:rFonts w:hint="eastAsia"/>
          <w:color w:val="auto"/>
          <w:sz w:val="24"/>
        </w:rPr>
        <w:t>投标文件，宣布投标报价及其他；</w:t>
      </w:r>
    </w:p>
    <w:p>
      <w:pPr>
        <w:spacing w:line="500" w:lineRule="exact"/>
        <w:ind w:firstLine="480" w:firstLineChars="200"/>
        <w:rPr>
          <w:color w:val="auto"/>
          <w:sz w:val="24"/>
        </w:rPr>
      </w:pPr>
      <w:r>
        <w:rPr>
          <w:rFonts w:hint="eastAsia"/>
          <w:color w:val="auto"/>
          <w:sz w:val="24"/>
        </w:rPr>
        <w:t>(5)询问各投标人对开标情况有无异议，如无则进入评标阶段。</w:t>
      </w:r>
    </w:p>
    <w:p>
      <w:pPr>
        <w:spacing w:line="500" w:lineRule="exact"/>
        <w:rPr>
          <w:b/>
          <w:color w:val="auto"/>
          <w:sz w:val="28"/>
          <w:szCs w:val="28"/>
        </w:rPr>
      </w:pPr>
      <w:bookmarkStart w:id="251" w:name="_Toc376715946"/>
      <w:bookmarkStart w:id="252" w:name="_Toc376722632"/>
      <w:bookmarkStart w:id="253" w:name="_Toc367880331"/>
      <w:bookmarkStart w:id="254" w:name="_Toc376722717"/>
      <w:bookmarkStart w:id="255" w:name="_Toc394435793"/>
      <w:bookmarkStart w:id="256" w:name="_Toc376813738"/>
      <w:bookmarkStart w:id="257" w:name="_Toc376722801"/>
      <w:bookmarkStart w:id="258" w:name="_Toc376814082"/>
      <w:bookmarkStart w:id="259" w:name="_Toc394248472"/>
      <w:bookmarkStart w:id="260" w:name="_Toc11941116"/>
      <w:r>
        <w:rPr>
          <w:rFonts w:hint="eastAsia"/>
          <w:b/>
          <w:color w:val="auto"/>
          <w:sz w:val="28"/>
          <w:szCs w:val="28"/>
        </w:rPr>
        <w:t>5.3 开标异议</w:t>
      </w:r>
      <w:bookmarkEnd w:id="251"/>
      <w:bookmarkEnd w:id="252"/>
      <w:bookmarkEnd w:id="253"/>
      <w:bookmarkEnd w:id="254"/>
      <w:bookmarkEnd w:id="255"/>
      <w:bookmarkEnd w:id="256"/>
      <w:bookmarkEnd w:id="257"/>
      <w:bookmarkEnd w:id="258"/>
      <w:bookmarkEnd w:id="259"/>
      <w:bookmarkEnd w:id="260"/>
    </w:p>
    <w:p>
      <w:pPr>
        <w:spacing w:line="500" w:lineRule="exact"/>
        <w:ind w:firstLine="410" w:firstLineChars="171"/>
        <w:rPr>
          <w:color w:val="auto"/>
          <w:sz w:val="24"/>
        </w:rPr>
      </w:pPr>
      <w:r>
        <w:rPr>
          <w:rFonts w:hint="eastAsia"/>
          <w:color w:val="auto"/>
          <w:sz w:val="24"/>
        </w:rPr>
        <w:t>投标人对开标有异议的，应当在开标现场提出，招标人当场作出答复，并作记录。</w:t>
      </w:r>
    </w:p>
    <w:p>
      <w:pPr>
        <w:spacing w:line="500" w:lineRule="exact"/>
        <w:rPr>
          <w:b/>
          <w:color w:val="auto"/>
          <w:sz w:val="30"/>
          <w:szCs w:val="30"/>
        </w:rPr>
      </w:pPr>
      <w:bookmarkStart w:id="261" w:name="_Toc367880332"/>
      <w:bookmarkStart w:id="262" w:name="_Toc152042338"/>
      <w:bookmarkStart w:id="263" w:name="_Toc394248473"/>
      <w:bookmarkStart w:id="264" w:name="_Toc376722718"/>
      <w:bookmarkStart w:id="265" w:name="_Toc376722802"/>
      <w:bookmarkStart w:id="266" w:name="_Toc376814083"/>
      <w:bookmarkStart w:id="267" w:name="_Toc144974530"/>
      <w:bookmarkStart w:id="268" w:name="_Toc394435794"/>
      <w:bookmarkStart w:id="269" w:name="_Toc11941117"/>
      <w:bookmarkStart w:id="270" w:name="_Toc247513986"/>
      <w:bookmarkStart w:id="271" w:name="_Toc376813739"/>
      <w:bookmarkStart w:id="272" w:name="_Toc247527587"/>
      <w:bookmarkStart w:id="273" w:name="_Toc152045562"/>
      <w:bookmarkStart w:id="274" w:name="_Toc376715947"/>
      <w:bookmarkStart w:id="275" w:name="_Toc376722633"/>
      <w:r>
        <w:rPr>
          <w:rFonts w:hint="eastAsia"/>
          <w:b/>
          <w:color w:val="auto"/>
          <w:sz w:val="30"/>
          <w:szCs w:val="30"/>
        </w:rPr>
        <w:t>6. 评标</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500" w:lineRule="exact"/>
        <w:rPr>
          <w:b/>
          <w:color w:val="auto"/>
          <w:sz w:val="28"/>
          <w:szCs w:val="28"/>
        </w:rPr>
      </w:pPr>
      <w:bookmarkStart w:id="276" w:name="_Toc394435795"/>
      <w:bookmarkStart w:id="277" w:name="_Toc376813740"/>
      <w:bookmarkStart w:id="278" w:name="_Toc11941118"/>
      <w:bookmarkStart w:id="279" w:name="_Toc394248474"/>
      <w:bookmarkStart w:id="280" w:name="_Toc376722634"/>
      <w:bookmarkStart w:id="281" w:name="_Toc247527588"/>
      <w:bookmarkStart w:id="282" w:name="_Toc144974531"/>
      <w:bookmarkStart w:id="283" w:name="_Toc376722803"/>
      <w:bookmarkStart w:id="284" w:name="_Toc152045563"/>
      <w:bookmarkStart w:id="285" w:name="_Toc376715948"/>
      <w:bookmarkStart w:id="286" w:name="_Toc247513987"/>
      <w:bookmarkStart w:id="287" w:name="_Toc367880333"/>
      <w:bookmarkStart w:id="288" w:name="_Toc152042339"/>
      <w:bookmarkStart w:id="289" w:name="_Toc376814084"/>
      <w:bookmarkStart w:id="290" w:name="_Toc376722719"/>
      <w:r>
        <w:rPr>
          <w:rFonts w:hint="eastAsia"/>
          <w:b/>
          <w:color w:val="auto"/>
          <w:sz w:val="28"/>
          <w:szCs w:val="28"/>
        </w:rPr>
        <w:t>6.1 评标委员会</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500" w:lineRule="exact"/>
        <w:ind w:firstLine="480" w:firstLineChars="200"/>
        <w:rPr>
          <w:color w:val="auto"/>
          <w:sz w:val="24"/>
        </w:rPr>
      </w:pPr>
      <w:r>
        <w:rPr>
          <w:rFonts w:hint="eastAsia"/>
          <w:color w:val="auto"/>
          <w:sz w:val="24"/>
        </w:rPr>
        <w:t>6.1.1 评标由招标人依法组建的评标委员会负责。</w:t>
      </w:r>
      <w:r>
        <w:rPr>
          <w:rFonts w:hint="eastAsia" w:ascii="宋体" w:hAnsi="宋体" w:cs="宋体"/>
          <w:color w:val="auto"/>
          <w:sz w:val="24"/>
        </w:rPr>
        <w:t>评标委员会成员人数以及技术、经济等方面专家的确定方式见投</w:t>
      </w:r>
      <w:r>
        <w:rPr>
          <w:rFonts w:hint="eastAsia"/>
          <w:color w:val="auto"/>
          <w:sz w:val="24"/>
        </w:rPr>
        <w:t>标须知前附表。</w:t>
      </w:r>
    </w:p>
    <w:p>
      <w:pPr>
        <w:spacing w:line="500" w:lineRule="exact"/>
        <w:ind w:firstLine="480" w:firstLineChars="200"/>
        <w:rPr>
          <w:color w:val="auto"/>
          <w:sz w:val="24"/>
        </w:rPr>
      </w:pPr>
      <w:r>
        <w:rPr>
          <w:rFonts w:hint="eastAsia"/>
          <w:color w:val="auto"/>
          <w:sz w:val="24"/>
        </w:rPr>
        <w:t>6.1.2 评标委员会成员有下列情形之一的，应当回避：</w:t>
      </w:r>
    </w:p>
    <w:p>
      <w:pPr>
        <w:spacing w:line="500" w:lineRule="exact"/>
        <w:ind w:firstLine="820" w:firstLineChars="342"/>
        <w:rPr>
          <w:color w:val="auto"/>
          <w:sz w:val="24"/>
        </w:rPr>
      </w:pPr>
      <w:r>
        <w:rPr>
          <w:rFonts w:hint="eastAsia"/>
          <w:color w:val="auto"/>
          <w:sz w:val="24"/>
        </w:rPr>
        <w:t>（1）投标人或投标人主要负责人的近亲属；</w:t>
      </w:r>
    </w:p>
    <w:p>
      <w:pPr>
        <w:spacing w:line="500" w:lineRule="exact"/>
        <w:ind w:firstLine="820" w:firstLineChars="342"/>
        <w:rPr>
          <w:color w:val="auto"/>
          <w:sz w:val="24"/>
        </w:rPr>
      </w:pPr>
      <w:r>
        <w:rPr>
          <w:rFonts w:hint="eastAsia"/>
          <w:color w:val="auto"/>
          <w:sz w:val="24"/>
        </w:rPr>
        <w:t>（2）项目主管部门或者行政监督部门的人员；</w:t>
      </w:r>
    </w:p>
    <w:p>
      <w:pPr>
        <w:spacing w:line="500" w:lineRule="exact"/>
        <w:ind w:firstLine="820" w:firstLineChars="342"/>
        <w:rPr>
          <w:color w:val="auto"/>
          <w:sz w:val="24"/>
        </w:rPr>
      </w:pPr>
      <w:r>
        <w:rPr>
          <w:rFonts w:hint="eastAsia"/>
          <w:color w:val="auto"/>
          <w:sz w:val="24"/>
        </w:rPr>
        <w:t>（3）与投标人有经济利益关系，可能影响对投标公正评审的；</w:t>
      </w:r>
    </w:p>
    <w:p>
      <w:pPr>
        <w:spacing w:line="500" w:lineRule="exact"/>
        <w:ind w:firstLine="820" w:firstLineChars="342"/>
        <w:rPr>
          <w:color w:val="auto"/>
          <w:sz w:val="24"/>
        </w:rPr>
      </w:pPr>
      <w:r>
        <w:rPr>
          <w:rFonts w:hint="eastAsia"/>
          <w:color w:val="auto"/>
          <w:sz w:val="24"/>
        </w:rPr>
        <w:t>（4）曾因在招标、评标以及其他与招标投标有关活动中从事违法行为而受过行政处罚或刑事处罚的；</w:t>
      </w:r>
    </w:p>
    <w:p>
      <w:pPr>
        <w:spacing w:line="500" w:lineRule="exact"/>
        <w:ind w:firstLine="820" w:firstLineChars="342"/>
        <w:rPr>
          <w:color w:val="auto"/>
          <w:sz w:val="24"/>
        </w:rPr>
      </w:pPr>
      <w:r>
        <w:rPr>
          <w:rFonts w:hint="eastAsia"/>
          <w:color w:val="auto"/>
          <w:sz w:val="24"/>
        </w:rPr>
        <w:t>（5）与投标人有其他利害关系。</w:t>
      </w:r>
    </w:p>
    <w:p>
      <w:pPr>
        <w:spacing w:line="500" w:lineRule="exact"/>
        <w:rPr>
          <w:b/>
          <w:color w:val="auto"/>
          <w:sz w:val="28"/>
          <w:szCs w:val="28"/>
        </w:rPr>
      </w:pPr>
      <w:bookmarkStart w:id="291" w:name="_Toc376722804"/>
      <w:bookmarkStart w:id="292" w:name="_Toc394248475"/>
      <w:bookmarkStart w:id="293" w:name="_Toc376715949"/>
      <w:bookmarkStart w:id="294" w:name="_Toc11941119"/>
      <w:bookmarkStart w:id="295" w:name="_Toc376814085"/>
      <w:bookmarkStart w:id="296" w:name="_Toc376722720"/>
      <w:bookmarkStart w:id="297" w:name="_Toc152045564"/>
      <w:bookmarkStart w:id="298" w:name="_Toc367880334"/>
      <w:bookmarkStart w:id="299" w:name="_Toc394435796"/>
      <w:bookmarkStart w:id="300" w:name="_Toc144974532"/>
      <w:bookmarkStart w:id="301" w:name="_Toc247527589"/>
      <w:bookmarkStart w:id="302" w:name="_Toc376813741"/>
      <w:bookmarkStart w:id="303" w:name="_Toc152042340"/>
      <w:bookmarkStart w:id="304" w:name="_Toc376722635"/>
      <w:bookmarkStart w:id="305" w:name="_Toc247513988"/>
      <w:r>
        <w:rPr>
          <w:rFonts w:hint="eastAsia"/>
          <w:b/>
          <w:color w:val="auto"/>
          <w:sz w:val="28"/>
          <w:szCs w:val="28"/>
        </w:rPr>
        <w:t>6.2 评标原则</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b/>
          <w:color w:val="auto"/>
          <w:sz w:val="28"/>
          <w:szCs w:val="28"/>
        </w:rPr>
        <w:tab/>
      </w:r>
    </w:p>
    <w:p>
      <w:pPr>
        <w:spacing w:line="500" w:lineRule="exact"/>
        <w:ind w:firstLine="480" w:firstLineChars="200"/>
        <w:rPr>
          <w:color w:val="auto"/>
          <w:sz w:val="24"/>
        </w:rPr>
      </w:pPr>
      <w:r>
        <w:rPr>
          <w:rFonts w:hint="eastAsia"/>
          <w:color w:val="auto"/>
          <w:sz w:val="24"/>
        </w:rPr>
        <w:t>评标活动遵循公平、公正、科学和择优的原则。</w:t>
      </w:r>
    </w:p>
    <w:p>
      <w:pPr>
        <w:spacing w:line="500" w:lineRule="exact"/>
        <w:rPr>
          <w:b/>
          <w:color w:val="auto"/>
          <w:sz w:val="28"/>
          <w:szCs w:val="28"/>
        </w:rPr>
      </w:pPr>
      <w:bookmarkStart w:id="306" w:name="_Toc376722805"/>
      <w:bookmarkStart w:id="307" w:name="_Toc11941120"/>
      <w:bookmarkStart w:id="308" w:name="_Toc376813742"/>
      <w:bookmarkStart w:id="309" w:name="_Toc376814086"/>
      <w:bookmarkStart w:id="310" w:name="_Toc367880335"/>
      <w:bookmarkStart w:id="311" w:name="_Toc144974533"/>
      <w:bookmarkStart w:id="312" w:name="_Toc376722636"/>
      <w:bookmarkStart w:id="313" w:name="_Toc394248476"/>
      <w:bookmarkStart w:id="314" w:name="_Toc376722721"/>
      <w:bookmarkStart w:id="315" w:name="_Toc394435797"/>
      <w:bookmarkStart w:id="316" w:name="_Toc247513989"/>
      <w:bookmarkStart w:id="317" w:name="_Toc247527590"/>
      <w:bookmarkStart w:id="318" w:name="_Toc376715950"/>
      <w:bookmarkStart w:id="319" w:name="_Toc152042341"/>
      <w:bookmarkStart w:id="320" w:name="_Toc152045565"/>
      <w:r>
        <w:rPr>
          <w:rFonts w:hint="eastAsia"/>
          <w:b/>
          <w:color w:val="auto"/>
          <w:sz w:val="28"/>
          <w:szCs w:val="28"/>
        </w:rPr>
        <w:t>6.3 评标</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6"/>
        <w:tabs>
          <w:tab w:val="left" w:pos="1000"/>
        </w:tabs>
        <w:snapToGrid w:val="0"/>
        <w:spacing w:line="500" w:lineRule="exact"/>
        <w:ind w:firstLine="480" w:firstLineChars="200"/>
        <w:jc w:val="left"/>
        <w:rPr>
          <w:rFonts w:ascii="宋体" w:hAnsi="宋体" w:cs="宋体"/>
          <w:color w:val="auto"/>
          <w:sz w:val="24"/>
          <w:szCs w:val="24"/>
        </w:rPr>
      </w:pPr>
      <w:bookmarkStart w:id="321" w:name="_Toc11941121"/>
      <w:bookmarkStart w:id="322" w:name="_Toc857569"/>
      <w:r>
        <w:rPr>
          <w:rFonts w:hint="eastAsia" w:ascii="宋体" w:hAnsi="宋体" w:cs="宋体"/>
          <w:color w:val="auto"/>
          <w:sz w:val="24"/>
          <w:szCs w:val="24"/>
        </w:rPr>
        <w:t>评标委员会按照招标文件第三章“评标办法和标准”规定进行评标。</w:t>
      </w:r>
    </w:p>
    <w:p>
      <w:pPr>
        <w:spacing w:line="500" w:lineRule="exact"/>
        <w:rPr>
          <w:b/>
          <w:color w:val="auto"/>
          <w:sz w:val="28"/>
          <w:szCs w:val="28"/>
        </w:rPr>
      </w:pPr>
      <w:r>
        <w:rPr>
          <w:rFonts w:hint="eastAsia"/>
          <w:b/>
          <w:color w:val="auto"/>
          <w:sz w:val="28"/>
          <w:szCs w:val="28"/>
        </w:rPr>
        <w:t>6.4重新招标</w:t>
      </w:r>
      <w:bookmarkEnd w:id="321"/>
      <w:bookmarkEnd w:id="322"/>
    </w:p>
    <w:p>
      <w:pPr>
        <w:autoSpaceDE w:val="0"/>
        <w:autoSpaceDN w:val="0"/>
        <w:spacing w:before="64" w:line="500" w:lineRule="exact"/>
        <w:ind w:left="120" w:right="-109" w:firstLine="420"/>
        <w:jc w:val="left"/>
        <w:rPr>
          <w:rFonts w:ascii="宋体" w:hAnsi="宋体" w:cs="宋体"/>
          <w:color w:val="auto"/>
          <w:sz w:val="24"/>
        </w:rPr>
      </w:pPr>
      <w:r>
        <w:rPr>
          <w:rFonts w:hint="eastAsia" w:ascii="宋体" w:hAnsi="宋体" w:cs="宋体"/>
          <w:color w:val="auto"/>
          <w:sz w:val="24"/>
        </w:rPr>
        <w:t>有下列情形之一的，招标人将重新招标：</w:t>
      </w:r>
    </w:p>
    <w:p>
      <w:pPr>
        <w:autoSpaceDE w:val="0"/>
        <w:autoSpaceDN w:val="0"/>
        <w:spacing w:before="64" w:line="500" w:lineRule="exact"/>
        <w:ind w:right="-109" w:firstLine="480" w:firstLineChars="200"/>
        <w:jc w:val="left"/>
        <w:rPr>
          <w:rFonts w:ascii="宋体" w:hAnsi="宋体" w:cs="宋体"/>
          <w:color w:val="auto"/>
          <w:sz w:val="24"/>
        </w:rPr>
      </w:pPr>
      <w:r>
        <w:rPr>
          <w:rFonts w:hint="eastAsia" w:ascii="宋体" w:hAnsi="宋体" w:cs="宋体"/>
          <w:color w:val="auto"/>
          <w:sz w:val="24"/>
        </w:rPr>
        <w:t>（1）经评议有效投标的投标人少于 3 人；</w:t>
      </w:r>
    </w:p>
    <w:p>
      <w:pPr>
        <w:autoSpaceDE w:val="0"/>
        <w:autoSpaceDN w:val="0"/>
        <w:spacing w:before="64" w:line="500" w:lineRule="exact"/>
        <w:ind w:left="114" w:leftChars="57" w:right="-109" w:firstLine="360" w:firstLineChars="150"/>
        <w:jc w:val="left"/>
        <w:rPr>
          <w:color w:val="auto"/>
          <w:sz w:val="24"/>
        </w:rPr>
      </w:pPr>
      <w:r>
        <w:rPr>
          <w:rFonts w:hint="eastAsia" w:ascii="宋体" w:hAnsi="宋体" w:cs="宋体"/>
          <w:color w:val="auto"/>
          <w:sz w:val="24"/>
        </w:rPr>
        <w:t>（2）经查实，招标投标过程有不公正行为，经项目审批部门会同行业主管部门裁定招标投标结果无效。</w:t>
      </w:r>
    </w:p>
    <w:p>
      <w:pPr>
        <w:spacing w:line="500" w:lineRule="exact"/>
        <w:rPr>
          <w:b/>
          <w:color w:val="auto"/>
          <w:sz w:val="30"/>
          <w:szCs w:val="30"/>
        </w:rPr>
      </w:pPr>
      <w:bookmarkStart w:id="323" w:name="_Toc376814087"/>
      <w:bookmarkStart w:id="324" w:name="_Toc11941122"/>
      <w:bookmarkStart w:id="325" w:name="_Toc394435798"/>
      <w:bookmarkStart w:id="326" w:name="_Toc152045566"/>
      <w:bookmarkStart w:id="327" w:name="_Toc376715951"/>
      <w:bookmarkStart w:id="328" w:name="_Toc152042342"/>
      <w:bookmarkStart w:id="329" w:name="_Toc394248477"/>
      <w:bookmarkStart w:id="330" w:name="_Toc376722806"/>
      <w:bookmarkStart w:id="331" w:name="_Toc247513990"/>
      <w:bookmarkStart w:id="332" w:name="_Toc376813743"/>
      <w:bookmarkStart w:id="333" w:name="_Toc367880336"/>
      <w:bookmarkStart w:id="334" w:name="_Toc247527591"/>
      <w:bookmarkStart w:id="335" w:name="_Toc376722637"/>
      <w:bookmarkStart w:id="336" w:name="_Toc144974534"/>
      <w:bookmarkStart w:id="337" w:name="_Toc376722722"/>
      <w:r>
        <w:rPr>
          <w:rFonts w:hint="eastAsia"/>
          <w:b/>
          <w:color w:val="auto"/>
          <w:sz w:val="30"/>
          <w:szCs w:val="30"/>
        </w:rPr>
        <w:t>7. 合同授予</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500" w:lineRule="exact"/>
        <w:ind w:firstLine="480" w:firstLineChars="200"/>
        <w:rPr>
          <w:color w:val="auto"/>
          <w:kern w:val="2"/>
          <w:sz w:val="24"/>
          <w:szCs w:val="24"/>
        </w:rPr>
      </w:pPr>
      <w:r>
        <w:rPr>
          <w:rFonts w:hint="eastAsia"/>
          <w:color w:val="auto"/>
          <w:kern w:val="2"/>
          <w:sz w:val="24"/>
          <w:szCs w:val="24"/>
        </w:rPr>
        <w:t>本招标工程合同授予其投标文件在实质上响应招标文件要求和按本招标文件规定所确定的中标人。招标人在授予合同之前有权对投标人递交的投标文件资料进行核实，投标人应对投标文件资料的真实性负责，如发现其所提交的资料不真实，招标人将视其为以弄虚作假方式骗取中标，其中标无效，给招标人造成损失的，应依法承担赔偿责任。</w:t>
      </w:r>
    </w:p>
    <w:p>
      <w:pPr>
        <w:spacing w:line="500" w:lineRule="exact"/>
        <w:rPr>
          <w:b/>
          <w:color w:val="auto"/>
          <w:sz w:val="30"/>
          <w:szCs w:val="30"/>
        </w:rPr>
      </w:pPr>
      <w:bookmarkStart w:id="338" w:name="_Toc394248478"/>
      <w:bookmarkStart w:id="339" w:name="_Toc376722807"/>
      <w:bookmarkStart w:id="340" w:name="_Toc144974535"/>
      <w:bookmarkStart w:id="341" w:name="_Toc367880337"/>
      <w:bookmarkStart w:id="342" w:name="_Toc247527592"/>
      <w:bookmarkStart w:id="343" w:name="_Toc376722638"/>
      <w:bookmarkStart w:id="344" w:name="_Toc247513991"/>
      <w:bookmarkStart w:id="345" w:name="_Toc152045567"/>
      <w:bookmarkStart w:id="346" w:name="_Toc376722723"/>
      <w:bookmarkStart w:id="347" w:name="_Toc11941123"/>
      <w:bookmarkStart w:id="348" w:name="_Toc376813744"/>
      <w:bookmarkStart w:id="349" w:name="_Toc376814088"/>
      <w:bookmarkStart w:id="350" w:name="_Toc376715952"/>
      <w:bookmarkStart w:id="351" w:name="_Toc394435799"/>
      <w:bookmarkStart w:id="352" w:name="_Toc152042343"/>
      <w:r>
        <w:rPr>
          <w:rFonts w:hint="eastAsia"/>
          <w:b/>
          <w:color w:val="auto"/>
          <w:sz w:val="30"/>
          <w:szCs w:val="30"/>
        </w:rPr>
        <w:t>8. 定标方式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500" w:lineRule="exact"/>
        <w:ind w:firstLine="480" w:firstLineChars="200"/>
        <w:rPr>
          <w:color w:val="auto"/>
          <w:sz w:val="24"/>
        </w:rPr>
      </w:pPr>
      <w:r>
        <w:rPr>
          <w:rFonts w:hint="eastAsia"/>
          <w:color w:val="auto"/>
          <w:sz w:val="24"/>
        </w:rPr>
        <w:t>除投标须知前附表规定评标委员会直接确定中标人外，招标人依据评标委员会推荐的中标候选人确定中标人，评标委员会推荐中标候选人的人数见投标须知前附表 。</w:t>
      </w:r>
    </w:p>
    <w:p>
      <w:pPr>
        <w:spacing w:line="500" w:lineRule="exact"/>
        <w:rPr>
          <w:b/>
          <w:color w:val="auto"/>
          <w:sz w:val="28"/>
          <w:szCs w:val="28"/>
        </w:rPr>
      </w:pPr>
      <w:bookmarkStart w:id="353" w:name="_Toc376814089"/>
      <w:bookmarkStart w:id="354" w:name="_Toc11941124"/>
      <w:bookmarkStart w:id="355" w:name="_Toc394248479"/>
      <w:bookmarkStart w:id="356" w:name="_Toc376722639"/>
      <w:bookmarkStart w:id="357" w:name="_Toc394435800"/>
      <w:bookmarkStart w:id="358" w:name="_Toc376722724"/>
      <w:bookmarkStart w:id="359" w:name="_Toc376722808"/>
      <w:bookmarkStart w:id="360" w:name="_Toc367880338"/>
      <w:bookmarkStart w:id="361" w:name="_Toc376715953"/>
      <w:bookmarkStart w:id="362" w:name="_Toc376813745"/>
      <w:r>
        <w:rPr>
          <w:rFonts w:hint="eastAsia"/>
          <w:b/>
          <w:color w:val="auto"/>
          <w:sz w:val="28"/>
          <w:szCs w:val="28"/>
        </w:rPr>
        <w:t>8.1 中标候选人公示</w:t>
      </w:r>
      <w:bookmarkEnd w:id="353"/>
      <w:bookmarkEnd w:id="354"/>
      <w:bookmarkEnd w:id="355"/>
      <w:bookmarkEnd w:id="356"/>
      <w:bookmarkEnd w:id="357"/>
      <w:bookmarkEnd w:id="358"/>
      <w:bookmarkEnd w:id="359"/>
      <w:bookmarkEnd w:id="360"/>
      <w:bookmarkEnd w:id="361"/>
      <w:bookmarkEnd w:id="362"/>
    </w:p>
    <w:p>
      <w:pPr>
        <w:spacing w:line="500" w:lineRule="exact"/>
        <w:ind w:firstLine="480" w:firstLineChars="200"/>
        <w:rPr>
          <w:color w:val="auto"/>
          <w:sz w:val="24"/>
        </w:rPr>
      </w:pPr>
      <w:r>
        <w:rPr>
          <w:rFonts w:hint="eastAsia"/>
          <w:color w:val="auto"/>
          <w:sz w:val="24"/>
        </w:rPr>
        <w:t>招标人在规定的媒介公示中标候选人。</w:t>
      </w:r>
    </w:p>
    <w:p>
      <w:pPr>
        <w:spacing w:line="500" w:lineRule="exact"/>
        <w:rPr>
          <w:b/>
          <w:color w:val="auto"/>
          <w:sz w:val="28"/>
          <w:szCs w:val="28"/>
        </w:rPr>
      </w:pPr>
      <w:bookmarkStart w:id="363" w:name="_Toc376813746"/>
      <w:bookmarkStart w:id="364" w:name="_Toc376722725"/>
      <w:bookmarkStart w:id="365" w:name="_Toc367880339"/>
      <w:bookmarkStart w:id="366" w:name="_Toc152045568"/>
      <w:bookmarkStart w:id="367" w:name="_Toc247513992"/>
      <w:bookmarkStart w:id="368" w:name="_Toc11941125"/>
      <w:bookmarkStart w:id="369" w:name="_Toc376722809"/>
      <w:bookmarkStart w:id="370" w:name="_Toc376715954"/>
      <w:bookmarkStart w:id="371" w:name="_Toc376814090"/>
      <w:bookmarkStart w:id="372" w:name="_Toc394248480"/>
      <w:bookmarkStart w:id="373" w:name="_Toc394435801"/>
      <w:bookmarkStart w:id="374" w:name="_Toc247527593"/>
      <w:bookmarkStart w:id="375" w:name="_Toc152042344"/>
      <w:bookmarkStart w:id="376" w:name="_Toc144974536"/>
      <w:bookmarkStart w:id="377" w:name="_Toc376722640"/>
      <w:r>
        <w:rPr>
          <w:rFonts w:hint="eastAsia"/>
          <w:b/>
          <w:color w:val="auto"/>
          <w:sz w:val="28"/>
          <w:szCs w:val="28"/>
        </w:rPr>
        <w:t>8.2 中标通知</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pacing w:line="500" w:lineRule="exact"/>
        <w:ind w:firstLine="480" w:firstLineChars="200"/>
        <w:rPr>
          <w:color w:val="auto"/>
          <w:sz w:val="24"/>
        </w:rPr>
      </w:pPr>
      <w:r>
        <w:rPr>
          <w:rFonts w:hint="eastAsia"/>
          <w:color w:val="auto"/>
          <w:sz w:val="24"/>
        </w:rPr>
        <w:t>评标公示后，在规定的投标有效期内，招标人以书面形式向中标人发出中标通知书，中标通知书发出前须经广州公共资源交易中心（广州市天河区天润路333号）盖章确认。</w:t>
      </w:r>
    </w:p>
    <w:p>
      <w:pPr>
        <w:spacing w:line="500" w:lineRule="exact"/>
        <w:rPr>
          <w:b/>
          <w:color w:val="auto"/>
          <w:sz w:val="28"/>
          <w:szCs w:val="28"/>
        </w:rPr>
      </w:pPr>
      <w:bookmarkStart w:id="378" w:name="_Toc376722642"/>
      <w:bookmarkStart w:id="379" w:name="_Toc144974538"/>
      <w:bookmarkStart w:id="380" w:name="_Toc394435802"/>
      <w:bookmarkStart w:id="381" w:name="_Toc376722727"/>
      <w:bookmarkStart w:id="382" w:name="_Toc152042346"/>
      <w:bookmarkStart w:id="383" w:name="_Toc247527595"/>
      <w:bookmarkStart w:id="384" w:name="_Toc367880341"/>
      <w:bookmarkStart w:id="385" w:name="_Toc376814091"/>
      <w:bookmarkStart w:id="386" w:name="_Toc376715956"/>
      <w:bookmarkStart w:id="387" w:name="_Toc152045570"/>
      <w:bookmarkStart w:id="388" w:name="_Toc376722811"/>
      <w:bookmarkStart w:id="389" w:name="_Toc394248481"/>
      <w:bookmarkStart w:id="390" w:name="_Toc376813747"/>
      <w:bookmarkStart w:id="391" w:name="_Toc11941126"/>
      <w:bookmarkStart w:id="392" w:name="_Toc247513994"/>
      <w:r>
        <w:rPr>
          <w:rFonts w:hint="eastAsia"/>
          <w:b/>
          <w:color w:val="auto"/>
          <w:sz w:val="28"/>
          <w:szCs w:val="28"/>
        </w:rPr>
        <w:t>8.3 签订合同</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500" w:lineRule="exact"/>
        <w:ind w:firstLine="480" w:firstLineChars="200"/>
        <w:rPr>
          <w:color w:val="auto"/>
          <w:sz w:val="24"/>
        </w:rPr>
      </w:pPr>
      <w:r>
        <w:rPr>
          <w:rFonts w:hint="eastAsia"/>
          <w:color w:val="auto"/>
          <w:sz w:val="24"/>
        </w:rPr>
        <w:t>8.3.1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500" w:lineRule="exact"/>
        <w:ind w:firstLine="480" w:firstLineChars="200"/>
        <w:rPr>
          <w:color w:val="auto"/>
          <w:sz w:val="24"/>
        </w:rPr>
      </w:pPr>
      <w:r>
        <w:rPr>
          <w:rFonts w:hint="eastAsia"/>
          <w:color w:val="auto"/>
          <w:sz w:val="24"/>
        </w:rPr>
        <w:t>8.3.2 发出中标通知书后，招标人无正当理由拒签合同的，招标人向中标人退还投标保证金；给中标人造成损失的，还应当赔偿损失。</w:t>
      </w:r>
      <w:bookmarkStart w:id="393" w:name="_Toc152042347"/>
      <w:bookmarkStart w:id="394" w:name="_Toc152045571"/>
      <w:bookmarkStart w:id="395" w:name="_Toc144974539"/>
      <w:bookmarkStart w:id="396" w:name="_Toc247513995"/>
      <w:bookmarkStart w:id="397" w:name="_Toc247527596"/>
      <w:bookmarkStart w:id="398" w:name="_Toc376722812"/>
      <w:bookmarkStart w:id="399" w:name="_Toc376813748"/>
      <w:bookmarkStart w:id="400" w:name="_Toc376814092"/>
      <w:bookmarkStart w:id="401" w:name="_Toc376722728"/>
      <w:bookmarkStart w:id="402" w:name="_Toc376722643"/>
      <w:bookmarkStart w:id="403" w:name="_Toc376715957"/>
      <w:bookmarkStart w:id="404" w:name="_Toc367880342"/>
      <w:bookmarkStart w:id="405" w:name="_Toc394248482"/>
      <w:bookmarkStart w:id="406" w:name="_Toc394435803"/>
    </w:p>
    <w:p>
      <w:pPr>
        <w:spacing w:line="500" w:lineRule="exact"/>
        <w:rPr>
          <w:b/>
          <w:color w:val="auto"/>
          <w:sz w:val="30"/>
          <w:szCs w:val="30"/>
        </w:rPr>
      </w:pPr>
      <w:bookmarkStart w:id="407" w:name="_Toc11941127"/>
      <w:r>
        <w:rPr>
          <w:rFonts w:hint="eastAsia"/>
          <w:b/>
          <w:color w:val="auto"/>
          <w:sz w:val="30"/>
          <w:szCs w:val="30"/>
        </w:rPr>
        <w:t>9.</w:t>
      </w:r>
      <w:bookmarkEnd w:id="393"/>
      <w:bookmarkEnd w:id="394"/>
      <w:bookmarkEnd w:id="395"/>
      <w:bookmarkEnd w:id="396"/>
      <w:bookmarkEnd w:id="397"/>
      <w:bookmarkStart w:id="408" w:name="_Toc144974542"/>
      <w:bookmarkStart w:id="409" w:name="_Toc152045574"/>
      <w:bookmarkStart w:id="410" w:name="_Toc247513998"/>
      <w:bookmarkStart w:id="411" w:name="_Toc247527599"/>
      <w:bookmarkStart w:id="412" w:name="_Toc152042350"/>
      <w:r>
        <w:rPr>
          <w:rFonts w:hint="eastAsia"/>
          <w:b/>
          <w:color w:val="auto"/>
          <w:sz w:val="30"/>
          <w:szCs w:val="30"/>
        </w:rPr>
        <w:t>纪律和监督</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spacing w:line="480" w:lineRule="exact"/>
        <w:rPr>
          <w:b/>
          <w:color w:val="auto"/>
          <w:sz w:val="28"/>
          <w:szCs w:val="28"/>
        </w:rPr>
      </w:pPr>
      <w:bookmarkStart w:id="413" w:name="_Toc144974543"/>
      <w:bookmarkStart w:id="414" w:name="_Toc376722729"/>
      <w:bookmarkStart w:id="415" w:name="_Toc247513999"/>
      <w:bookmarkStart w:id="416" w:name="_Toc394435804"/>
      <w:bookmarkStart w:id="417" w:name="_Toc394248483"/>
      <w:bookmarkStart w:id="418" w:name="_Toc376722644"/>
      <w:bookmarkStart w:id="419" w:name="_Toc376813749"/>
      <w:bookmarkStart w:id="420" w:name="_Toc152045575"/>
      <w:bookmarkStart w:id="421" w:name="_Toc376814093"/>
      <w:bookmarkStart w:id="422" w:name="_Toc152042351"/>
      <w:bookmarkStart w:id="423" w:name="_Toc247527600"/>
      <w:bookmarkStart w:id="424" w:name="_Toc11941128"/>
      <w:bookmarkStart w:id="425" w:name="_Toc376722813"/>
      <w:bookmarkStart w:id="426" w:name="_Toc367880343"/>
      <w:bookmarkStart w:id="427" w:name="_Toc376715958"/>
      <w:r>
        <w:rPr>
          <w:rFonts w:hint="eastAsia"/>
          <w:b/>
          <w:color w:val="auto"/>
          <w:sz w:val="28"/>
          <w:szCs w:val="28"/>
        </w:rPr>
        <w:t>9.1 对招标人的纪律要求</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480" w:lineRule="exact"/>
        <w:ind w:firstLine="480" w:firstLineChars="200"/>
        <w:rPr>
          <w:color w:val="auto"/>
          <w:sz w:val="24"/>
        </w:rPr>
      </w:pPr>
      <w:r>
        <w:rPr>
          <w:rFonts w:hint="eastAsia"/>
          <w:color w:val="auto"/>
          <w:sz w:val="24"/>
        </w:rPr>
        <w:t>招标人不得泄漏招标投标活动中应当保密的情况和资料，不得与投标人串通损害国家利益、社会公共利益或者他人合法权益。</w:t>
      </w:r>
    </w:p>
    <w:p>
      <w:pPr>
        <w:spacing w:line="480" w:lineRule="exact"/>
        <w:rPr>
          <w:b/>
          <w:color w:val="auto"/>
          <w:sz w:val="28"/>
          <w:szCs w:val="28"/>
        </w:rPr>
      </w:pPr>
      <w:bookmarkStart w:id="428" w:name="_Toc367880344"/>
      <w:bookmarkStart w:id="429" w:name="_Toc376722645"/>
      <w:bookmarkStart w:id="430" w:name="_Toc376813750"/>
      <w:bookmarkStart w:id="431" w:name="_Toc394435805"/>
      <w:bookmarkStart w:id="432" w:name="_Toc247527601"/>
      <w:bookmarkStart w:id="433" w:name="_Toc394248484"/>
      <w:bookmarkStart w:id="434" w:name="_Toc376722814"/>
      <w:bookmarkStart w:id="435" w:name="_Toc376715959"/>
      <w:bookmarkStart w:id="436" w:name="_Toc152042352"/>
      <w:bookmarkStart w:id="437" w:name="_Toc144974544"/>
      <w:bookmarkStart w:id="438" w:name="_Toc152045576"/>
      <w:bookmarkStart w:id="439" w:name="_Toc247514000"/>
      <w:bookmarkStart w:id="440" w:name="_Toc376722730"/>
      <w:bookmarkStart w:id="441" w:name="_Toc376814094"/>
      <w:bookmarkStart w:id="442" w:name="_Toc11941129"/>
      <w:r>
        <w:rPr>
          <w:rFonts w:hint="eastAsia"/>
          <w:b/>
          <w:color w:val="auto"/>
          <w:sz w:val="28"/>
          <w:szCs w:val="28"/>
        </w:rPr>
        <w:t>9.2 对投标人的纪律要求</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480" w:lineRule="exact"/>
        <w:ind w:firstLine="480" w:firstLineChars="200"/>
        <w:rPr>
          <w:color w:val="auto"/>
          <w:sz w:val="24"/>
        </w:rPr>
      </w:pPr>
      <w:r>
        <w:rPr>
          <w:rFonts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80" w:lineRule="exact"/>
        <w:rPr>
          <w:b/>
          <w:color w:val="auto"/>
          <w:sz w:val="28"/>
          <w:szCs w:val="28"/>
        </w:rPr>
      </w:pPr>
      <w:bookmarkStart w:id="443" w:name="_Toc394435806"/>
      <w:bookmarkStart w:id="444" w:name="_Toc376813751"/>
      <w:bookmarkStart w:id="445" w:name="_Toc144974545"/>
      <w:bookmarkStart w:id="446" w:name="_Toc376814095"/>
      <w:bookmarkStart w:id="447" w:name="_Toc247514001"/>
      <w:bookmarkStart w:id="448" w:name="_Toc11941130"/>
      <w:bookmarkStart w:id="449" w:name="_Toc247527602"/>
      <w:bookmarkStart w:id="450" w:name="_Toc376722646"/>
      <w:bookmarkStart w:id="451" w:name="_Toc367880345"/>
      <w:bookmarkStart w:id="452" w:name="_Toc394248485"/>
      <w:bookmarkStart w:id="453" w:name="_Toc376715960"/>
      <w:bookmarkStart w:id="454" w:name="_Toc376722731"/>
      <w:bookmarkStart w:id="455" w:name="_Toc152045577"/>
      <w:bookmarkStart w:id="456" w:name="_Toc376722815"/>
      <w:bookmarkStart w:id="457" w:name="_Toc152042353"/>
      <w:r>
        <w:rPr>
          <w:rFonts w:hint="eastAsia"/>
          <w:b/>
          <w:color w:val="auto"/>
          <w:sz w:val="28"/>
          <w:szCs w:val="28"/>
        </w:rPr>
        <w:t>9.3 对评标委员会成员的纪律要求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spacing w:line="480" w:lineRule="exact"/>
        <w:ind w:firstLine="480" w:firstLineChars="200"/>
        <w:rPr>
          <w:color w:val="auto"/>
          <w:sz w:val="24"/>
        </w:rPr>
      </w:pPr>
      <w:r>
        <w:rPr>
          <w:rFonts w:hint="eastAsia"/>
          <w:color w:val="auto"/>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hAnsi="宋体" w:cs="宋体"/>
          <w:color w:val="auto"/>
          <w:sz w:val="24"/>
          <w:szCs w:val="24"/>
        </w:rPr>
        <w:t>评标办法和标准</w:t>
      </w:r>
      <w:r>
        <w:rPr>
          <w:rFonts w:hint="eastAsia"/>
          <w:color w:val="auto"/>
          <w:sz w:val="24"/>
        </w:rPr>
        <w:t>”没有规定的评审因素和标准进行评标。</w:t>
      </w:r>
    </w:p>
    <w:p>
      <w:pPr>
        <w:spacing w:line="480" w:lineRule="exact"/>
        <w:rPr>
          <w:b/>
          <w:color w:val="auto"/>
          <w:sz w:val="28"/>
          <w:szCs w:val="28"/>
        </w:rPr>
      </w:pPr>
      <w:bookmarkStart w:id="458" w:name="_Toc376814096"/>
      <w:bookmarkStart w:id="459" w:name="_Toc367880346"/>
      <w:bookmarkStart w:id="460" w:name="_Toc376813752"/>
      <w:bookmarkStart w:id="461" w:name="_Toc376722732"/>
      <w:bookmarkStart w:id="462" w:name="_Toc152045578"/>
      <w:bookmarkStart w:id="463" w:name="_Toc376722816"/>
      <w:bookmarkStart w:id="464" w:name="_Toc376722647"/>
      <w:bookmarkStart w:id="465" w:name="_Toc394248486"/>
      <w:bookmarkStart w:id="466" w:name="_Toc247527603"/>
      <w:bookmarkStart w:id="467" w:name="_Toc11941131"/>
      <w:bookmarkStart w:id="468" w:name="_Toc376715961"/>
      <w:bookmarkStart w:id="469" w:name="_Toc247514002"/>
      <w:bookmarkStart w:id="470" w:name="_Toc152042354"/>
      <w:bookmarkStart w:id="471" w:name="_Toc394435807"/>
      <w:bookmarkStart w:id="472" w:name="_Toc144974546"/>
      <w:r>
        <w:rPr>
          <w:rFonts w:hint="eastAsia"/>
          <w:b/>
          <w:color w:val="auto"/>
          <w:sz w:val="28"/>
          <w:szCs w:val="28"/>
        </w:rPr>
        <w:t>9.4 对与评标活动有关的工作人员的纪律要求</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spacing w:line="480" w:lineRule="exact"/>
        <w:ind w:firstLine="480" w:firstLineChars="200"/>
        <w:rPr>
          <w:color w:val="auto"/>
          <w:sz w:val="24"/>
        </w:rPr>
      </w:pPr>
      <w:bookmarkStart w:id="473" w:name="_Toc152042355"/>
      <w:r>
        <w:rPr>
          <w:rFonts w:hint="eastAsia"/>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73"/>
    </w:p>
    <w:p>
      <w:pPr>
        <w:spacing w:line="480" w:lineRule="exact"/>
        <w:rPr>
          <w:b/>
          <w:color w:val="auto"/>
          <w:sz w:val="28"/>
          <w:szCs w:val="28"/>
        </w:rPr>
      </w:pPr>
      <w:bookmarkStart w:id="474" w:name="_Toc11941132"/>
      <w:bookmarkStart w:id="475" w:name="_Toc394435808"/>
      <w:bookmarkStart w:id="476" w:name="_Toc152042356"/>
      <w:bookmarkStart w:id="477" w:name="_Toc376722733"/>
      <w:bookmarkStart w:id="478" w:name="_Toc376722817"/>
      <w:bookmarkStart w:id="479" w:name="_Toc376722648"/>
      <w:bookmarkStart w:id="480" w:name="_Toc367880347"/>
      <w:bookmarkStart w:id="481" w:name="_Toc247514003"/>
      <w:bookmarkStart w:id="482" w:name="_Toc376715962"/>
      <w:bookmarkStart w:id="483" w:name="_Toc376814097"/>
      <w:bookmarkStart w:id="484" w:name="_Toc152045579"/>
      <w:bookmarkStart w:id="485" w:name="_Toc394248487"/>
      <w:bookmarkStart w:id="486" w:name="_Toc376813753"/>
      <w:bookmarkStart w:id="487" w:name="_Toc247527604"/>
      <w:r>
        <w:rPr>
          <w:rFonts w:hint="eastAsia"/>
          <w:b/>
          <w:color w:val="auto"/>
          <w:sz w:val="28"/>
          <w:szCs w:val="28"/>
        </w:rPr>
        <w:t>9.5 投诉</w:t>
      </w:r>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spacing w:line="480" w:lineRule="exact"/>
        <w:ind w:firstLine="480" w:firstLineChars="200"/>
        <w:rPr>
          <w:color w:val="auto"/>
          <w:sz w:val="24"/>
        </w:rPr>
      </w:pPr>
      <w:r>
        <w:rPr>
          <w:rFonts w:hint="eastAsia"/>
          <w:color w:val="auto"/>
          <w:sz w:val="24"/>
        </w:rPr>
        <w:t>投标人和其他利害关系人认为本次招标活动违反法律、法规和规章规定的，有权向有关行政监督部门投诉。</w:t>
      </w:r>
    </w:p>
    <w:p>
      <w:pPr>
        <w:spacing w:line="480" w:lineRule="exact"/>
        <w:rPr>
          <w:b/>
          <w:color w:val="auto"/>
          <w:sz w:val="30"/>
          <w:szCs w:val="30"/>
        </w:rPr>
      </w:pPr>
      <w:bookmarkStart w:id="488" w:name="_Toc247514004"/>
      <w:bookmarkStart w:id="489" w:name="_Toc247527605"/>
      <w:bookmarkStart w:id="490" w:name="_Toc152042357"/>
      <w:bookmarkStart w:id="491" w:name="_Toc144974547"/>
      <w:bookmarkStart w:id="492" w:name="_Toc11941133"/>
      <w:bookmarkStart w:id="493" w:name="_Toc300835000"/>
      <w:bookmarkStart w:id="494" w:name="_Toc152045580"/>
      <w:r>
        <w:rPr>
          <w:rFonts w:hint="eastAsia"/>
          <w:b/>
          <w:color w:val="auto"/>
          <w:sz w:val="30"/>
          <w:szCs w:val="30"/>
        </w:rPr>
        <w:t>10. 补偿</w:t>
      </w:r>
    </w:p>
    <w:p>
      <w:pPr>
        <w:pStyle w:val="6"/>
        <w:tabs>
          <w:tab w:val="left" w:pos="0"/>
        </w:tabs>
        <w:snapToGrid w:val="0"/>
        <w:spacing w:line="480" w:lineRule="exact"/>
        <w:ind w:firstLine="480" w:firstLineChars="200"/>
        <w:jc w:val="left"/>
        <w:rPr>
          <w:rFonts w:ascii="宋体" w:hAnsi="宋体"/>
          <w:color w:val="auto"/>
          <w:sz w:val="24"/>
          <w:szCs w:val="24"/>
        </w:rPr>
      </w:pPr>
      <w:r>
        <w:rPr>
          <w:rFonts w:hint="eastAsia" w:ascii="宋体" w:hAnsi="宋体"/>
          <w:color w:val="auto"/>
          <w:sz w:val="24"/>
          <w:szCs w:val="24"/>
        </w:rPr>
        <w:t>10.1.招标人将与中标人按招标文件要求签订设计合同，对其方案设计不再另行给予补偿。</w:t>
      </w:r>
    </w:p>
    <w:p>
      <w:pPr>
        <w:pStyle w:val="6"/>
        <w:tabs>
          <w:tab w:val="left" w:pos="0"/>
        </w:tabs>
        <w:snapToGrid w:val="0"/>
        <w:spacing w:line="480" w:lineRule="exact"/>
        <w:ind w:firstLine="480" w:firstLineChars="200"/>
        <w:jc w:val="left"/>
        <w:rPr>
          <w:rFonts w:ascii="宋体" w:hAnsi="宋体"/>
          <w:color w:val="auto"/>
          <w:sz w:val="24"/>
          <w:szCs w:val="24"/>
        </w:rPr>
      </w:pPr>
      <w:r>
        <w:rPr>
          <w:rFonts w:hint="eastAsia" w:ascii="宋体" w:hAnsi="宋体"/>
          <w:color w:val="auto"/>
          <w:sz w:val="24"/>
          <w:szCs w:val="24"/>
        </w:rPr>
        <w:t>10.2.对于提交有效投标文件但未中标的其他中标候选人，招标人将按前附表第34项规定的标准给予经济补偿。</w:t>
      </w:r>
    </w:p>
    <w:p>
      <w:pPr>
        <w:spacing w:line="480" w:lineRule="exact"/>
        <w:rPr>
          <w:b/>
          <w:color w:val="auto"/>
          <w:sz w:val="30"/>
          <w:szCs w:val="30"/>
        </w:rPr>
      </w:pPr>
      <w:r>
        <w:rPr>
          <w:rFonts w:hint="eastAsia"/>
          <w:b/>
          <w:color w:val="auto"/>
          <w:sz w:val="30"/>
          <w:szCs w:val="30"/>
        </w:rPr>
        <w:t>11.需要补充的其他内容</w:t>
      </w:r>
      <w:bookmarkEnd w:id="488"/>
      <w:bookmarkEnd w:id="489"/>
      <w:bookmarkEnd w:id="490"/>
      <w:bookmarkEnd w:id="491"/>
      <w:bookmarkEnd w:id="492"/>
      <w:bookmarkEnd w:id="493"/>
      <w:bookmarkEnd w:id="494"/>
    </w:p>
    <w:p>
      <w:pPr>
        <w:autoSpaceDE w:val="0"/>
        <w:autoSpaceDN w:val="0"/>
        <w:spacing w:line="480" w:lineRule="exact"/>
        <w:ind w:firstLine="480" w:firstLineChars="200"/>
        <w:rPr>
          <w:rFonts w:ascii="宋体" w:hAnsi="宋体" w:cs="宋体"/>
          <w:color w:val="auto"/>
          <w:sz w:val="24"/>
        </w:rPr>
      </w:pPr>
      <w:r>
        <w:rPr>
          <w:rFonts w:hint="eastAsia" w:ascii="宋体" w:hAnsi="宋体" w:cs="宋体"/>
          <w:color w:val="auto"/>
          <w:sz w:val="24"/>
        </w:rPr>
        <w:t>11.1 未尽事宜按国家有关规定执行。</w:t>
      </w:r>
    </w:p>
    <w:p>
      <w:pPr>
        <w:autoSpaceDE w:val="0"/>
        <w:autoSpaceDN w:val="0"/>
        <w:spacing w:line="480" w:lineRule="exact"/>
        <w:ind w:firstLine="480" w:firstLineChars="200"/>
        <w:rPr>
          <w:rFonts w:ascii="宋体" w:hAnsi="宋体" w:cs="宋体"/>
          <w:color w:val="auto"/>
          <w:sz w:val="24"/>
        </w:rPr>
      </w:pPr>
      <w:r>
        <w:rPr>
          <w:rFonts w:hint="eastAsia" w:ascii="宋体" w:hAnsi="宋体" w:cs="宋体"/>
          <w:color w:val="auto"/>
          <w:sz w:val="24"/>
        </w:rPr>
        <w:t>11.2 本招标文件最终解释权归招标人。</w:t>
      </w: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rPr>
          <w:color w:val="auto"/>
          <w:kern w:val="2"/>
          <w:sz w:val="21"/>
        </w:rPr>
      </w:pPr>
    </w:p>
    <w:p>
      <w:pPr>
        <w:numPr>
          <w:ilvl w:val="1"/>
          <w:numId w:val="0"/>
        </w:numPr>
        <w:ind w:left="624"/>
        <w:rPr>
          <w:color w:val="auto"/>
        </w:rPr>
      </w:pPr>
    </w:p>
    <w:p>
      <w:pPr>
        <w:rPr>
          <w:color w:val="auto"/>
          <w:kern w:val="2"/>
          <w:sz w:val="21"/>
        </w:rPr>
      </w:pPr>
    </w:p>
    <w:p>
      <w:pPr>
        <w:numPr>
          <w:ilvl w:val="1"/>
          <w:numId w:val="0"/>
        </w:numPr>
        <w:ind w:left="624"/>
        <w:rPr>
          <w:color w:val="auto"/>
        </w:rPr>
      </w:pPr>
    </w:p>
    <w:p>
      <w:pPr>
        <w:rPr>
          <w:color w:val="auto"/>
          <w:kern w:val="2"/>
          <w:sz w:val="21"/>
        </w:rPr>
      </w:pPr>
    </w:p>
    <w:p>
      <w:pPr>
        <w:numPr>
          <w:ilvl w:val="1"/>
          <w:numId w:val="0"/>
        </w:numPr>
        <w:ind w:left="624"/>
        <w:rPr>
          <w:color w:val="auto"/>
        </w:rPr>
      </w:pPr>
    </w:p>
    <w:p>
      <w:pPr>
        <w:rPr>
          <w:color w:val="auto"/>
          <w:kern w:val="2"/>
          <w:sz w:val="21"/>
        </w:rPr>
      </w:pPr>
    </w:p>
    <w:p>
      <w:pPr>
        <w:numPr>
          <w:ilvl w:val="1"/>
          <w:numId w:val="0"/>
        </w:numPr>
        <w:ind w:left="624"/>
        <w:rPr>
          <w:color w:val="auto"/>
        </w:rPr>
      </w:pPr>
    </w:p>
    <w:p>
      <w:pPr>
        <w:rPr>
          <w:color w:val="auto"/>
          <w:kern w:val="2"/>
          <w:sz w:val="21"/>
        </w:rPr>
      </w:pPr>
    </w:p>
    <w:p>
      <w:pPr>
        <w:numPr>
          <w:ilvl w:val="1"/>
          <w:numId w:val="0"/>
        </w:numPr>
        <w:ind w:left="624"/>
        <w:rPr>
          <w:color w:val="auto"/>
        </w:rPr>
      </w:pPr>
    </w:p>
    <w:p>
      <w:pPr>
        <w:rPr>
          <w:color w:val="auto"/>
          <w:kern w:val="2"/>
          <w:sz w:val="21"/>
        </w:rPr>
      </w:pPr>
    </w:p>
    <w:p>
      <w:pPr>
        <w:pStyle w:val="3"/>
        <w:jc w:val="center"/>
        <w:rPr>
          <w:color w:val="auto"/>
        </w:rPr>
        <w:sectPr>
          <w:pgSz w:w="11906" w:h="16838"/>
          <w:pgMar w:top="1440" w:right="826" w:bottom="1440" w:left="880" w:header="851" w:footer="992" w:gutter="0"/>
          <w:cols w:space="720" w:num="1"/>
          <w:docGrid w:linePitch="312" w:charSpace="0"/>
        </w:sectPr>
      </w:pPr>
    </w:p>
    <w:p>
      <w:pPr>
        <w:pStyle w:val="3"/>
        <w:jc w:val="center"/>
        <w:rPr>
          <w:color w:val="auto"/>
        </w:rPr>
      </w:pPr>
      <w:bookmarkStart w:id="495" w:name="_Toc12546"/>
      <w:r>
        <w:rPr>
          <w:rFonts w:hint="eastAsia"/>
          <w:color w:val="auto"/>
        </w:rPr>
        <w:t>第三章 评标办法和标准</w:t>
      </w:r>
      <w:bookmarkEnd w:id="495"/>
    </w:p>
    <w:p>
      <w:pPr>
        <w:tabs>
          <w:tab w:val="left" w:pos="510"/>
        </w:tabs>
        <w:adjustRightInd/>
        <w:spacing w:line="480" w:lineRule="exact"/>
        <w:textAlignment w:val="auto"/>
        <w:rPr>
          <w:b/>
          <w:color w:val="auto"/>
          <w:sz w:val="42"/>
          <w:szCs w:val="24"/>
        </w:rPr>
      </w:pPr>
      <w:r>
        <w:rPr>
          <w:rFonts w:hint="eastAsia"/>
          <w:b/>
          <w:color w:val="auto"/>
          <w:sz w:val="42"/>
          <w:szCs w:val="24"/>
        </w:rPr>
        <w:t>评标办法</w:t>
      </w:r>
    </w:p>
    <w:p>
      <w:pPr>
        <w:tabs>
          <w:tab w:val="left" w:pos="510"/>
        </w:tabs>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一、 总则</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本招标项目评标依据《中华人民共和国招标投标法》等国家、地方政府有关招标投标的法律、法规、规章和规定。</w:t>
      </w:r>
    </w:p>
    <w:p>
      <w:pPr>
        <w:tabs>
          <w:tab w:val="left" w:pos="510"/>
        </w:tabs>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二、评标委员会</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2.1.本招标项目的评标由招标人依法组建的评标委员会负责。</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2.2.评标委员会开始工作之前由评标委员会中推举产生一名评委主任，负责协调、组织评标委员会成员开展评标工作。</w:t>
      </w:r>
    </w:p>
    <w:p>
      <w:pPr>
        <w:adjustRightInd/>
        <w:spacing w:line="500" w:lineRule="exact"/>
        <w:textAlignment w:val="auto"/>
        <w:rPr>
          <w:rFonts w:ascii="宋体" w:hAnsi="宋体" w:cs="宋体"/>
          <w:color w:val="auto"/>
          <w:sz w:val="24"/>
          <w:szCs w:val="24"/>
        </w:rPr>
      </w:pPr>
      <w:r>
        <w:rPr>
          <w:rFonts w:hint="eastAsia" w:ascii="宋体" w:hAnsi="宋体" w:cs="宋体"/>
          <w:b/>
          <w:color w:val="auto"/>
          <w:sz w:val="24"/>
          <w:szCs w:val="24"/>
        </w:rPr>
        <w:t>三、评标委员会在评标过程中应当遵守下列规定：</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3.1评标委员会应当根据招标文件规定的评标办法和标准，对投标文件进行系统地评审和比较。</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3.2对投标人进行资格审查和商务文件的符合性、响应性审查进行评审应当按照招标文件规定的内容和标准。资格审查不合格或不响应招标文件要求的投标文件按废标处理。商务文件的详细评审（评分）和技术文件的评审均应由评标委员会负责。</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3.3评标应严格按照招标文件中规定的评标标准和办法进行，除了有关法律、法规以及国家标准中规定的强制性条文外，不得引用招标文件规定以外的标准和办法进行评审。</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3.4评标委员会可以书面方式要求投标人对投标文件中含义不明确、对同类问题表述不一致或者有明显文字和计算错误的内容作必要的澄清、说明或者补正。评标委员会不接受投标人主动提出的澄清、说明或者补正。澄清、说明或者补正应以书面方式进行并不得超出投标文件的范围或者改变投标文件的实质性内容。投标人的书面澄清、说明或者补正属于投标文件的组成部分。评标委员会对投标人提交的澄清、说明或者补正有疑问的，可以要求投标人进一步澄清、说明或者补正，直至满足评标委员会的要求。投标人拒不按照要求对投标文件进行澄清、说明或者补正的，评标委员会可以否决其投标。</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3.5招标文件条款存在含义不清或者相互矛盾的，评标委员会应当针对相应条款作出有利于相应投标人的结论。</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3.6评委的评审意见不一致时，应以书面形式进行表决，并按照少数服从多数的原则处理。评审结束后，评标委员会应当对否决投标或不采信投标人说明的情况在评标报告中作详细说明。</w:t>
      </w:r>
    </w:p>
    <w:p>
      <w:pPr>
        <w:tabs>
          <w:tab w:val="left" w:pos="510"/>
        </w:tabs>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四、评标过程保密</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评标采用保密方式进行。公开开标后，直到宣布授予中标候选人公示为止，凡属于对投标文件的审查、澄清、评价和比较的有关资料及有关确定中标人及中标候选人的推荐情况、与评标有关的其他任何情况均应严格保密，都不应向投标人或与该过程无公务关系的其他人泄露。</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2、在投标文件的评审和比较、确定中标候选人推荐以及授予合同过程中，投标人任何试图影响或干扰招标人和评委会的评标活动，都可能导致其投标被拒绝。</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3、中标人确定后，招标人不对未中标人就评标过程以及未能中标的原因做出任何解释。未中标人不得向评委会组成人员或其他有关人员索问评标过程的情况和材料。</w:t>
      </w:r>
    </w:p>
    <w:p>
      <w:pPr>
        <w:tabs>
          <w:tab w:val="left" w:pos="510"/>
        </w:tabs>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五、评标办法</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评标采用</w:t>
      </w:r>
      <w:r>
        <w:rPr>
          <w:rFonts w:hint="eastAsia" w:ascii="宋体" w:hAnsi="宋体" w:cs="宋体"/>
          <w:b/>
          <w:color w:val="auto"/>
          <w:sz w:val="24"/>
        </w:rPr>
        <w:t>综合评估法</w:t>
      </w:r>
      <w:r>
        <w:rPr>
          <w:rFonts w:hint="eastAsia" w:ascii="宋体" w:hAnsi="宋体" w:cs="宋体"/>
          <w:color w:val="auto"/>
          <w:sz w:val="24"/>
          <w:szCs w:val="24"/>
        </w:rPr>
        <w:t>推荐中标候选名次。</w:t>
      </w:r>
    </w:p>
    <w:p>
      <w:pPr>
        <w:tabs>
          <w:tab w:val="left" w:pos="510"/>
        </w:tabs>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六、 评标程序</w:t>
      </w:r>
    </w:p>
    <w:p>
      <w:pPr>
        <w:spacing w:line="500" w:lineRule="exact"/>
        <w:ind w:firstLine="480" w:firstLineChars="200"/>
        <w:rPr>
          <w:rFonts w:ascii="宋体" w:hAnsi="宋体" w:cs="宋体"/>
          <w:color w:val="auto"/>
          <w:sz w:val="24"/>
          <w:szCs w:val="24"/>
        </w:rPr>
      </w:pPr>
      <w:r>
        <w:rPr>
          <w:rFonts w:ascii="宋体" w:hAnsi="宋体"/>
          <w:color w:val="auto"/>
          <w:sz w:val="24"/>
          <w:szCs w:val="24"/>
        </w:rPr>
        <w:t>分为评标准备、</w:t>
      </w:r>
      <w:r>
        <w:rPr>
          <w:rFonts w:hint="eastAsia" w:ascii="宋体" w:hAnsi="宋体"/>
          <w:color w:val="auto"/>
          <w:sz w:val="24"/>
          <w:szCs w:val="24"/>
        </w:rPr>
        <w:t>资格审查、</w:t>
      </w:r>
      <w:r>
        <w:rPr>
          <w:rFonts w:ascii="宋体" w:hAnsi="宋体"/>
          <w:color w:val="auto"/>
          <w:sz w:val="24"/>
          <w:szCs w:val="24"/>
        </w:rPr>
        <w:t>初步评审、详细评审、</w:t>
      </w:r>
      <w:r>
        <w:rPr>
          <w:rFonts w:hint="eastAsia" w:ascii="宋体" w:hAnsi="宋体"/>
          <w:color w:val="auto"/>
          <w:sz w:val="24"/>
          <w:szCs w:val="24"/>
        </w:rPr>
        <w:t>确定中标人及</w:t>
      </w:r>
      <w:r>
        <w:rPr>
          <w:rFonts w:ascii="宋体" w:hAnsi="宋体"/>
          <w:color w:val="auto"/>
          <w:sz w:val="24"/>
          <w:szCs w:val="24"/>
        </w:rPr>
        <w:t>推荐中标候选人</w:t>
      </w:r>
      <w:r>
        <w:rPr>
          <w:rFonts w:hint="eastAsia" w:ascii="宋体" w:hAnsi="宋体"/>
          <w:color w:val="auto"/>
          <w:sz w:val="24"/>
          <w:szCs w:val="24"/>
        </w:rPr>
        <w:t>、提交评标报告</w:t>
      </w:r>
      <w:r>
        <w:rPr>
          <w:rFonts w:ascii="宋体" w:hAnsi="宋体"/>
          <w:color w:val="auto"/>
          <w:sz w:val="24"/>
          <w:szCs w:val="24"/>
        </w:rPr>
        <w:t>。评标由评标委员会独立完成</w:t>
      </w:r>
      <w:r>
        <w:rPr>
          <w:rFonts w:hint="eastAsia" w:ascii="宋体" w:hAnsi="宋体" w:cs="宋体"/>
          <w:color w:val="auto"/>
          <w:sz w:val="24"/>
          <w:szCs w:val="24"/>
        </w:rPr>
        <w:t>。</w:t>
      </w:r>
    </w:p>
    <w:p>
      <w:pPr>
        <w:widowControl/>
        <w:adjustRightInd/>
        <w:spacing w:line="240" w:lineRule="auto"/>
        <w:jc w:val="left"/>
        <w:textAlignment w:val="auto"/>
        <w:rPr>
          <w:rFonts w:ascii="宋体" w:hAnsi="宋体" w:cs="宋体"/>
          <w:b/>
          <w:bCs/>
          <w:color w:val="auto"/>
          <w:kern w:val="44"/>
          <w:sz w:val="36"/>
          <w:szCs w:val="36"/>
        </w:rPr>
      </w:pPr>
      <w:bookmarkStart w:id="496" w:name="_Toc382322015"/>
      <w:bookmarkStart w:id="497" w:name="_Toc382381144"/>
      <w:r>
        <w:rPr>
          <w:rFonts w:ascii="宋体" w:hAnsi="宋体" w:cs="宋体"/>
          <w:color w:val="auto"/>
          <w:sz w:val="36"/>
          <w:szCs w:val="36"/>
        </w:rPr>
        <w:br w:type="page"/>
      </w:r>
    </w:p>
    <w:p>
      <w:pPr>
        <w:pStyle w:val="18"/>
        <w:rPr>
          <w:b/>
          <w:bCs/>
          <w:color w:val="auto"/>
          <w:sz w:val="36"/>
          <w:szCs w:val="36"/>
        </w:rPr>
      </w:pPr>
      <w:r>
        <w:rPr>
          <w:rFonts w:hint="eastAsia"/>
          <w:b/>
          <w:color w:val="auto"/>
          <w:sz w:val="36"/>
          <w:szCs w:val="36"/>
        </w:rPr>
        <w:t>评标细则</w:t>
      </w:r>
      <w:bookmarkEnd w:id="496"/>
      <w:bookmarkEnd w:id="497"/>
    </w:p>
    <w:p>
      <w:pPr>
        <w:spacing w:line="500" w:lineRule="exact"/>
        <w:rPr>
          <w:rFonts w:ascii="宋体" w:hAnsi="宋体" w:cs="宋体"/>
          <w:b/>
          <w:bCs/>
          <w:color w:val="auto"/>
          <w:sz w:val="28"/>
          <w:szCs w:val="28"/>
        </w:rPr>
      </w:pPr>
      <w:r>
        <w:rPr>
          <w:rFonts w:hint="eastAsia" w:ascii="宋体" w:hAnsi="宋体" w:cs="宋体"/>
          <w:b/>
          <w:bCs/>
          <w:color w:val="auto"/>
          <w:sz w:val="28"/>
          <w:szCs w:val="28"/>
        </w:rPr>
        <w:t>一、总 则</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依照《中华人民共和国招标投标法》，结合本工程特点，遵循公开、公平、公正、择优和诚实信用的原则制定本办法。</w:t>
      </w:r>
    </w:p>
    <w:p>
      <w:pPr>
        <w:spacing w:line="500" w:lineRule="exact"/>
        <w:rPr>
          <w:rFonts w:ascii="宋体" w:hAnsi="宋体" w:cs="宋体"/>
          <w:b/>
          <w:color w:val="auto"/>
          <w:sz w:val="28"/>
          <w:szCs w:val="28"/>
        </w:rPr>
      </w:pPr>
      <w:r>
        <w:rPr>
          <w:rFonts w:hint="eastAsia" w:ascii="宋体" w:hAnsi="宋体" w:cs="宋体"/>
          <w:b/>
          <w:color w:val="auto"/>
          <w:sz w:val="28"/>
          <w:szCs w:val="28"/>
        </w:rPr>
        <w:t>二、评标办法与分值构成</w:t>
      </w:r>
    </w:p>
    <w:p>
      <w:pPr>
        <w:spacing w:line="500" w:lineRule="exact"/>
        <w:ind w:firstLine="480" w:firstLineChars="200"/>
        <w:rPr>
          <w:rFonts w:ascii="宋体" w:hAnsi="宋体" w:cs="宋体"/>
          <w:b/>
          <w:bCs/>
          <w:color w:val="auto"/>
          <w:sz w:val="24"/>
          <w:szCs w:val="24"/>
        </w:rPr>
      </w:pPr>
      <w:r>
        <w:rPr>
          <w:rFonts w:hint="eastAsia" w:ascii="宋体" w:hAnsi="宋体" w:cs="宋体"/>
          <w:color w:val="auto"/>
          <w:sz w:val="24"/>
          <w:szCs w:val="24"/>
        </w:rPr>
        <w:t>综合评估法采用百分制进行量化，</w:t>
      </w:r>
      <w:r>
        <w:rPr>
          <w:rFonts w:hint="eastAsia" w:ascii="宋体" w:hAnsi="宋体" w:cs="宋体"/>
          <w:b/>
          <w:bCs/>
          <w:color w:val="auto"/>
          <w:sz w:val="24"/>
          <w:szCs w:val="24"/>
        </w:rPr>
        <w:t>商务分占30%，报价分占10%，技术分占60%。</w:t>
      </w:r>
    </w:p>
    <w:p>
      <w:pPr>
        <w:spacing w:line="500" w:lineRule="exact"/>
        <w:rPr>
          <w:rFonts w:ascii="宋体" w:hAnsi="宋体" w:cs="宋体"/>
          <w:b/>
          <w:color w:val="auto"/>
          <w:sz w:val="28"/>
          <w:szCs w:val="28"/>
        </w:rPr>
      </w:pPr>
      <w:r>
        <w:rPr>
          <w:rFonts w:hint="eastAsia" w:ascii="宋体" w:hAnsi="宋体" w:cs="宋体"/>
          <w:b/>
          <w:color w:val="auto"/>
          <w:sz w:val="28"/>
          <w:szCs w:val="28"/>
        </w:rPr>
        <w:t>三、评标前的准备工作</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1、招标人或者其委托的招标代理机构应当向评标委员会提供评标所需的重要信息和数据。</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2、评标委员会成员在评标前应当认真研究招标文件，至少应了解和熟悉本工程招标的目标、范围、性质、主要技术要求、标准、商务条款以及评标定标程序、标准、方法和在评标过程中考虑的相关因素。</w:t>
      </w:r>
    </w:p>
    <w:p>
      <w:pPr>
        <w:adjustRightInd/>
        <w:spacing w:before="240" w:beforeLines="100" w:line="500" w:lineRule="exact"/>
        <w:textAlignment w:val="auto"/>
        <w:rPr>
          <w:rFonts w:ascii="宋体" w:hAnsi="宋体" w:cs="宋体"/>
          <w:b/>
          <w:color w:val="auto"/>
          <w:sz w:val="28"/>
          <w:szCs w:val="28"/>
        </w:rPr>
      </w:pPr>
      <w:r>
        <w:rPr>
          <w:rFonts w:hint="eastAsia" w:ascii="宋体" w:hAnsi="宋体" w:cs="宋体"/>
          <w:b/>
          <w:color w:val="auto"/>
          <w:sz w:val="28"/>
          <w:szCs w:val="28"/>
        </w:rPr>
        <w:t>四、资格审查</w:t>
      </w:r>
    </w:p>
    <w:p>
      <w:pPr>
        <w:tabs>
          <w:tab w:val="left" w:pos="510"/>
        </w:tabs>
        <w:adjustRightInd/>
        <w:spacing w:line="500" w:lineRule="exact"/>
        <w:ind w:left="360"/>
        <w:textAlignment w:val="auto"/>
        <w:rPr>
          <w:rFonts w:ascii="宋体" w:hAnsi="宋体" w:cs="宋体"/>
          <w:color w:val="auto"/>
          <w:sz w:val="24"/>
        </w:rPr>
      </w:pPr>
      <w:r>
        <w:rPr>
          <w:rFonts w:hint="eastAsia" w:ascii="宋体" w:hAnsi="宋体" w:cs="宋体"/>
          <w:color w:val="auto"/>
          <w:sz w:val="24"/>
        </w:rPr>
        <w:t xml:space="preserve"> 1、资格审查方式</w:t>
      </w:r>
    </w:p>
    <w:p>
      <w:pPr>
        <w:adjustRightInd/>
        <w:spacing w:line="500" w:lineRule="exact"/>
        <w:textAlignment w:val="auto"/>
        <w:rPr>
          <w:rFonts w:ascii="宋体" w:hAnsi="宋体" w:cs="宋体"/>
          <w:color w:val="auto"/>
          <w:sz w:val="24"/>
        </w:rPr>
      </w:pPr>
      <w:r>
        <w:rPr>
          <w:rFonts w:hint="eastAsia" w:ascii="宋体" w:hAnsi="宋体" w:cs="宋体"/>
          <w:color w:val="auto"/>
          <w:sz w:val="24"/>
        </w:rPr>
        <w:t xml:space="preserve">    本招标项目对投标人的资格审查方式为资格后审。</w:t>
      </w:r>
    </w:p>
    <w:p>
      <w:pPr>
        <w:tabs>
          <w:tab w:val="left" w:pos="510"/>
        </w:tabs>
        <w:adjustRightInd/>
        <w:spacing w:line="500" w:lineRule="exact"/>
        <w:ind w:left="360"/>
        <w:textAlignment w:val="auto"/>
        <w:rPr>
          <w:rFonts w:ascii="宋体" w:hAnsi="宋体" w:cs="宋体"/>
          <w:color w:val="auto"/>
          <w:sz w:val="24"/>
        </w:rPr>
      </w:pPr>
      <w:r>
        <w:rPr>
          <w:rFonts w:hint="eastAsia" w:ascii="宋体" w:hAnsi="宋体" w:cs="宋体"/>
          <w:color w:val="auto"/>
          <w:sz w:val="24"/>
        </w:rPr>
        <w:t xml:space="preserve"> 2、资格审查文件评审办法</w:t>
      </w:r>
    </w:p>
    <w:p>
      <w:pPr>
        <w:adjustRightInd/>
        <w:spacing w:line="500" w:lineRule="exact"/>
        <w:textAlignment w:val="auto"/>
        <w:rPr>
          <w:rFonts w:ascii="宋体" w:hAnsi="宋体" w:cs="宋体"/>
          <w:color w:val="auto"/>
          <w:sz w:val="24"/>
        </w:rPr>
      </w:pPr>
      <w:r>
        <w:rPr>
          <w:rFonts w:hint="eastAsia" w:ascii="宋体" w:hAnsi="宋体" w:cs="宋体"/>
          <w:color w:val="auto"/>
          <w:sz w:val="24"/>
        </w:rPr>
        <w:t xml:space="preserve">   按照本评标办法和标准第3款规定的“资格审查评审合格标准”对投标人进行资格审查，以确定符合招标文件规定要求的合格投标人。经资格审查合格的投标人进入下一程序的评审，经资格审查不合格的投标文件按照废标处理。</w:t>
      </w:r>
    </w:p>
    <w:p>
      <w:pPr>
        <w:tabs>
          <w:tab w:val="left" w:pos="510"/>
        </w:tabs>
        <w:adjustRightInd/>
        <w:spacing w:line="500" w:lineRule="exact"/>
        <w:ind w:left="360"/>
        <w:textAlignment w:val="auto"/>
        <w:rPr>
          <w:rFonts w:ascii="宋体" w:hAnsi="宋体" w:cs="宋体"/>
          <w:b/>
          <w:color w:val="auto"/>
          <w:sz w:val="24"/>
          <w:szCs w:val="24"/>
        </w:rPr>
      </w:pPr>
      <w:r>
        <w:rPr>
          <w:rFonts w:hint="eastAsia" w:ascii="宋体" w:hAnsi="宋体" w:cs="宋体"/>
          <w:b/>
          <w:color w:val="auto"/>
          <w:sz w:val="24"/>
          <w:szCs w:val="24"/>
        </w:rPr>
        <w:t xml:space="preserve"> 3、资格审查评审合格标准</w:t>
      </w:r>
    </w:p>
    <w:p>
      <w:pPr>
        <w:pStyle w:val="6"/>
        <w:tabs>
          <w:tab w:val="left" w:pos="900"/>
        </w:tabs>
        <w:spacing w:line="500" w:lineRule="exact"/>
        <w:ind w:firstLine="472" w:firstLineChars="196"/>
        <w:rPr>
          <w:rFonts w:ascii="宋体" w:hAnsi="宋体" w:cs="宋体"/>
          <w:b/>
          <w:color w:val="auto"/>
          <w:kern w:val="0"/>
          <w:sz w:val="24"/>
        </w:rPr>
      </w:pPr>
      <w:r>
        <w:rPr>
          <w:rFonts w:hint="eastAsia" w:ascii="宋体" w:hAnsi="宋体" w:cs="宋体"/>
          <w:b/>
          <w:color w:val="auto"/>
          <w:sz w:val="24"/>
        </w:rPr>
        <w:t>只有全部满足下列资格审查文件评审标准的投标人，才能通过资格审查，否则其投标文件作废标处理。</w:t>
      </w:r>
    </w:p>
    <w:p>
      <w:pPr>
        <w:pStyle w:val="6"/>
        <w:numPr>
          <w:ilvl w:val="3"/>
          <w:numId w:val="10"/>
        </w:numPr>
        <w:tabs>
          <w:tab w:val="left" w:pos="900"/>
        </w:tabs>
        <w:spacing w:line="500" w:lineRule="exact"/>
        <w:rPr>
          <w:rFonts w:ascii="宋体" w:hAnsi="宋体"/>
          <w:b/>
          <w:color w:val="auto"/>
          <w:kern w:val="0"/>
          <w:sz w:val="24"/>
        </w:rPr>
      </w:pPr>
      <w:r>
        <w:rPr>
          <w:rFonts w:hint="eastAsia" w:ascii="宋体" w:hAnsi="宋体"/>
          <w:b/>
          <w:color w:val="auto"/>
          <w:kern w:val="0"/>
          <w:sz w:val="24"/>
        </w:rPr>
        <w:t>完整提供招标文件第二章“一、投标人须知”中“3.投标文件的编制”中规定的全部资格审查材料；</w:t>
      </w:r>
    </w:p>
    <w:p>
      <w:pPr>
        <w:pStyle w:val="6"/>
        <w:numPr>
          <w:ilvl w:val="3"/>
          <w:numId w:val="10"/>
        </w:numPr>
        <w:tabs>
          <w:tab w:val="left" w:pos="900"/>
        </w:tabs>
        <w:spacing w:line="500" w:lineRule="exact"/>
        <w:rPr>
          <w:rFonts w:ascii="宋体" w:hAnsi="宋体"/>
          <w:b/>
          <w:color w:val="auto"/>
          <w:kern w:val="0"/>
          <w:sz w:val="24"/>
        </w:rPr>
      </w:pPr>
      <w:r>
        <w:rPr>
          <w:rFonts w:hint="eastAsia" w:ascii="宋体" w:hAnsi="宋体"/>
          <w:b/>
          <w:color w:val="auto"/>
          <w:kern w:val="0"/>
          <w:sz w:val="24"/>
        </w:rPr>
        <w:t>全部资格审查申请材料符合投标须知前附表第11项的规定要求；</w:t>
      </w:r>
    </w:p>
    <w:p>
      <w:pPr>
        <w:pStyle w:val="6"/>
        <w:numPr>
          <w:ilvl w:val="3"/>
          <w:numId w:val="10"/>
        </w:numPr>
        <w:tabs>
          <w:tab w:val="left" w:pos="900"/>
        </w:tabs>
        <w:spacing w:line="500" w:lineRule="exact"/>
        <w:rPr>
          <w:rFonts w:ascii="宋体" w:hAnsi="宋体"/>
          <w:b/>
          <w:color w:val="auto"/>
          <w:kern w:val="0"/>
          <w:sz w:val="24"/>
        </w:rPr>
      </w:pPr>
      <w:r>
        <w:rPr>
          <w:rFonts w:hint="eastAsia" w:ascii="宋体" w:hAnsi="宋体"/>
          <w:b/>
          <w:color w:val="auto"/>
          <w:kern w:val="0"/>
          <w:sz w:val="24"/>
        </w:rPr>
        <w:t>符合招标文件规定的其他资格条件</w:t>
      </w:r>
      <w:r>
        <w:rPr>
          <w:rFonts w:hint="eastAsia" w:ascii="宋体" w:hAnsi="宋体"/>
          <w:b/>
          <w:color w:val="auto"/>
          <w:kern w:val="0"/>
        </w:rPr>
        <w:t>。</w:t>
      </w:r>
    </w:p>
    <w:p>
      <w:pPr>
        <w:spacing w:line="500" w:lineRule="exact"/>
        <w:rPr>
          <w:rFonts w:ascii="宋体" w:hAnsi="宋体" w:cs="宋体"/>
          <w:b/>
          <w:color w:val="auto"/>
          <w:sz w:val="28"/>
          <w:szCs w:val="28"/>
        </w:rPr>
      </w:pPr>
      <w:r>
        <w:rPr>
          <w:rFonts w:hint="eastAsia" w:ascii="宋体" w:hAnsi="宋体" w:cs="宋体"/>
          <w:b/>
          <w:color w:val="auto"/>
          <w:sz w:val="28"/>
          <w:szCs w:val="28"/>
        </w:rPr>
        <w:t>五、初步评审</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1、投标文件的符合性检查和响应性确定</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在详细评标之前，评标委员会将对投标文件进行符合性检查和响应性确定。</w:t>
      </w:r>
      <w:r>
        <w:rPr>
          <w:rFonts w:hint="eastAsia" w:ascii="宋体" w:hAnsi="宋体" w:cs="宋体"/>
          <w:b/>
          <w:color w:val="auto"/>
          <w:sz w:val="24"/>
          <w:szCs w:val="24"/>
        </w:rPr>
        <w:t>当投标文件出现下列情形之一的将视为无效，按废标处理，不得进入详细评审</w:t>
      </w:r>
      <w:r>
        <w:rPr>
          <w:rFonts w:hint="eastAsia" w:ascii="宋体" w:hAnsi="宋体" w:cs="宋体"/>
          <w:color w:val="auto"/>
          <w:sz w:val="24"/>
          <w:szCs w:val="24"/>
        </w:rPr>
        <w:t>：</w:t>
      </w:r>
    </w:p>
    <w:p>
      <w:pPr>
        <w:numPr>
          <w:ilvl w:val="4"/>
          <w:numId w:val="11"/>
        </w:numPr>
        <w:tabs>
          <w:tab w:val="left" w:pos="1050"/>
        </w:tabs>
        <w:adjustRightInd/>
        <w:spacing w:line="500" w:lineRule="exact"/>
        <w:textAlignment w:val="auto"/>
        <w:rPr>
          <w:rFonts w:ascii="宋体" w:hAnsi="宋体" w:cs="Arial Unicode MS"/>
          <w:color w:val="auto"/>
          <w:sz w:val="24"/>
        </w:rPr>
      </w:pPr>
      <w:r>
        <w:rPr>
          <w:rFonts w:hint="eastAsia" w:ascii="宋体" w:hAnsi="宋体" w:cs="Arial Unicode MS"/>
          <w:color w:val="auto"/>
          <w:sz w:val="24"/>
        </w:rPr>
        <w:t>未按要求密封；</w:t>
      </w:r>
    </w:p>
    <w:p>
      <w:pPr>
        <w:numPr>
          <w:ilvl w:val="4"/>
          <w:numId w:val="11"/>
        </w:numPr>
        <w:tabs>
          <w:tab w:val="left" w:pos="1050"/>
        </w:tabs>
        <w:adjustRightInd/>
        <w:spacing w:line="500" w:lineRule="exact"/>
        <w:textAlignment w:val="auto"/>
        <w:rPr>
          <w:rFonts w:ascii="宋体" w:hAnsi="宋体" w:cs="Arial Unicode MS"/>
          <w:color w:val="auto"/>
          <w:sz w:val="24"/>
        </w:rPr>
      </w:pPr>
      <w:r>
        <w:rPr>
          <w:rFonts w:hint="eastAsia" w:ascii="宋体" w:hAnsi="宋体" w:cs="Arial Unicode MS"/>
          <w:color w:val="auto"/>
          <w:sz w:val="24"/>
        </w:rPr>
        <w:t>投标文件未按要求加盖投标人公章，未经单位负责人签字；</w:t>
      </w:r>
    </w:p>
    <w:p>
      <w:pPr>
        <w:numPr>
          <w:ilvl w:val="4"/>
          <w:numId w:val="11"/>
        </w:numPr>
        <w:tabs>
          <w:tab w:val="left" w:pos="1050"/>
        </w:tabs>
        <w:adjustRightInd/>
        <w:spacing w:line="500" w:lineRule="exact"/>
        <w:textAlignment w:val="auto"/>
        <w:rPr>
          <w:rFonts w:ascii="宋体" w:hAnsi="宋体" w:cs="Arial Unicode MS"/>
          <w:color w:val="auto"/>
          <w:sz w:val="24"/>
        </w:rPr>
      </w:pPr>
      <w:r>
        <w:rPr>
          <w:rFonts w:hint="eastAsia" w:ascii="宋体" w:hAnsi="宋体" w:cs="Arial Unicode MS"/>
          <w:color w:val="auto"/>
          <w:sz w:val="24"/>
        </w:rPr>
        <w:t>未按招标文件规定要求提交投标保证金的；</w:t>
      </w:r>
    </w:p>
    <w:p>
      <w:pPr>
        <w:numPr>
          <w:ilvl w:val="4"/>
          <w:numId w:val="11"/>
        </w:numPr>
        <w:tabs>
          <w:tab w:val="left" w:pos="1050"/>
        </w:tabs>
        <w:adjustRightInd/>
        <w:spacing w:line="500" w:lineRule="exact"/>
        <w:textAlignment w:val="auto"/>
        <w:rPr>
          <w:rFonts w:ascii="宋体" w:hAnsi="宋体" w:cs="Arial Unicode MS"/>
          <w:color w:val="auto"/>
          <w:sz w:val="24"/>
        </w:rPr>
      </w:pPr>
      <w:r>
        <w:rPr>
          <w:rFonts w:ascii="宋体" w:hAnsi="宋体" w:cs="Arial Unicode MS"/>
          <w:color w:val="auto"/>
          <w:sz w:val="24"/>
        </w:rPr>
        <w:t>投标文件</w:t>
      </w:r>
      <w:r>
        <w:rPr>
          <w:rFonts w:hint="eastAsia" w:ascii="宋体" w:hAnsi="宋体" w:cs="Arial Unicode MS"/>
          <w:color w:val="auto"/>
          <w:sz w:val="24"/>
        </w:rPr>
        <w:t>未按照招标文件规定的格式填写，内容不全或者</w:t>
      </w:r>
      <w:r>
        <w:rPr>
          <w:rFonts w:ascii="宋体" w:hAnsi="宋体" w:cs="Arial Unicode MS"/>
          <w:color w:val="auto"/>
          <w:sz w:val="24"/>
        </w:rPr>
        <w:t>关键内容字迹模糊、无法辨认的；</w:t>
      </w:r>
    </w:p>
    <w:p>
      <w:pPr>
        <w:numPr>
          <w:ilvl w:val="4"/>
          <w:numId w:val="11"/>
        </w:numPr>
        <w:tabs>
          <w:tab w:val="left" w:pos="1050"/>
        </w:tabs>
        <w:adjustRightInd/>
        <w:spacing w:line="500" w:lineRule="exact"/>
        <w:textAlignment w:val="auto"/>
        <w:rPr>
          <w:rFonts w:ascii="宋体" w:hAnsi="宋体" w:cs="Arial Unicode MS"/>
          <w:color w:val="auto"/>
          <w:sz w:val="24"/>
        </w:rPr>
      </w:pPr>
      <w:r>
        <w:rPr>
          <w:rFonts w:hint="eastAsia" w:ascii="宋体" w:hAnsi="宋体" w:cs="Arial Unicode MS"/>
          <w:color w:val="auto"/>
          <w:sz w:val="24"/>
        </w:rPr>
        <w:t>投标人递交两份或多份内容不同的投标文件，或在一份投标文件中对同一招标项目报有两个或多个报价，且未声明哪一个有效；</w:t>
      </w:r>
    </w:p>
    <w:p>
      <w:pPr>
        <w:numPr>
          <w:ilvl w:val="4"/>
          <w:numId w:val="11"/>
        </w:numPr>
        <w:tabs>
          <w:tab w:val="left" w:pos="1050"/>
        </w:tabs>
        <w:adjustRightInd/>
        <w:spacing w:line="500" w:lineRule="exact"/>
        <w:textAlignment w:val="auto"/>
        <w:rPr>
          <w:rFonts w:ascii="宋体" w:hAnsi="宋体" w:cs="Arial Unicode MS"/>
          <w:color w:val="auto"/>
          <w:sz w:val="24"/>
        </w:rPr>
      </w:pPr>
      <w:r>
        <w:rPr>
          <w:rFonts w:ascii="宋体" w:hAnsi="宋体" w:cs="Arial Unicode MS"/>
          <w:color w:val="auto"/>
          <w:sz w:val="24"/>
        </w:rPr>
        <w:t>投标文件中标明的投标人</w:t>
      </w:r>
      <w:r>
        <w:rPr>
          <w:rFonts w:hint="eastAsia" w:ascii="宋体" w:hAnsi="宋体" w:cs="Arial Unicode MS"/>
          <w:color w:val="auto"/>
          <w:sz w:val="24"/>
        </w:rPr>
        <w:t>名称或者组织结构</w:t>
      </w:r>
      <w:r>
        <w:rPr>
          <w:rFonts w:ascii="宋体" w:hAnsi="宋体" w:cs="Arial Unicode MS"/>
          <w:color w:val="auto"/>
          <w:sz w:val="24"/>
        </w:rPr>
        <w:t>与</w:t>
      </w:r>
      <w:r>
        <w:rPr>
          <w:rFonts w:hint="eastAsia" w:ascii="宋体" w:hAnsi="宋体" w:cs="Arial Unicode MS"/>
          <w:color w:val="auto"/>
          <w:sz w:val="24"/>
        </w:rPr>
        <w:t>资格审查时不一致且未提供有效证明的；</w:t>
      </w:r>
    </w:p>
    <w:p>
      <w:pPr>
        <w:numPr>
          <w:ilvl w:val="4"/>
          <w:numId w:val="11"/>
        </w:numPr>
        <w:tabs>
          <w:tab w:val="left" w:pos="1050"/>
        </w:tabs>
        <w:adjustRightInd/>
        <w:spacing w:line="500" w:lineRule="exact"/>
        <w:textAlignment w:val="auto"/>
        <w:rPr>
          <w:rFonts w:ascii="宋体" w:hAnsi="宋体" w:cs="Arial Unicode MS"/>
          <w:color w:val="auto"/>
          <w:sz w:val="24"/>
        </w:rPr>
      </w:pPr>
      <w:r>
        <w:rPr>
          <w:rFonts w:hint="eastAsia" w:ascii="宋体" w:hAnsi="宋体" w:cs="Arial Unicode MS"/>
          <w:color w:val="auto"/>
          <w:sz w:val="24"/>
        </w:rPr>
        <w:t>投标有效期不满足招标文件要求的；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投标人的投标报价未在招标人规定的投标报价</w:t>
      </w:r>
      <w:r>
        <w:rPr>
          <w:rFonts w:ascii="宋体" w:hAnsi="宋体"/>
          <w:color w:val="auto"/>
          <w:sz w:val="24"/>
        </w:rPr>
        <w:t>范围内</w:t>
      </w:r>
      <w:r>
        <w:rPr>
          <w:rFonts w:hint="eastAsia" w:ascii="宋体" w:hAnsi="宋体"/>
          <w:color w:val="auto"/>
          <w:sz w:val="24"/>
        </w:rPr>
        <w:t>的</w:t>
      </w:r>
      <w:r>
        <w:rPr>
          <w:rFonts w:hint="eastAsia" w:ascii="宋体" w:hAnsi="宋体" w:cs="宋体"/>
          <w:color w:val="auto"/>
          <w:sz w:val="24"/>
        </w:rPr>
        <w:t>或未填写的</w:t>
      </w:r>
      <w:r>
        <w:rPr>
          <w:rFonts w:hint="eastAsia" w:ascii="宋体" w:hAnsi="宋体"/>
          <w:color w:val="auto"/>
          <w:sz w:val="24"/>
        </w:rPr>
        <w:t>；</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投标文件附有招标人不能接受的条件；</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拟担任本项目负责人与资格审查时不一致的；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技术文件明显不符合招标文件规定合格性标准的；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投标人以他人的名义投标、串通投标、以行贿手段谋取中标或者以其他弄虚作假方式投标的；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反映投标文件个性特征的内容出现明显雷同的；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侵犯他人著作权和特许权的；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s="宋体"/>
          <w:color w:val="auto"/>
          <w:sz w:val="24"/>
        </w:rPr>
        <w:t>投标文件存在虚假资料的；</w:t>
      </w:r>
    </w:p>
    <w:p>
      <w:pPr>
        <w:numPr>
          <w:ilvl w:val="4"/>
          <w:numId w:val="11"/>
        </w:numPr>
        <w:tabs>
          <w:tab w:val="left" w:pos="1050"/>
        </w:tabs>
        <w:adjustRightInd/>
        <w:spacing w:line="500" w:lineRule="exact"/>
        <w:textAlignment w:val="auto"/>
        <w:rPr>
          <w:rFonts w:ascii="宋体" w:hAnsi="宋体"/>
          <w:color w:val="auto"/>
          <w:sz w:val="24"/>
        </w:rPr>
      </w:pPr>
      <w:r>
        <w:rPr>
          <w:rFonts w:hint="eastAsia" w:ascii="宋体" w:hAnsi="宋体"/>
          <w:color w:val="auto"/>
          <w:sz w:val="24"/>
        </w:rPr>
        <w:t>招标文件规定的可以废标的实质性要求。</w:t>
      </w:r>
    </w:p>
    <w:p>
      <w:pPr>
        <w:spacing w:line="500" w:lineRule="exact"/>
        <w:rPr>
          <w:rFonts w:ascii="宋体" w:hAnsi="宋体" w:cs="宋体"/>
          <w:b/>
          <w:color w:val="auto"/>
          <w:sz w:val="28"/>
          <w:szCs w:val="28"/>
        </w:rPr>
      </w:pPr>
      <w:r>
        <w:rPr>
          <w:rFonts w:hint="eastAsia" w:ascii="宋体" w:hAnsi="宋体" w:cs="宋体"/>
          <w:b/>
          <w:color w:val="auto"/>
          <w:sz w:val="28"/>
          <w:szCs w:val="28"/>
        </w:rPr>
        <w:t>六、投标文件的澄清和补正</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如果投标文件实质上不响应招标文件的各项要求，评标委员会将予以拒绝，并且不允许投标人通过修改或撤消其不符合要求的差异或保留，使之成为具有响应性的投标。</w:t>
      </w:r>
    </w:p>
    <w:p>
      <w:pPr>
        <w:spacing w:line="500" w:lineRule="exact"/>
        <w:ind w:firstLine="360" w:firstLineChars="150"/>
        <w:rPr>
          <w:rFonts w:ascii="宋体" w:hAnsi="宋体" w:cs="宋体"/>
          <w:color w:val="auto"/>
          <w:sz w:val="24"/>
        </w:rPr>
      </w:pPr>
      <w:r>
        <w:rPr>
          <w:rFonts w:hint="eastAsia" w:ascii="宋体" w:hAnsi="宋体" w:cs="宋体"/>
          <w:color w:val="auto"/>
          <w:sz w:val="24"/>
        </w:rPr>
        <w:t>2、评标委员会将会对投标人报价的组成、合理性、准确性、全面性进行分析比较。</w:t>
      </w:r>
    </w:p>
    <w:p>
      <w:pPr>
        <w:spacing w:line="500" w:lineRule="exact"/>
        <w:ind w:firstLine="360" w:firstLineChars="150"/>
        <w:rPr>
          <w:rFonts w:ascii="宋体" w:hAnsi="宋体" w:cs="宋体"/>
          <w:color w:val="auto"/>
          <w:sz w:val="24"/>
        </w:rPr>
      </w:pPr>
      <w:r>
        <w:rPr>
          <w:rFonts w:hint="eastAsia" w:ascii="宋体" w:hAnsi="宋体" w:cs="宋体"/>
          <w:color w:val="auto"/>
          <w:sz w:val="24"/>
        </w:rPr>
        <w:t>3、评标委员会在对实质上响应招标文件要求的投标进行报价评估时，除招标文件</w:t>
      </w:r>
    </w:p>
    <w:p>
      <w:pPr>
        <w:spacing w:line="500" w:lineRule="exact"/>
        <w:rPr>
          <w:rFonts w:ascii="宋体" w:hAnsi="宋体" w:cs="宋体"/>
          <w:b/>
          <w:color w:val="auto"/>
          <w:sz w:val="28"/>
          <w:szCs w:val="28"/>
        </w:rPr>
      </w:pPr>
      <w:r>
        <w:rPr>
          <w:rFonts w:hint="eastAsia" w:ascii="宋体" w:hAnsi="宋体" w:cs="宋体"/>
          <w:color w:val="auto"/>
          <w:sz w:val="24"/>
        </w:rPr>
        <w:t>另有约定外，将按下述原则进行修正：</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（1）数字表示的数额与用文字表示的数额不一致时，以文字数额为准。</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（2）按前款规定调整后的报价经投标人的法定代表人（或其委托代理人）确认后产生约束力。</w:t>
      </w:r>
    </w:p>
    <w:p>
      <w:pPr>
        <w:spacing w:line="500" w:lineRule="exact"/>
        <w:ind w:firstLine="422" w:firstLineChars="150"/>
        <w:rPr>
          <w:rFonts w:ascii="宋体" w:hAnsi="宋体" w:cs="宋体"/>
          <w:b/>
          <w:color w:val="auto"/>
          <w:sz w:val="28"/>
          <w:szCs w:val="28"/>
        </w:rPr>
      </w:pPr>
      <w:r>
        <w:rPr>
          <w:rFonts w:hint="eastAsia" w:ascii="宋体" w:hAnsi="宋体" w:cs="宋体"/>
          <w:b/>
          <w:color w:val="auto"/>
          <w:sz w:val="28"/>
          <w:szCs w:val="28"/>
        </w:rPr>
        <w:t>七、详细评审</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1、评标委员会仅对通过初步评审的投标文件进行详细评审。</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2、百分制综合评估法评分标准</w:t>
      </w:r>
    </w:p>
    <w:p>
      <w:pPr>
        <w:spacing w:line="500" w:lineRule="exact"/>
        <w:ind w:firstLine="720" w:firstLineChars="300"/>
        <w:rPr>
          <w:rFonts w:ascii="宋体" w:hAnsi="宋体" w:cs="宋体"/>
          <w:b/>
          <w:color w:val="auto"/>
          <w:sz w:val="28"/>
          <w:szCs w:val="28"/>
        </w:rPr>
      </w:pPr>
      <w:r>
        <w:rPr>
          <w:rFonts w:hint="eastAsia" w:ascii="宋体" w:hAnsi="宋体" w:cs="宋体"/>
          <w:color w:val="auto"/>
          <w:sz w:val="24"/>
        </w:rPr>
        <w:t>综合评估法的评分标准见附表《综合评估法评分表》。</w:t>
      </w:r>
    </w:p>
    <w:p>
      <w:pPr>
        <w:spacing w:line="500" w:lineRule="exact"/>
        <w:ind w:firstLine="360" w:firstLineChars="150"/>
        <w:rPr>
          <w:rFonts w:ascii="宋体" w:hAnsi="宋体" w:cs="宋体"/>
          <w:b/>
          <w:color w:val="auto"/>
          <w:sz w:val="28"/>
          <w:szCs w:val="28"/>
        </w:rPr>
      </w:pPr>
      <w:r>
        <w:rPr>
          <w:rFonts w:hint="eastAsia" w:ascii="宋体" w:hAnsi="宋体" w:cs="宋体"/>
          <w:color w:val="auto"/>
          <w:sz w:val="24"/>
        </w:rPr>
        <w:t>3、评标委员会按照综合评估法的评标得分的从高到低的顺序进行排名，推荐合格的中标候选人。</w:t>
      </w:r>
    </w:p>
    <w:p>
      <w:pPr>
        <w:spacing w:line="500" w:lineRule="exact"/>
        <w:ind w:firstLine="480" w:firstLineChars="200"/>
        <w:rPr>
          <w:rFonts w:ascii="宋体" w:hAnsi="宋体" w:cs="宋体"/>
          <w:color w:val="auto"/>
          <w:sz w:val="24"/>
        </w:rPr>
      </w:pPr>
      <w:r>
        <w:rPr>
          <w:rFonts w:hint="eastAsia" w:ascii="宋体" w:hAnsi="宋体" w:cs="宋体"/>
          <w:color w:val="auto"/>
          <w:sz w:val="24"/>
        </w:rPr>
        <w:t>投标报价评审方法见《综合评估法评分标准》。</w:t>
      </w:r>
    </w:p>
    <w:p>
      <w:pPr>
        <w:spacing w:line="500" w:lineRule="exact"/>
        <w:ind w:firstLine="480" w:firstLineChars="200"/>
        <w:rPr>
          <w:rFonts w:ascii="宋体" w:hAnsi="宋体" w:cs="宋体"/>
          <w:b/>
          <w:color w:val="auto"/>
          <w:sz w:val="28"/>
          <w:szCs w:val="28"/>
        </w:rPr>
      </w:pPr>
      <w:r>
        <w:rPr>
          <w:rFonts w:hint="eastAsia" w:ascii="宋体" w:hAnsi="宋体" w:cs="宋体"/>
          <w:color w:val="auto"/>
          <w:sz w:val="24"/>
        </w:rPr>
        <w:t>4、评分细则</w:t>
      </w:r>
    </w:p>
    <w:p>
      <w:pPr>
        <w:spacing w:line="500" w:lineRule="exact"/>
        <w:ind w:firstLine="480" w:firstLineChars="200"/>
        <w:rPr>
          <w:rFonts w:ascii="宋体" w:hAnsi="宋体" w:cs="宋体"/>
          <w:color w:val="auto"/>
          <w:sz w:val="24"/>
        </w:rPr>
      </w:pPr>
      <w:r>
        <w:rPr>
          <w:rFonts w:hint="eastAsia" w:ascii="宋体" w:hAnsi="宋体" w:cs="宋体"/>
          <w:color w:val="auto"/>
          <w:sz w:val="24"/>
          <w:szCs w:val="24"/>
        </w:rPr>
        <w:t>本项目的评分细则分为商务部分、报价部分和技术部分。商务部分的得分为所有评委商务评分的算术平均值（</w:t>
      </w:r>
      <w:r>
        <w:rPr>
          <w:rFonts w:hint="eastAsia" w:ascii="宋体" w:hAnsi="宋体" w:cs="宋体"/>
          <w:color w:val="auto"/>
          <w:sz w:val="24"/>
        </w:rPr>
        <w:t>投标人的最终得分，分数出现小数点，保留小数点后二位，第三位小数四舍五入）；投标单位的报价部分得分若出现小数点，保留小数点后二位，第三位小数四舍五入；技术部分的得分所有评委技术评分的算术平均值（投标人的最终得分，分数出现小数点，保留小数点后二位小数，第三位小数四舍五入）。</w:t>
      </w:r>
    </w:p>
    <w:p>
      <w:pPr>
        <w:spacing w:line="500" w:lineRule="exact"/>
        <w:ind w:firstLine="480" w:firstLineChars="200"/>
        <w:rPr>
          <w:rFonts w:ascii="宋体" w:hAnsi="宋体" w:cs="宋体"/>
          <w:color w:val="auto"/>
          <w:sz w:val="24"/>
        </w:rPr>
      </w:pPr>
      <w:r>
        <w:rPr>
          <w:rFonts w:hint="eastAsia" w:ascii="宋体" w:hAnsi="宋体" w:cs="宋体"/>
          <w:color w:val="auto"/>
          <w:sz w:val="24"/>
        </w:rPr>
        <w:t>5、综合得分排序</w:t>
      </w:r>
    </w:p>
    <w:p>
      <w:pPr>
        <w:spacing w:line="500" w:lineRule="exact"/>
        <w:ind w:firstLine="480" w:firstLineChars="200"/>
        <w:rPr>
          <w:rFonts w:ascii="宋体" w:hAnsi="宋体" w:cs="宋体"/>
          <w:color w:val="auto"/>
          <w:sz w:val="24"/>
        </w:rPr>
      </w:pPr>
      <w:r>
        <w:rPr>
          <w:rFonts w:hint="eastAsia" w:ascii="宋体" w:hAnsi="宋体" w:cs="宋体"/>
          <w:color w:val="auto"/>
          <w:sz w:val="24"/>
        </w:rPr>
        <w:t>评标委员会专家成员对满足招标文件实质性要求的投标文件，按照招标文件规定的评分标准进行独立评分，各投标人最终总得分=商务得分+报价得分+技术得分。</w:t>
      </w:r>
    </w:p>
    <w:p>
      <w:pPr>
        <w:spacing w:line="500" w:lineRule="exact"/>
        <w:rPr>
          <w:rFonts w:ascii="宋体" w:hAnsi="宋体" w:cs="宋体"/>
          <w:b/>
          <w:color w:val="auto"/>
          <w:sz w:val="28"/>
          <w:szCs w:val="28"/>
        </w:rPr>
      </w:pPr>
      <w:r>
        <w:rPr>
          <w:rFonts w:hint="eastAsia" w:ascii="宋体" w:hAnsi="宋体" w:cs="宋体"/>
          <w:b/>
          <w:color w:val="auto"/>
          <w:sz w:val="28"/>
          <w:szCs w:val="28"/>
        </w:rPr>
        <w:t>八、确定中标人及中标候选人</w:t>
      </w:r>
    </w:p>
    <w:p>
      <w:pPr>
        <w:tabs>
          <w:tab w:val="left" w:pos="510"/>
        </w:tabs>
        <w:adjustRightInd/>
        <w:spacing w:line="500" w:lineRule="exact"/>
        <w:ind w:firstLine="480" w:firstLineChars="200"/>
        <w:textAlignment w:val="auto"/>
        <w:rPr>
          <w:rFonts w:ascii="宋体" w:hAnsi="宋体"/>
          <w:color w:val="auto"/>
          <w:sz w:val="24"/>
        </w:rPr>
      </w:pPr>
      <w:r>
        <w:rPr>
          <w:rFonts w:hint="eastAsia" w:ascii="宋体" w:hAnsi="宋体"/>
          <w:color w:val="auto"/>
          <w:sz w:val="24"/>
        </w:rPr>
        <w:t>1、</w:t>
      </w:r>
      <w:r>
        <w:rPr>
          <w:rFonts w:hint="eastAsia" w:ascii="宋体" w:hAnsi="宋体"/>
          <w:b/>
          <w:color w:val="auto"/>
          <w:sz w:val="24"/>
        </w:rPr>
        <w:t>按最终得分由高到低顺序确定中标人及中标候选人，最终得分最高的投标人为第一中标候选人，得分第二的投标人为第二中标候选人，以此类推</w:t>
      </w:r>
      <w:r>
        <w:rPr>
          <w:rFonts w:hint="eastAsia" w:ascii="宋体" w:hAnsi="宋体"/>
          <w:color w:val="auto"/>
          <w:sz w:val="24"/>
        </w:rPr>
        <w:t>。若总得分相同，投标报价得分高的投标人排序优先；投标报价得分也相等的，则由评委通过记名投票表决（不得弃权），以“少数服从多数”的原则排序。</w:t>
      </w:r>
    </w:p>
    <w:p>
      <w:pPr>
        <w:tabs>
          <w:tab w:val="left" w:pos="510"/>
        </w:tabs>
        <w:adjustRightInd/>
        <w:spacing w:line="500" w:lineRule="exact"/>
        <w:ind w:firstLine="480" w:firstLineChars="200"/>
        <w:textAlignment w:val="auto"/>
        <w:rPr>
          <w:rFonts w:ascii="宋体" w:hAnsi="宋体"/>
          <w:color w:val="auto"/>
          <w:sz w:val="24"/>
        </w:rPr>
      </w:pPr>
      <w:r>
        <w:rPr>
          <w:rFonts w:hint="eastAsia" w:ascii="宋体" w:hAnsi="宋体"/>
          <w:color w:val="auto"/>
          <w:sz w:val="24"/>
        </w:rPr>
        <w:t>2、若有效投标单位不足三家，应当依法重新招标。评标委员会认为投标明显缺乏竞争的，可以否决全部投标。</w:t>
      </w:r>
    </w:p>
    <w:p>
      <w:pPr>
        <w:tabs>
          <w:tab w:val="left" w:pos="510"/>
        </w:tabs>
        <w:adjustRightInd/>
        <w:spacing w:line="500" w:lineRule="exact"/>
        <w:ind w:firstLine="480" w:firstLineChars="200"/>
        <w:textAlignment w:val="auto"/>
        <w:rPr>
          <w:rFonts w:ascii="宋体" w:hAnsi="宋体"/>
          <w:b/>
          <w:color w:val="auto"/>
          <w:sz w:val="28"/>
          <w:szCs w:val="28"/>
        </w:rPr>
      </w:pPr>
      <w:r>
        <w:rPr>
          <w:rFonts w:hint="eastAsia" w:ascii="宋体" w:hAnsi="宋体"/>
          <w:color w:val="auto"/>
          <w:sz w:val="24"/>
        </w:rPr>
        <w:t>3、评标委员会经评审，认为所有投标都不符合招标文件要求的，可以否决所有投标。所有投标被否决后，招标人应当依法重新招标。</w:t>
      </w:r>
    </w:p>
    <w:p>
      <w:pPr>
        <w:spacing w:line="500" w:lineRule="exact"/>
        <w:rPr>
          <w:rFonts w:ascii="宋体" w:hAnsi="宋体" w:cs="宋体"/>
          <w:b/>
          <w:color w:val="auto"/>
          <w:sz w:val="28"/>
          <w:szCs w:val="28"/>
        </w:rPr>
      </w:pPr>
      <w:r>
        <w:rPr>
          <w:rFonts w:hint="eastAsia" w:ascii="宋体" w:hAnsi="宋体" w:cs="宋体"/>
          <w:b/>
          <w:color w:val="auto"/>
          <w:sz w:val="28"/>
          <w:szCs w:val="28"/>
        </w:rPr>
        <w:t>九、评标报告</w:t>
      </w:r>
    </w:p>
    <w:p>
      <w:pPr>
        <w:spacing w:line="500" w:lineRule="exact"/>
        <w:ind w:firstLine="360" w:firstLineChars="150"/>
        <w:rPr>
          <w:rFonts w:ascii="宋体" w:hAnsi="宋体"/>
          <w:color w:val="auto"/>
          <w:sz w:val="24"/>
        </w:rPr>
      </w:pPr>
      <w:r>
        <w:rPr>
          <w:rFonts w:hint="eastAsia" w:ascii="宋体" w:hAnsi="宋体"/>
          <w:color w:val="auto"/>
          <w:sz w:val="24"/>
        </w:rPr>
        <w:t>1、评标委员会完成评标后，应当向招标人提交书面评标报告：</w:t>
      </w:r>
    </w:p>
    <w:p>
      <w:pPr>
        <w:spacing w:line="500" w:lineRule="exact"/>
        <w:ind w:firstLine="360" w:firstLineChars="150"/>
        <w:rPr>
          <w:rFonts w:ascii="宋体" w:hAnsi="宋体"/>
          <w:color w:val="auto"/>
          <w:sz w:val="24"/>
        </w:rPr>
      </w:pPr>
      <w:r>
        <w:rPr>
          <w:rFonts w:hint="eastAsia" w:ascii="宋体" w:hAnsi="宋体"/>
          <w:color w:val="auto"/>
          <w:sz w:val="24"/>
        </w:rPr>
        <w:t>2、评标委员会决定否决所有投标的，应当在评标报告中说明具体理由。</w:t>
      </w:r>
    </w:p>
    <w:p>
      <w:pPr>
        <w:spacing w:line="500" w:lineRule="exact"/>
        <w:ind w:firstLine="360" w:firstLineChars="150"/>
        <w:rPr>
          <w:rFonts w:ascii="宋体" w:hAnsi="宋体"/>
          <w:color w:val="auto"/>
          <w:sz w:val="24"/>
        </w:rPr>
      </w:pPr>
      <w:r>
        <w:rPr>
          <w:rFonts w:hint="eastAsia" w:ascii="宋体" w:hAnsi="宋体"/>
          <w:color w:val="auto"/>
          <w:sz w:val="24"/>
        </w:rPr>
        <w:t>3、评标委员会应根据评标情况和结果，向招标人提交评标报告。</w:t>
      </w:r>
      <w:r>
        <w:rPr>
          <w:rFonts w:hint="eastAsia" w:ascii="宋体" w:hAnsi="宋体"/>
          <w:color w:val="auto"/>
          <w:kern w:val="2"/>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并由评标委员会作出书面说明并存档。</w:t>
      </w:r>
    </w:p>
    <w:p>
      <w:pPr>
        <w:adjustRightInd/>
        <w:spacing w:before="240" w:beforeLines="100" w:line="500" w:lineRule="exact"/>
        <w:textAlignment w:val="auto"/>
        <w:rPr>
          <w:rFonts w:ascii="宋体" w:hAnsi="宋体" w:cs="宋体"/>
          <w:b/>
          <w:color w:val="auto"/>
          <w:sz w:val="28"/>
          <w:szCs w:val="28"/>
        </w:rPr>
      </w:pPr>
      <w:r>
        <w:rPr>
          <w:rFonts w:hint="eastAsia" w:ascii="宋体" w:hAnsi="宋体" w:cs="宋体"/>
          <w:b/>
          <w:color w:val="auto"/>
          <w:sz w:val="28"/>
          <w:szCs w:val="28"/>
        </w:rPr>
        <w:t>十、附则</w:t>
      </w:r>
    </w:p>
    <w:p>
      <w:pPr>
        <w:spacing w:line="500" w:lineRule="exact"/>
        <w:ind w:firstLine="480" w:firstLineChars="200"/>
        <w:rPr>
          <w:b/>
          <w:color w:val="auto"/>
          <w:sz w:val="32"/>
          <w:szCs w:val="32"/>
        </w:rPr>
      </w:pPr>
      <w:r>
        <w:rPr>
          <w:rFonts w:hint="eastAsia"/>
          <w:color w:val="auto"/>
          <w:sz w:val="24"/>
          <w:szCs w:val="24"/>
        </w:rPr>
        <w:t>投标人应对所递交的投标文件以及与投标有关的证明资料的真实性负责，若以弄虚作假骗取中标的，中标无效，给招标人造成损失的依法承担赔偿责任。</w:t>
      </w:r>
      <w:r>
        <w:rPr>
          <w:color w:val="auto"/>
          <w:sz w:val="24"/>
          <w:szCs w:val="24"/>
        </w:rPr>
        <w:br w:type="page"/>
      </w:r>
      <w:r>
        <w:rPr>
          <w:rFonts w:hint="eastAsia"/>
          <w:b/>
          <w:color w:val="auto"/>
          <w:sz w:val="32"/>
          <w:szCs w:val="32"/>
        </w:rPr>
        <w:t>综合评估法评分标准</w:t>
      </w:r>
    </w:p>
    <w:p>
      <w:pPr>
        <w:pStyle w:val="6"/>
        <w:rPr>
          <w:color w:val="auto"/>
        </w:rPr>
      </w:pPr>
    </w:p>
    <w:p>
      <w:pPr>
        <w:numPr>
          <w:ilvl w:val="0"/>
          <w:numId w:val="12"/>
        </w:numPr>
        <w:tabs>
          <w:tab w:val="left" w:pos="1440"/>
        </w:tabs>
        <w:adjustRightInd/>
        <w:spacing w:line="500" w:lineRule="exact"/>
        <w:textAlignment w:val="auto"/>
        <w:rPr>
          <w:rFonts w:ascii="宋体" w:hAnsi="宋体" w:cs="宋体"/>
          <w:b/>
          <w:color w:val="auto"/>
          <w:kern w:val="2"/>
          <w:sz w:val="28"/>
          <w:szCs w:val="28"/>
        </w:rPr>
      </w:pPr>
      <w:r>
        <w:rPr>
          <w:rFonts w:hint="eastAsia" w:ascii="宋体" w:hAnsi="宋体" w:cs="宋体"/>
          <w:b/>
          <w:color w:val="auto"/>
          <w:kern w:val="2"/>
          <w:sz w:val="28"/>
          <w:szCs w:val="28"/>
        </w:rPr>
        <w:t>商务分评分标准（30分）</w:t>
      </w:r>
    </w:p>
    <w:tbl>
      <w:tblPr>
        <w:tblStyle w:val="37"/>
        <w:tblpPr w:leftFromText="180" w:rightFromText="180" w:vertAnchor="text" w:horzAnchor="margin" w:tblpXSpec="center" w:tblpY="154"/>
        <w:tblOverlap w:val="never"/>
        <w:tblW w:w="477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108" w:type="dxa"/>
          <w:bottom w:w="28" w:type="dxa"/>
          <w:right w:w="108" w:type="dxa"/>
        </w:tblCellMar>
      </w:tblPr>
      <w:tblGrid>
        <w:gridCol w:w="736"/>
        <w:gridCol w:w="780"/>
        <w:gridCol w:w="1097"/>
        <w:gridCol w:w="1111"/>
        <w:gridCol w:w="5006"/>
        <w:gridCol w:w="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558" w:hRule="atLeast"/>
        </w:trPr>
        <w:tc>
          <w:tcPr>
            <w:tcW w:w="797" w:type="pct"/>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宋体"/>
                <w:color w:val="auto"/>
                <w:sz w:val="21"/>
                <w:szCs w:val="21"/>
              </w:rPr>
            </w:pPr>
            <w:r>
              <w:rPr>
                <w:rFonts w:hint="eastAsia" w:ascii="宋体" w:hAnsi="宋体" w:cs="宋体"/>
                <w:color w:val="auto"/>
                <w:sz w:val="21"/>
                <w:szCs w:val="21"/>
              </w:rPr>
              <w:t>序号</w:t>
            </w: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宋体"/>
                <w:color w:val="auto"/>
                <w:sz w:val="21"/>
                <w:szCs w:val="21"/>
              </w:rPr>
            </w:pPr>
            <w:r>
              <w:rPr>
                <w:rFonts w:hint="eastAsia" w:ascii="宋体" w:hAnsi="宋体" w:cs="宋体"/>
                <w:color w:val="auto"/>
                <w:sz w:val="21"/>
                <w:szCs w:val="21"/>
              </w:rPr>
              <w:t>评审内容</w:t>
            </w:r>
          </w:p>
        </w:tc>
        <w:tc>
          <w:tcPr>
            <w:tcW w:w="584" w:type="pct"/>
            <w:tcBorders>
              <w:top w:val="single" w:color="auto" w:sz="6" w:space="0"/>
              <w:left w:val="single" w:color="auto" w:sz="6" w:space="0"/>
              <w:bottom w:val="single" w:color="auto" w:sz="6" w:space="0"/>
              <w:right w:val="single" w:color="auto" w:sz="6" w:space="0"/>
            </w:tcBorders>
            <w:vAlign w:val="center"/>
          </w:tcPr>
          <w:p>
            <w:pPr>
              <w:tabs>
                <w:tab w:val="left" w:pos="884"/>
              </w:tabs>
              <w:spacing w:line="360" w:lineRule="exact"/>
              <w:jc w:val="center"/>
              <w:rPr>
                <w:rFonts w:ascii="宋体" w:hAnsi="宋体" w:cs="宋体"/>
                <w:color w:val="auto"/>
                <w:sz w:val="21"/>
                <w:szCs w:val="21"/>
              </w:rPr>
            </w:pPr>
            <w:r>
              <w:rPr>
                <w:rFonts w:hint="eastAsia" w:ascii="宋体" w:hAnsi="宋体" w:cs="宋体"/>
                <w:color w:val="auto"/>
                <w:sz w:val="21"/>
                <w:szCs w:val="21"/>
              </w:rPr>
              <w:t>分值分配</w:t>
            </w:r>
          </w:p>
        </w:tc>
        <w:tc>
          <w:tcPr>
            <w:tcW w:w="2632"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宋体"/>
                <w:color w:val="auto"/>
                <w:sz w:val="21"/>
                <w:szCs w:val="21"/>
              </w:rPr>
            </w:pPr>
            <w:r>
              <w:rPr>
                <w:rFonts w:hint="eastAsia" w:ascii="宋体" w:cs="宋体"/>
                <w:color w:val="auto"/>
                <w:sz w:val="21"/>
                <w:szCs w:val="21"/>
                <w:lang w:val="zh-CN"/>
              </w:rPr>
              <w:t>内容</w:t>
            </w:r>
          </w:p>
        </w:tc>
        <w:tc>
          <w:tcPr>
            <w:tcW w:w="408" w:type="pct"/>
            <w:tcBorders>
              <w:top w:val="single" w:color="auto" w:sz="6" w:space="0"/>
              <w:left w:val="single" w:color="auto" w:sz="6" w:space="0"/>
              <w:bottom w:val="single" w:color="auto" w:sz="6" w:space="0"/>
              <w:right w:val="single" w:color="auto" w:sz="6" w:space="0"/>
            </w:tcBorders>
            <w:vAlign w:val="center"/>
          </w:tcPr>
          <w:p>
            <w:pPr>
              <w:tabs>
                <w:tab w:val="left" w:pos="3924"/>
              </w:tabs>
              <w:spacing w:line="360" w:lineRule="exact"/>
              <w:ind w:right="-98" w:rightChars="-49"/>
              <w:jc w:val="center"/>
              <w:rPr>
                <w:rFonts w:ascii="宋体" w:hAnsi="宋体" w:cs="宋体"/>
                <w:color w:val="auto"/>
                <w:sz w:val="21"/>
                <w:szCs w:val="21"/>
              </w:rPr>
            </w:pPr>
            <w:r>
              <w:rPr>
                <w:rFonts w:hint="eastAsia" w:ascii="宋体" w:hAnsi="宋体" w:cs="宋体"/>
                <w:color w:val="auto"/>
                <w:sz w:val="21"/>
                <w:szCs w:val="21"/>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917"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1</w:t>
            </w:r>
          </w:p>
        </w:tc>
        <w:tc>
          <w:tcPr>
            <w:tcW w:w="410" w:type="pct"/>
            <w:vMerge w:val="restart"/>
            <w:tcBorders>
              <w:top w:val="single" w:color="auto" w:sz="6" w:space="0"/>
              <w:left w:val="single" w:color="auto" w:sz="6" w:space="0"/>
              <w:right w:val="single" w:color="auto" w:sz="6" w:space="0"/>
            </w:tcBorders>
            <w:vAlign w:val="center"/>
          </w:tcPr>
          <w:p>
            <w:pPr>
              <w:spacing w:line="360" w:lineRule="exact"/>
              <w:jc w:val="center"/>
              <w:rPr>
                <w:rFonts w:ascii="宋体" w:hAnsi="宋体"/>
                <w:b/>
                <w:bCs/>
                <w:color w:val="auto"/>
                <w:sz w:val="21"/>
                <w:szCs w:val="21"/>
              </w:rPr>
            </w:pPr>
            <w:r>
              <w:rPr>
                <w:rFonts w:hint="eastAsia" w:ascii="宋体" w:hAnsi="宋体"/>
                <w:b/>
                <w:bCs/>
                <w:color w:val="auto"/>
                <w:sz w:val="21"/>
                <w:szCs w:val="21"/>
              </w:rPr>
              <w:t>投标人设计方面综合实力</w:t>
            </w: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企业荣誉</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4分</w:t>
            </w:r>
          </w:p>
        </w:tc>
        <w:tc>
          <w:tcPr>
            <w:tcW w:w="2632" w:type="pct"/>
            <w:tcBorders>
              <w:top w:val="single" w:color="auto" w:sz="6" w:space="0"/>
              <w:left w:val="single" w:color="auto" w:sz="6" w:space="0"/>
              <w:bottom w:val="single" w:color="auto" w:sz="6" w:space="0"/>
              <w:right w:val="single" w:color="auto" w:sz="6" w:space="0"/>
            </w:tcBorders>
            <w:vAlign w:val="center"/>
          </w:tcPr>
          <w:p>
            <w:pPr>
              <w:numPr>
                <w:ilvl w:val="0"/>
                <w:numId w:val="13"/>
              </w:numPr>
              <w:jc w:val="left"/>
              <w:rPr>
                <w:rFonts w:ascii="宋体" w:hAnsi="宋体" w:cs="宋体"/>
                <w:color w:val="auto"/>
                <w:szCs w:val="21"/>
              </w:rPr>
            </w:pPr>
            <w:r>
              <w:rPr>
                <w:rFonts w:hint="eastAsia" w:ascii="宋体" w:hAnsi="宋体" w:cs="宋体"/>
                <w:color w:val="auto"/>
                <w:szCs w:val="21"/>
              </w:rPr>
              <w:t>设计单位连续2年以上（含2年）获得市级或以上工程设计企业量化评价先进单位，得2分；1年得1分；2、设计单位获得市级或以上高新技术企业证书的，得2分；</w:t>
            </w:r>
          </w:p>
          <w:p>
            <w:pPr>
              <w:spacing w:line="360" w:lineRule="exact"/>
              <w:ind w:left="52"/>
              <w:rPr>
                <w:rFonts w:ascii="宋体" w:hAnsi="宋体"/>
                <w:color w:val="auto"/>
              </w:rPr>
            </w:pPr>
            <w:r>
              <w:rPr>
                <w:rFonts w:hint="eastAsia" w:ascii="宋体" w:hAnsi="宋体"/>
                <w:color w:val="auto"/>
              </w:rPr>
              <w:t>注：提</w:t>
            </w:r>
            <w:bookmarkStart w:id="533" w:name="_GoBack"/>
            <w:bookmarkEnd w:id="533"/>
            <w:r>
              <w:rPr>
                <w:rFonts w:hint="eastAsia" w:ascii="宋体" w:hAnsi="宋体"/>
                <w:color w:val="auto"/>
              </w:rPr>
              <w:t>供证书复印件加盖公章。</w:t>
            </w:r>
          </w:p>
        </w:tc>
        <w:tc>
          <w:tcPr>
            <w:tcW w:w="408" w:type="pct"/>
            <w:tcBorders>
              <w:top w:val="single" w:color="auto" w:sz="6" w:space="0"/>
              <w:left w:val="single" w:color="auto" w:sz="6" w:space="0"/>
              <w:bottom w:val="single" w:color="auto" w:sz="6" w:space="0"/>
              <w:right w:val="single" w:color="auto" w:sz="6" w:space="0"/>
            </w:tcBorders>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614"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ascii="宋体" w:hAnsi="宋体"/>
                <w:color w:val="auto"/>
                <w:sz w:val="21"/>
                <w:szCs w:val="21"/>
              </w:rPr>
              <w:t>2</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color w:val="auto"/>
                <w:sz w:val="21"/>
                <w:szCs w:val="21"/>
              </w:rPr>
            </w:pP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企业获奖</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4分</w:t>
            </w:r>
          </w:p>
        </w:tc>
        <w:tc>
          <w:tcPr>
            <w:tcW w:w="2632" w:type="pct"/>
            <w:tcBorders>
              <w:top w:val="single" w:color="auto" w:sz="6" w:space="0"/>
              <w:left w:val="single" w:color="auto" w:sz="6" w:space="0"/>
              <w:bottom w:val="single" w:color="auto" w:sz="6" w:space="0"/>
              <w:right w:val="single" w:color="auto" w:sz="6" w:space="0"/>
            </w:tcBorders>
            <w:vAlign w:val="center"/>
          </w:tcPr>
          <w:p>
            <w:pPr>
              <w:spacing w:line="360" w:lineRule="exact"/>
              <w:ind w:left="52"/>
              <w:rPr>
                <w:rFonts w:ascii="宋体" w:hAnsi="宋体"/>
                <w:color w:val="auto"/>
              </w:rPr>
            </w:pPr>
            <w:r>
              <w:rPr>
                <w:rFonts w:hint="eastAsia" w:hAnsi="宋体" w:cs="宋体"/>
                <w:color w:val="auto"/>
                <w:szCs w:val="21"/>
              </w:rPr>
              <w:t>设计单位自2021年1月至今获得建筑工程类市级或以上勘察设计奖项，每个得2分，本项最高得4分。（以证书颁发时间为准)</w:t>
            </w:r>
          </w:p>
          <w:p>
            <w:pPr>
              <w:spacing w:line="360" w:lineRule="exact"/>
              <w:ind w:left="52"/>
              <w:rPr>
                <w:rFonts w:ascii="宋体" w:hAnsi="宋体"/>
                <w:color w:val="auto"/>
              </w:rPr>
            </w:pPr>
            <w:r>
              <w:rPr>
                <w:rFonts w:hint="eastAsia" w:ascii="宋体" w:hAnsi="宋体"/>
                <w:color w:val="auto"/>
              </w:rPr>
              <w:t>注：提供相关的证书复印件</w:t>
            </w:r>
            <w:r>
              <w:rPr>
                <w:rFonts w:hint="eastAsia" w:ascii="宋体" w:hAnsi="宋体"/>
                <w:color w:val="auto"/>
                <w:szCs w:val="21"/>
              </w:rPr>
              <w:t>加盖公章</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4151"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ascii="宋体" w:hAnsi="宋体"/>
                <w:color w:val="auto"/>
                <w:sz w:val="21"/>
                <w:szCs w:val="21"/>
              </w:rPr>
              <w:t>3</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color w:val="auto"/>
                <w:sz w:val="21"/>
                <w:szCs w:val="21"/>
              </w:rPr>
            </w:pP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企业业绩</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8分</w:t>
            </w:r>
          </w:p>
        </w:tc>
        <w:tc>
          <w:tcPr>
            <w:tcW w:w="2632" w:type="pct"/>
            <w:tcBorders>
              <w:top w:val="single" w:color="auto" w:sz="6" w:space="0"/>
              <w:left w:val="single" w:color="auto" w:sz="6" w:space="0"/>
              <w:bottom w:val="single" w:color="auto" w:sz="6" w:space="0"/>
              <w:right w:val="single" w:color="auto" w:sz="6" w:space="0"/>
            </w:tcBorders>
            <w:vAlign w:val="center"/>
          </w:tcPr>
          <w:p>
            <w:pPr>
              <w:spacing w:line="360" w:lineRule="exact"/>
              <w:ind w:left="52"/>
              <w:rPr>
                <w:rFonts w:ascii="宋体" w:hAnsi="宋体"/>
                <w:color w:val="auto"/>
              </w:rPr>
            </w:pPr>
            <w:r>
              <w:rPr>
                <w:rFonts w:ascii="宋体" w:hAnsi="宋体"/>
                <w:color w:val="auto"/>
              </w:rPr>
              <w:t>自201</w:t>
            </w:r>
            <w:r>
              <w:rPr>
                <w:rFonts w:hint="eastAsia" w:ascii="宋体" w:hAnsi="宋体"/>
                <w:color w:val="auto"/>
              </w:rPr>
              <w:t>9</w:t>
            </w:r>
            <w:r>
              <w:rPr>
                <w:rFonts w:ascii="宋体" w:hAnsi="宋体"/>
                <w:color w:val="auto"/>
              </w:rPr>
              <w:t>年1月1日至投标截止时间（以合同签订时间为准）</w:t>
            </w:r>
            <w:r>
              <w:rPr>
                <w:rFonts w:hint="eastAsia" w:ascii="宋体" w:hAnsi="宋体"/>
                <w:color w:val="auto"/>
              </w:rPr>
              <w:t>，投标人</w:t>
            </w:r>
            <w:r>
              <w:rPr>
                <w:rFonts w:ascii="宋体" w:hAnsi="宋体"/>
                <w:color w:val="auto"/>
              </w:rPr>
              <w:t>承担过的</w:t>
            </w:r>
            <w:r>
              <w:rPr>
                <w:rFonts w:hint="eastAsia" w:ascii="宋体" w:hAnsi="宋体"/>
                <w:color w:val="auto"/>
              </w:rPr>
              <w:t>类似房建或市政道路工程</w:t>
            </w:r>
            <w:r>
              <w:rPr>
                <w:rFonts w:ascii="宋体" w:hAnsi="宋体"/>
                <w:color w:val="auto"/>
              </w:rPr>
              <w:t>设计业绩：（本项最高得</w:t>
            </w:r>
            <w:r>
              <w:rPr>
                <w:rFonts w:hint="eastAsia" w:ascii="宋体" w:hAnsi="宋体"/>
                <w:color w:val="auto"/>
              </w:rPr>
              <w:t>8</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1、100万元</w:t>
            </w:r>
            <w:r>
              <w:rPr>
                <w:rFonts w:ascii="宋体" w:hAnsi="宋体"/>
                <w:color w:val="auto"/>
              </w:rPr>
              <w:t>≤</w:t>
            </w:r>
            <w:r>
              <w:rPr>
                <w:rFonts w:hint="eastAsia" w:ascii="宋体" w:hAnsi="宋体"/>
                <w:color w:val="auto"/>
              </w:rPr>
              <w:t>R（设计合同金额），</w:t>
            </w:r>
            <w:r>
              <w:rPr>
                <w:rFonts w:ascii="宋体" w:hAnsi="宋体"/>
                <w:color w:val="auto"/>
              </w:rPr>
              <w:t>每项得</w:t>
            </w:r>
            <w:r>
              <w:rPr>
                <w:rFonts w:hint="eastAsia" w:ascii="宋体" w:hAnsi="宋体"/>
                <w:color w:val="auto"/>
              </w:rPr>
              <w:t>1</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3</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300万元</w:t>
            </w:r>
            <w:r>
              <w:rPr>
                <w:rFonts w:ascii="宋体" w:hAnsi="宋体"/>
                <w:color w:val="auto"/>
              </w:rPr>
              <w:t>≤</w:t>
            </w:r>
            <w:r>
              <w:rPr>
                <w:rFonts w:hint="eastAsia" w:ascii="宋体" w:hAnsi="宋体"/>
                <w:color w:val="auto"/>
              </w:rPr>
              <w:t>R（设计合同金额），</w:t>
            </w:r>
            <w:r>
              <w:rPr>
                <w:rFonts w:ascii="宋体" w:hAnsi="宋体"/>
                <w:color w:val="auto"/>
              </w:rPr>
              <w:t>每项得</w:t>
            </w:r>
            <w:r>
              <w:rPr>
                <w:rFonts w:hint="eastAsia" w:ascii="宋体" w:hAnsi="宋体"/>
                <w:color w:val="auto"/>
              </w:rPr>
              <w:t>5</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5</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注： 业绩证明材料须提供中标通知书或合同关键页复印件</w:t>
            </w:r>
            <w:r>
              <w:rPr>
                <w:rFonts w:ascii="宋体" w:hAnsi="宋体"/>
                <w:color w:val="auto"/>
              </w:rPr>
              <w:t>加盖公章</w:t>
            </w:r>
            <w:r>
              <w:rPr>
                <w:rFonts w:hint="eastAsia" w:ascii="宋体" w:hAnsi="宋体"/>
                <w:color w:val="auto"/>
              </w:rPr>
              <w:t>。</w:t>
            </w:r>
            <w:r>
              <w:rPr>
                <w:rFonts w:ascii="宋体" w:hAnsi="宋体"/>
                <w:color w:val="auto"/>
              </w:rPr>
              <w:t>具体</w:t>
            </w:r>
            <w:r>
              <w:rPr>
                <w:rFonts w:hint="eastAsia" w:ascii="宋体" w:hAnsi="宋体"/>
                <w:color w:val="auto"/>
              </w:rPr>
              <w:t>金额（R）</w:t>
            </w:r>
            <w:r>
              <w:rPr>
                <w:rFonts w:ascii="宋体" w:hAnsi="宋体"/>
                <w:color w:val="auto"/>
              </w:rPr>
              <w:t>以中标通知书或设计合同载明的</w:t>
            </w:r>
            <w:r>
              <w:rPr>
                <w:rFonts w:hint="eastAsia" w:ascii="宋体" w:hAnsi="宋体"/>
                <w:color w:val="auto"/>
              </w:rPr>
              <w:t>金额</w:t>
            </w:r>
            <w:r>
              <w:rPr>
                <w:rFonts w:ascii="宋体" w:hAnsi="宋体"/>
                <w:color w:val="auto"/>
              </w:rPr>
              <w:t>为准，不提供不得分</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tcPr>
          <w:p>
            <w:pPr>
              <w:tabs>
                <w:tab w:val="left" w:pos="3924"/>
              </w:tabs>
              <w:spacing w:line="360" w:lineRule="exact"/>
              <w:ind w:right="1046" w:rightChars="523"/>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3279" w:hRule="atLeast"/>
        </w:trPr>
        <w:tc>
          <w:tcPr>
            <w:tcW w:w="387" w:type="pct"/>
            <w:tcBorders>
              <w:top w:val="single" w:color="auto" w:sz="6" w:space="0"/>
              <w:left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4</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color w:val="auto"/>
                <w:sz w:val="21"/>
                <w:szCs w:val="21"/>
              </w:rPr>
            </w:pPr>
          </w:p>
        </w:tc>
        <w:tc>
          <w:tcPr>
            <w:tcW w:w="577" w:type="pct"/>
            <w:tcBorders>
              <w:top w:val="single" w:color="auto" w:sz="6" w:space="0"/>
              <w:left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企业实力</w:t>
            </w:r>
          </w:p>
        </w:tc>
        <w:tc>
          <w:tcPr>
            <w:tcW w:w="584" w:type="pct"/>
            <w:tcBorders>
              <w:top w:val="single" w:color="auto" w:sz="6" w:space="0"/>
              <w:left w:val="single" w:color="auto" w:sz="6" w:space="0"/>
              <w:bottom w:val="single" w:color="auto" w:sz="4"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4分</w:t>
            </w:r>
          </w:p>
        </w:tc>
        <w:tc>
          <w:tcPr>
            <w:tcW w:w="2632" w:type="pct"/>
            <w:tcBorders>
              <w:top w:val="single" w:color="auto" w:sz="6" w:space="0"/>
              <w:left w:val="single" w:color="auto" w:sz="6" w:space="0"/>
              <w:bottom w:val="single" w:color="auto" w:sz="4" w:space="0"/>
              <w:right w:val="single" w:color="auto" w:sz="6" w:space="0"/>
            </w:tcBorders>
            <w:vAlign w:val="center"/>
          </w:tcPr>
          <w:p>
            <w:pPr>
              <w:numPr>
                <w:ilvl w:val="0"/>
                <w:numId w:val="14"/>
              </w:numPr>
              <w:spacing w:line="400" w:lineRule="exact"/>
              <w:rPr>
                <w:rFonts w:ascii="宋体" w:hAnsi="宋体" w:cs="宋体"/>
                <w:color w:val="auto"/>
                <w:szCs w:val="21"/>
              </w:rPr>
            </w:pPr>
            <w:r>
              <w:rPr>
                <w:rFonts w:hint="eastAsia" w:ascii="宋体" w:hAnsi="宋体" w:cs="宋体"/>
                <w:color w:val="auto"/>
                <w:szCs w:val="21"/>
              </w:rPr>
              <w:t>设计负责人同时具有一级注册建筑师证书及建筑类高级职称证书得</w:t>
            </w:r>
            <w:r>
              <w:rPr>
                <w:rFonts w:hint="eastAsia" w:ascii="宋体" w:hAnsi="宋体" w:cs="宋体"/>
                <w:color w:val="auto"/>
                <w:szCs w:val="21"/>
                <w:lang w:val="en-US" w:eastAsia="zh-CN"/>
              </w:rPr>
              <w:t>4</w:t>
            </w:r>
            <w:r>
              <w:rPr>
                <w:rFonts w:hint="eastAsia" w:ascii="宋体" w:hAnsi="宋体" w:cs="宋体"/>
                <w:color w:val="auto"/>
                <w:szCs w:val="21"/>
              </w:rPr>
              <w:t>分。</w:t>
            </w:r>
          </w:p>
          <w:p>
            <w:pPr>
              <w:spacing w:line="360" w:lineRule="exact"/>
              <w:ind w:left="52"/>
              <w:rPr>
                <w:rFonts w:ascii="宋体" w:hAnsi="宋体"/>
                <w:color w:val="auto"/>
              </w:rPr>
            </w:pPr>
            <w:r>
              <w:rPr>
                <w:rFonts w:hint="eastAsia" w:ascii="宋体" w:hAnsi="宋体"/>
                <w:color w:val="auto"/>
              </w:rPr>
              <w:t>注：提供注册证书及职称证书、认证证书复印件加盖公章。</w:t>
            </w:r>
          </w:p>
        </w:tc>
        <w:tc>
          <w:tcPr>
            <w:tcW w:w="408" w:type="pct"/>
            <w:tcBorders>
              <w:top w:val="single" w:color="auto" w:sz="6" w:space="0"/>
              <w:left w:val="single" w:color="auto" w:sz="6" w:space="0"/>
              <w:bottom w:val="single" w:color="auto" w:sz="4" w:space="0"/>
              <w:right w:val="single" w:color="auto" w:sz="6" w:space="0"/>
            </w:tcBorders>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1359"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5</w:t>
            </w:r>
          </w:p>
        </w:tc>
        <w:tc>
          <w:tcPr>
            <w:tcW w:w="410" w:type="pct"/>
            <w:vMerge w:val="restart"/>
            <w:tcBorders>
              <w:left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b/>
                <w:bCs/>
                <w:color w:val="auto"/>
                <w:sz w:val="21"/>
                <w:szCs w:val="21"/>
              </w:rPr>
              <w:t>投标人勘察方面综合实力</w:t>
            </w: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企业实力</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4</w:t>
            </w:r>
          </w:p>
        </w:tc>
        <w:tc>
          <w:tcPr>
            <w:tcW w:w="2632" w:type="pct"/>
            <w:tcBorders>
              <w:top w:val="single" w:color="auto" w:sz="6" w:space="0"/>
              <w:left w:val="single" w:color="auto" w:sz="6" w:space="0"/>
              <w:bottom w:val="single" w:color="auto" w:sz="6" w:space="0"/>
              <w:right w:val="single" w:color="auto" w:sz="6" w:space="0"/>
            </w:tcBorders>
          </w:tcPr>
          <w:p>
            <w:pPr>
              <w:numPr>
                <w:ilvl w:val="0"/>
                <w:numId w:val="15"/>
              </w:numPr>
              <w:spacing w:line="360" w:lineRule="exact"/>
              <w:ind w:left="52"/>
              <w:rPr>
                <w:rFonts w:ascii="宋体" w:hAnsi="宋体"/>
                <w:color w:val="auto"/>
              </w:rPr>
            </w:pPr>
            <w:r>
              <w:rPr>
                <w:rFonts w:hint="eastAsia" w:ascii="宋体" w:hAnsi="宋体"/>
                <w:color w:val="auto"/>
              </w:rPr>
              <w:t>投标人获得ISO9001质量管理体系认证、ISO14001环境管理体系认证；若有2项符合条件，得2分；若为1项符合条件，得1分；不提供不得分。</w:t>
            </w:r>
          </w:p>
          <w:p>
            <w:pPr>
              <w:spacing w:line="360" w:lineRule="exact"/>
              <w:ind w:left="52"/>
              <w:rPr>
                <w:color w:val="auto"/>
              </w:rPr>
            </w:pPr>
            <w:r>
              <w:rPr>
                <w:rFonts w:hint="eastAsia" w:ascii="宋体" w:hAnsi="宋体"/>
                <w:color w:val="auto"/>
              </w:rPr>
              <w:t>2、投标人具有省级或以上主管部门颁发的检验检测机构资质认定证书的得2分，不提供则不得分。</w:t>
            </w:r>
          </w:p>
          <w:p>
            <w:pPr>
              <w:spacing w:line="360" w:lineRule="exact"/>
              <w:ind w:left="52"/>
              <w:rPr>
                <w:rFonts w:ascii="宋体" w:hAnsi="宋体" w:cs="宋体"/>
                <w:color w:val="auto"/>
              </w:rPr>
            </w:pPr>
            <w:r>
              <w:rPr>
                <w:rFonts w:hint="eastAsia" w:ascii="宋体" w:hAnsi="宋体"/>
                <w:color w:val="auto"/>
              </w:rPr>
              <w:t>注：提供证书复印件加盖公章。</w:t>
            </w:r>
          </w:p>
        </w:tc>
        <w:tc>
          <w:tcPr>
            <w:tcW w:w="408" w:type="pct"/>
            <w:tcBorders>
              <w:top w:val="single" w:color="auto" w:sz="6" w:space="0"/>
              <w:left w:val="single" w:color="auto" w:sz="6" w:space="0"/>
              <w:bottom w:val="single" w:color="auto" w:sz="6" w:space="0"/>
              <w:right w:val="single" w:color="auto" w:sz="6" w:space="0"/>
            </w:tcBorders>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3945"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6</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b/>
                <w:bCs/>
                <w:color w:val="auto"/>
                <w:sz w:val="21"/>
                <w:szCs w:val="21"/>
              </w:rPr>
            </w:pPr>
          </w:p>
        </w:tc>
        <w:tc>
          <w:tcPr>
            <w:tcW w:w="57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企业业绩</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tcPr>
          <w:p>
            <w:pPr>
              <w:spacing w:line="360" w:lineRule="exact"/>
              <w:ind w:left="52"/>
              <w:rPr>
                <w:rFonts w:ascii="宋体" w:hAnsi="宋体"/>
                <w:color w:val="auto"/>
              </w:rPr>
            </w:pPr>
            <w:r>
              <w:rPr>
                <w:rFonts w:ascii="宋体" w:hAnsi="宋体"/>
                <w:color w:val="auto"/>
              </w:rPr>
              <w:t>自201</w:t>
            </w:r>
            <w:r>
              <w:rPr>
                <w:rFonts w:hint="eastAsia" w:ascii="宋体" w:hAnsi="宋体"/>
                <w:color w:val="auto"/>
              </w:rPr>
              <w:t>6</w:t>
            </w:r>
            <w:r>
              <w:rPr>
                <w:rFonts w:ascii="宋体" w:hAnsi="宋体"/>
                <w:color w:val="auto"/>
              </w:rPr>
              <w:t>年1月1日至投标截止时间（以合同签订时间为准）</w:t>
            </w:r>
            <w:r>
              <w:rPr>
                <w:rFonts w:hint="eastAsia" w:ascii="宋体" w:hAnsi="宋体"/>
                <w:color w:val="auto"/>
              </w:rPr>
              <w:t>，投标人</w:t>
            </w:r>
            <w:r>
              <w:rPr>
                <w:rFonts w:ascii="宋体" w:hAnsi="宋体"/>
                <w:color w:val="auto"/>
              </w:rPr>
              <w:t>承担过的</w:t>
            </w:r>
            <w:r>
              <w:rPr>
                <w:rFonts w:hint="eastAsia" w:ascii="宋体" w:hAnsi="宋体"/>
                <w:color w:val="auto"/>
              </w:rPr>
              <w:t>类似房建或市政道路</w:t>
            </w:r>
            <w:r>
              <w:rPr>
                <w:rFonts w:ascii="宋体" w:hAnsi="宋体"/>
                <w:color w:val="auto"/>
              </w:rPr>
              <w:t>工</w:t>
            </w:r>
            <w:r>
              <w:rPr>
                <w:rFonts w:hint="eastAsia" w:ascii="宋体" w:hAnsi="宋体"/>
                <w:color w:val="auto"/>
              </w:rPr>
              <w:t>程勘察</w:t>
            </w:r>
            <w:r>
              <w:rPr>
                <w:rFonts w:ascii="宋体" w:hAnsi="宋体"/>
                <w:color w:val="auto"/>
              </w:rPr>
              <w:t>业绩：（本项最高得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1、100万元＜R</w:t>
            </w:r>
            <w:r>
              <w:rPr>
                <w:rFonts w:ascii="宋体" w:hAnsi="宋体"/>
                <w:color w:val="auto"/>
              </w:rPr>
              <w:t>≤</w:t>
            </w:r>
            <w:r>
              <w:rPr>
                <w:rFonts w:hint="eastAsia" w:ascii="宋体" w:hAnsi="宋体"/>
                <w:color w:val="auto"/>
              </w:rPr>
              <w:t>300万元，</w:t>
            </w:r>
            <w:r>
              <w:rPr>
                <w:rFonts w:ascii="宋体" w:hAnsi="宋体"/>
                <w:color w:val="auto"/>
              </w:rPr>
              <w:t>每项得</w:t>
            </w:r>
            <w:r>
              <w:rPr>
                <w:rFonts w:hint="eastAsia" w:ascii="宋体" w:hAnsi="宋体"/>
                <w:color w:val="auto"/>
              </w:rPr>
              <w:t>1</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50万元＜R</w:t>
            </w:r>
            <w:r>
              <w:rPr>
                <w:rFonts w:ascii="宋体" w:hAnsi="宋体"/>
                <w:color w:val="auto"/>
              </w:rPr>
              <w:t>≤</w:t>
            </w:r>
            <w:r>
              <w:rPr>
                <w:rFonts w:hint="eastAsia" w:ascii="宋体" w:hAnsi="宋体"/>
                <w:color w:val="auto"/>
              </w:rPr>
              <w:t>100万元，</w:t>
            </w:r>
            <w:r>
              <w:rPr>
                <w:rFonts w:ascii="宋体" w:hAnsi="宋体"/>
                <w:color w:val="auto"/>
              </w:rPr>
              <w:t>每项得</w:t>
            </w:r>
            <w:r>
              <w:rPr>
                <w:rFonts w:hint="eastAsia" w:ascii="宋体" w:hAnsi="宋体"/>
                <w:color w:val="auto"/>
              </w:rPr>
              <w:t>0.5</w:t>
            </w:r>
            <w:r>
              <w:rPr>
                <w:rFonts w:ascii="宋体" w:hAnsi="宋体"/>
                <w:color w:val="auto"/>
              </w:rPr>
              <w:t>分</w:t>
            </w:r>
            <w:r>
              <w:rPr>
                <w:rFonts w:hint="eastAsia" w:ascii="宋体" w:hAnsi="宋体"/>
                <w:color w:val="auto"/>
              </w:rPr>
              <w:t>，</w:t>
            </w:r>
            <w:r>
              <w:rPr>
                <w:rFonts w:ascii="宋体" w:hAnsi="宋体"/>
                <w:color w:val="auto"/>
              </w:rPr>
              <w:t>本分项最</w:t>
            </w:r>
            <w:r>
              <w:rPr>
                <w:rFonts w:hint="eastAsia" w:ascii="宋体" w:hAnsi="宋体"/>
                <w:color w:val="auto"/>
              </w:rPr>
              <w:t>高</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注： 业绩证明材料须提供中标通知书或合同关键页复印件</w:t>
            </w:r>
            <w:r>
              <w:rPr>
                <w:rFonts w:ascii="宋体" w:hAnsi="宋体"/>
                <w:color w:val="auto"/>
              </w:rPr>
              <w:t>加盖公章</w:t>
            </w:r>
            <w:r>
              <w:rPr>
                <w:rFonts w:hint="eastAsia" w:ascii="宋体" w:hAnsi="宋体"/>
                <w:color w:val="auto"/>
              </w:rPr>
              <w:t>。</w:t>
            </w:r>
            <w:r>
              <w:rPr>
                <w:rFonts w:ascii="宋体" w:hAnsi="宋体"/>
                <w:color w:val="auto"/>
              </w:rPr>
              <w:t>具体</w:t>
            </w:r>
            <w:r>
              <w:rPr>
                <w:rFonts w:hint="eastAsia" w:ascii="宋体" w:hAnsi="宋体"/>
                <w:color w:val="auto"/>
              </w:rPr>
              <w:t>金额</w:t>
            </w:r>
            <w:r>
              <w:rPr>
                <w:rFonts w:ascii="宋体" w:hAnsi="宋体"/>
                <w:color w:val="auto"/>
              </w:rPr>
              <w:t>以中标通知书或</w:t>
            </w:r>
            <w:r>
              <w:rPr>
                <w:rFonts w:hint="eastAsia" w:ascii="宋体" w:hAnsi="宋体"/>
                <w:color w:val="auto"/>
              </w:rPr>
              <w:t>勘察</w:t>
            </w:r>
            <w:r>
              <w:rPr>
                <w:rFonts w:ascii="宋体" w:hAnsi="宋体"/>
                <w:color w:val="auto"/>
              </w:rPr>
              <w:t>合同载明的</w:t>
            </w:r>
            <w:r>
              <w:rPr>
                <w:rFonts w:hint="eastAsia" w:ascii="宋体" w:hAnsi="宋体"/>
                <w:color w:val="auto"/>
              </w:rPr>
              <w:t>金额</w:t>
            </w:r>
            <w:r>
              <w:rPr>
                <w:rFonts w:ascii="宋体" w:hAnsi="宋体"/>
                <w:color w:val="auto"/>
              </w:rPr>
              <w:t>为准，</w:t>
            </w:r>
            <w:r>
              <w:rPr>
                <w:rFonts w:hint="eastAsia" w:ascii="宋体" w:hAnsi="宋体"/>
                <w:color w:val="auto"/>
              </w:rPr>
              <w:t>项目数量以合同签订数为准，包含EPC项目模式业绩，</w:t>
            </w:r>
            <w:r>
              <w:rPr>
                <w:rFonts w:ascii="宋体" w:hAnsi="宋体"/>
                <w:color w:val="auto"/>
              </w:rPr>
              <w:t>不提供不得分</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673"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7</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b/>
                <w:bCs/>
                <w:color w:val="auto"/>
                <w:sz w:val="21"/>
                <w:szCs w:val="21"/>
              </w:rPr>
            </w:pPr>
          </w:p>
        </w:tc>
        <w:tc>
          <w:tcPr>
            <w:tcW w:w="577" w:type="pct"/>
            <w:tcBorders>
              <w:top w:val="single" w:color="auto" w:sz="6" w:space="0"/>
              <w:left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企业荣誉</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tcPr>
          <w:p>
            <w:pPr>
              <w:spacing w:line="360" w:lineRule="exact"/>
              <w:ind w:left="52"/>
              <w:rPr>
                <w:rFonts w:ascii="宋体" w:hAnsi="宋体"/>
                <w:color w:val="auto"/>
              </w:rPr>
            </w:pPr>
            <w:r>
              <w:rPr>
                <w:rFonts w:hint="eastAsia" w:ascii="宋体" w:hAnsi="宋体"/>
                <w:color w:val="auto"/>
              </w:rPr>
              <w:t>投标人曾经</w:t>
            </w:r>
            <w:r>
              <w:rPr>
                <w:rFonts w:ascii="宋体" w:hAnsi="宋体"/>
                <w:color w:val="auto"/>
              </w:rPr>
              <w:t>连续获得省级或以上“守合同重信用企业”荣誉：</w:t>
            </w:r>
          </w:p>
          <w:p>
            <w:pPr>
              <w:spacing w:line="360" w:lineRule="exact"/>
              <w:ind w:left="52"/>
              <w:rPr>
                <w:rFonts w:ascii="宋体" w:hAnsi="宋体"/>
                <w:color w:val="auto"/>
              </w:rPr>
            </w:pPr>
            <w:r>
              <w:rPr>
                <w:rFonts w:ascii="宋体" w:hAnsi="宋体"/>
                <w:color w:val="auto"/>
              </w:rPr>
              <w:t>1、连续</w:t>
            </w:r>
            <w:r>
              <w:rPr>
                <w:rFonts w:hint="eastAsia" w:ascii="宋体" w:hAnsi="宋体"/>
                <w:color w:val="auto"/>
              </w:rPr>
              <w:t>3</w:t>
            </w:r>
            <w:r>
              <w:rPr>
                <w:rFonts w:ascii="宋体" w:hAnsi="宋体"/>
                <w:color w:val="auto"/>
              </w:rPr>
              <w:t>年（含</w:t>
            </w:r>
            <w:r>
              <w:rPr>
                <w:rFonts w:hint="eastAsia" w:ascii="宋体" w:hAnsi="宋体"/>
                <w:color w:val="auto"/>
              </w:rPr>
              <w:t>3</w:t>
            </w:r>
            <w:r>
              <w:rPr>
                <w:rFonts w:ascii="宋体" w:hAnsi="宋体"/>
                <w:color w:val="auto"/>
              </w:rPr>
              <w:t>年）以上的得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ascii="宋体" w:hAnsi="宋体"/>
                <w:color w:val="auto"/>
              </w:rPr>
              <w:t>2、连续</w:t>
            </w:r>
            <w:r>
              <w:rPr>
                <w:rFonts w:hint="eastAsia" w:ascii="宋体" w:hAnsi="宋体"/>
                <w:color w:val="auto"/>
              </w:rPr>
              <w:t>2</w:t>
            </w:r>
            <w:r>
              <w:rPr>
                <w:rFonts w:ascii="宋体" w:hAnsi="宋体"/>
                <w:color w:val="auto"/>
              </w:rPr>
              <w:t>年（含</w:t>
            </w:r>
            <w:r>
              <w:rPr>
                <w:rFonts w:hint="eastAsia" w:ascii="宋体" w:hAnsi="宋体"/>
                <w:color w:val="auto"/>
              </w:rPr>
              <w:t>2</w:t>
            </w:r>
            <w:r>
              <w:rPr>
                <w:rFonts w:ascii="宋体" w:hAnsi="宋体"/>
                <w:color w:val="auto"/>
              </w:rPr>
              <w:t>年）的得</w:t>
            </w:r>
            <w:r>
              <w:rPr>
                <w:rFonts w:hint="eastAsia" w:ascii="宋体" w:hAnsi="宋体"/>
                <w:color w:val="auto"/>
              </w:rPr>
              <w:t>1</w:t>
            </w:r>
            <w:r>
              <w:rPr>
                <w:rFonts w:ascii="宋体" w:hAnsi="宋体"/>
                <w:color w:val="auto"/>
              </w:rPr>
              <w:t>分；</w:t>
            </w:r>
          </w:p>
          <w:p>
            <w:pPr>
              <w:spacing w:line="360" w:lineRule="exact"/>
              <w:ind w:left="52"/>
              <w:rPr>
                <w:rFonts w:ascii="宋体" w:hAnsi="宋体"/>
                <w:color w:val="auto"/>
              </w:rPr>
            </w:pPr>
            <w:r>
              <w:rPr>
                <w:rFonts w:ascii="宋体" w:hAnsi="宋体"/>
                <w:color w:val="auto"/>
              </w:rPr>
              <w:t>3、连续1年（含1年）的得</w:t>
            </w:r>
            <w:r>
              <w:rPr>
                <w:rFonts w:hint="eastAsia" w:ascii="宋体" w:hAnsi="宋体"/>
                <w:color w:val="auto"/>
              </w:rPr>
              <w:t>0.5</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其他不得分，本项最高得2分。</w:t>
            </w:r>
          </w:p>
          <w:p>
            <w:pPr>
              <w:spacing w:line="360" w:lineRule="exact"/>
              <w:ind w:left="52"/>
              <w:rPr>
                <w:rFonts w:ascii="宋体" w:hAnsi="宋体" w:cs="宋体"/>
                <w:color w:val="auto"/>
              </w:rPr>
            </w:pPr>
            <w:r>
              <w:rPr>
                <w:rFonts w:hint="eastAsia" w:ascii="宋体" w:hAnsi="宋体"/>
                <w:color w:val="auto"/>
              </w:rPr>
              <w:t>注：年度中须包含最新评审年度，否则不得分；需</w:t>
            </w:r>
            <w:r>
              <w:rPr>
                <w:rFonts w:ascii="宋体" w:hAnsi="宋体"/>
                <w:color w:val="auto"/>
              </w:rPr>
              <w:t>提供</w:t>
            </w:r>
            <w:r>
              <w:rPr>
                <w:rFonts w:hint="eastAsia" w:ascii="宋体" w:hAnsi="宋体"/>
                <w:color w:val="auto"/>
              </w:rPr>
              <w:t>相关</w:t>
            </w:r>
            <w:r>
              <w:rPr>
                <w:rFonts w:ascii="宋体" w:hAnsi="宋体"/>
                <w:color w:val="auto"/>
              </w:rPr>
              <w:t>证书复印件</w:t>
            </w:r>
            <w:r>
              <w:rPr>
                <w:rFonts w:hint="eastAsia" w:ascii="宋体" w:hAnsi="宋体"/>
                <w:color w:val="auto"/>
              </w:rPr>
              <w:t>或附守合同重信用企业公示系统网页相关查询截图并</w:t>
            </w:r>
            <w:r>
              <w:rPr>
                <w:rFonts w:ascii="宋体" w:hAnsi="宋体"/>
                <w:color w:val="auto"/>
              </w:rPr>
              <w:t>加盖公章</w:t>
            </w:r>
            <w:r>
              <w:rPr>
                <w:rFonts w:hint="eastAsia" w:ascii="宋体" w:hAnsi="宋体"/>
                <w:color w:val="auto"/>
              </w:rPr>
              <w:t>。</w:t>
            </w:r>
          </w:p>
        </w:tc>
        <w:tc>
          <w:tcPr>
            <w:tcW w:w="408" w:type="pct"/>
            <w:tcBorders>
              <w:top w:val="single" w:color="auto" w:sz="6" w:space="0"/>
              <w:left w:val="single" w:color="auto" w:sz="6" w:space="0"/>
              <w:bottom w:val="single" w:color="auto" w:sz="6" w:space="0"/>
              <w:right w:val="single" w:color="auto" w:sz="6" w:space="0"/>
            </w:tcBorders>
          </w:tcPr>
          <w:p>
            <w:pPr>
              <w:rPr>
                <w:rFonts w:ascii="宋体" w:hAnsi="宋体"/>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trHeight w:val="808" w:hRule="atLeast"/>
        </w:trPr>
        <w:tc>
          <w:tcPr>
            <w:tcW w:w="387"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8</w:t>
            </w:r>
          </w:p>
        </w:tc>
        <w:tc>
          <w:tcPr>
            <w:tcW w:w="410" w:type="pct"/>
            <w:vMerge w:val="continue"/>
            <w:tcBorders>
              <w:left w:val="single" w:color="auto" w:sz="6" w:space="0"/>
              <w:right w:val="single" w:color="auto" w:sz="6" w:space="0"/>
            </w:tcBorders>
            <w:vAlign w:val="center"/>
          </w:tcPr>
          <w:p>
            <w:pPr>
              <w:spacing w:line="360" w:lineRule="exact"/>
              <w:jc w:val="center"/>
              <w:rPr>
                <w:rFonts w:ascii="宋体" w:hAnsi="宋体"/>
                <w:b/>
                <w:bCs/>
                <w:color w:val="auto"/>
                <w:sz w:val="21"/>
                <w:szCs w:val="21"/>
              </w:rPr>
            </w:pPr>
          </w:p>
        </w:tc>
        <w:tc>
          <w:tcPr>
            <w:tcW w:w="577" w:type="pct"/>
            <w:tcBorders>
              <w:top w:val="single" w:color="auto" w:sz="6" w:space="0"/>
              <w:left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勘察项目负责人能力</w:t>
            </w:r>
          </w:p>
        </w:tc>
        <w:tc>
          <w:tcPr>
            <w:tcW w:w="584" w:type="pct"/>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auto"/>
                <w:sz w:val="21"/>
                <w:szCs w:val="21"/>
              </w:rPr>
            </w:pPr>
            <w:r>
              <w:rPr>
                <w:rFonts w:hint="eastAsia" w:ascii="宋体" w:hAnsi="宋体"/>
                <w:color w:val="auto"/>
                <w:sz w:val="21"/>
                <w:szCs w:val="21"/>
              </w:rPr>
              <w:t>2</w:t>
            </w:r>
          </w:p>
        </w:tc>
        <w:tc>
          <w:tcPr>
            <w:tcW w:w="2632" w:type="pct"/>
            <w:tcBorders>
              <w:top w:val="single" w:color="auto" w:sz="6" w:space="0"/>
              <w:left w:val="single" w:color="auto" w:sz="6" w:space="0"/>
              <w:bottom w:val="single" w:color="auto" w:sz="6" w:space="0"/>
              <w:right w:val="single" w:color="auto" w:sz="6" w:space="0"/>
            </w:tcBorders>
          </w:tcPr>
          <w:p>
            <w:pPr>
              <w:spacing w:line="360" w:lineRule="exact"/>
              <w:ind w:left="52"/>
              <w:rPr>
                <w:rFonts w:ascii="宋体" w:hAnsi="宋体"/>
                <w:color w:val="auto"/>
              </w:rPr>
            </w:pPr>
            <w:r>
              <w:rPr>
                <w:rFonts w:hint="eastAsia" w:ascii="宋体" w:hAnsi="宋体"/>
                <w:color w:val="auto"/>
              </w:rPr>
              <w:t>1、</w:t>
            </w:r>
            <w:r>
              <w:rPr>
                <w:rFonts w:ascii="宋体" w:hAnsi="宋体"/>
                <w:color w:val="auto"/>
              </w:rPr>
              <w:t>勘察项目负责人具备注册土木工程师（岩土）执业资格</w:t>
            </w:r>
            <w:r>
              <w:rPr>
                <w:rFonts w:hint="eastAsia" w:ascii="宋体" w:hAnsi="宋体"/>
                <w:color w:val="auto"/>
              </w:rPr>
              <w:t>，</w:t>
            </w:r>
            <w:r>
              <w:rPr>
                <w:rFonts w:ascii="宋体" w:hAnsi="宋体"/>
                <w:color w:val="auto"/>
              </w:rPr>
              <w:t>且同时具有</w:t>
            </w:r>
            <w:r>
              <w:rPr>
                <w:rFonts w:hint="eastAsia" w:ascii="宋体" w:hAnsi="宋体"/>
                <w:color w:val="auto"/>
              </w:rPr>
              <w:t>岩土工程相关</w:t>
            </w:r>
            <w:r>
              <w:rPr>
                <w:rFonts w:ascii="宋体" w:hAnsi="宋体"/>
                <w:color w:val="auto"/>
              </w:rPr>
              <w:t>专业高级工程师</w:t>
            </w:r>
            <w:r>
              <w:rPr>
                <w:rFonts w:hint="eastAsia" w:ascii="宋体" w:hAnsi="宋体"/>
                <w:color w:val="auto"/>
              </w:rPr>
              <w:t>或以上</w:t>
            </w:r>
            <w:r>
              <w:rPr>
                <w:rFonts w:ascii="宋体" w:hAnsi="宋体"/>
                <w:color w:val="auto"/>
              </w:rPr>
              <w:t>职称</w:t>
            </w:r>
            <w:r>
              <w:rPr>
                <w:rFonts w:hint="eastAsia" w:ascii="宋体" w:hAnsi="宋体"/>
                <w:color w:val="auto"/>
              </w:rPr>
              <w:t>的</w:t>
            </w:r>
            <w:r>
              <w:rPr>
                <w:rFonts w:ascii="宋体" w:hAnsi="宋体"/>
                <w:color w:val="auto"/>
              </w:rPr>
              <w:t>得</w:t>
            </w:r>
            <w:r>
              <w:rPr>
                <w:rFonts w:hint="eastAsia" w:ascii="宋体" w:hAnsi="宋体"/>
                <w:color w:val="auto"/>
              </w:rPr>
              <w:t>2</w:t>
            </w:r>
            <w:r>
              <w:rPr>
                <w:rFonts w:ascii="宋体" w:hAnsi="宋体"/>
                <w:color w:val="auto"/>
              </w:rPr>
              <w:t>分；</w:t>
            </w:r>
          </w:p>
          <w:p>
            <w:pPr>
              <w:spacing w:line="360" w:lineRule="exact"/>
              <w:ind w:left="52"/>
              <w:rPr>
                <w:rFonts w:ascii="宋体" w:hAnsi="宋体"/>
                <w:color w:val="auto"/>
              </w:rPr>
            </w:pPr>
            <w:r>
              <w:rPr>
                <w:rFonts w:hint="eastAsia" w:ascii="宋体" w:hAnsi="宋体"/>
                <w:color w:val="auto"/>
              </w:rPr>
              <w:t>2、</w:t>
            </w:r>
            <w:r>
              <w:rPr>
                <w:rFonts w:ascii="宋体" w:hAnsi="宋体"/>
                <w:color w:val="auto"/>
              </w:rPr>
              <w:t>勘察项目负责人具备注册土木工程师（岩土）执业资格，同时具有岩土工程</w:t>
            </w:r>
            <w:r>
              <w:rPr>
                <w:rFonts w:hint="eastAsia" w:ascii="宋体" w:hAnsi="宋体"/>
                <w:color w:val="auto"/>
              </w:rPr>
              <w:t>相关</w:t>
            </w:r>
            <w:r>
              <w:rPr>
                <w:rFonts w:ascii="宋体" w:hAnsi="宋体"/>
                <w:color w:val="auto"/>
              </w:rPr>
              <w:t>专业工程师职称证的得</w:t>
            </w:r>
            <w:r>
              <w:rPr>
                <w:rFonts w:hint="eastAsia" w:ascii="宋体" w:hAnsi="宋体"/>
                <w:color w:val="auto"/>
              </w:rPr>
              <w:t>1</w:t>
            </w:r>
            <w:r>
              <w:rPr>
                <w:rFonts w:ascii="宋体" w:hAnsi="宋体"/>
                <w:color w:val="auto"/>
              </w:rPr>
              <w:t>分；</w:t>
            </w:r>
          </w:p>
          <w:p>
            <w:pPr>
              <w:spacing w:line="360" w:lineRule="exact"/>
              <w:ind w:left="52"/>
              <w:rPr>
                <w:rFonts w:ascii="宋体" w:hAnsi="宋体" w:cs="宋体"/>
                <w:color w:val="auto"/>
              </w:rPr>
            </w:pPr>
            <w:r>
              <w:rPr>
                <w:rFonts w:hint="eastAsia" w:ascii="宋体" w:hAnsi="宋体"/>
                <w:color w:val="auto"/>
              </w:rPr>
              <w:t>注：</w:t>
            </w:r>
            <w:r>
              <w:rPr>
                <w:rFonts w:ascii="宋体" w:hAnsi="宋体"/>
                <w:color w:val="auto"/>
              </w:rPr>
              <w:t>提供</w:t>
            </w:r>
            <w:r>
              <w:rPr>
                <w:rFonts w:hint="eastAsia" w:ascii="宋体" w:hAnsi="宋体"/>
                <w:color w:val="auto"/>
              </w:rPr>
              <w:t>注册证书、职称证书复印件加盖公章。</w:t>
            </w:r>
          </w:p>
        </w:tc>
        <w:tc>
          <w:tcPr>
            <w:tcW w:w="408" w:type="pct"/>
            <w:tcBorders>
              <w:top w:val="single" w:color="auto" w:sz="6" w:space="0"/>
              <w:left w:val="single" w:color="auto" w:sz="6" w:space="0"/>
              <w:bottom w:val="single" w:color="auto" w:sz="6" w:space="0"/>
              <w:right w:val="single" w:color="auto" w:sz="6" w:space="0"/>
            </w:tcBorders>
          </w:tcPr>
          <w:p>
            <w:pPr>
              <w:rPr>
                <w:rFonts w:ascii="宋体" w:hAnsi="宋体"/>
                <w:color w:val="auto"/>
                <w:sz w:val="21"/>
                <w:szCs w:val="21"/>
              </w:rPr>
            </w:pPr>
          </w:p>
        </w:tc>
      </w:tr>
    </w:tbl>
    <w:p>
      <w:pPr>
        <w:shd w:val="clear" w:color="auto" w:fill="FFFFFF"/>
        <w:tabs>
          <w:tab w:val="left" w:pos="373"/>
        </w:tabs>
        <w:snapToGrid w:val="0"/>
        <w:spacing w:line="360" w:lineRule="auto"/>
        <w:rPr>
          <w:rFonts w:ascii="宋体" w:hAnsi="宋体"/>
          <w:color w:val="auto"/>
          <w:sz w:val="21"/>
          <w:szCs w:val="21"/>
        </w:rPr>
      </w:pPr>
      <w:r>
        <w:rPr>
          <w:rFonts w:hint="eastAsia" w:ascii="宋体" w:hAnsi="宋体" w:cs="宋体"/>
          <w:b/>
          <w:color w:val="auto"/>
          <w:sz w:val="22"/>
          <w:szCs w:val="22"/>
        </w:rPr>
        <w:t>注明：</w:t>
      </w:r>
      <w:r>
        <w:rPr>
          <w:rFonts w:hint="eastAsia" w:ascii="宋体" w:hAnsi="宋体"/>
          <w:color w:val="auto"/>
          <w:sz w:val="21"/>
          <w:szCs w:val="21"/>
        </w:rPr>
        <w:t>1、商务评分为客观评分，所有评委对同一投标人的商务评分均应保持一致。</w:t>
      </w:r>
    </w:p>
    <w:p>
      <w:pPr>
        <w:spacing w:line="360" w:lineRule="auto"/>
        <w:ind w:firstLine="210" w:firstLineChars="100"/>
        <w:jc w:val="left"/>
        <w:rPr>
          <w:rFonts w:ascii="宋体" w:hAnsi="宋体"/>
          <w:color w:val="auto"/>
          <w:sz w:val="21"/>
          <w:szCs w:val="21"/>
        </w:rPr>
      </w:pPr>
      <w:r>
        <w:rPr>
          <w:rFonts w:hint="eastAsia" w:ascii="宋体" w:hAnsi="宋体"/>
          <w:color w:val="auto"/>
          <w:sz w:val="21"/>
          <w:szCs w:val="21"/>
        </w:rPr>
        <w:t>2、投标人如是联合体投标，以上评分分别对应联合体成员中勘察、设计单位评分。</w:t>
      </w:r>
    </w:p>
    <w:p>
      <w:pPr>
        <w:spacing w:line="360" w:lineRule="auto"/>
        <w:ind w:firstLine="210" w:firstLineChars="100"/>
        <w:jc w:val="left"/>
        <w:rPr>
          <w:rFonts w:ascii="宋体" w:hAnsi="宋体"/>
          <w:color w:val="auto"/>
          <w:sz w:val="21"/>
          <w:szCs w:val="21"/>
        </w:rPr>
      </w:pPr>
      <w:r>
        <w:rPr>
          <w:rFonts w:hint="eastAsia" w:ascii="宋体" w:hAnsi="宋体"/>
          <w:color w:val="auto"/>
          <w:sz w:val="21"/>
          <w:szCs w:val="21"/>
        </w:rPr>
        <w:t>3、提供的所有复印件需加盖公章，如为联合体的，</w:t>
      </w:r>
      <w:r>
        <w:rPr>
          <w:rFonts w:ascii="宋体" w:hAnsi="宋体"/>
          <w:color w:val="auto"/>
          <w:sz w:val="21"/>
          <w:szCs w:val="21"/>
        </w:rPr>
        <w:t>应盖联合体牵头人单位公章</w:t>
      </w:r>
      <w:r>
        <w:rPr>
          <w:rFonts w:hint="eastAsia" w:ascii="宋体" w:hAnsi="宋体"/>
          <w:color w:val="auto"/>
          <w:sz w:val="21"/>
          <w:szCs w:val="21"/>
        </w:rPr>
        <w:t>。</w:t>
      </w:r>
    </w:p>
    <w:p>
      <w:pPr>
        <w:pStyle w:val="4"/>
        <w:numPr>
          <w:ilvl w:val="1"/>
          <w:numId w:val="0"/>
        </w:numPr>
        <w:rPr>
          <w:color w:val="auto"/>
        </w:rPr>
      </w:pPr>
    </w:p>
    <w:p>
      <w:pPr>
        <w:numPr>
          <w:ilvl w:val="0"/>
          <w:numId w:val="16"/>
        </w:numPr>
        <w:tabs>
          <w:tab w:val="left" w:pos="1440"/>
        </w:tabs>
        <w:adjustRightInd/>
        <w:spacing w:line="240" w:lineRule="auto"/>
        <w:textAlignment w:val="auto"/>
        <w:rPr>
          <w:rFonts w:ascii="宋体" w:hAnsi="宋体" w:cs="宋体"/>
          <w:b/>
          <w:color w:val="auto"/>
          <w:kern w:val="2"/>
          <w:sz w:val="22"/>
          <w:szCs w:val="22"/>
        </w:rPr>
      </w:pPr>
      <w:r>
        <w:rPr>
          <w:rFonts w:hint="eastAsia" w:ascii="宋体" w:hAnsi="宋体" w:cs="宋体"/>
          <w:b/>
          <w:color w:val="auto"/>
          <w:kern w:val="2"/>
          <w:sz w:val="22"/>
          <w:szCs w:val="22"/>
        </w:rPr>
        <w:t>勘察、设计费报价评分标准（10分）</w:t>
      </w:r>
    </w:p>
    <w:p>
      <w:pPr>
        <w:tabs>
          <w:tab w:val="left" w:pos="1440"/>
        </w:tabs>
        <w:adjustRightInd/>
        <w:spacing w:line="240" w:lineRule="auto"/>
        <w:textAlignment w:val="auto"/>
        <w:rPr>
          <w:rFonts w:ascii="宋体" w:hAnsi="宋体" w:cs="宋体"/>
          <w:b/>
          <w:color w:val="auto"/>
          <w:kern w:val="2"/>
          <w:sz w:val="22"/>
          <w:szCs w:val="22"/>
        </w:rPr>
      </w:pPr>
    </w:p>
    <w:tbl>
      <w:tblPr>
        <w:tblStyle w:val="37"/>
        <w:tblW w:w="99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6"/>
        <w:gridCol w:w="1510"/>
        <w:gridCol w:w="5534"/>
        <w:gridCol w:w="14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1506" w:type="dxa"/>
            <w:tcBorders>
              <w:left w:val="single" w:color="auto" w:sz="12" w:space="0"/>
              <w:bottom w:val="single" w:color="auto" w:sz="12" w:space="0"/>
              <w:right w:val="single" w:color="auto" w:sz="4" w:space="0"/>
            </w:tcBorders>
            <w:vAlign w:val="center"/>
          </w:tcPr>
          <w:p>
            <w:pPr>
              <w:spacing w:line="240" w:lineRule="auto"/>
              <w:jc w:val="center"/>
              <w:rPr>
                <w:rFonts w:ascii="宋体" w:hAnsi="宋体" w:cs="宋体"/>
                <w:b/>
                <w:color w:val="auto"/>
                <w:sz w:val="22"/>
                <w:szCs w:val="22"/>
              </w:rPr>
            </w:pPr>
            <w:r>
              <w:rPr>
                <w:rFonts w:hint="eastAsia" w:ascii="宋体" w:hAnsi="宋体" w:cs="宋体"/>
                <w:b/>
                <w:color w:val="auto"/>
                <w:sz w:val="22"/>
                <w:szCs w:val="22"/>
              </w:rPr>
              <w:t>评分项目</w:t>
            </w:r>
          </w:p>
        </w:tc>
        <w:tc>
          <w:tcPr>
            <w:tcW w:w="1510" w:type="dxa"/>
            <w:tcBorders>
              <w:top w:val="single" w:color="auto" w:sz="2" w:space="0"/>
              <w:left w:val="single" w:color="auto" w:sz="4" w:space="0"/>
              <w:bottom w:val="single" w:color="auto" w:sz="12" w:space="0"/>
              <w:right w:val="single" w:color="auto" w:sz="2" w:space="0"/>
            </w:tcBorders>
            <w:vAlign w:val="center"/>
          </w:tcPr>
          <w:p>
            <w:pPr>
              <w:spacing w:line="240" w:lineRule="auto"/>
              <w:jc w:val="center"/>
              <w:rPr>
                <w:rFonts w:ascii="宋体" w:hAnsi="宋体" w:cs="宋体"/>
                <w:color w:val="auto"/>
                <w:sz w:val="22"/>
                <w:szCs w:val="22"/>
              </w:rPr>
            </w:pPr>
            <w:r>
              <w:rPr>
                <w:rFonts w:hint="eastAsia" w:ascii="宋体" w:hAnsi="宋体" w:cs="宋体"/>
                <w:b/>
                <w:color w:val="auto"/>
                <w:sz w:val="22"/>
                <w:szCs w:val="22"/>
              </w:rPr>
              <w:t>评审内容</w:t>
            </w:r>
          </w:p>
        </w:tc>
        <w:tc>
          <w:tcPr>
            <w:tcW w:w="5534" w:type="dxa"/>
            <w:tcBorders>
              <w:top w:val="single" w:color="auto" w:sz="2" w:space="0"/>
              <w:left w:val="single" w:color="auto" w:sz="2" w:space="0"/>
              <w:bottom w:val="single" w:color="auto" w:sz="12" w:space="0"/>
              <w:right w:val="single" w:color="auto" w:sz="4" w:space="0"/>
            </w:tcBorders>
            <w:vAlign w:val="center"/>
          </w:tcPr>
          <w:p>
            <w:pPr>
              <w:spacing w:line="240" w:lineRule="auto"/>
              <w:jc w:val="center"/>
              <w:rPr>
                <w:rFonts w:ascii="宋体" w:hAnsi="宋体" w:cs="宋体"/>
                <w:color w:val="auto"/>
                <w:sz w:val="22"/>
                <w:szCs w:val="22"/>
              </w:rPr>
            </w:pPr>
            <w:r>
              <w:rPr>
                <w:rFonts w:hint="eastAsia" w:ascii="宋体" w:hAnsi="宋体" w:cs="宋体"/>
                <w:b/>
                <w:color w:val="auto"/>
                <w:sz w:val="22"/>
                <w:szCs w:val="22"/>
              </w:rPr>
              <w:t>评分标准</w:t>
            </w:r>
          </w:p>
        </w:tc>
        <w:tc>
          <w:tcPr>
            <w:tcW w:w="1408" w:type="dxa"/>
            <w:tcBorders>
              <w:top w:val="single" w:color="auto" w:sz="2" w:space="0"/>
              <w:left w:val="single" w:color="auto" w:sz="2" w:space="0"/>
              <w:bottom w:val="single" w:color="auto" w:sz="12" w:space="0"/>
              <w:right w:val="single" w:color="auto" w:sz="4" w:space="0"/>
            </w:tcBorders>
            <w:vAlign w:val="center"/>
          </w:tcPr>
          <w:p>
            <w:pPr>
              <w:spacing w:line="240" w:lineRule="auto"/>
              <w:jc w:val="center"/>
              <w:rPr>
                <w:rFonts w:ascii="宋体" w:hAnsi="宋体" w:cs="宋体"/>
                <w:b/>
                <w:color w:val="auto"/>
                <w:sz w:val="22"/>
                <w:szCs w:val="22"/>
              </w:rPr>
            </w:pPr>
            <w:r>
              <w:rPr>
                <w:rFonts w:hint="eastAsia" w:ascii="宋体" w:hAnsi="宋体" w:cs="宋体"/>
                <w:b/>
                <w:color w:val="auto"/>
                <w:sz w:val="22"/>
                <w:szCs w:val="22"/>
              </w:rPr>
              <w:t>分值（分）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53" w:hRule="atLeast"/>
          <w:jc w:val="center"/>
        </w:trPr>
        <w:tc>
          <w:tcPr>
            <w:tcW w:w="1506" w:type="dxa"/>
            <w:vMerge w:val="restart"/>
            <w:tcBorders>
              <w:left w:val="single" w:color="auto" w:sz="12" w:space="0"/>
              <w:right w:val="single" w:color="auto" w:sz="4" w:space="0"/>
            </w:tcBorders>
            <w:vAlign w:val="center"/>
          </w:tcPr>
          <w:p>
            <w:pPr>
              <w:spacing w:line="240" w:lineRule="auto"/>
              <w:jc w:val="center"/>
              <w:rPr>
                <w:rFonts w:ascii="宋体" w:hAnsi="宋体" w:cs="宋体"/>
                <w:b/>
                <w:color w:val="auto"/>
                <w:sz w:val="22"/>
                <w:szCs w:val="22"/>
              </w:rPr>
            </w:pPr>
            <w:r>
              <w:rPr>
                <w:rFonts w:hint="eastAsia" w:ascii="宋体" w:hAnsi="宋体" w:cs="宋体"/>
                <w:b/>
                <w:color w:val="auto"/>
                <w:sz w:val="22"/>
                <w:szCs w:val="22"/>
              </w:rPr>
              <w:t>勘察设计费报价（10分）</w:t>
            </w:r>
          </w:p>
        </w:tc>
        <w:tc>
          <w:tcPr>
            <w:tcW w:w="1510" w:type="dxa"/>
            <w:tcBorders>
              <w:top w:val="single" w:color="auto" w:sz="2" w:space="0"/>
              <w:left w:val="single" w:color="auto" w:sz="4" w:space="0"/>
              <w:right w:val="single" w:color="auto" w:sz="2" w:space="0"/>
            </w:tcBorders>
            <w:vAlign w:val="center"/>
          </w:tcPr>
          <w:p>
            <w:pPr>
              <w:spacing w:line="24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勘察报价</w:t>
            </w:r>
          </w:p>
          <w:p>
            <w:pPr>
              <w:spacing w:line="240" w:lineRule="auto"/>
              <w:jc w:val="center"/>
              <w:rPr>
                <w:rFonts w:ascii="宋体" w:hAnsi="宋体" w:cs="宋体"/>
                <w:color w:val="auto"/>
                <w:sz w:val="22"/>
                <w:szCs w:val="22"/>
                <w:highlight w:val="none"/>
              </w:rPr>
            </w:pPr>
          </w:p>
        </w:tc>
        <w:tc>
          <w:tcPr>
            <w:tcW w:w="5534" w:type="dxa"/>
            <w:tcBorders>
              <w:top w:val="single" w:color="auto" w:sz="2" w:space="0"/>
              <w:left w:val="single" w:color="auto" w:sz="2" w:space="0"/>
              <w:bottom w:val="single" w:color="auto" w:sz="4" w:space="0"/>
              <w:right w:val="single" w:color="auto" w:sz="4" w:space="0"/>
            </w:tcBorders>
            <w:vAlign w:val="center"/>
          </w:tcPr>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投标人在投标函中填报投标下浮率</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评标基准系数的确定：当有效报价小于或等于5家时，评标基准系数等于所有有效报价的算术平均值；当有效报价大于5家时，评标基准系数为所有有效报价去掉一个最高和一个最低后的算术平均值（保留四位小数）。</w:t>
            </w:r>
          </w:p>
          <w:p>
            <w:pPr>
              <w:spacing w:line="240" w:lineRule="auto"/>
              <w:jc w:val="left"/>
              <w:rPr>
                <w:rFonts w:ascii="宋体" w:hAnsi="宋体"/>
                <w:color w:val="auto"/>
                <w:sz w:val="22"/>
                <w:szCs w:val="22"/>
                <w:highlight w:val="none"/>
              </w:rPr>
            </w:pP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勘察投标报价得分S1满分5分；</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S1=5-｜Ai-B｜×100÷B×C；</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S1—投标报价得分；</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Ai--投标人所报下浮率；</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B—评标基准系数；</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C—调整系数；</w:t>
            </w:r>
          </w:p>
          <w:p>
            <w:pPr>
              <w:spacing w:line="240" w:lineRule="auto"/>
              <w:jc w:val="left"/>
              <w:rPr>
                <w:rFonts w:ascii="宋体" w:hAnsi="宋体" w:cs="宋体"/>
                <w:color w:val="auto"/>
                <w:sz w:val="22"/>
                <w:szCs w:val="22"/>
                <w:highlight w:val="none"/>
              </w:rPr>
            </w:pPr>
            <w:r>
              <w:rPr>
                <w:rFonts w:hint="eastAsia" w:ascii="宋体" w:hAnsi="宋体"/>
                <w:color w:val="auto"/>
                <w:sz w:val="22"/>
                <w:szCs w:val="22"/>
                <w:highlight w:val="none"/>
              </w:rPr>
              <w:t>当Ai&gt;B时，C=0.0</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；当Ai＜B时，C=0.</w:t>
            </w:r>
            <w:r>
              <w:rPr>
                <w:rFonts w:hint="eastAsia" w:ascii="宋体" w:hAnsi="宋体"/>
                <w:color w:val="auto"/>
                <w:sz w:val="22"/>
                <w:szCs w:val="22"/>
                <w:highlight w:val="none"/>
                <w:lang w:val="en-US" w:eastAsia="zh-CN"/>
              </w:rPr>
              <w:t>02</w:t>
            </w:r>
            <w:r>
              <w:rPr>
                <w:rFonts w:hint="eastAsia" w:ascii="宋体" w:hAnsi="宋体"/>
                <w:color w:val="auto"/>
                <w:sz w:val="22"/>
                <w:szCs w:val="22"/>
                <w:highlight w:val="none"/>
              </w:rPr>
              <w:t>；</w:t>
            </w:r>
          </w:p>
        </w:tc>
        <w:tc>
          <w:tcPr>
            <w:tcW w:w="1408" w:type="dxa"/>
            <w:tcBorders>
              <w:top w:val="single" w:color="auto" w:sz="2" w:space="0"/>
              <w:left w:val="single" w:color="auto" w:sz="2" w:space="0"/>
              <w:bottom w:val="single" w:color="auto" w:sz="4" w:space="0"/>
              <w:right w:val="single" w:color="auto" w:sz="4" w:space="0"/>
            </w:tcBorders>
            <w:vAlign w:val="center"/>
          </w:tcPr>
          <w:p>
            <w:pPr>
              <w:spacing w:line="240" w:lineRule="auto"/>
              <w:jc w:val="left"/>
              <w:rPr>
                <w:rFonts w:ascii="宋体" w:hAnsi="宋体" w:cs="宋体"/>
                <w:color w:val="auto"/>
                <w:sz w:val="22"/>
                <w:szCs w:val="22"/>
              </w:rPr>
            </w:pPr>
            <w:r>
              <w:rPr>
                <w:rFonts w:hint="eastAsia" w:ascii="宋体" w:hAnsi="宋体" w:cs="宋体"/>
                <w:color w:val="auto"/>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8" w:hRule="atLeast"/>
          <w:jc w:val="center"/>
        </w:trPr>
        <w:tc>
          <w:tcPr>
            <w:tcW w:w="1506" w:type="dxa"/>
            <w:vMerge w:val="continue"/>
            <w:tcBorders>
              <w:left w:val="single" w:color="auto" w:sz="12" w:space="0"/>
              <w:bottom w:val="single" w:color="auto" w:sz="12" w:space="0"/>
              <w:right w:val="single" w:color="auto" w:sz="4" w:space="0"/>
            </w:tcBorders>
            <w:vAlign w:val="center"/>
          </w:tcPr>
          <w:p>
            <w:pPr>
              <w:spacing w:line="240" w:lineRule="auto"/>
              <w:jc w:val="center"/>
              <w:rPr>
                <w:rFonts w:ascii="宋体" w:hAnsi="宋体" w:cs="宋体"/>
                <w:b/>
                <w:color w:val="auto"/>
                <w:sz w:val="22"/>
                <w:szCs w:val="22"/>
              </w:rPr>
            </w:pPr>
          </w:p>
        </w:tc>
        <w:tc>
          <w:tcPr>
            <w:tcW w:w="1510" w:type="dxa"/>
            <w:tcBorders>
              <w:left w:val="single" w:color="auto" w:sz="4" w:space="0"/>
              <w:bottom w:val="single" w:color="auto" w:sz="12" w:space="0"/>
              <w:right w:val="single" w:color="auto" w:sz="2" w:space="0"/>
            </w:tcBorders>
            <w:vAlign w:val="center"/>
          </w:tcPr>
          <w:p>
            <w:pPr>
              <w:spacing w:line="24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设计报价</w:t>
            </w:r>
          </w:p>
          <w:p>
            <w:pPr>
              <w:spacing w:line="240" w:lineRule="auto"/>
              <w:jc w:val="center"/>
              <w:rPr>
                <w:rFonts w:ascii="宋体" w:hAnsi="宋体" w:cs="宋体"/>
                <w:color w:val="auto"/>
                <w:sz w:val="22"/>
                <w:szCs w:val="22"/>
                <w:highlight w:val="none"/>
              </w:rPr>
            </w:pPr>
          </w:p>
        </w:tc>
        <w:tc>
          <w:tcPr>
            <w:tcW w:w="5534" w:type="dxa"/>
            <w:tcBorders>
              <w:top w:val="single" w:color="auto" w:sz="4" w:space="0"/>
              <w:left w:val="single" w:color="auto" w:sz="2" w:space="0"/>
              <w:bottom w:val="single" w:color="auto" w:sz="12" w:space="0"/>
              <w:right w:val="single" w:color="auto" w:sz="4" w:space="0"/>
            </w:tcBorders>
            <w:vAlign w:val="center"/>
          </w:tcPr>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投标人在投标函中填报投标下浮率。</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评标基准系数的确定：当有效报价小于或等于5家时，评标基准系数等于所有有效报价的算术平均值；当有效报价大于5家时，评标基准系数为所有有效报价去掉一个最高和一个最低后的算术平均值（保留四位小数）。</w:t>
            </w:r>
          </w:p>
          <w:p>
            <w:pPr>
              <w:spacing w:line="240" w:lineRule="auto"/>
              <w:jc w:val="left"/>
              <w:rPr>
                <w:rFonts w:ascii="宋体" w:hAnsi="宋体"/>
                <w:color w:val="auto"/>
                <w:sz w:val="22"/>
                <w:szCs w:val="22"/>
                <w:highlight w:val="none"/>
              </w:rPr>
            </w:pP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设计投标报价得分S2满分5分；</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S2=5-｜Ai-B｜×100÷B×C；</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S2—投标报价得分；</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Ai--投标人所报下浮率；</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B—评标基准系数；</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C—调整系数；</w:t>
            </w:r>
          </w:p>
          <w:p>
            <w:pPr>
              <w:spacing w:line="240" w:lineRule="auto"/>
              <w:jc w:val="left"/>
              <w:rPr>
                <w:rFonts w:ascii="宋体" w:hAnsi="宋体"/>
                <w:color w:val="auto"/>
                <w:sz w:val="22"/>
                <w:szCs w:val="22"/>
                <w:highlight w:val="none"/>
              </w:rPr>
            </w:pPr>
            <w:r>
              <w:rPr>
                <w:rFonts w:hint="eastAsia" w:ascii="宋体" w:hAnsi="宋体"/>
                <w:color w:val="auto"/>
                <w:sz w:val="22"/>
                <w:szCs w:val="22"/>
                <w:highlight w:val="none"/>
              </w:rPr>
              <w:t>当Ai&gt;B时，C=0.0</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；当Ai＜B时，C=0.</w:t>
            </w:r>
            <w:r>
              <w:rPr>
                <w:rFonts w:hint="eastAsia" w:ascii="宋体" w:hAnsi="宋体"/>
                <w:color w:val="auto"/>
                <w:sz w:val="22"/>
                <w:szCs w:val="22"/>
                <w:highlight w:val="none"/>
                <w:lang w:val="en-US" w:eastAsia="zh-CN"/>
              </w:rPr>
              <w:t>02</w:t>
            </w:r>
            <w:r>
              <w:rPr>
                <w:rFonts w:hint="eastAsia" w:ascii="宋体" w:hAnsi="宋体"/>
                <w:color w:val="auto"/>
                <w:sz w:val="22"/>
                <w:szCs w:val="22"/>
                <w:highlight w:val="none"/>
              </w:rPr>
              <w:t>；</w:t>
            </w:r>
          </w:p>
        </w:tc>
        <w:tc>
          <w:tcPr>
            <w:tcW w:w="1408" w:type="dxa"/>
            <w:tcBorders>
              <w:top w:val="single" w:color="auto" w:sz="4" w:space="0"/>
              <w:left w:val="single" w:color="auto" w:sz="2" w:space="0"/>
              <w:bottom w:val="single" w:color="auto" w:sz="12" w:space="0"/>
              <w:right w:val="single" w:color="auto" w:sz="4" w:space="0"/>
            </w:tcBorders>
            <w:vAlign w:val="center"/>
          </w:tcPr>
          <w:p>
            <w:pPr>
              <w:spacing w:line="240" w:lineRule="auto"/>
              <w:jc w:val="left"/>
              <w:rPr>
                <w:rFonts w:ascii="宋体" w:hAnsi="宋体" w:cs="宋体"/>
                <w:color w:val="auto"/>
                <w:sz w:val="22"/>
                <w:szCs w:val="22"/>
              </w:rPr>
            </w:pPr>
            <w:r>
              <w:rPr>
                <w:rFonts w:hint="eastAsia" w:ascii="宋体" w:hAnsi="宋体" w:cs="宋体"/>
                <w:color w:val="auto"/>
                <w:sz w:val="22"/>
                <w:szCs w:val="22"/>
              </w:rPr>
              <w:t>5</w:t>
            </w:r>
          </w:p>
        </w:tc>
      </w:tr>
    </w:tbl>
    <w:p>
      <w:pPr>
        <w:numPr>
          <w:ilvl w:val="0"/>
          <w:numId w:val="16"/>
        </w:numPr>
        <w:tabs>
          <w:tab w:val="left" w:pos="1440"/>
        </w:tabs>
        <w:adjustRightInd/>
        <w:spacing w:after="240" w:afterLines="100" w:line="240" w:lineRule="auto"/>
        <w:textAlignment w:val="auto"/>
        <w:rPr>
          <w:rFonts w:ascii="宋体" w:hAnsi="宋体" w:cs="宋体"/>
          <w:b/>
          <w:color w:val="auto"/>
          <w:kern w:val="2"/>
          <w:sz w:val="22"/>
          <w:szCs w:val="22"/>
        </w:rPr>
      </w:pPr>
      <w:r>
        <w:rPr>
          <w:rFonts w:ascii="宋体" w:hAnsi="宋体" w:cs="宋体"/>
          <w:b/>
          <w:color w:val="auto"/>
          <w:kern w:val="2"/>
          <w:sz w:val="22"/>
          <w:szCs w:val="22"/>
        </w:rPr>
        <w:br w:type="page"/>
      </w:r>
      <w:r>
        <w:rPr>
          <w:rFonts w:hint="eastAsia" w:ascii="宋体" w:hAnsi="宋体" w:cs="宋体"/>
          <w:b/>
          <w:color w:val="auto"/>
          <w:kern w:val="2"/>
          <w:sz w:val="22"/>
          <w:szCs w:val="22"/>
        </w:rPr>
        <w:t>技术分评分标准（60分）</w:t>
      </w:r>
    </w:p>
    <w:tbl>
      <w:tblPr>
        <w:tblStyle w:val="37"/>
        <w:tblpPr w:leftFromText="180" w:rightFromText="180" w:vertAnchor="text" w:tblpY="1"/>
        <w:tblOverlap w:val="never"/>
        <w:tblW w:w="979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1"/>
        <w:gridCol w:w="1153"/>
        <w:gridCol w:w="865"/>
        <w:gridCol w:w="6500"/>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7" w:hRule="atLeast"/>
        </w:trPr>
        <w:tc>
          <w:tcPr>
            <w:tcW w:w="711" w:type="dxa"/>
            <w:tcBorders>
              <w:top w:val="single" w:color="auto" w:sz="12" w:space="0"/>
              <w:left w:val="single" w:color="auto" w:sz="12"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评分项目</w:t>
            </w:r>
          </w:p>
        </w:tc>
        <w:tc>
          <w:tcPr>
            <w:tcW w:w="1153" w:type="dxa"/>
            <w:tcBorders>
              <w:top w:val="single" w:color="auto" w:sz="12" w:space="0"/>
              <w:lef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评审内容</w:t>
            </w:r>
          </w:p>
        </w:tc>
        <w:tc>
          <w:tcPr>
            <w:tcW w:w="865" w:type="dxa"/>
            <w:tcBorders>
              <w:top w:val="single" w:color="auto" w:sz="12"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分值（分）</w:t>
            </w:r>
          </w:p>
        </w:tc>
        <w:tc>
          <w:tcPr>
            <w:tcW w:w="6500" w:type="dxa"/>
            <w:tcBorders>
              <w:top w:val="single" w:color="auto" w:sz="12"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评分标准</w:t>
            </w:r>
          </w:p>
        </w:tc>
        <w:tc>
          <w:tcPr>
            <w:tcW w:w="566" w:type="dxa"/>
            <w:tcBorders>
              <w:top w:val="single" w:color="auto" w:sz="12"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711" w:type="dxa"/>
            <w:vMerge w:val="restart"/>
            <w:tcBorders>
              <w:left w:val="single" w:color="auto" w:sz="12"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技术评审（60分）</w:t>
            </w:r>
          </w:p>
        </w:tc>
        <w:tc>
          <w:tcPr>
            <w:tcW w:w="1153" w:type="dxa"/>
            <w:tcBorders>
              <w:left w:val="single" w:color="auto" w:sz="4" w:space="0"/>
              <w:bottom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对工程项目背景理解及工作目的的认知</w:t>
            </w:r>
          </w:p>
        </w:tc>
        <w:tc>
          <w:tcPr>
            <w:tcW w:w="865" w:type="dxa"/>
            <w:tcBorders>
              <w:bottom w:val="single" w:color="auto" w:sz="4" w:space="0"/>
              <w:right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10分</w:t>
            </w:r>
          </w:p>
        </w:tc>
        <w:tc>
          <w:tcPr>
            <w:tcW w:w="6500" w:type="dxa"/>
            <w:tcBorders>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1）对工程项目背景的研究准确到位，对工程目标、工作重点难度等的认识准确、合理、深入，得10分；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2）对工程项目背景的研究比较准确，对工程目标、工作重点难度等的认识比较深入，得6分；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3）对工程项目背景的研究一般，对工程目标、工作重点难度等有一定的认识，得1分；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4）对工程项目背景不了解，对工程目标、工作重点难度等的认识不到位，得1分。</w:t>
            </w:r>
          </w:p>
        </w:tc>
        <w:tc>
          <w:tcPr>
            <w:tcW w:w="566" w:type="dxa"/>
            <w:tcBorders>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711" w:type="dxa"/>
            <w:vMerge w:val="continue"/>
            <w:tcBorders>
              <w:left w:val="single" w:color="auto" w:sz="12" w:space="0"/>
              <w:right w:val="single" w:color="auto" w:sz="4" w:space="0"/>
            </w:tcBorders>
            <w:vAlign w:val="center"/>
          </w:tcPr>
          <w:p>
            <w:pPr>
              <w:spacing w:line="360" w:lineRule="auto"/>
              <w:jc w:val="center"/>
              <w:rPr>
                <w:rFonts w:ascii="宋体" w:hAnsi="宋体" w:cs="宋体"/>
                <w:b/>
                <w:color w:val="auto"/>
                <w:sz w:val="21"/>
                <w:szCs w:val="21"/>
              </w:rPr>
            </w:pPr>
          </w:p>
        </w:tc>
        <w:tc>
          <w:tcPr>
            <w:tcW w:w="1153" w:type="dxa"/>
            <w:tcBorders>
              <w:top w:val="single" w:color="auto" w:sz="4" w:space="0"/>
              <w:left w:val="single" w:color="auto" w:sz="4" w:space="0"/>
              <w:bottom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现状了解和相关问题解决方案</w:t>
            </w:r>
          </w:p>
        </w:tc>
        <w:tc>
          <w:tcPr>
            <w:tcW w:w="865" w:type="dxa"/>
            <w:tcBorders>
              <w:top w:val="single" w:color="auto" w:sz="4" w:space="0"/>
              <w:bottom w:val="single" w:color="auto" w:sz="4" w:space="0"/>
              <w:right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15分</w:t>
            </w:r>
          </w:p>
        </w:tc>
        <w:tc>
          <w:tcPr>
            <w:tcW w:w="6500"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1）对工程项目现状情况的了解和对项目实施地现状问题的认识准确到位，对工程相关问题的提出全面合理的解决方案，得15分；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2）对工程项目现状情况的了解和对项目实施地现状问题的认识比较到位，对工程相关问题的解决方案比较合理，得10分；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3）对工程项目现状情况的了解和对项目实施地现状问题的认识一般，对工程相关问题的有一定办法，得5分；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4）对工程项目现状情况的了解和对项目实施地现状问题的认识较差，对工程相关问题的解决办法不到位，得1分。</w:t>
            </w:r>
          </w:p>
        </w:tc>
        <w:tc>
          <w:tcPr>
            <w:tcW w:w="566"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711" w:type="dxa"/>
            <w:vMerge w:val="continue"/>
            <w:tcBorders>
              <w:left w:val="single" w:color="auto" w:sz="12" w:space="0"/>
              <w:right w:val="single" w:color="auto" w:sz="4" w:space="0"/>
            </w:tcBorders>
            <w:vAlign w:val="center"/>
          </w:tcPr>
          <w:p>
            <w:pPr>
              <w:spacing w:line="360" w:lineRule="auto"/>
              <w:jc w:val="center"/>
              <w:rPr>
                <w:rFonts w:ascii="宋体" w:hAnsi="宋体" w:cs="宋体"/>
                <w:b/>
                <w:color w:val="auto"/>
                <w:sz w:val="21"/>
                <w:szCs w:val="21"/>
              </w:rPr>
            </w:pPr>
          </w:p>
        </w:tc>
        <w:tc>
          <w:tcPr>
            <w:tcW w:w="1153" w:type="dxa"/>
            <w:tcBorders>
              <w:top w:val="single" w:color="auto" w:sz="4" w:space="0"/>
              <w:left w:val="single" w:color="auto" w:sz="4" w:space="0"/>
              <w:bottom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设计图纸、勘察工作方案的完善程度</w:t>
            </w:r>
          </w:p>
        </w:tc>
        <w:tc>
          <w:tcPr>
            <w:tcW w:w="865" w:type="dxa"/>
            <w:tcBorders>
              <w:top w:val="single" w:color="auto" w:sz="4" w:space="0"/>
              <w:bottom w:val="single" w:color="auto" w:sz="4" w:space="0"/>
              <w:right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20分</w:t>
            </w:r>
          </w:p>
        </w:tc>
        <w:tc>
          <w:tcPr>
            <w:tcW w:w="6500"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设计图纸、勘察,工作方案满足招标文件提出的技术条件及深度要求的完善程度：</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1)设计图纸完善合理、抓住重点、切实可行，勘察和工作方案详细，可操作性强得20分；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2)设计图纸较完整合理、较能抓住重点、较可行，勘察和工作方案较细，操作性较可行得15分；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3)设计图纸基本合理、基本能抓住重点、基本可行，勘察和工作方案基本可行，可操作性一般得10分；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4)设计图纸有缺陷、较不可行，勘察和工作方案不完善，可操作性较差得5分。</w:t>
            </w:r>
          </w:p>
        </w:tc>
        <w:tc>
          <w:tcPr>
            <w:tcW w:w="566"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7" w:hRule="atLeast"/>
        </w:trPr>
        <w:tc>
          <w:tcPr>
            <w:tcW w:w="711" w:type="dxa"/>
            <w:vMerge w:val="continue"/>
            <w:tcBorders>
              <w:left w:val="single" w:color="auto" w:sz="12" w:space="0"/>
              <w:right w:val="single" w:color="auto" w:sz="4" w:space="0"/>
            </w:tcBorders>
            <w:vAlign w:val="center"/>
          </w:tcPr>
          <w:p>
            <w:pPr>
              <w:spacing w:line="360" w:lineRule="auto"/>
              <w:jc w:val="center"/>
              <w:rPr>
                <w:rFonts w:ascii="宋体" w:hAnsi="宋体" w:cs="宋体"/>
                <w:b/>
                <w:color w:val="auto"/>
                <w:sz w:val="21"/>
                <w:szCs w:val="21"/>
              </w:rPr>
            </w:pPr>
          </w:p>
        </w:tc>
        <w:tc>
          <w:tcPr>
            <w:tcW w:w="1153" w:type="dxa"/>
            <w:tcBorders>
              <w:top w:val="single" w:color="auto" w:sz="4" w:space="0"/>
              <w:left w:val="single" w:color="auto" w:sz="4" w:space="0"/>
              <w:bottom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工作计划及进度安排</w:t>
            </w:r>
          </w:p>
        </w:tc>
        <w:tc>
          <w:tcPr>
            <w:tcW w:w="865" w:type="dxa"/>
            <w:tcBorders>
              <w:top w:val="single" w:color="auto" w:sz="4" w:space="0"/>
              <w:bottom w:val="single" w:color="auto" w:sz="4" w:space="0"/>
              <w:right w:val="single" w:color="auto" w:sz="4" w:space="0"/>
            </w:tcBorders>
            <w:vAlign w:val="center"/>
          </w:tcPr>
          <w:p>
            <w:pPr>
              <w:widowControl/>
              <w:adjustRightInd/>
              <w:spacing w:line="360" w:lineRule="auto"/>
              <w:jc w:val="left"/>
              <w:textAlignment w:val="auto"/>
              <w:rPr>
                <w:rFonts w:ascii="宋体" w:hAnsi="宋体" w:cs="宋体"/>
                <w:color w:val="auto"/>
                <w:sz w:val="21"/>
                <w:szCs w:val="21"/>
              </w:rPr>
            </w:pPr>
            <w:r>
              <w:rPr>
                <w:rFonts w:hint="eastAsia" w:ascii="宋体" w:hAnsi="宋体" w:cs="宋体"/>
                <w:color w:val="auto"/>
                <w:sz w:val="21"/>
                <w:szCs w:val="21"/>
              </w:rPr>
              <w:t>15分</w:t>
            </w:r>
          </w:p>
        </w:tc>
        <w:tc>
          <w:tcPr>
            <w:tcW w:w="6500"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1)工作计划详实，可操作性强，工作时间与进度计划合理，满足项目要求，得15分；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2)工作计划比较详实，可操作性比较强，工作时间与进度计划比较合理，比较满足项目要求，得10分；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3)工作计划简单，工作时间与进度计划基本满足项目要求，得5分；</w:t>
            </w:r>
          </w:p>
          <w:p>
            <w:pPr>
              <w:widowControl/>
              <w:adjustRightInd/>
              <w:spacing w:line="360" w:lineRule="auto"/>
              <w:jc w:val="left"/>
              <w:textAlignment w:val="auto"/>
              <w:rPr>
                <w:rFonts w:ascii="宋体" w:hAnsi="宋体" w:cs="宋体"/>
                <w:color w:val="auto"/>
                <w:sz w:val="18"/>
                <w:szCs w:val="18"/>
              </w:rPr>
            </w:pPr>
            <w:r>
              <w:rPr>
                <w:rFonts w:hint="eastAsia" w:ascii="宋体" w:hAnsi="宋体" w:cs="宋体"/>
                <w:color w:val="auto"/>
                <w:sz w:val="18"/>
                <w:szCs w:val="18"/>
              </w:rPr>
              <w:t>4)工作计划不合理，工作时间与进度计划不满足项目要求，得1分。</w:t>
            </w:r>
          </w:p>
        </w:tc>
        <w:tc>
          <w:tcPr>
            <w:tcW w:w="566" w:type="dxa"/>
            <w:tcBorders>
              <w:top w:val="single" w:color="auto" w:sz="4" w:space="0"/>
              <w:bottom w:val="single" w:color="auto" w:sz="4" w:space="0"/>
              <w:right w:val="single" w:color="auto" w:sz="4" w:space="0"/>
            </w:tcBorders>
          </w:tcPr>
          <w:p>
            <w:pPr>
              <w:widowControl/>
              <w:adjustRightInd/>
              <w:spacing w:line="360" w:lineRule="auto"/>
              <w:jc w:val="left"/>
              <w:textAlignment w:val="auto"/>
              <w:rPr>
                <w:rFonts w:ascii="宋体" w:hAnsi="宋体" w:cs="宋体"/>
                <w:color w:val="auto"/>
                <w:sz w:val="21"/>
                <w:szCs w:val="21"/>
              </w:rPr>
            </w:pPr>
          </w:p>
        </w:tc>
      </w:tr>
    </w:tbl>
    <w:p>
      <w:pPr>
        <w:pStyle w:val="6"/>
        <w:ind w:firstLine="0"/>
        <w:rPr>
          <w:color w:val="auto"/>
        </w:rPr>
      </w:pPr>
    </w:p>
    <w:p>
      <w:pPr>
        <w:tabs>
          <w:tab w:val="left" w:pos="1440"/>
        </w:tabs>
        <w:adjustRightInd/>
        <w:spacing w:after="240" w:afterLines="100" w:line="240" w:lineRule="auto"/>
        <w:textAlignment w:val="auto"/>
        <w:rPr>
          <w:rFonts w:ascii="宋体" w:hAnsi="宋体" w:cs="宋体"/>
          <w:bCs/>
          <w:color w:val="auto"/>
          <w:kern w:val="2"/>
          <w:sz w:val="22"/>
          <w:szCs w:val="22"/>
        </w:rPr>
        <w:sectPr>
          <w:pgSz w:w="11906" w:h="16838"/>
          <w:pgMar w:top="1440" w:right="1080" w:bottom="1440" w:left="1080" w:header="851" w:footer="992" w:gutter="0"/>
          <w:cols w:space="720" w:num="1"/>
          <w:docGrid w:linePitch="312" w:charSpace="0"/>
        </w:sectPr>
      </w:pPr>
      <w:r>
        <w:rPr>
          <w:rFonts w:hint="eastAsia" w:ascii="宋体" w:hAnsi="宋体" w:cs="宋体"/>
          <w:bCs/>
          <w:color w:val="auto"/>
          <w:kern w:val="2"/>
          <w:sz w:val="22"/>
          <w:szCs w:val="22"/>
        </w:rPr>
        <w:t>注：所有评委的算术平均值为投标人的最终得分，分数出现小数点，保留小数点后二位小数，第三位小数四舍五入。</w:t>
      </w:r>
    </w:p>
    <w:p>
      <w:pPr>
        <w:pStyle w:val="3"/>
        <w:jc w:val="center"/>
        <w:rPr>
          <w:color w:val="auto"/>
        </w:rPr>
      </w:pPr>
      <w:bookmarkStart w:id="498" w:name="_Toc21240"/>
    </w:p>
    <w:p>
      <w:pPr>
        <w:pStyle w:val="3"/>
        <w:jc w:val="center"/>
        <w:rPr>
          <w:color w:val="auto"/>
        </w:rPr>
      </w:pPr>
    </w:p>
    <w:p>
      <w:pPr>
        <w:pStyle w:val="3"/>
        <w:jc w:val="center"/>
        <w:rPr>
          <w:color w:val="auto"/>
        </w:rPr>
      </w:pPr>
    </w:p>
    <w:p>
      <w:pPr>
        <w:pStyle w:val="3"/>
        <w:jc w:val="center"/>
        <w:rPr>
          <w:color w:val="auto"/>
        </w:rPr>
      </w:pPr>
    </w:p>
    <w:p>
      <w:pPr>
        <w:pStyle w:val="3"/>
        <w:jc w:val="center"/>
        <w:rPr>
          <w:color w:val="auto"/>
        </w:rPr>
      </w:pPr>
    </w:p>
    <w:p>
      <w:pPr>
        <w:pStyle w:val="3"/>
        <w:jc w:val="center"/>
        <w:rPr>
          <w:color w:val="auto"/>
        </w:rPr>
      </w:pPr>
      <w:r>
        <w:rPr>
          <w:rFonts w:hint="eastAsia"/>
          <w:color w:val="auto"/>
        </w:rPr>
        <w:t>第四章 合同条款</w:t>
      </w:r>
      <w:bookmarkEnd w:id="498"/>
    </w:p>
    <w:p>
      <w:pPr>
        <w:ind w:firstLine="354" w:firstLineChars="147"/>
        <w:rPr>
          <w:b/>
          <w:bCs/>
          <w:color w:val="auto"/>
          <w:sz w:val="24"/>
          <w:szCs w:val="24"/>
        </w:rPr>
      </w:pPr>
      <w:r>
        <w:rPr>
          <w:rFonts w:hint="eastAsia"/>
          <w:b/>
          <w:color w:val="auto"/>
          <w:sz w:val="24"/>
          <w:szCs w:val="24"/>
          <w:shd w:val="clear" w:color="auto" w:fill="FFFFFF"/>
        </w:rPr>
        <w:t>（注：由招标人与中标人根据招标文件、中标人投标文件协商确定合同条款）</w:t>
      </w: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pPr>
    </w:p>
    <w:p>
      <w:pPr>
        <w:rPr>
          <w:rFonts w:ascii="宋体" w:hAnsi="宋体" w:cs="宋体"/>
          <w:color w:val="auto"/>
          <w:kern w:val="2"/>
          <w:sz w:val="21"/>
          <w:szCs w:val="21"/>
        </w:rPr>
        <w:sectPr>
          <w:pgSz w:w="11906" w:h="16838"/>
          <w:pgMar w:top="1440" w:right="1080" w:bottom="1440" w:left="1080" w:header="851" w:footer="992" w:gutter="0"/>
          <w:cols w:space="720" w:num="1"/>
          <w:docGrid w:linePitch="312" w:charSpace="0"/>
        </w:sectPr>
      </w:pPr>
      <w:r>
        <w:rPr>
          <w:rFonts w:hint="eastAsia" w:ascii="宋体" w:hAnsi="宋体" w:cs="宋体"/>
          <w:color w:val="auto"/>
          <w:kern w:val="2"/>
          <w:sz w:val="21"/>
          <w:szCs w:val="21"/>
        </w:rPr>
        <w:br w:type="page"/>
      </w:r>
    </w:p>
    <w:p>
      <w:pPr>
        <w:pStyle w:val="79"/>
        <w:jc w:val="both"/>
        <w:outlineLvl w:val="9"/>
        <w:rPr>
          <w:bCs w:val="0"/>
          <w:snapToGrid/>
          <w:color w:val="auto"/>
        </w:rPr>
      </w:pPr>
    </w:p>
    <w:p>
      <w:pPr>
        <w:pStyle w:val="79"/>
        <w:jc w:val="both"/>
        <w:outlineLvl w:val="9"/>
        <w:rPr>
          <w:bCs w:val="0"/>
          <w:snapToGrid/>
          <w:color w:val="auto"/>
        </w:rPr>
      </w:pPr>
    </w:p>
    <w:p>
      <w:pPr>
        <w:pStyle w:val="3"/>
        <w:jc w:val="center"/>
        <w:rPr>
          <w:color w:val="auto"/>
        </w:rPr>
      </w:pPr>
      <w:bookmarkStart w:id="499" w:name="_Toc26905"/>
      <w:r>
        <w:rPr>
          <w:rFonts w:hint="eastAsia"/>
          <w:color w:val="auto"/>
        </w:rPr>
        <w:t>第五章 技术标准和</w:t>
      </w:r>
      <w:bookmarkStart w:id="500" w:name="_Toc219773086"/>
      <w:r>
        <w:rPr>
          <w:rFonts w:hint="eastAsia"/>
          <w:color w:val="auto"/>
        </w:rPr>
        <w:t>设计任务书</w:t>
      </w:r>
      <w:bookmarkEnd w:id="499"/>
      <w:bookmarkEnd w:id="500"/>
    </w:p>
    <w:p>
      <w:pPr>
        <w:pStyle w:val="3"/>
        <w:jc w:val="center"/>
        <w:rPr>
          <w:color w:val="auto"/>
          <w:sz w:val="32"/>
          <w:szCs w:val="32"/>
          <w:lang w:val="zh-CN"/>
        </w:rPr>
        <w:sectPr>
          <w:pgSz w:w="11906" w:h="16838"/>
          <w:pgMar w:top="1440" w:right="1080" w:bottom="1440" w:left="1080" w:header="851" w:footer="992" w:gutter="0"/>
          <w:cols w:space="720" w:num="1"/>
          <w:docGrid w:linePitch="312" w:charSpace="0"/>
        </w:sectPr>
      </w:pPr>
    </w:p>
    <w:p>
      <w:pPr>
        <w:spacing w:line="480" w:lineRule="exact"/>
        <w:jc w:val="center"/>
        <w:rPr>
          <w:rFonts w:ascii="宋体" w:hAnsi="宋体" w:cs="宋体"/>
          <w:b/>
          <w:color w:val="auto"/>
          <w:sz w:val="32"/>
          <w:szCs w:val="32"/>
        </w:rPr>
      </w:pPr>
      <w:r>
        <w:rPr>
          <w:rFonts w:hint="eastAsia" w:ascii="宋体" w:hAnsi="宋体" w:cs="宋体"/>
          <w:b/>
          <w:color w:val="auto"/>
          <w:sz w:val="32"/>
          <w:szCs w:val="32"/>
        </w:rPr>
        <w:t>一、技术标准</w:t>
      </w:r>
    </w:p>
    <w:p>
      <w:pPr>
        <w:spacing w:line="480" w:lineRule="exact"/>
        <w:rPr>
          <w:rFonts w:ascii="宋体" w:hAnsi="宋体" w:cs="宋体"/>
          <w:b/>
          <w:bCs/>
          <w:color w:val="auto"/>
          <w:sz w:val="24"/>
          <w:szCs w:val="24"/>
        </w:rPr>
      </w:pPr>
      <w:bookmarkStart w:id="501" w:name="_Toc63675976"/>
      <w:r>
        <w:rPr>
          <w:rFonts w:hint="eastAsia" w:ascii="宋体" w:hAnsi="宋体" w:cs="宋体"/>
          <w:b/>
          <w:bCs/>
          <w:color w:val="auto"/>
          <w:sz w:val="24"/>
          <w:szCs w:val="24"/>
        </w:rPr>
        <w:t>（一）主要设计依据</w:t>
      </w:r>
      <w:bookmarkEnd w:id="501"/>
    </w:p>
    <w:p>
      <w:pPr>
        <w:spacing w:line="480" w:lineRule="exact"/>
        <w:rPr>
          <w:rFonts w:ascii="宋体" w:hAnsi="宋体" w:cs="宋体"/>
          <w:color w:val="auto"/>
          <w:sz w:val="24"/>
          <w:szCs w:val="24"/>
        </w:rPr>
      </w:pPr>
      <w:r>
        <w:rPr>
          <w:rFonts w:hint="eastAsia" w:ascii="宋体" w:hAnsi="宋体" w:cs="宋体"/>
          <w:color w:val="auto"/>
          <w:sz w:val="24"/>
          <w:szCs w:val="24"/>
        </w:rPr>
        <w:t>1、已批准的项目可行性研究报告；</w:t>
      </w:r>
    </w:p>
    <w:p>
      <w:pPr>
        <w:spacing w:line="480" w:lineRule="exact"/>
        <w:rPr>
          <w:rFonts w:ascii="宋体" w:hAnsi="宋体" w:cs="宋体"/>
          <w:color w:val="auto"/>
          <w:sz w:val="24"/>
          <w:szCs w:val="24"/>
        </w:rPr>
      </w:pPr>
      <w:r>
        <w:rPr>
          <w:rFonts w:hint="eastAsia" w:ascii="宋体" w:hAnsi="宋体" w:cs="宋体"/>
          <w:color w:val="auto"/>
          <w:sz w:val="24"/>
          <w:szCs w:val="24"/>
        </w:rPr>
        <w:t>2、用地规划设计条件；</w:t>
      </w:r>
    </w:p>
    <w:p>
      <w:pPr>
        <w:spacing w:line="480" w:lineRule="exact"/>
        <w:rPr>
          <w:rFonts w:ascii="宋体" w:hAnsi="宋体" w:cs="宋体"/>
          <w:color w:val="auto"/>
          <w:sz w:val="24"/>
          <w:szCs w:val="24"/>
        </w:rPr>
      </w:pPr>
      <w:r>
        <w:rPr>
          <w:rFonts w:hint="eastAsia" w:ascii="宋体" w:hAnsi="宋体" w:cs="宋体"/>
          <w:color w:val="auto"/>
          <w:sz w:val="24"/>
          <w:szCs w:val="24"/>
        </w:rPr>
        <w:t>3、各有关专业现行规划、设计规范、规程、规定等。</w:t>
      </w:r>
    </w:p>
    <w:p>
      <w:pPr>
        <w:tabs>
          <w:tab w:val="left" w:pos="0"/>
        </w:tabs>
        <w:autoSpaceDE w:val="0"/>
        <w:autoSpaceDN w:val="0"/>
        <w:spacing w:line="540" w:lineRule="exact"/>
        <w:jc w:val="left"/>
        <w:rPr>
          <w:rFonts w:ascii="宋体" w:hAnsi="宋体" w:cs="宋体"/>
          <w:b/>
          <w:bCs/>
          <w:color w:val="auto"/>
          <w:sz w:val="24"/>
        </w:rPr>
      </w:pPr>
      <w:bookmarkStart w:id="502" w:name="_Toc63675977"/>
      <w:r>
        <w:rPr>
          <w:rFonts w:hint="eastAsia" w:ascii="宋体" w:hAnsi="宋体" w:cs="宋体"/>
          <w:b/>
          <w:bCs/>
          <w:color w:val="auto"/>
          <w:sz w:val="24"/>
        </w:rPr>
        <w:t>（二）设计规范</w:t>
      </w:r>
      <w:bookmarkEnd w:id="502"/>
    </w:p>
    <w:p>
      <w:pPr>
        <w:spacing w:line="480" w:lineRule="exact"/>
        <w:rPr>
          <w:rFonts w:ascii="宋体" w:hAnsi="宋体" w:cs="宋体"/>
          <w:b/>
          <w:color w:val="auto"/>
          <w:sz w:val="24"/>
          <w:szCs w:val="24"/>
        </w:rPr>
      </w:pPr>
      <w:r>
        <w:rPr>
          <w:rFonts w:hint="eastAsia" w:ascii="宋体" w:hAnsi="宋体" w:cs="宋体"/>
          <w:b/>
          <w:color w:val="auto"/>
          <w:sz w:val="24"/>
          <w:szCs w:val="24"/>
        </w:rPr>
        <w:t>1、技术规范：</w:t>
      </w:r>
    </w:p>
    <w:p>
      <w:pPr>
        <w:autoSpaceDE w:val="0"/>
        <w:autoSpaceDN w:val="0"/>
        <w:spacing w:line="540" w:lineRule="exact"/>
        <w:ind w:firstLine="480" w:firstLineChars="200"/>
        <w:jc w:val="left"/>
        <w:rPr>
          <w:rFonts w:ascii="宋体" w:hAnsi="宋体" w:cs="宋体"/>
          <w:color w:val="auto"/>
          <w:sz w:val="24"/>
        </w:rPr>
      </w:pPr>
      <w:r>
        <w:rPr>
          <w:rFonts w:hint="eastAsia" w:ascii="宋体" w:hAnsi="宋体" w:cs="宋体"/>
          <w:color w:val="auto"/>
          <w:sz w:val="24"/>
        </w:rPr>
        <w:t>设计规范以国家现行设计规范为准，如有变更以最新发布的为准。</w:t>
      </w:r>
    </w:p>
    <w:p>
      <w:pPr>
        <w:spacing w:line="520" w:lineRule="exact"/>
        <w:rPr>
          <w:rFonts w:ascii="宋体" w:hAnsi="宋体" w:cs="宋体"/>
          <w:b/>
          <w:color w:val="auto"/>
          <w:sz w:val="24"/>
          <w:szCs w:val="24"/>
        </w:rPr>
      </w:pPr>
      <w:r>
        <w:rPr>
          <w:rFonts w:hint="eastAsia" w:ascii="宋体" w:hAnsi="宋体" w:cs="宋体"/>
          <w:b/>
          <w:color w:val="auto"/>
          <w:sz w:val="24"/>
          <w:szCs w:val="24"/>
        </w:rPr>
        <w:t>2、其它相关法律法规和技术标准。</w:t>
      </w:r>
    </w:p>
    <w:p>
      <w:pPr>
        <w:pStyle w:val="18"/>
        <w:snapToGrid w:val="0"/>
        <w:spacing w:line="360" w:lineRule="exact"/>
        <w:jc w:val="center"/>
        <w:rPr>
          <w:rFonts w:hAnsi="宋体" w:cs="宋体"/>
          <w:b/>
          <w:color w:val="auto"/>
          <w:sz w:val="36"/>
        </w:rPr>
      </w:pPr>
    </w:p>
    <w:p>
      <w:pPr>
        <w:pStyle w:val="18"/>
        <w:numPr>
          <w:ilvl w:val="0"/>
          <w:numId w:val="17"/>
        </w:numPr>
        <w:snapToGrid w:val="0"/>
        <w:spacing w:line="360" w:lineRule="auto"/>
        <w:jc w:val="center"/>
        <w:rPr>
          <w:rFonts w:hAnsi="宋体" w:cs="宋体"/>
          <w:b/>
          <w:color w:val="auto"/>
          <w:sz w:val="36"/>
        </w:rPr>
      </w:pPr>
      <w:r>
        <w:rPr>
          <w:rFonts w:hint="eastAsia" w:hAnsi="宋体" w:cs="宋体"/>
          <w:b/>
          <w:color w:val="auto"/>
          <w:sz w:val="36"/>
        </w:rPr>
        <w:t>设计任务书</w:t>
      </w:r>
    </w:p>
    <w:p>
      <w:pPr>
        <w:spacing w:line="500" w:lineRule="exact"/>
        <w:rPr>
          <w:rFonts w:ascii="宋体" w:hAnsi="宋体" w:cs="宋体"/>
          <w:b/>
          <w:color w:val="auto"/>
          <w:sz w:val="24"/>
          <w:szCs w:val="24"/>
        </w:rPr>
      </w:pPr>
      <w:r>
        <w:rPr>
          <w:rFonts w:hint="eastAsia" w:ascii="宋体" w:hAnsi="宋体" w:cs="宋体"/>
          <w:b/>
          <w:color w:val="auto"/>
          <w:sz w:val="24"/>
          <w:szCs w:val="24"/>
        </w:rPr>
        <w:t>（一）项目概况</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1、项目名称：大埔县智慧停车场项目(勘察、设计)</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2、建设地点：大埔县县城</w:t>
      </w:r>
      <w:r>
        <w:rPr>
          <w:rFonts w:hint="eastAsia" w:ascii="宋体" w:hAnsi="宋体" w:cs="宋体"/>
          <w:bCs/>
          <w:color w:val="auto"/>
          <w:sz w:val="24"/>
          <w:szCs w:val="24"/>
        </w:rPr>
        <w:t>。</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项目规模：大埔县城区同仁路以北、沿河东路以西、环城大道以南、西环路、环城大道及西环路以东以及黎家坪部分路段辖区范围内的道路停车场及停车泊位进行智慧化改造，并在拥堵严重地段增建立体停车场。其中智慧化改造车位5121个，新建立体停车场4个，涉及车位1000个，占地面积约70000平方米。</w:t>
      </w:r>
    </w:p>
    <w:p>
      <w:p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4、项目建设单位：大埔县城市管理和综合执法局</w:t>
      </w:r>
    </w:p>
    <w:p>
      <w:pPr>
        <w:pStyle w:val="36"/>
        <w:ind w:left="400" w:firstLine="400"/>
        <w:rPr>
          <w:color w:val="auto"/>
        </w:rPr>
      </w:pPr>
    </w:p>
    <w:p>
      <w:pPr>
        <w:spacing w:line="360" w:lineRule="auto"/>
        <w:rPr>
          <w:rFonts w:ascii="宋体" w:hAnsi="宋体" w:cs="宋体"/>
          <w:b/>
          <w:color w:val="auto"/>
          <w:sz w:val="24"/>
          <w:szCs w:val="24"/>
        </w:rPr>
      </w:pPr>
      <w:r>
        <w:rPr>
          <w:rFonts w:hint="eastAsia" w:ascii="宋体" w:hAnsi="宋体" w:cs="宋体"/>
          <w:b/>
          <w:color w:val="auto"/>
          <w:sz w:val="24"/>
          <w:szCs w:val="24"/>
        </w:rPr>
        <w:t>（二）招标范围和内容</w:t>
      </w:r>
    </w:p>
    <w:p>
      <w:pPr>
        <w:tabs>
          <w:tab w:val="left" w:pos="1800"/>
        </w:tabs>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招标范围：大埔县城区</w:t>
      </w:r>
      <w:r>
        <w:rPr>
          <w:rFonts w:hint="eastAsia" w:ascii="宋体" w:hAnsi="宋体" w:cs="宋体"/>
          <w:bCs/>
          <w:color w:val="auto"/>
          <w:sz w:val="24"/>
          <w:szCs w:val="24"/>
        </w:rPr>
        <w:t>。</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完成大埔县城区范围内的勘察工作（含详细勘察、技术资料、后期服务等）、设计工作（含方案设计、初步设计、施工图设计、施工图预算编制，施工过程中的设计变更，提供与本合同工作勘察、设计至工程竣工各阶段的相关服务），最终的勘察、设计成果必须达到满足正常审图、施工和验收的要求。</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（三）勘察要求：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1、初步勘察：应符合设计的要求，其主要任务是：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a．初步查明场址地层岩性、构造、岩土的物理力学性质、水文地质条件及冻结层深度；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b．查明场地不良地质现象的成因类型、分布范围、对场地稳定性的影响程度及其发展趋势；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c．对设计地震裂度为七级及其以上的建筑物，应判定场地和地基的地震效应；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d.对水工建筑物场地区附近的天然建筑材料进行初查。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2、详细勘察：应符合施工图设计的要求，其主要任务是：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a．查明场地内的地层结构、岩土的物理力学性质，并对地基的稳定性、压缩性及容许承载力作出评价；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b．查明地下水类型、埋藏条件和侵蚀性，必要时还需查明地层的渗透性、水位变化幅度及其规律；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c．提供不良地质现象的整、防治工程所需资料和数据；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d．判定和查明地基岩土和地下水在建筑物施工和使用中可能产生的变化和影响及其防治所需的资料；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e．对水工建筑区附近的天然建筑材料进行详查。 </w:t>
      </w:r>
    </w:p>
    <w:p>
      <w:pPr>
        <w:spacing w:line="500" w:lineRule="exact"/>
        <w:rPr>
          <w:rFonts w:ascii="宋体" w:hAnsi="宋体" w:cs="宋体"/>
          <w:bCs/>
          <w:color w:val="auto"/>
          <w:sz w:val="24"/>
          <w:szCs w:val="24"/>
        </w:rPr>
      </w:pPr>
      <w:r>
        <w:rPr>
          <w:rFonts w:hint="eastAsia" w:ascii="宋体" w:hAnsi="宋体" w:cs="宋体"/>
          <w:bCs/>
          <w:color w:val="auto"/>
          <w:sz w:val="24"/>
          <w:szCs w:val="24"/>
        </w:rPr>
        <w:t xml:space="preserve">（四）设计要求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1、设计应按照科学发展观，全面贯彻适用、经济，在可能条件下注意美观的原则。工程设计要与当地经济发展水平相适应，积极鼓励采用节能、节地、节水、节材、环保技术的工程设计。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2、建筑工程设计应严格执行《建设工程质量管理条例》、《建设工程勘察勘察、设计管理条例》和国家强制性标准条文；满足现行的建筑工程建设标准、设计规范（规程）和招标文件规定的相应设计文件编制深度要求。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3、提交的设计文件应符合有关主管部门制定的设计标准、规范、规程、定额和办法的要求，并能够通过相关部门审查。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4、设计应符合本项目可行性研究报告等前期工作文件有关规定和规划设计条件的有关要求。 </w:t>
      </w:r>
    </w:p>
    <w:p>
      <w:pPr>
        <w:spacing w:line="500" w:lineRule="exact"/>
        <w:rPr>
          <w:rFonts w:ascii="宋体" w:hAnsi="宋体" w:cs="宋体"/>
          <w:bCs/>
          <w:color w:val="auto"/>
          <w:sz w:val="24"/>
          <w:szCs w:val="24"/>
        </w:rPr>
      </w:pPr>
      <w:r>
        <w:rPr>
          <w:rFonts w:hint="eastAsia" w:ascii="宋体" w:hAnsi="宋体" w:cs="宋体"/>
          <w:bCs/>
          <w:color w:val="auto"/>
          <w:sz w:val="24"/>
          <w:szCs w:val="24"/>
        </w:rPr>
        <w:t xml:space="preserve">（五）服务要求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1、设计单位应将设计及相关技术工程的工作大纲、实施计划等，提前报送业主审批。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2、设计单位应按设计合同规定的时间和要求，根据业主使用功能要求重新进行平面布置，对设计方案作规范性和合理性审查提出合理意见并负责优化和修改，业主确认后进行方案设计、施工图设计（含预算）。 </w:t>
      </w:r>
    </w:p>
    <w:p>
      <w:pPr>
        <w:spacing w:line="50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设计单位应主动配合业主，提供向政府主管部门申报施工图设计（含预算）。 </w:t>
      </w:r>
    </w:p>
    <w:p>
      <w:pPr>
        <w:numPr>
          <w:ilvl w:val="0"/>
          <w:numId w:val="18"/>
        </w:numPr>
        <w:spacing w:line="500" w:lineRule="exact"/>
        <w:rPr>
          <w:rFonts w:ascii="宋体" w:hAnsi="宋体" w:cs="宋体"/>
          <w:bCs/>
          <w:color w:val="auto"/>
          <w:sz w:val="24"/>
          <w:szCs w:val="24"/>
        </w:rPr>
      </w:pPr>
      <w:r>
        <w:rPr>
          <w:rFonts w:hint="eastAsia" w:ascii="宋体" w:hAnsi="宋体" w:cs="宋体"/>
          <w:bCs/>
          <w:color w:val="auto"/>
          <w:sz w:val="24"/>
          <w:szCs w:val="24"/>
        </w:rPr>
        <w:t xml:space="preserve">勘察、设计周期： </w:t>
      </w:r>
    </w:p>
    <w:p>
      <w:pPr>
        <w:pStyle w:val="6"/>
        <w:snapToGrid w:val="0"/>
        <w:spacing w:line="288" w:lineRule="auto"/>
        <w:ind w:firstLine="480" w:firstLineChars="200"/>
        <w:rPr>
          <w:rFonts w:ascii="宋体" w:hAnsi="宋体" w:cs="宋体"/>
          <w:bCs/>
          <w:color w:val="auto"/>
          <w:kern w:val="0"/>
          <w:sz w:val="24"/>
          <w:szCs w:val="24"/>
        </w:rPr>
      </w:pPr>
      <w:r>
        <w:rPr>
          <w:rFonts w:hint="eastAsia" w:ascii="宋体" w:hAnsi="宋体" w:cs="宋体"/>
          <w:bCs/>
          <w:color w:val="auto"/>
          <w:sz w:val="24"/>
          <w:szCs w:val="24"/>
        </w:rPr>
        <w:t>总工期30天，</w:t>
      </w:r>
      <w:r>
        <w:rPr>
          <w:rFonts w:hint="eastAsia" w:ascii="宋体" w:hAnsi="宋体" w:cs="宋体"/>
          <w:color w:val="auto"/>
          <w:sz w:val="24"/>
          <w:szCs w:val="24"/>
        </w:rPr>
        <w:t>其中，勘察：合同签订后25个日历天内完成。设计：（1）方案设计：合同签订后10个日历天内；（2）施工图设计：建设工程规划许可证核发后20个日历天内</w:t>
      </w:r>
      <w:r>
        <w:rPr>
          <w:rFonts w:hint="eastAsia" w:ascii="宋体" w:hAnsi="宋体" w:cs="宋体"/>
          <w:bCs/>
          <w:color w:val="auto"/>
          <w:kern w:val="0"/>
          <w:sz w:val="24"/>
          <w:szCs w:val="24"/>
        </w:rPr>
        <w:t>。</w:t>
      </w:r>
    </w:p>
    <w:p>
      <w:pPr>
        <w:pStyle w:val="6"/>
        <w:snapToGrid w:val="0"/>
        <w:spacing w:line="288" w:lineRule="auto"/>
        <w:ind w:firstLine="480" w:firstLineChars="200"/>
        <w:rPr>
          <w:rFonts w:ascii="宋体" w:hAnsi="宋体" w:cs="宋体"/>
          <w:bCs/>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rPr>
      </w:pPr>
    </w:p>
    <w:p>
      <w:pPr>
        <w:pStyle w:val="36"/>
        <w:ind w:left="400" w:firstLine="482"/>
        <w:rPr>
          <w:rFonts w:ascii="宋体" w:hAnsi="宋体" w:cs="宋体"/>
          <w:b/>
          <w:color w:val="auto"/>
          <w:sz w:val="24"/>
          <w:szCs w:val="24"/>
          <w:lang w:val="zh-CN"/>
        </w:rPr>
      </w:pPr>
    </w:p>
    <w:p>
      <w:pPr>
        <w:spacing w:line="520" w:lineRule="exact"/>
        <w:ind w:firstLine="640" w:firstLineChars="200"/>
        <w:rPr>
          <w:rFonts w:ascii="宋体" w:hAnsi="宋体" w:cs="宋体"/>
          <w:color w:val="auto"/>
          <w:sz w:val="32"/>
          <w:szCs w:val="32"/>
          <w:lang w:val="zh-CN"/>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spacing w:line="520" w:lineRule="exact"/>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
        <w:jc w:val="center"/>
        <w:rPr>
          <w:color w:val="auto"/>
        </w:rPr>
      </w:pPr>
      <w:bookmarkStart w:id="503" w:name="_Toc2334"/>
      <w:r>
        <w:rPr>
          <w:rFonts w:hint="eastAsia"/>
          <w:color w:val="auto"/>
        </w:rPr>
        <w:t>第六章 设计有关资料（另附）</w:t>
      </w:r>
      <w:bookmarkEnd w:id="503"/>
    </w:p>
    <w:p>
      <w:pPr>
        <w:pStyle w:val="79"/>
        <w:jc w:val="both"/>
        <w:outlineLvl w:val="9"/>
        <w:rPr>
          <w:bCs w:val="0"/>
          <w:snapToGrid/>
          <w:color w:val="auto"/>
          <w:sz w:val="32"/>
          <w:szCs w:val="32"/>
        </w:rPr>
      </w:pPr>
    </w:p>
    <w:p>
      <w:pPr>
        <w:jc w:val="center"/>
        <w:rPr>
          <w:rFonts w:ascii="宋体" w:hAnsi="宋体" w:cs="宋体"/>
          <w:b/>
          <w:color w:val="auto"/>
          <w:kern w:val="2"/>
          <w:sz w:val="28"/>
          <w:szCs w:val="28"/>
        </w:rPr>
      </w:pPr>
    </w:p>
    <w:p>
      <w:pPr>
        <w:pStyle w:val="79"/>
        <w:ind w:left="1770"/>
        <w:jc w:val="both"/>
        <w:outlineLvl w:val="9"/>
        <w:rPr>
          <w:b w:val="0"/>
          <w:color w:val="auto"/>
          <w:sz w:val="28"/>
          <w:szCs w:val="28"/>
        </w:rPr>
      </w:pPr>
      <w:r>
        <w:rPr>
          <w:rFonts w:hint="eastAsia"/>
          <w:b w:val="0"/>
          <w:color w:val="auto"/>
          <w:sz w:val="28"/>
          <w:szCs w:val="28"/>
        </w:rPr>
        <w:br w:type="page"/>
      </w:r>
    </w:p>
    <w:p>
      <w:pPr>
        <w:pStyle w:val="79"/>
        <w:ind w:left="1770"/>
        <w:jc w:val="both"/>
        <w:outlineLvl w:val="9"/>
        <w:rPr>
          <w:b w:val="0"/>
          <w:color w:val="auto"/>
          <w:sz w:val="28"/>
          <w:szCs w:val="28"/>
        </w:rPr>
      </w:pPr>
    </w:p>
    <w:p>
      <w:pPr>
        <w:pStyle w:val="79"/>
        <w:ind w:left="1770"/>
        <w:jc w:val="both"/>
        <w:outlineLvl w:val="9"/>
        <w:rPr>
          <w:b w:val="0"/>
          <w:color w:val="auto"/>
          <w:sz w:val="28"/>
          <w:szCs w:val="28"/>
        </w:rPr>
      </w:pPr>
    </w:p>
    <w:p>
      <w:pPr>
        <w:pStyle w:val="3"/>
        <w:jc w:val="center"/>
        <w:rPr>
          <w:color w:val="auto"/>
        </w:rPr>
      </w:pPr>
      <w:bookmarkStart w:id="504" w:name="_Toc16008"/>
    </w:p>
    <w:p>
      <w:pPr>
        <w:pStyle w:val="3"/>
        <w:jc w:val="center"/>
        <w:rPr>
          <w:color w:val="auto"/>
        </w:rPr>
      </w:pPr>
      <w:r>
        <w:rPr>
          <w:rFonts w:hint="eastAsia"/>
          <w:color w:val="auto"/>
        </w:rPr>
        <w:t>第七章 投标文件格式</w:t>
      </w:r>
      <w:bookmarkEnd w:id="504"/>
    </w:p>
    <w:p>
      <w:pPr>
        <w:pStyle w:val="3"/>
        <w:jc w:val="center"/>
        <w:rPr>
          <w:rFonts w:ascii="宋体" w:hAnsi="宋体" w:cs="宋体"/>
          <w:color w:val="auto"/>
          <w:kern w:val="2"/>
          <w:sz w:val="21"/>
          <w:szCs w:val="21"/>
        </w:rPr>
        <w:sectPr>
          <w:headerReference r:id="rId7" w:type="default"/>
          <w:pgSz w:w="11906" w:h="16838"/>
          <w:pgMar w:top="1440" w:right="1080" w:bottom="1440" w:left="1080" w:header="851" w:footer="992" w:gutter="0"/>
          <w:cols w:space="720" w:num="1"/>
          <w:docGrid w:linePitch="312" w:charSpace="0"/>
        </w:sectPr>
      </w:pPr>
    </w:p>
    <w:p>
      <w:pPr>
        <w:outlineLvl w:val="1"/>
        <w:rPr>
          <w:b/>
          <w:color w:val="auto"/>
          <w:sz w:val="32"/>
          <w:szCs w:val="32"/>
        </w:rPr>
      </w:pPr>
      <w:bookmarkStart w:id="505" w:name="_Toc26572"/>
      <w:bookmarkStart w:id="506" w:name="_Toc382322021"/>
      <w:bookmarkStart w:id="507" w:name="_Toc382381150"/>
      <w:bookmarkStart w:id="508" w:name="_Toc219773167"/>
      <w:r>
        <w:rPr>
          <w:rFonts w:hint="eastAsia"/>
          <w:b/>
          <w:color w:val="auto"/>
          <w:sz w:val="32"/>
          <w:szCs w:val="32"/>
        </w:rPr>
        <w:t>一、投标文件封套格式</w:t>
      </w:r>
      <w:bookmarkEnd w:id="505"/>
      <w:bookmarkEnd w:id="506"/>
      <w:bookmarkEnd w:id="507"/>
    </w:p>
    <w:tbl>
      <w:tblPr>
        <w:tblStyle w:val="37"/>
        <w:tblW w:w="9962" w:type="dxa"/>
        <w:tblInd w:w="0" w:type="dxa"/>
        <w:tblLayout w:type="fixed"/>
        <w:tblCellMar>
          <w:top w:w="0" w:type="dxa"/>
          <w:left w:w="108" w:type="dxa"/>
          <w:bottom w:w="0" w:type="dxa"/>
          <w:right w:w="108" w:type="dxa"/>
        </w:tblCellMar>
      </w:tblPr>
      <w:tblGrid>
        <w:gridCol w:w="635"/>
        <w:gridCol w:w="335"/>
        <w:gridCol w:w="8992"/>
      </w:tblGrid>
      <w:tr>
        <w:trPr>
          <w:trHeight w:val="724" w:hRule="exact"/>
        </w:trPr>
        <w:tc>
          <w:tcPr>
            <w:tcW w:w="9962" w:type="dxa"/>
            <w:gridSpan w:val="3"/>
            <w:tcBorders>
              <w:top w:val="nil"/>
              <w:left w:val="nil"/>
              <w:bottom w:val="single" w:color="auto" w:sz="18" w:space="0"/>
              <w:right w:val="nil"/>
            </w:tcBorders>
            <w:vAlign w:val="center"/>
          </w:tcPr>
          <w:p>
            <w:pPr>
              <w:widowControl/>
              <w:jc w:val="center"/>
              <w:rPr>
                <w:rFonts w:ascii="宋体" w:hAnsi="宋体" w:cs="宋体"/>
                <w:b/>
                <w:color w:val="auto"/>
                <w:sz w:val="48"/>
                <w:szCs w:val="48"/>
              </w:rPr>
            </w:pPr>
            <w:r>
              <w:rPr>
                <w:rFonts w:hint="eastAsia" w:ascii="宋体" w:hAnsi="宋体" w:cs="宋体"/>
                <w:b/>
                <w:color w:val="auto"/>
                <w:sz w:val="48"/>
                <w:szCs w:val="48"/>
              </w:rPr>
              <w:t>投标文件封套</w:t>
            </w:r>
          </w:p>
        </w:tc>
      </w:tr>
      <w:tr>
        <w:tblPrEx>
          <w:tblCellMar>
            <w:top w:w="0" w:type="dxa"/>
            <w:left w:w="108" w:type="dxa"/>
            <w:bottom w:w="0" w:type="dxa"/>
            <w:right w:w="108" w:type="dxa"/>
          </w:tblCellMar>
        </w:tblPrEx>
        <w:trPr>
          <w:trHeight w:val="1207" w:hRule="exact"/>
        </w:trPr>
        <w:tc>
          <w:tcPr>
            <w:tcW w:w="9962" w:type="dxa"/>
            <w:gridSpan w:val="3"/>
            <w:tcBorders>
              <w:top w:val="single" w:color="auto" w:sz="18" w:space="0"/>
              <w:left w:val="single" w:color="auto" w:sz="18" w:space="0"/>
              <w:bottom w:val="nil"/>
              <w:right w:val="single" w:color="auto" w:sz="18" w:space="0"/>
            </w:tcBorders>
            <w:vAlign w:val="center"/>
          </w:tcPr>
          <w:p>
            <w:pPr>
              <w:widowControl/>
              <w:ind w:left="1960" w:hanging="1960" w:hangingChars="700"/>
              <w:rPr>
                <w:rFonts w:ascii="宋体" w:hAnsi="宋体" w:cs="宋体"/>
                <w:color w:val="auto"/>
                <w:sz w:val="28"/>
                <w:szCs w:val="28"/>
              </w:rPr>
            </w:pPr>
          </w:p>
          <w:p>
            <w:pPr>
              <w:widowControl/>
              <w:ind w:left="1960" w:hanging="1960" w:hangingChars="700"/>
              <w:rPr>
                <w:rFonts w:ascii="宋体" w:hAnsi="宋体" w:cs="宋体"/>
                <w:color w:val="auto"/>
                <w:sz w:val="28"/>
                <w:szCs w:val="28"/>
              </w:rPr>
            </w:pPr>
            <w:r>
              <w:rPr>
                <w:rFonts w:hint="eastAsia" w:ascii="宋体" w:hAnsi="宋体" w:cs="宋体"/>
                <w:color w:val="auto"/>
                <w:sz w:val="28"/>
                <w:szCs w:val="28"/>
              </w:rPr>
              <w:t>投标项目名称：</w:t>
            </w:r>
            <w:r>
              <w:rPr>
                <w:rFonts w:hint="eastAsia" w:ascii="宋体" w:hAnsi="宋体" w:cs="宋体"/>
                <w:b/>
                <w:color w:val="auto"/>
                <w:sz w:val="28"/>
                <w:szCs w:val="28"/>
                <w:u w:val="single"/>
              </w:rPr>
              <w:t>大埔县智慧停车场项目(勘察、设计)</w:t>
            </w: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ind w:left="1960" w:hanging="1960" w:hangingChars="700"/>
              <w:rPr>
                <w:rFonts w:ascii="宋体" w:hAnsi="宋体" w:cs="宋体"/>
                <w:color w:val="auto"/>
                <w:sz w:val="28"/>
                <w:szCs w:val="28"/>
              </w:rPr>
            </w:pPr>
          </w:p>
          <w:p>
            <w:pPr>
              <w:widowControl/>
              <w:ind w:left="1960" w:hanging="1960" w:hangingChars="700"/>
              <w:rPr>
                <w:rFonts w:ascii="宋体" w:hAnsi="宋体" w:cs="宋体"/>
                <w:color w:val="auto"/>
                <w:sz w:val="28"/>
                <w:szCs w:val="28"/>
                <w:u w:val="single"/>
              </w:rPr>
            </w:pPr>
            <w:r>
              <w:rPr>
                <w:rFonts w:hint="eastAsia" w:ascii="宋体" w:hAnsi="宋体" w:cs="宋体"/>
                <w:color w:val="auto"/>
                <w:sz w:val="28"/>
                <w:szCs w:val="28"/>
              </w:rPr>
              <w:t>投标文件内容：</w:t>
            </w:r>
            <w:r>
              <w:rPr>
                <w:rFonts w:hint="eastAsia" w:ascii="宋体" w:hAnsi="宋体" w:cs="宋体"/>
                <w:color w:val="auto"/>
                <w:sz w:val="28"/>
                <w:szCs w:val="28"/>
                <w:u w:val="single"/>
              </w:rPr>
              <w:t xml:space="preserve">【 】资格审查文件  【 】商务标书  【 】技术标书      </w:t>
            </w:r>
          </w:p>
          <w:p>
            <w:pPr>
              <w:widowControl/>
              <w:rPr>
                <w:rFonts w:ascii="宋体" w:hAnsi="宋体" w:cs="宋体"/>
                <w:color w:val="auto"/>
                <w:sz w:val="28"/>
                <w:szCs w:val="28"/>
              </w:rPr>
            </w:pP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u w:val="single"/>
              </w:rPr>
            </w:pPr>
            <w:r>
              <w:rPr>
                <w:rFonts w:hint="eastAsia" w:ascii="宋体" w:hAnsi="宋体" w:cs="宋体"/>
                <w:color w:val="auto"/>
                <w:sz w:val="28"/>
                <w:szCs w:val="28"/>
              </w:rPr>
              <w:t>投标人全称（公章）：</w:t>
            </w:r>
            <w:r>
              <w:rPr>
                <w:rFonts w:hint="eastAsia" w:ascii="宋体" w:hAnsi="宋体" w:cs="宋体"/>
                <w:color w:val="auto"/>
                <w:sz w:val="28"/>
                <w:szCs w:val="28"/>
                <w:u w:val="single"/>
              </w:rPr>
              <w:t xml:space="preserve">                                    </w:t>
            </w: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u w:val="single"/>
              </w:rPr>
            </w:pPr>
            <w:r>
              <w:rPr>
                <w:rFonts w:hint="eastAsia" w:hAnsi="宋体" w:cs="宋体"/>
                <w:color w:val="auto"/>
                <w:sz w:val="28"/>
                <w:szCs w:val="28"/>
              </w:rPr>
              <w:t>法定代表人或其委托代理人</w:t>
            </w:r>
            <w:r>
              <w:rPr>
                <w:rFonts w:hint="eastAsia" w:ascii="宋体" w:hAnsi="宋体" w:cs="宋体"/>
                <w:color w:val="auto"/>
                <w:sz w:val="28"/>
                <w:szCs w:val="28"/>
              </w:rPr>
              <w:t>签字：</w:t>
            </w:r>
            <w:r>
              <w:rPr>
                <w:rFonts w:hint="eastAsia" w:ascii="宋体" w:hAnsi="宋体" w:cs="宋体"/>
                <w:color w:val="auto"/>
                <w:sz w:val="28"/>
                <w:szCs w:val="28"/>
                <w:u w:val="single"/>
              </w:rPr>
              <w:t xml:space="preserve">                                        </w:t>
            </w:r>
          </w:p>
          <w:p>
            <w:pPr>
              <w:widowControl/>
              <w:rPr>
                <w:rFonts w:ascii="宋体" w:hAnsi="宋体" w:cs="宋体"/>
                <w:color w:val="auto"/>
                <w:sz w:val="28"/>
                <w:szCs w:val="28"/>
              </w:rPr>
            </w:pPr>
          </w:p>
          <w:p>
            <w:pPr>
              <w:widowControl/>
              <w:rPr>
                <w:rFonts w:ascii="宋体" w:hAnsi="宋体" w:cs="宋体"/>
                <w:color w:val="auto"/>
                <w:sz w:val="28"/>
                <w:szCs w:val="28"/>
              </w:rPr>
            </w:pPr>
          </w:p>
          <w:p>
            <w:pPr>
              <w:widowControl/>
              <w:rPr>
                <w:rFonts w:ascii="宋体" w:hAnsi="宋体" w:cs="宋体"/>
                <w:color w:val="auto"/>
                <w:sz w:val="28"/>
                <w:szCs w:val="28"/>
              </w:rPr>
            </w:pPr>
          </w:p>
        </w:tc>
      </w:tr>
      <w:tr>
        <w:tblPrEx>
          <w:tblCellMar>
            <w:top w:w="0" w:type="dxa"/>
            <w:left w:w="108" w:type="dxa"/>
            <w:bottom w:w="0" w:type="dxa"/>
            <w:right w:w="108" w:type="dxa"/>
          </w:tblCellMar>
        </w:tblPrEx>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u w:val="single"/>
              </w:rPr>
            </w:pPr>
            <w:r>
              <w:rPr>
                <w:rFonts w:hint="eastAsia" w:ascii="宋体" w:hAnsi="宋体" w:cs="宋体"/>
                <w:color w:val="auto"/>
                <w:sz w:val="28"/>
                <w:szCs w:val="28"/>
              </w:rPr>
              <w:t>投标人地址：</w:t>
            </w:r>
            <w:r>
              <w:rPr>
                <w:rFonts w:hint="eastAsia" w:ascii="宋体" w:hAnsi="宋体" w:cs="宋体"/>
                <w:color w:val="auto"/>
                <w:sz w:val="28"/>
                <w:szCs w:val="28"/>
                <w:u w:val="single"/>
              </w:rPr>
              <w:t xml:space="preserve">                       </w:t>
            </w:r>
            <w:r>
              <w:rPr>
                <w:rFonts w:hint="eastAsia" w:ascii="宋体" w:hAnsi="宋体" w:cs="宋体"/>
                <w:color w:val="auto"/>
                <w:sz w:val="28"/>
                <w:szCs w:val="28"/>
              </w:rPr>
              <w:t>邮编：</w:t>
            </w:r>
            <w:r>
              <w:rPr>
                <w:rFonts w:hint="eastAsia" w:ascii="宋体" w:hAnsi="宋体" w:cs="宋体"/>
                <w:color w:val="auto"/>
                <w:sz w:val="28"/>
                <w:szCs w:val="28"/>
                <w:u w:val="single"/>
              </w:rPr>
              <w:t xml:space="preserve">               </w:t>
            </w:r>
          </w:p>
          <w:p>
            <w:pPr>
              <w:widowControl/>
              <w:rPr>
                <w:rFonts w:ascii="宋体" w:hAnsi="宋体" w:cs="宋体"/>
                <w:color w:val="auto"/>
                <w:sz w:val="28"/>
                <w:szCs w:val="28"/>
                <w:u w:val="single"/>
              </w:rPr>
            </w:pPr>
          </w:p>
          <w:p>
            <w:pPr>
              <w:widowControl/>
              <w:rPr>
                <w:rFonts w:ascii="宋体" w:hAnsi="宋体" w:cs="宋体"/>
                <w:color w:val="auto"/>
                <w:sz w:val="28"/>
                <w:szCs w:val="28"/>
                <w:u w:val="single"/>
              </w:rPr>
            </w:pPr>
          </w:p>
          <w:p>
            <w:pPr>
              <w:widowControl/>
              <w:rPr>
                <w:rFonts w:ascii="宋体" w:hAnsi="宋体" w:cs="宋体"/>
                <w:color w:val="auto"/>
                <w:sz w:val="28"/>
                <w:szCs w:val="28"/>
                <w:u w:val="single"/>
              </w:rPr>
            </w:pPr>
          </w:p>
          <w:p>
            <w:pPr>
              <w:widowControl/>
              <w:rPr>
                <w:rFonts w:ascii="宋体" w:hAnsi="宋体" w:cs="宋体"/>
                <w:color w:val="auto"/>
                <w:sz w:val="28"/>
                <w:szCs w:val="28"/>
                <w:u w:val="single"/>
              </w:rPr>
            </w:pPr>
          </w:p>
        </w:tc>
      </w:tr>
      <w:tr>
        <w:trPr>
          <w:trHeight w:val="1207" w:hRule="exact"/>
        </w:trPr>
        <w:tc>
          <w:tcPr>
            <w:tcW w:w="9962" w:type="dxa"/>
            <w:gridSpan w:val="3"/>
            <w:tcBorders>
              <w:top w:val="nil"/>
              <w:left w:val="single" w:color="auto" w:sz="18" w:space="0"/>
              <w:bottom w:val="nil"/>
              <w:right w:val="single" w:color="auto" w:sz="18" w:space="0"/>
            </w:tcBorders>
            <w:vAlign w:val="center"/>
          </w:tcPr>
          <w:p>
            <w:pPr>
              <w:widowControl/>
              <w:rPr>
                <w:rFonts w:ascii="宋体" w:hAnsi="宋体" w:cs="宋体"/>
                <w:color w:val="auto"/>
                <w:sz w:val="28"/>
                <w:szCs w:val="28"/>
                <w:u w:val="single"/>
              </w:rPr>
            </w:pPr>
            <w:r>
              <w:rPr>
                <w:rFonts w:hint="eastAsia" w:ascii="宋体" w:hAnsi="宋体" w:cs="宋体"/>
                <w:color w:val="auto"/>
                <w:sz w:val="28"/>
                <w:szCs w:val="28"/>
              </w:rPr>
              <w:t>投标联系人：</w:t>
            </w:r>
            <w:r>
              <w:rPr>
                <w:rFonts w:hint="eastAsia" w:ascii="宋体" w:hAnsi="宋体" w:cs="宋体"/>
                <w:color w:val="auto"/>
                <w:sz w:val="28"/>
                <w:szCs w:val="28"/>
                <w:u w:val="single"/>
              </w:rPr>
              <w:t xml:space="preserve">                    </w:t>
            </w:r>
            <w:r>
              <w:rPr>
                <w:rFonts w:hint="eastAsia" w:ascii="宋体" w:hAnsi="宋体" w:cs="宋体"/>
                <w:color w:val="auto"/>
                <w:sz w:val="28"/>
                <w:szCs w:val="28"/>
              </w:rPr>
              <w:t>电话：</w:t>
            </w:r>
            <w:r>
              <w:rPr>
                <w:rFonts w:hint="eastAsia" w:ascii="宋体" w:hAnsi="宋体" w:cs="宋体"/>
                <w:color w:val="auto"/>
                <w:sz w:val="28"/>
                <w:szCs w:val="28"/>
                <w:u w:val="single"/>
              </w:rPr>
              <w:t xml:space="preserve">                  </w:t>
            </w:r>
          </w:p>
          <w:p>
            <w:pPr>
              <w:widowControl/>
              <w:rPr>
                <w:rFonts w:ascii="宋体" w:hAnsi="宋体" w:cs="宋体"/>
                <w:color w:val="auto"/>
                <w:sz w:val="28"/>
                <w:szCs w:val="28"/>
                <w:u w:val="single"/>
              </w:rPr>
            </w:pPr>
          </w:p>
          <w:p>
            <w:pPr>
              <w:widowControl/>
              <w:rPr>
                <w:rFonts w:ascii="宋体" w:hAnsi="宋体" w:cs="宋体"/>
                <w:color w:val="auto"/>
                <w:sz w:val="28"/>
                <w:szCs w:val="28"/>
                <w:u w:val="single"/>
              </w:rPr>
            </w:pPr>
          </w:p>
        </w:tc>
      </w:tr>
      <w:tr>
        <w:trPr>
          <w:trHeight w:val="760" w:hRule="exact"/>
        </w:trPr>
        <w:tc>
          <w:tcPr>
            <w:tcW w:w="635" w:type="dxa"/>
            <w:tcBorders>
              <w:top w:val="nil"/>
              <w:left w:val="single" w:color="auto" w:sz="18" w:space="0"/>
              <w:bottom w:val="nil"/>
              <w:right w:val="nil"/>
            </w:tcBorders>
            <w:vAlign w:val="center"/>
          </w:tcPr>
          <w:p>
            <w:pPr>
              <w:widowControl/>
              <w:rPr>
                <w:rFonts w:ascii="宋体" w:hAnsi="宋体" w:cs="宋体"/>
                <w:color w:val="auto"/>
                <w:sz w:val="28"/>
                <w:szCs w:val="28"/>
              </w:rPr>
            </w:pPr>
          </w:p>
        </w:tc>
        <w:tc>
          <w:tcPr>
            <w:tcW w:w="9327" w:type="dxa"/>
            <w:gridSpan w:val="2"/>
            <w:tcBorders>
              <w:top w:val="nil"/>
              <w:left w:val="nil"/>
              <w:bottom w:val="nil"/>
              <w:right w:val="single" w:color="auto" w:sz="18" w:space="0"/>
            </w:tcBorders>
            <w:vAlign w:val="center"/>
          </w:tcPr>
          <w:p>
            <w:pPr>
              <w:widowControl/>
              <w:rPr>
                <w:rFonts w:ascii="宋体" w:hAnsi="宋体" w:cs="宋体"/>
                <w:b/>
                <w:snapToGrid w:val="0"/>
                <w:color w:val="auto"/>
                <w:sz w:val="28"/>
                <w:szCs w:val="28"/>
                <w:u w:val="single"/>
              </w:rPr>
            </w:pPr>
            <w:r>
              <w:rPr>
                <w:rFonts w:hint="eastAsia" w:ascii="宋体" w:hAnsi="宋体" w:cs="宋体"/>
                <w:b/>
                <w:snapToGrid w:val="0"/>
                <w:color w:val="auto"/>
                <w:sz w:val="28"/>
                <w:szCs w:val="28"/>
                <w:u w:val="single"/>
              </w:rPr>
              <w:t xml:space="preserve">　　　年　　月　　日　　时　　分以前不得开封 </w:t>
            </w:r>
          </w:p>
          <w:p>
            <w:pPr>
              <w:widowControl/>
              <w:rPr>
                <w:rFonts w:ascii="宋体" w:hAnsi="宋体" w:cs="宋体"/>
                <w:b/>
                <w:snapToGrid w:val="0"/>
                <w:color w:val="auto"/>
                <w:sz w:val="28"/>
                <w:szCs w:val="28"/>
                <w:u w:val="single"/>
              </w:rPr>
            </w:pPr>
          </w:p>
          <w:p>
            <w:pPr>
              <w:widowControl/>
              <w:rPr>
                <w:rFonts w:ascii="宋体" w:hAnsi="宋体" w:cs="宋体"/>
                <w:b/>
                <w:snapToGrid w:val="0"/>
                <w:color w:val="auto"/>
                <w:sz w:val="28"/>
                <w:szCs w:val="28"/>
                <w:u w:val="single"/>
              </w:rPr>
            </w:pPr>
          </w:p>
          <w:p>
            <w:pPr>
              <w:widowControl/>
              <w:rPr>
                <w:rFonts w:ascii="宋体" w:hAnsi="宋体" w:cs="宋体"/>
                <w:b/>
                <w:snapToGrid w:val="0"/>
                <w:color w:val="auto"/>
                <w:sz w:val="28"/>
                <w:szCs w:val="28"/>
                <w:u w:val="single"/>
              </w:rPr>
            </w:pPr>
          </w:p>
          <w:p>
            <w:pPr>
              <w:widowControl/>
              <w:rPr>
                <w:rFonts w:ascii="宋体" w:hAnsi="宋体" w:cs="宋体"/>
                <w:color w:val="auto"/>
                <w:sz w:val="28"/>
                <w:szCs w:val="28"/>
              </w:rPr>
            </w:pPr>
          </w:p>
          <w:p>
            <w:pPr>
              <w:widowControl/>
              <w:rPr>
                <w:rFonts w:ascii="宋体" w:hAnsi="宋体" w:cs="宋体"/>
                <w:color w:val="auto"/>
                <w:sz w:val="28"/>
                <w:szCs w:val="28"/>
              </w:rPr>
            </w:pPr>
          </w:p>
          <w:p>
            <w:pPr>
              <w:widowControl/>
              <w:rPr>
                <w:rFonts w:ascii="宋体" w:hAnsi="宋体" w:cs="宋体"/>
                <w:color w:val="auto"/>
                <w:sz w:val="28"/>
                <w:szCs w:val="28"/>
              </w:rPr>
            </w:pPr>
          </w:p>
        </w:tc>
      </w:tr>
      <w:tr>
        <w:trPr>
          <w:trHeight w:val="611" w:hRule="exact"/>
        </w:trPr>
        <w:tc>
          <w:tcPr>
            <w:tcW w:w="970" w:type="dxa"/>
            <w:gridSpan w:val="2"/>
            <w:vMerge w:val="restart"/>
            <w:tcBorders>
              <w:top w:val="single" w:color="auto" w:sz="4" w:space="0"/>
              <w:left w:val="single" w:color="auto" w:sz="18" w:space="0"/>
              <w:bottom w:val="single" w:color="000000" w:sz="4" w:space="0"/>
              <w:right w:val="single" w:color="auto" w:sz="4" w:space="0"/>
            </w:tcBorders>
            <w:vAlign w:val="center"/>
          </w:tcPr>
          <w:p>
            <w:pPr>
              <w:widowControl/>
              <w:jc w:val="center"/>
              <w:rPr>
                <w:rFonts w:ascii="宋体" w:hAnsi="宋体" w:cs="宋体"/>
                <w:color w:val="auto"/>
                <w:sz w:val="28"/>
                <w:szCs w:val="28"/>
              </w:rPr>
            </w:pPr>
            <w:r>
              <w:rPr>
                <w:rFonts w:hint="eastAsia" w:ascii="宋体" w:hAnsi="宋体" w:cs="宋体"/>
                <w:color w:val="auto"/>
                <w:sz w:val="28"/>
                <w:szCs w:val="28"/>
              </w:rPr>
              <w:t>说    明</w:t>
            </w:r>
          </w:p>
        </w:tc>
        <w:tc>
          <w:tcPr>
            <w:tcW w:w="8992" w:type="dxa"/>
            <w:tcBorders>
              <w:top w:val="single" w:color="auto" w:sz="4" w:space="0"/>
              <w:left w:val="single" w:color="auto" w:sz="4" w:space="0"/>
              <w:bottom w:val="nil"/>
              <w:right w:val="single" w:color="auto" w:sz="18" w:space="0"/>
            </w:tcBorders>
            <w:vAlign w:val="center"/>
          </w:tcPr>
          <w:p>
            <w:pPr>
              <w:widowControl/>
              <w:spacing w:line="360" w:lineRule="auto"/>
              <w:rPr>
                <w:rFonts w:ascii="宋体" w:hAnsi="宋体" w:cs="宋体"/>
                <w:color w:val="auto"/>
                <w:sz w:val="28"/>
                <w:szCs w:val="28"/>
              </w:rPr>
            </w:pPr>
            <w:r>
              <w:rPr>
                <w:rFonts w:hint="eastAsia" w:ascii="宋体" w:hAnsi="宋体" w:cs="宋体"/>
                <w:color w:val="auto"/>
                <w:sz w:val="28"/>
                <w:szCs w:val="28"/>
              </w:rPr>
              <w:t>1.投标文件封面必须用永久性笔迹详细填写或打印；</w:t>
            </w:r>
          </w:p>
        </w:tc>
      </w:tr>
      <w:tr>
        <w:trPr>
          <w:trHeight w:val="564" w:hRule="exact"/>
        </w:trPr>
        <w:tc>
          <w:tcPr>
            <w:tcW w:w="970" w:type="dxa"/>
            <w:gridSpan w:val="2"/>
            <w:vMerge w:val="continue"/>
            <w:tcBorders>
              <w:top w:val="nil"/>
              <w:left w:val="single" w:color="auto" w:sz="18" w:space="0"/>
              <w:bottom w:val="single" w:color="000000" w:sz="4" w:space="0"/>
              <w:right w:val="single" w:color="auto" w:sz="4" w:space="0"/>
            </w:tcBorders>
            <w:vAlign w:val="center"/>
          </w:tcPr>
          <w:p>
            <w:pPr>
              <w:widowControl/>
              <w:rPr>
                <w:rFonts w:ascii="宋体" w:hAnsi="宋体" w:cs="宋体"/>
                <w:color w:val="auto"/>
                <w:sz w:val="28"/>
                <w:szCs w:val="28"/>
              </w:rPr>
            </w:pPr>
          </w:p>
        </w:tc>
        <w:tc>
          <w:tcPr>
            <w:tcW w:w="8992" w:type="dxa"/>
            <w:tcBorders>
              <w:top w:val="nil"/>
              <w:left w:val="single" w:color="auto" w:sz="4" w:space="0"/>
              <w:bottom w:val="nil"/>
              <w:right w:val="single" w:color="auto" w:sz="18" w:space="0"/>
            </w:tcBorders>
            <w:vAlign w:val="center"/>
          </w:tcPr>
          <w:p>
            <w:pPr>
              <w:widowControl/>
              <w:numPr>
                <w:ilvl w:val="0"/>
                <w:numId w:val="19"/>
              </w:numPr>
              <w:spacing w:line="360" w:lineRule="auto"/>
              <w:rPr>
                <w:rFonts w:ascii="宋体" w:hAnsi="宋体" w:cs="宋体"/>
                <w:color w:val="auto"/>
                <w:sz w:val="28"/>
                <w:szCs w:val="28"/>
              </w:rPr>
            </w:pPr>
            <w:r>
              <w:rPr>
                <w:rFonts w:hint="eastAsia" w:ascii="宋体" w:hAnsi="宋体" w:cs="宋体"/>
                <w:color w:val="auto"/>
                <w:sz w:val="28"/>
                <w:szCs w:val="28"/>
              </w:rPr>
              <w:t>本封面复印或打印有效；</w:t>
            </w:r>
          </w:p>
          <w:p>
            <w:pPr>
              <w:widowControl/>
              <w:numPr>
                <w:ilvl w:val="0"/>
                <w:numId w:val="19"/>
              </w:numPr>
              <w:spacing w:line="360" w:lineRule="auto"/>
              <w:rPr>
                <w:rFonts w:ascii="宋体" w:hAnsi="宋体" w:cs="宋体"/>
                <w:color w:val="auto"/>
                <w:sz w:val="28"/>
                <w:szCs w:val="28"/>
              </w:rPr>
            </w:pPr>
          </w:p>
        </w:tc>
      </w:tr>
      <w:tr>
        <w:trPr>
          <w:trHeight w:val="1733" w:hRule="exact"/>
        </w:trPr>
        <w:tc>
          <w:tcPr>
            <w:tcW w:w="970" w:type="dxa"/>
            <w:gridSpan w:val="2"/>
            <w:vMerge w:val="continue"/>
            <w:tcBorders>
              <w:top w:val="nil"/>
              <w:left w:val="single" w:color="auto" w:sz="18" w:space="0"/>
              <w:bottom w:val="single" w:color="000000" w:sz="4" w:space="0"/>
              <w:right w:val="single" w:color="auto" w:sz="4" w:space="0"/>
            </w:tcBorders>
            <w:vAlign w:val="center"/>
          </w:tcPr>
          <w:p>
            <w:pPr>
              <w:widowControl/>
              <w:rPr>
                <w:rFonts w:ascii="宋体" w:hAnsi="宋体" w:cs="宋体"/>
                <w:color w:val="auto"/>
                <w:sz w:val="28"/>
                <w:szCs w:val="28"/>
              </w:rPr>
            </w:pPr>
          </w:p>
        </w:tc>
        <w:tc>
          <w:tcPr>
            <w:tcW w:w="8992" w:type="dxa"/>
            <w:tcBorders>
              <w:top w:val="nil"/>
              <w:left w:val="single" w:color="auto" w:sz="4" w:space="0"/>
              <w:bottom w:val="nil"/>
              <w:right w:val="single" w:color="auto" w:sz="18" w:space="0"/>
            </w:tcBorders>
            <w:vAlign w:val="center"/>
          </w:tcPr>
          <w:p>
            <w:pPr>
              <w:widowControl/>
              <w:numPr>
                <w:ilvl w:val="0"/>
                <w:numId w:val="20"/>
              </w:numPr>
              <w:spacing w:line="360" w:lineRule="auto"/>
              <w:rPr>
                <w:rFonts w:ascii="宋体" w:hAnsi="宋体" w:cs="宋体"/>
                <w:color w:val="auto"/>
                <w:sz w:val="28"/>
                <w:szCs w:val="28"/>
              </w:rPr>
            </w:pPr>
            <w:r>
              <w:rPr>
                <w:rFonts w:hint="eastAsia" w:ascii="宋体" w:hAnsi="宋体" w:cs="宋体"/>
                <w:color w:val="auto"/>
                <w:sz w:val="28"/>
                <w:szCs w:val="28"/>
              </w:rPr>
              <w:t>在确定的‘资格审查文件’‘商务标书’ ‘技术标书’前打‘√’；</w:t>
            </w:r>
          </w:p>
          <w:p>
            <w:pPr>
              <w:widowControl/>
              <w:spacing w:line="360" w:lineRule="auto"/>
              <w:rPr>
                <w:rFonts w:ascii="宋体" w:hAnsi="宋体" w:cs="宋体"/>
                <w:color w:val="auto"/>
                <w:sz w:val="28"/>
                <w:szCs w:val="28"/>
              </w:rPr>
            </w:pPr>
            <w:r>
              <w:rPr>
                <w:rFonts w:hint="eastAsia" w:ascii="宋体" w:hAnsi="宋体" w:cs="宋体"/>
                <w:color w:val="auto"/>
                <w:sz w:val="28"/>
                <w:szCs w:val="28"/>
              </w:rPr>
              <w:t>4.投标文件密封及各封口处须加盖投标人公章。</w:t>
            </w:r>
            <w:r>
              <w:rPr>
                <w:rFonts w:hint="eastAsia" w:ascii="宋体" w:hAnsi="宋体"/>
                <w:color w:val="auto"/>
                <w:sz w:val="24"/>
              </w:rPr>
              <w:t>（如</w:t>
            </w:r>
            <w:r>
              <w:rPr>
                <w:rFonts w:hint="eastAsia" w:ascii="宋体" w:hAnsi="宋体" w:cs="宋体"/>
                <w:color w:val="auto"/>
                <w:sz w:val="24"/>
                <w:szCs w:val="24"/>
              </w:rPr>
              <w:t>联合体投标，加盖联合体牵头方公章</w:t>
            </w:r>
            <w:r>
              <w:rPr>
                <w:rFonts w:hint="eastAsia" w:ascii="宋体" w:hAnsi="宋体"/>
                <w:color w:val="auto"/>
                <w:sz w:val="24"/>
              </w:rPr>
              <w:t>）</w:t>
            </w:r>
          </w:p>
          <w:p>
            <w:pPr>
              <w:widowControl/>
              <w:spacing w:line="360" w:lineRule="auto"/>
              <w:rPr>
                <w:rFonts w:ascii="宋体" w:hAnsi="宋体" w:cs="宋体"/>
                <w:color w:val="auto"/>
                <w:sz w:val="28"/>
                <w:szCs w:val="28"/>
              </w:rPr>
            </w:pPr>
          </w:p>
        </w:tc>
      </w:tr>
      <w:tr>
        <w:trPr>
          <w:trHeight w:val="860" w:hRule="exact"/>
        </w:trPr>
        <w:tc>
          <w:tcPr>
            <w:tcW w:w="970" w:type="dxa"/>
            <w:gridSpan w:val="2"/>
            <w:vMerge w:val="continue"/>
            <w:tcBorders>
              <w:top w:val="nil"/>
              <w:left w:val="single" w:color="auto" w:sz="18" w:space="0"/>
              <w:bottom w:val="single" w:color="auto" w:sz="18" w:space="0"/>
              <w:right w:val="single" w:color="auto" w:sz="4" w:space="0"/>
            </w:tcBorders>
            <w:vAlign w:val="center"/>
          </w:tcPr>
          <w:p>
            <w:pPr>
              <w:widowControl/>
              <w:rPr>
                <w:rFonts w:ascii="宋体" w:hAnsi="宋体" w:cs="宋体"/>
                <w:color w:val="auto"/>
                <w:sz w:val="28"/>
                <w:szCs w:val="28"/>
              </w:rPr>
            </w:pPr>
          </w:p>
        </w:tc>
        <w:tc>
          <w:tcPr>
            <w:tcW w:w="8992" w:type="dxa"/>
            <w:tcBorders>
              <w:top w:val="nil"/>
              <w:left w:val="single" w:color="auto" w:sz="4" w:space="0"/>
              <w:bottom w:val="single" w:color="auto" w:sz="18" w:space="0"/>
              <w:right w:val="single" w:color="auto" w:sz="18" w:space="0"/>
            </w:tcBorders>
            <w:vAlign w:val="center"/>
          </w:tcPr>
          <w:p>
            <w:pPr>
              <w:widowControl/>
              <w:spacing w:line="360" w:lineRule="auto"/>
              <w:rPr>
                <w:rFonts w:ascii="宋体" w:hAnsi="宋体" w:cs="宋体"/>
                <w:color w:val="auto"/>
                <w:sz w:val="28"/>
                <w:szCs w:val="28"/>
              </w:rPr>
            </w:pPr>
          </w:p>
          <w:p>
            <w:pPr>
              <w:widowControl/>
              <w:spacing w:line="360" w:lineRule="auto"/>
              <w:rPr>
                <w:rFonts w:ascii="宋体" w:hAnsi="宋体" w:cs="宋体"/>
                <w:color w:val="auto"/>
                <w:sz w:val="28"/>
                <w:szCs w:val="28"/>
              </w:rPr>
            </w:pPr>
          </w:p>
        </w:tc>
      </w:tr>
    </w:tbl>
    <w:p>
      <w:pPr>
        <w:snapToGrid w:val="0"/>
        <w:spacing w:line="240" w:lineRule="exact"/>
        <w:rPr>
          <w:rFonts w:ascii="宋体" w:hAnsi="宋体" w:cs="宋体"/>
          <w:color w:val="auto"/>
          <w:sz w:val="21"/>
          <w:szCs w:val="21"/>
        </w:rPr>
      </w:pPr>
    </w:p>
    <w:p>
      <w:pPr>
        <w:snapToGrid w:val="0"/>
        <w:spacing w:line="360" w:lineRule="auto"/>
        <w:rPr>
          <w:rFonts w:ascii="宋体" w:hAnsi="宋体" w:cs="宋体"/>
          <w:color w:val="auto"/>
          <w:sz w:val="24"/>
          <w:szCs w:val="24"/>
        </w:rPr>
      </w:pPr>
      <w:r>
        <w:rPr>
          <w:rFonts w:hint="eastAsia" w:ascii="宋体" w:hAnsi="宋体" w:cs="宋体"/>
          <w:color w:val="auto"/>
          <w:sz w:val="24"/>
          <w:szCs w:val="24"/>
        </w:rPr>
        <w:t>注：用于投标文件外层包封封面</w:t>
      </w: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snapToGrid w:val="0"/>
        <w:spacing w:line="360" w:lineRule="auto"/>
        <w:rPr>
          <w:rFonts w:ascii="宋体" w:hAnsi="宋体" w:cs="宋体"/>
          <w:color w:val="auto"/>
          <w:sz w:val="24"/>
          <w:szCs w:val="24"/>
        </w:rPr>
      </w:pPr>
    </w:p>
    <w:p>
      <w:pPr>
        <w:jc w:val="center"/>
        <w:outlineLvl w:val="1"/>
        <w:rPr>
          <w:b/>
          <w:color w:val="auto"/>
          <w:sz w:val="48"/>
          <w:szCs w:val="48"/>
        </w:rPr>
      </w:pPr>
      <w:bookmarkStart w:id="509" w:name="_Toc12710"/>
      <w:r>
        <w:rPr>
          <w:rFonts w:hint="eastAsia"/>
          <w:b/>
          <w:color w:val="auto"/>
          <w:sz w:val="48"/>
          <w:szCs w:val="48"/>
        </w:rPr>
        <w:t>二、资格审查文件格式</w:t>
      </w:r>
      <w:bookmarkEnd w:id="509"/>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rPr>
          <w:rFonts w:ascii="宋体" w:hAnsi="宋体" w:cs="宋体"/>
          <w:color w:val="auto"/>
          <w:sz w:val="21"/>
          <w:szCs w:val="21"/>
        </w:rPr>
      </w:pPr>
    </w:p>
    <w:p>
      <w:pPr>
        <w:tabs>
          <w:tab w:val="left" w:pos="986"/>
        </w:tabs>
        <w:jc w:val="left"/>
        <w:rPr>
          <w:rFonts w:ascii="宋体" w:hAnsi="宋体" w:cs="宋体"/>
          <w:color w:val="auto"/>
          <w:sz w:val="21"/>
          <w:szCs w:val="21"/>
        </w:rPr>
      </w:pPr>
    </w:p>
    <w:p>
      <w:pPr>
        <w:tabs>
          <w:tab w:val="left" w:pos="986"/>
        </w:tabs>
        <w:jc w:val="left"/>
        <w:rPr>
          <w:rFonts w:ascii="宋体" w:hAnsi="宋体" w:cs="宋体"/>
          <w:color w:val="auto"/>
          <w:sz w:val="21"/>
          <w:szCs w:val="21"/>
        </w:rPr>
      </w:pPr>
    </w:p>
    <w:p>
      <w:pPr>
        <w:tabs>
          <w:tab w:val="left" w:pos="986"/>
        </w:tabs>
        <w:jc w:val="left"/>
        <w:rPr>
          <w:rFonts w:ascii="宋体" w:hAnsi="宋体" w:cs="宋体"/>
          <w:color w:val="auto"/>
          <w:sz w:val="21"/>
          <w:szCs w:val="21"/>
        </w:rPr>
      </w:pPr>
    </w:p>
    <w:p>
      <w:pPr>
        <w:tabs>
          <w:tab w:val="left" w:pos="986"/>
        </w:tabs>
        <w:jc w:val="left"/>
        <w:rPr>
          <w:rFonts w:ascii="宋体" w:hAnsi="宋体" w:cs="宋体"/>
          <w:color w:val="auto"/>
          <w:sz w:val="21"/>
          <w:szCs w:val="21"/>
        </w:rPr>
      </w:pP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p>
    <w:p>
      <w:pPr>
        <w:widowControl/>
        <w:adjustRightInd/>
        <w:spacing w:line="240" w:lineRule="auto"/>
        <w:jc w:val="left"/>
        <w:textAlignment w:val="auto"/>
        <w:rPr>
          <w:rFonts w:ascii="宋体" w:hAnsi="宋体" w:cs="宋体"/>
          <w:color w:val="auto"/>
          <w:kern w:val="2"/>
          <w:sz w:val="24"/>
          <w:szCs w:val="24"/>
        </w:rPr>
      </w:pPr>
      <w:r>
        <w:rPr>
          <w:rFonts w:hAnsi="宋体" w:cs="宋体"/>
          <w:color w:val="auto"/>
          <w:sz w:val="24"/>
          <w:szCs w:val="24"/>
        </w:rPr>
        <w:br w:type="page"/>
      </w:r>
    </w:p>
    <w:p>
      <w:pPr>
        <w:pStyle w:val="18"/>
        <w:tabs>
          <w:tab w:val="left" w:pos="285"/>
          <w:tab w:val="center" w:pos="4320"/>
        </w:tabs>
        <w:spacing w:line="264" w:lineRule="auto"/>
        <w:rPr>
          <w:rFonts w:hAnsi="宋体" w:cs="宋体"/>
          <w:color w:val="auto"/>
          <w:sz w:val="24"/>
          <w:szCs w:val="24"/>
        </w:rPr>
      </w:pPr>
    </w:p>
    <w:p>
      <w:pPr>
        <w:pStyle w:val="18"/>
        <w:tabs>
          <w:tab w:val="left" w:pos="285"/>
          <w:tab w:val="center" w:pos="4320"/>
        </w:tabs>
        <w:spacing w:line="264" w:lineRule="auto"/>
        <w:rPr>
          <w:rFonts w:hAnsi="宋体" w:cs="宋体"/>
          <w:color w:val="auto"/>
          <w:sz w:val="24"/>
          <w:szCs w:val="24"/>
        </w:rPr>
      </w:pPr>
      <w:r>
        <w:rPr>
          <w:rFonts w:hint="eastAsia" w:hAnsi="宋体" w:cs="宋体"/>
          <w:color w:val="auto"/>
          <w:sz w:val="24"/>
          <w:szCs w:val="24"/>
        </w:rPr>
        <w:t>（用于资格审查文件封面）</w:t>
      </w:r>
    </w:p>
    <w:p>
      <w:pPr>
        <w:pStyle w:val="18"/>
        <w:spacing w:line="264" w:lineRule="auto"/>
        <w:jc w:val="center"/>
        <w:rPr>
          <w:rFonts w:hAnsi="宋体" w:cs="宋体"/>
          <w:color w:val="auto"/>
          <w:sz w:val="36"/>
        </w:rPr>
      </w:pPr>
    </w:p>
    <w:p>
      <w:pPr>
        <w:pStyle w:val="18"/>
        <w:spacing w:line="264" w:lineRule="auto"/>
        <w:jc w:val="center"/>
        <w:rPr>
          <w:rFonts w:hAnsi="宋体" w:cs="宋体"/>
          <w:color w:val="auto"/>
          <w:sz w:val="36"/>
        </w:rPr>
      </w:pPr>
    </w:p>
    <w:p>
      <w:pPr>
        <w:pStyle w:val="18"/>
        <w:spacing w:line="264" w:lineRule="auto"/>
        <w:jc w:val="center"/>
        <w:rPr>
          <w:rFonts w:hAnsi="宋体" w:cs="宋体"/>
          <w:color w:val="auto"/>
          <w:sz w:val="36"/>
          <w:szCs w:val="36"/>
        </w:rPr>
      </w:pPr>
      <w:r>
        <w:rPr>
          <w:rFonts w:hint="eastAsia" w:hAnsi="宋体" w:cs="宋体"/>
          <w:color w:val="auto"/>
          <w:sz w:val="36"/>
          <w:szCs w:val="36"/>
        </w:rPr>
        <w:t>项目名称：大埔县智慧停车场项目(勘察、设计)</w:t>
      </w:r>
    </w:p>
    <w:p>
      <w:pPr>
        <w:pStyle w:val="18"/>
        <w:spacing w:before="240" w:beforeLines="100" w:after="240" w:afterLines="100" w:line="264" w:lineRule="auto"/>
        <w:jc w:val="center"/>
        <w:rPr>
          <w:rFonts w:hAnsi="宋体" w:cs="宋体"/>
          <w:color w:val="auto"/>
          <w:sz w:val="36"/>
        </w:rPr>
      </w:pPr>
      <w:r>
        <w:rPr>
          <w:rFonts w:hint="eastAsia" w:hAnsi="宋体" w:cs="宋体"/>
          <w:b/>
          <w:color w:val="auto"/>
          <w:sz w:val="32"/>
        </w:rPr>
        <w:br w:type="textWrapping"/>
      </w:r>
    </w:p>
    <w:p>
      <w:pPr>
        <w:pStyle w:val="18"/>
        <w:spacing w:line="264" w:lineRule="auto"/>
        <w:jc w:val="center"/>
        <w:rPr>
          <w:rFonts w:hAnsi="宋体" w:cs="宋体"/>
          <w:b/>
          <w:color w:val="auto"/>
          <w:sz w:val="84"/>
        </w:rPr>
      </w:pPr>
    </w:p>
    <w:p>
      <w:pPr>
        <w:pStyle w:val="18"/>
        <w:spacing w:line="264" w:lineRule="auto"/>
        <w:jc w:val="center"/>
        <w:rPr>
          <w:rFonts w:hAnsi="宋体" w:cs="宋体"/>
          <w:color w:val="auto"/>
          <w:sz w:val="28"/>
        </w:rPr>
      </w:pPr>
      <w:r>
        <w:rPr>
          <w:rFonts w:hint="eastAsia" w:hAnsi="宋体" w:cs="宋体"/>
          <w:b/>
          <w:color w:val="auto"/>
          <w:sz w:val="84"/>
        </w:rPr>
        <w:t>投 标 文 件</w:t>
      </w: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before="240" w:after="240" w:line="500" w:lineRule="exact"/>
        <w:ind w:firstLine="560"/>
        <w:rPr>
          <w:rFonts w:hAnsi="宋体" w:cs="宋体"/>
          <w:color w:val="auto"/>
          <w:sz w:val="30"/>
          <w:szCs w:val="30"/>
        </w:rPr>
      </w:pPr>
      <w:r>
        <w:rPr>
          <w:rFonts w:hint="eastAsia" w:hAnsi="宋体" w:cs="宋体"/>
          <w:color w:val="auto"/>
          <w:sz w:val="30"/>
          <w:szCs w:val="30"/>
        </w:rPr>
        <w:t>投标文件内容：</w:t>
      </w:r>
      <w:r>
        <w:rPr>
          <w:rFonts w:hint="eastAsia" w:hAnsi="宋体" w:cs="宋体"/>
          <w:color w:val="auto"/>
          <w:sz w:val="30"/>
          <w:szCs w:val="30"/>
          <w:u w:val="single"/>
        </w:rPr>
        <w:t xml:space="preserve">               资格审查文件              </w:t>
      </w:r>
    </w:p>
    <w:p>
      <w:pPr>
        <w:pStyle w:val="18"/>
        <w:spacing w:before="240" w:after="240" w:line="500" w:lineRule="exact"/>
        <w:ind w:left="630"/>
        <w:jc w:val="left"/>
        <w:rPr>
          <w:rFonts w:hAnsi="宋体" w:cs="宋体"/>
          <w:color w:val="auto"/>
          <w:sz w:val="30"/>
          <w:szCs w:val="30"/>
        </w:rPr>
      </w:pPr>
      <w:r>
        <w:rPr>
          <w:rFonts w:hint="eastAsia" w:hAnsi="宋体" w:cs="宋体"/>
          <w:color w:val="auto"/>
          <w:sz w:val="30"/>
          <w:szCs w:val="30"/>
        </w:rPr>
        <w:t>投  标  人:</w:t>
      </w:r>
      <w:r>
        <w:rPr>
          <w:rFonts w:hint="eastAsia" w:hAnsi="宋体" w:cs="宋体"/>
          <w:color w:val="auto"/>
          <w:sz w:val="30"/>
          <w:szCs w:val="30"/>
          <w:u w:val="single"/>
        </w:rPr>
        <w:t xml:space="preserve">         （盖投标人单位公章）               </w:t>
      </w:r>
    </w:p>
    <w:p>
      <w:pPr>
        <w:pStyle w:val="18"/>
        <w:spacing w:before="240" w:after="240" w:line="500" w:lineRule="exact"/>
        <w:ind w:left="630"/>
        <w:rPr>
          <w:rFonts w:hAnsi="宋体" w:cs="宋体"/>
          <w:color w:val="auto"/>
          <w:sz w:val="30"/>
          <w:szCs w:val="30"/>
        </w:rPr>
      </w:pPr>
      <w:r>
        <w:rPr>
          <w:rFonts w:hint="eastAsia" w:hAnsi="宋体" w:cs="宋体"/>
          <w:color w:val="auto"/>
          <w:sz w:val="30"/>
          <w:szCs w:val="30"/>
        </w:rPr>
        <w:t>法定代表人或其委托代理人：</w:t>
      </w:r>
      <w:r>
        <w:rPr>
          <w:rFonts w:hint="eastAsia" w:hAnsi="宋体" w:cs="宋体"/>
          <w:color w:val="auto"/>
          <w:sz w:val="30"/>
          <w:szCs w:val="30"/>
          <w:u w:val="single"/>
        </w:rPr>
        <w:t xml:space="preserve">                     </w:t>
      </w:r>
      <w:r>
        <w:rPr>
          <w:rFonts w:hint="eastAsia" w:hAnsi="宋体" w:cs="宋体"/>
          <w:color w:val="auto"/>
          <w:sz w:val="30"/>
          <w:szCs w:val="30"/>
        </w:rPr>
        <w:t>（签字）</w:t>
      </w:r>
    </w:p>
    <w:p>
      <w:pPr>
        <w:pStyle w:val="18"/>
        <w:spacing w:line="500" w:lineRule="exact"/>
        <w:ind w:firstLine="600" w:firstLineChars="200"/>
        <w:rPr>
          <w:rFonts w:hAnsi="宋体" w:cs="宋体"/>
          <w:color w:val="auto"/>
          <w:sz w:val="30"/>
          <w:szCs w:val="30"/>
        </w:rPr>
      </w:pPr>
      <w:r>
        <w:rPr>
          <w:rFonts w:hint="eastAsia" w:hAnsi="宋体" w:cs="宋体"/>
          <w:color w:val="auto"/>
          <w:sz w:val="30"/>
          <w:szCs w:val="30"/>
        </w:rPr>
        <w:t>日      期：</w:t>
      </w:r>
      <w:r>
        <w:rPr>
          <w:rFonts w:hint="eastAsia" w:hAnsi="宋体" w:cs="宋体"/>
          <w:color w:val="auto"/>
          <w:sz w:val="30"/>
          <w:szCs w:val="30"/>
          <w:u w:val="single"/>
        </w:rPr>
        <w:t>________</w:t>
      </w:r>
      <w:r>
        <w:rPr>
          <w:rFonts w:hint="eastAsia" w:hAnsi="宋体" w:cs="宋体"/>
          <w:color w:val="auto"/>
          <w:sz w:val="30"/>
          <w:szCs w:val="30"/>
        </w:rPr>
        <w:t>年</w:t>
      </w:r>
      <w:r>
        <w:rPr>
          <w:rFonts w:hint="eastAsia" w:hAnsi="宋体" w:cs="宋体"/>
          <w:color w:val="auto"/>
          <w:sz w:val="30"/>
          <w:szCs w:val="30"/>
          <w:u w:val="single"/>
        </w:rPr>
        <w:t>_____</w:t>
      </w:r>
      <w:r>
        <w:rPr>
          <w:rFonts w:hint="eastAsia" w:hAnsi="宋体" w:cs="宋体"/>
          <w:color w:val="auto"/>
          <w:sz w:val="30"/>
          <w:szCs w:val="30"/>
        </w:rPr>
        <w:t>月</w:t>
      </w:r>
      <w:r>
        <w:rPr>
          <w:rFonts w:hint="eastAsia" w:hAnsi="宋体" w:cs="宋体"/>
          <w:color w:val="auto"/>
          <w:sz w:val="30"/>
          <w:szCs w:val="30"/>
          <w:u w:val="single"/>
        </w:rPr>
        <w:t>_____</w:t>
      </w:r>
      <w:r>
        <w:rPr>
          <w:rFonts w:hint="eastAsia" w:hAnsi="宋体" w:cs="宋体"/>
          <w:color w:val="auto"/>
          <w:sz w:val="30"/>
          <w:szCs w:val="30"/>
        </w:rPr>
        <w:t>日</w:t>
      </w:r>
    </w:p>
    <w:p>
      <w:pPr>
        <w:spacing w:line="400" w:lineRule="exact"/>
        <w:ind w:right="482" w:firstLine="300" w:firstLineChars="100"/>
        <w:jc w:val="center"/>
        <w:rPr>
          <w:rFonts w:ascii="宋体" w:hAnsi="宋体" w:cs="宋体"/>
          <w:color w:val="auto"/>
          <w:sz w:val="30"/>
          <w:szCs w:val="30"/>
          <w:u w:val="single"/>
        </w:rPr>
      </w:pPr>
    </w:p>
    <w:p>
      <w:pPr>
        <w:pStyle w:val="18"/>
        <w:spacing w:before="960" w:beforeLines="400" w:line="360" w:lineRule="auto"/>
        <w:jc w:val="center"/>
        <w:rPr>
          <w:rFonts w:hAnsi="宋体" w:cs="宋体"/>
          <w:b/>
          <w:color w:val="auto"/>
          <w:sz w:val="32"/>
          <w:szCs w:val="32"/>
        </w:rPr>
      </w:pPr>
    </w:p>
    <w:p>
      <w:pPr>
        <w:pStyle w:val="18"/>
        <w:spacing w:line="360" w:lineRule="auto"/>
        <w:ind w:firstLine="643" w:firstLineChars="200"/>
        <w:jc w:val="center"/>
        <w:outlineLvl w:val="2"/>
        <w:rPr>
          <w:rFonts w:hAnsi="宋体" w:cs="宋体"/>
          <w:b/>
          <w:color w:val="auto"/>
          <w:sz w:val="32"/>
          <w:szCs w:val="32"/>
        </w:rPr>
      </w:pPr>
      <w:bookmarkStart w:id="510" w:name="_Toc23698"/>
      <w:r>
        <w:rPr>
          <w:rFonts w:hint="eastAsia" w:hAnsi="宋体" w:cs="宋体"/>
          <w:b/>
          <w:color w:val="auto"/>
          <w:sz w:val="32"/>
          <w:szCs w:val="32"/>
        </w:rPr>
        <w:t>目  录</w:t>
      </w:r>
      <w:bookmarkEnd w:id="510"/>
    </w:p>
    <w:p>
      <w:pPr>
        <w:pStyle w:val="18"/>
        <w:spacing w:line="360" w:lineRule="auto"/>
        <w:ind w:firstLine="480" w:firstLineChars="200"/>
        <w:rPr>
          <w:rFonts w:hAnsi="宋体" w:cs="宋体"/>
          <w:color w:val="auto"/>
          <w:sz w:val="24"/>
          <w:szCs w:val="24"/>
        </w:rPr>
      </w:pPr>
      <w:r>
        <w:rPr>
          <w:rFonts w:hint="eastAsia" w:hAnsi="宋体" w:cs="宋体"/>
          <w:color w:val="auto"/>
          <w:sz w:val="24"/>
          <w:szCs w:val="24"/>
        </w:rPr>
        <w:t>资格审查文件包含以下内容：</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（一）法定代表人资格证明书原件及其授权委托书原件；</w:t>
      </w:r>
      <w:r>
        <w:rPr>
          <w:rFonts w:hint="eastAsia" w:ascii="宋体" w:hAnsi="宋体"/>
          <w:color w:val="auto"/>
          <w:sz w:val="24"/>
        </w:rPr>
        <w:t>（如</w:t>
      </w:r>
      <w:r>
        <w:rPr>
          <w:rFonts w:hint="eastAsia" w:ascii="宋体" w:hAnsi="宋体" w:cs="宋体"/>
          <w:color w:val="auto"/>
          <w:sz w:val="24"/>
          <w:szCs w:val="24"/>
        </w:rPr>
        <w:t>联合体投标，由联合体牵头方提供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（二）企业营业执照副本；</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（三）资质证书副本；</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（四）</w:t>
      </w:r>
      <w:r>
        <w:rPr>
          <w:rFonts w:hint="eastAsia" w:ascii="宋体" w:hAnsi="宋体"/>
          <w:color w:val="auto"/>
          <w:sz w:val="24"/>
        </w:rPr>
        <w:t>联合体协议书</w:t>
      </w:r>
      <w:r>
        <w:rPr>
          <w:rFonts w:hint="eastAsia" w:ascii="宋体" w:hAnsi="宋体" w:cs="宋体"/>
          <w:color w:val="auto"/>
          <w:sz w:val="24"/>
          <w:szCs w:val="24"/>
        </w:rPr>
        <w:t>原件</w:t>
      </w:r>
      <w:r>
        <w:rPr>
          <w:rFonts w:hint="eastAsia" w:ascii="宋体" w:hAnsi="宋体"/>
          <w:color w:val="auto"/>
          <w:sz w:val="24"/>
        </w:rPr>
        <w:t>（联合体投标提供）；</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（五）勘察、设计项目负责人职称证书；</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szCs w:val="24"/>
        </w:rPr>
      </w:pPr>
      <w:r>
        <w:rPr>
          <w:rFonts w:hint="eastAsia" w:ascii="宋体" w:hAnsi="宋体" w:cs="宋体"/>
          <w:color w:val="auto"/>
          <w:sz w:val="24"/>
          <w:szCs w:val="24"/>
        </w:rPr>
        <w:t>（六）勘察、设计项目负责人二代身份证；</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rPr>
      </w:pPr>
      <w:r>
        <w:rPr>
          <w:rFonts w:hint="eastAsia" w:ascii="宋体" w:hAnsi="宋体" w:cs="宋体"/>
          <w:color w:val="auto"/>
          <w:sz w:val="24"/>
          <w:szCs w:val="24"/>
        </w:rPr>
        <w:t>（七）勘察、设计项目负责人近三个月之一</w:t>
      </w:r>
      <w:r>
        <w:rPr>
          <w:rFonts w:hint="eastAsia" w:ascii="宋体" w:hAnsi="宋体"/>
          <w:color w:val="auto"/>
          <w:sz w:val="24"/>
        </w:rPr>
        <w:t>（2022年1月～3月）</w:t>
      </w:r>
      <w:r>
        <w:rPr>
          <w:rFonts w:hint="eastAsia" w:ascii="宋体" w:hAnsi="宋体" w:cs="宋体"/>
          <w:color w:val="auto"/>
          <w:sz w:val="24"/>
          <w:szCs w:val="24"/>
        </w:rPr>
        <w:t>的社会保险凭证</w:t>
      </w:r>
      <w:r>
        <w:rPr>
          <w:rFonts w:hint="eastAsia" w:ascii="宋体" w:hAnsi="宋体" w:cs="宋体"/>
          <w:color w:val="auto"/>
          <w:sz w:val="24"/>
        </w:rPr>
        <w:t>；</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p>
    <w:p>
      <w:pPr>
        <w:pStyle w:val="6"/>
        <w:tabs>
          <w:tab w:val="left" w:pos="1000"/>
        </w:tabs>
        <w:spacing w:line="360" w:lineRule="auto"/>
        <w:rPr>
          <w:rFonts w:ascii="宋体" w:hAnsi="宋体" w:cs="宋体"/>
          <w:color w:val="auto"/>
          <w:sz w:val="24"/>
        </w:rPr>
      </w:pPr>
      <w:r>
        <w:rPr>
          <w:rFonts w:hint="eastAsia" w:ascii="宋体" w:hAnsi="宋体" w:cs="宋体"/>
          <w:color w:val="auto"/>
          <w:sz w:val="24"/>
          <w:szCs w:val="24"/>
        </w:rPr>
        <w:t>（八）</w:t>
      </w:r>
      <w:r>
        <w:rPr>
          <w:rFonts w:hint="eastAsia" w:ascii="宋体" w:hAnsi="宋体"/>
          <w:color w:val="auto"/>
          <w:sz w:val="24"/>
        </w:rPr>
        <w:t>在“梅州市建筑市场诚信管理平台”办理企业登记的相关证明材料；省外企业提供已按要求在“进粤企业和人员诚信信息登记平台”录入相关信息的相关证明文件（提供网站截图</w:t>
      </w:r>
      <w:r>
        <w:rPr>
          <w:rFonts w:hint="eastAsia" w:ascii="宋体" w:hAnsi="宋体" w:cs="宋体"/>
          <w:color w:val="auto"/>
          <w:sz w:val="24"/>
          <w:szCs w:val="24"/>
        </w:rPr>
        <w:t>，</w:t>
      </w:r>
      <w:r>
        <w:rPr>
          <w:rFonts w:hint="eastAsia" w:ascii="宋体" w:hAnsi="宋体"/>
          <w:color w:val="auto"/>
          <w:sz w:val="24"/>
        </w:rPr>
        <w:t>如</w:t>
      </w:r>
      <w:r>
        <w:rPr>
          <w:rFonts w:hint="eastAsia" w:ascii="宋体" w:hAnsi="宋体" w:cs="宋体"/>
          <w:color w:val="auto"/>
          <w:sz w:val="24"/>
          <w:szCs w:val="24"/>
        </w:rPr>
        <w:t>联合体投标，由联合体各方提供</w:t>
      </w:r>
      <w:r>
        <w:rPr>
          <w:rFonts w:hint="eastAsia" w:ascii="宋体" w:hAnsi="宋体"/>
          <w:color w:val="auto"/>
          <w:sz w:val="24"/>
        </w:rPr>
        <w:t>）</w:t>
      </w:r>
      <w:r>
        <w:rPr>
          <w:rFonts w:hint="eastAsia" w:ascii="宋体" w:hAnsi="宋体" w:cs="宋体"/>
          <w:color w:val="auto"/>
          <w:sz w:val="24"/>
        </w:rPr>
        <w:t>；</w:t>
      </w:r>
    </w:p>
    <w:p>
      <w:pPr>
        <w:pStyle w:val="6"/>
        <w:tabs>
          <w:tab w:val="left" w:pos="1000"/>
        </w:tabs>
        <w:spacing w:line="360" w:lineRule="auto"/>
        <w:rPr>
          <w:rFonts w:ascii="宋体" w:hAnsi="宋体" w:cs="宋体"/>
          <w:color w:val="auto"/>
          <w:sz w:val="24"/>
        </w:rPr>
      </w:pPr>
      <w:r>
        <w:rPr>
          <w:rFonts w:hint="eastAsia" w:ascii="宋体" w:hAnsi="宋体" w:cs="宋体"/>
          <w:color w:val="auto"/>
          <w:sz w:val="24"/>
          <w:szCs w:val="24"/>
        </w:rPr>
        <w:t>（九）</w:t>
      </w:r>
      <w:r>
        <w:rPr>
          <w:rFonts w:hint="eastAsia" w:ascii="宋体" w:hAnsi="宋体" w:cs="宋体"/>
          <w:color w:val="auto"/>
          <w:sz w:val="24"/>
        </w:rPr>
        <w:t>自2021年9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提供</w:t>
      </w:r>
      <w:r>
        <w:rPr>
          <w:rFonts w:hint="eastAsia" w:ascii="宋体" w:hAnsi="宋体" w:cs="宋体"/>
          <w:b/>
          <w:bCs/>
          <w:color w:val="auto"/>
          <w:sz w:val="24"/>
        </w:rPr>
        <w:t>承诺书</w:t>
      </w:r>
      <w:r>
        <w:rPr>
          <w:rFonts w:hint="eastAsia" w:ascii="宋体" w:hAnsi="宋体" w:cs="宋体"/>
          <w:color w:val="auto"/>
          <w:sz w:val="24"/>
        </w:rPr>
        <w:t>；</w:t>
      </w:r>
      <w:r>
        <w:rPr>
          <w:rFonts w:hint="eastAsia" w:ascii="宋体" w:hAnsi="宋体"/>
          <w:color w:val="auto"/>
          <w:sz w:val="24"/>
        </w:rPr>
        <w:t xml:space="preserve"> </w:t>
      </w:r>
    </w:p>
    <w:p>
      <w:pPr>
        <w:pStyle w:val="6"/>
        <w:tabs>
          <w:tab w:val="left" w:pos="1000"/>
        </w:tabs>
        <w:spacing w:line="360" w:lineRule="auto"/>
        <w:ind w:firstLine="0"/>
        <w:rPr>
          <w:rFonts w:ascii="宋体" w:hAnsi="宋体" w:cs="宋体"/>
          <w:b/>
          <w:color w:val="auto"/>
          <w:sz w:val="24"/>
        </w:rPr>
      </w:pPr>
    </w:p>
    <w:p>
      <w:pPr>
        <w:pStyle w:val="6"/>
        <w:tabs>
          <w:tab w:val="left" w:pos="1000"/>
        </w:tabs>
        <w:spacing w:line="360" w:lineRule="auto"/>
        <w:ind w:firstLine="0"/>
        <w:rPr>
          <w:rFonts w:ascii="宋体" w:hAnsi="宋体" w:cs="宋体"/>
          <w:b/>
          <w:color w:val="auto"/>
          <w:sz w:val="24"/>
        </w:rPr>
      </w:pPr>
      <w:r>
        <w:rPr>
          <w:rFonts w:hint="eastAsia" w:ascii="宋体" w:hAnsi="宋体" w:cs="宋体"/>
          <w:b/>
          <w:color w:val="auto"/>
          <w:sz w:val="24"/>
        </w:rPr>
        <w:t>备注：除（一）、（四）资料提供原件外，其它资料提供复印件，加盖投标单位公章。</w:t>
      </w:r>
      <w:r>
        <w:rPr>
          <w:rFonts w:hint="eastAsia" w:ascii="宋体" w:hAnsi="宋体"/>
          <w:color w:val="auto"/>
          <w:sz w:val="24"/>
        </w:rPr>
        <w:t>（如</w:t>
      </w:r>
      <w:r>
        <w:rPr>
          <w:rFonts w:hint="eastAsia" w:ascii="宋体" w:hAnsi="宋体" w:cs="宋体"/>
          <w:color w:val="auto"/>
          <w:sz w:val="24"/>
          <w:szCs w:val="24"/>
        </w:rPr>
        <w:t>联合体投标，盖联合体</w:t>
      </w:r>
      <w:r>
        <w:rPr>
          <w:rFonts w:hint="eastAsia" w:ascii="宋体" w:hAnsi="宋体" w:cs="宋体"/>
          <w:b/>
          <w:bCs/>
          <w:color w:val="auto"/>
          <w:sz w:val="24"/>
          <w:szCs w:val="24"/>
        </w:rPr>
        <w:t>牵头方</w:t>
      </w:r>
      <w:r>
        <w:rPr>
          <w:rFonts w:hint="eastAsia" w:ascii="宋体" w:hAnsi="宋体" w:cs="宋体"/>
          <w:color w:val="auto"/>
          <w:sz w:val="24"/>
          <w:szCs w:val="24"/>
        </w:rPr>
        <w:t>公章</w:t>
      </w:r>
      <w:r>
        <w:rPr>
          <w:rFonts w:hint="eastAsia" w:ascii="宋体" w:hAnsi="宋体"/>
          <w:color w:val="auto"/>
          <w:sz w:val="24"/>
        </w:rPr>
        <w:t>）</w:t>
      </w:r>
    </w:p>
    <w:p>
      <w:pPr>
        <w:spacing w:after="100" w:afterAutospacing="1" w:line="360" w:lineRule="auto"/>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附表1：法定代表人资格证明书格式</w:t>
      </w:r>
    </w:p>
    <w:p>
      <w:pPr>
        <w:spacing w:after="100" w:afterAutospacing="1" w:line="360" w:lineRule="auto"/>
        <w:jc w:val="center"/>
        <w:outlineLvl w:val="2"/>
        <w:rPr>
          <w:rFonts w:ascii="宋体" w:hAnsi="宋体"/>
          <w:color w:val="auto"/>
          <w:sz w:val="32"/>
          <w:szCs w:val="32"/>
        </w:rPr>
      </w:pPr>
      <w:bookmarkStart w:id="511" w:name="_Toc30226"/>
      <w:r>
        <w:rPr>
          <w:rFonts w:hint="eastAsia" w:ascii="宋体" w:hAnsi="宋体" w:cs="宋体"/>
          <w:b/>
          <w:color w:val="auto"/>
          <w:sz w:val="32"/>
          <w:szCs w:val="32"/>
        </w:rPr>
        <w:t>法定代表人资格证明书</w:t>
      </w:r>
      <w:bookmarkEnd w:id="511"/>
    </w:p>
    <w:p>
      <w:pPr>
        <w:spacing w:line="600" w:lineRule="exact"/>
        <w:ind w:firstLine="480" w:firstLineChars="200"/>
        <w:rPr>
          <w:rFonts w:ascii="宋体" w:hAnsi="宋体"/>
          <w:color w:val="auto"/>
          <w:sz w:val="24"/>
          <w:szCs w:val="24"/>
        </w:rPr>
      </w:pPr>
      <w:r>
        <w:rPr>
          <w:rFonts w:hint="eastAsia" w:ascii="宋体" w:hAnsi="宋体" w:cs="宋体"/>
          <w:color w:val="auto"/>
          <w:sz w:val="24"/>
          <w:szCs w:val="24"/>
        </w:rPr>
        <w:t>单</w:t>
      </w:r>
      <w:r>
        <w:rPr>
          <w:rFonts w:hint="eastAsia" w:ascii="宋体" w:hAnsi="宋体"/>
          <w:color w:val="auto"/>
          <w:sz w:val="24"/>
          <w:szCs w:val="24"/>
        </w:rPr>
        <w:t>位名称：</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地    址：</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姓    名：       性</w:t>
      </w:r>
      <w:r>
        <w:rPr>
          <w:rFonts w:hint="eastAsia" w:ascii="宋体" w:hAnsi="宋体" w:cs="宋体"/>
          <w:color w:val="auto"/>
          <w:sz w:val="24"/>
          <w:szCs w:val="24"/>
        </w:rPr>
        <w:t>别</w:t>
      </w:r>
      <w:r>
        <w:rPr>
          <w:rFonts w:hint="eastAsia" w:ascii="宋体" w:hAnsi="宋体"/>
          <w:color w:val="auto"/>
          <w:sz w:val="24"/>
          <w:szCs w:val="24"/>
        </w:rPr>
        <w:t>：       年</w:t>
      </w:r>
      <w:r>
        <w:rPr>
          <w:rFonts w:hint="eastAsia" w:ascii="宋体" w:hAnsi="宋体" w:cs="宋体"/>
          <w:color w:val="auto"/>
          <w:sz w:val="24"/>
          <w:szCs w:val="24"/>
        </w:rPr>
        <w:t>龄</w:t>
      </w:r>
      <w:r>
        <w:rPr>
          <w:rFonts w:hint="eastAsia" w:ascii="宋体" w:hAnsi="宋体"/>
          <w:color w:val="auto"/>
          <w:sz w:val="24"/>
          <w:szCs w:val="24"/>
        </w:rPr>
        <w:t xml:space="preserve">：      </w:t>
      </w:r>
      <w:r>
        <w:rPr>
          <w:rFonts w:hint="eastAsia" w:ascii="宋体" w:hAnsi="宋体" w:cs="宋体"/>
          <w:color w:val="auto"/>
          <w:sz w:val="24"/>
          <w:szCs w:val="24"/>
        </w:rPr>
        <w:t>职务</w:t>
      </w:r>
      <w:r>
        <w:rPr>
          <w:rFonts w:hint="eastAsia" w:ascii="宋体" w:hAnsi="宋体"/>
          <w:color w:val="auto"/>
          <w:sz w:val="24"/>
          <w:szCs w:val="24"/>
        </w:rPr>
        <w:t>：</w:t>
      </w:r>
    </w:p>
    <w:p>
      <w:pPr>
        <w:spacing w:line="600" w:lineRule="exact"/>
        <w:ind w:firstLine="720" w:firstLineChars="30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r>
        <w:rPr>
          <w:rFonts w:hint="eastAsia" w:ascii="宋体" w:hAnsi="宋体" w:cs="宋体"/>
          <w:color w:val="auto"/>
          <w:sz w:val="24"/>
          <w:szCs w:val="24"/>
        </w:rPr>
        <w:t>为</w:t>
      </w:r>
      <w:r>
        <w:rPr>
          <w:rFonts w:hint="eastAsia" w:ascii="宋体" w:hAnsi="宋体" w:cs="宋体"/>
          <w:b/>
          <w:color w:val="auto"/>
          <w:sz w:val="24"/>
          <w:szCs w:val="24"/>
          <w:u w:val="single"/>
        </w:rPr>
        <w:t>大埔县智慧停车场项目(勘察、设计)</w:t>
      </w:r>
      <w:r>
        <w:rPr>
          <w:rFonts w:hint="eastAsia" w:ascii="宋体" w:hAnsi="宋体" w:cs="宋体"/>
          <w:color w:val="auto"/>
          <w:sz w:val="24"/>
          <w:szCs w:val="24"/>
        </w:rPr>
        <w:t>签</w:t>
      </w:r>
      <w:r>
        <w:rPr>
          <w:rFonts w:hint="eastAsia" w:ascii="宋体" w:hAnsi="宋体"/>
          <w:color w:val="auto"/>
          <w:sz w:val="24"/>
          <w:szCs w:val="24"/>
        </w:rPr>
        <w:t>署上述投</w:t>
      </w:r>
      <w:r>
        <w:rPr>
          <w:rFonts w:hint="eastAsia" w:ascii="宋体" w:hAnsi="宋体" w:cs="宋体"/>
          <w:color w:val="auto"/>
          <w:sz w:val="24"/>
          <w:szCs w:val="24"/>
        </w:rPr>
        <w:t>标</w:t>
      </w:r>
      <w:r>
        <w:rPr>
          <w:rFonts w:hint="eastAsia" w:ascii="宋体" w:hAnsi="宋体"/>
          <w:color w:val="auto"/>
          <w:sz w:val="24"/>
          <w:szCs w:val="24"/>
        </w:rPr>
        <w:t>文件、</w:t>
      </w:r>
      <w:r>
        <w:rPr>
          <w:rFonts w:hint="eastAsia" w:ascii="宋体" w:hAnsi="宋体" w:cs="宋体"/>
          <w:color w:val="auto"/>
          <w:sz w:val="24"/>
          <w:szCs w:val="24"/>
        </w:rPr>
        <w:t>进</w:t>
      </w:r>
      <w:r>
        <w:rPr>
          <w:rFonts w:hint="eastAsia" w:ascii="宋体" w:hAnsi="宋体"/>
          <w:color w:val="auto"/>
          <w:sz w:val="24"/>
          <w:szCs w:val="24"/>
        </w:rPr>
        <w:t>行合同</w:t>
      </w:r>
      <w:r>
        <w:rPr>
          <w:rFonts w:hint="eastAsia" w:ascii="宋体" w:hAnsi="宋体" w:cs="宋体"/>
          <w:color w:val="auto"/>
          <w:sz w:val="24"/>
          <w:szCs w:val="24"/>
        </w:rPr>
        <w:t>谈</w:t>
      </w:r>
      <w:r>
        <w:rPr>
          <w:rFonts w:hint="eastAsia" w:ascii="宋体" w:hAnsi="宋体"/>
          <w:color w:val="auto"/>
          <w:sz w:val="24"/>
          <w:szCs w:val="24"/>
        </w:rPr>
        <w:t>判、</w:t>
      </w:r>
      <w:r>
        <w:rPr>
          <w:rFonts w:hint="eastAsia" w:ascii="宋体" w:hAnsi="宋体" w:cs="宋体"/>
          <w:color w:val="auto"/>
          <w:sz w:val="24"/>
          <w:szCs w:val="24"/>
        </w:rPr>
        <w:t>签</w:t>
      </w:r>
      <w:r>
        <w:rPr>
          <w:rFonts w:hint="eastAsia" w:ascii="宋体" w:hAnsi="宋体"/>
          <w:color w:val="auto"/>
          <w:sz w:val="24"/>
          <w:szCs w:val="24"/>
        </w:rPr>
        <w:t>署合同和</w:t>
      </w:r>
      <w:r>
        <w:rPr>
          <w:rFonts w:hint="eastAsia" w:ascii="宋体" w:hAnsi="宋体" w:cs="宋体"/>
          <w:color w:val="auto"/>
          <w:sz w:val="24"/>
          <w:szCs w:val="24"/>
        </w:rPr>
        <w:t>处</w:t>
      </w:r>
      <w:r>
        <w:rPr>
          <w:rFonts w:hint="eastAsia" w:ascii="宋体" w:hAnsi="宋体"/>
          <w:color w:val="auto"/>
          <w:sz w:val="24"/>
          <w:szCs w:val="24"/>
        </w:rPr>
        <w:t>理与之有</w:t>
      </w:r>
      <w:r>
        <w:rPr>
          <w:rFonts w:hint="eastAsia" w:ascii="宋体" w:hAnsi="宋体" w:cs="宋体"/>
          <w:color w:val="auto"/>
          <w:sz w:val="24"/>
          <w:szCs w:val="24"/>
        </w:rPr>
        <w:t>关</w:t>
      </w:r>
      <w:r>
        <w:rPr>
          <w:rFonts w:hint="eastAsia" w:ascii="宋体" w:hAnsi="宋体"/>
          <w:color w:val="auto"/>
          <w:sz w:val="24"/>
          <w:szCs w:val="24"/>
        </w:rPr>
        <w:t>的一切事</w:t>
      </w:r>
      <w:r>
        <w:rPr>
          <w:rFonts w:hint="eastAsia" w:ascii="宋体" w:hAnsi="宋体" w:cs="宋体"/>
          <w:color w:val="auto"/>
          <w:sz w:val="24"/>
          <w:szCs w:val="24"/>
        </w:rPr>
        <w:t>务</w:t>
      </w:r>
      <w:r>
        <w:rPr>
          <w:rFonts w:hint="eastAsia" w:ascii="宋体" w:hAnsi="宋体"/>
          <w:color w:val="auto"/>
          <w:sz w:val="24"/>
          <w:szCs w:val="24"/>
        </w:rPr>
        <w:t>。</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特此</w:t>
      </w:r>
      <w:r>
        <w:rPr>
          <w:rFonts w:hint="eastAsia" w:ascii="宋体" w:hAnsi="宋体" w:cs="宋体"/>
          <w:color w:val="auto"/>
          <w:sz w:val="24"/>
          <w:szCs w:val="24"/>
        </w:rPr>
        <w:t>证</w:t>
      </w:r>
      <w:r>
        <w:rPr>
          <w:rFonts w:hint="eastAsia" w:ascii="宋体" w:hAnsi="宋体"/>
          <w:color w:val="auto"/>
          <w:sz w:val="24"/>
          <w:szCs w:val="24"/>
        </w:rPr>
        <w:t>明。</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备注：附法定代表人身份证复印件。</w:t>
      </w:r>
    </w:p>
    <w:p>
      <w:pPr>
        <w:spacing w:line="600" w:lineRule="exact"/>
        <w:ind w:firstLine="2760" w:firstLineChars="1150"/>
        <w:rPr>
          <w:rFonts w:ascii="宋体" w:hAnsi="宋体"/>
          <w:color w:val="auto"/>
          <w:sz w:val="24"/>
          <w:szCs w:val="24"/>
        </w:rPr>
      </w:pPr>
    </w:p>
    <w:p>
      <w:pPr>
        <w:spacing w:line="360" w:lineRule="auto"/>
        <w:ind w:firstLine="2760" w:firstLineChars="1150"/>
        <w:rPr>
          <w:rFonts w:ascii="宋体" w:hAnsi="宋体"/>
          <w:color w:val="auto"/>
          <w:sz w:val="24"/>
          <w:szCs w:val="24"/>
        </w:rPr>
      </w:pPr>
    </w:p>
    <w:p>
      <w:pPr>
        <w:spacing w:line="360" w:lineRule="auto"/>
        <w:ind w:firstLine="2760" w:firstLineChars="1150"/>
        <w:rPr>
          <w:rFonts w:ascii="宋体" w:hAnsi="宋体"/>
          <w:color w:val="auto"/>
          <w:sz w:val="24"/>
          <w:szCs w:val="24"/>
        </w:rPr>
      </w:pPr>
    </w:p>
    <w:p>
      <w:pPr>
        <w:spacing w:line="360" w:lineRule="auto"/>
        <w:ind w:firstLine="2760" w:firstLineChars="1150"/>
        <w:rPr>
          <w:rFonts w:ascii="宋体" w:hAnsi="宋体"/>
          <w:color w:val="auto"/>
          <w:sz w:val="24"/>
          <w:szCs w:val="24"/>
        </w:rPr>
      </w:pPr>
      <w:r>
        <w:rPr>
          <w:rFonts w:hint="eastAsia" w:ascii="宋体" w:hAnsi="宋体"/>
          <w:color w:val="auto"/>
          <w:sz w:val="24"/>
          <w:szCs w:val="24"/>
        </w:rPr>
        <w:t>投</w:t>
      </w:r>
      <w:r>
        <w:rPr>
          <w:rFonts w:hint="eastAsia" w:ascii="宋体" w:hAnsi="宋体" w:cs="宋体"/>
          <w:color w:val="auto"/>
          <w:sz w:val="24"/>
          <w:szCs w:val="24"/>
        </w:rPr>
        <w:t>标人</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 xml:space="preserve"> （盖单位公章） </w:t>
      </w:r>
    </w:p>
    <w:p>
      <w:pPr>
        <w:spacing w:line="360" w:lineRule="auto"/>
        <w:ind w:firstLine="2760" w:firstLineChars="1150"/>
        <w:rPr>
          <w:rFonts w:ascii="宋体" w:hAnsi="宋体"/>
          <w:color w:val="auto"/>
          <w:sz w:val="24"/>
          <w:szCs w:val="24"/>
        </w:rPr>
      </w:pPr>
    </w:p>
    <w:p>
      <w:pPr>
        <w:spacing w:line="360" w:lineRule="auto"/>
        <w:ind w:firstLine="2760" w:firstLineChars="1150"/>
        <w:rPr>
          <w:rFonts w:ascii="宋体" w:hAnsi="宋体"/>
          <w:color w:val="auto"/>
          <w:kern w:val="2"/>
          <w:sz w:val="24"/>
          <w:szCs w:val="24"/>
        </w:rPr>
      </w:pPr>
      <w:r>
        <w:rPr>
          <w:rFonts w:hint="eastAsia" w:ascii="宋体" w:hAnsi="宋体"/>
          <w:color w:val="auto"/>
          <w:sz w:val="24"/>
          <w:szCs w:val="24"/>
        </w:rPr>
        <w:t>日期：     年     月     日</w:t>
      </w: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r>
        <w:rPr>
          <w:rFonts w:hint="eastAsia" w:ascii="宋体" w:hAnsi="宋体"/>
          <w:color w:val="auto"/>
          <w:szCs w:val="21"/>
        </w:rPr>
        <w:t>注：</w:t>
      </w:r>
      <w:r>
        <w:rPr>
          <w:rFonts w:hint="eastAsia" w:ascii="宋体" w:hAnsi="宋体"/>
          <w:color w:val="auto"/>
          <w:sz w:val="24"/>
        </w:rPr>
        <w:t>如</w:t>
      </w:r>
      <w:r>
        <w:rPr>
          <w:rFonts w:hint="eastAsia" w:ascii="宋体" w:hAnsi="宋体" w:cs="宋体"/>
          <w:color w:val="auto"/>
          <w:sz w:val="24"/>
          <w:szCs w:val="24"/>
        </w:rPr>
        <w:t>联合体投标，由联合体</w:t>
      </w:r>
      <w:r>
        <w:rPr>
          <w:rFonts w:hint="eastAsia" w:ascii="宋体" w:hAnsi="宋体" w:cs="宋体"/>
          <w:b/>
          <w:bCs/>
          <w:color w:val="auto"/>
          <w:sz w:val="24"/>
          <w:szCs w:val="24"/>
        </w:rPr>
        <w:t>牵头方</w:t>
      </w:r>
      <w:r>
        <w:rPr>
          <w:rFonts w:hint="eastAsia" w:ascii="宋体" w:hAnsi="宋体" w:cs="宋体"/>
          <w:color w:val="auto"/>
          <w:sz w:val="24"/>
          <w:szCs w:val="24"/>
        </w:rPr>
        <w:t>提供。</w:t>
      </w: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pPr>
    </w:p>
    <w:p>
      <w:pPr>
        <w:pStyle w:val="6"/>
        <w:tabs>
          <w:tab w:val="left" w:pos="1000"/>
        </w:tabs>
        <w:spacing w:line="360" w:lineRule="auto"/>
        <w:rPr>
          <w:rFonts w:ascii="宋体" w:hAnsi="宋体"/>
          <w:color w:val="auto"/>
          <w:szCs w:val="21"/>
        </w:rPr>
        <w:sectPr>
          <w:pgSz w:w="11906" w:h="16838"/>
          <w:pgMar w:top="1440" w:right="1080" w:bottom="1440" w:left="1080" w:header="851" w:footer="992" w:gutter="0"/>
          <w:cols w:space="720" w:num="1"/>
          <w:docGrid w:linePitch="312" w:charSpace="0"/>
        </w:sectPr>
      </w:pPr>
    </w:p>
    <w:p>
      <w:pPr>
        <w:spacing w:after="100" w:afterAutospacing="1" w:line="360" w:lineRule="auto"/>
        <w:rPr>
          <w:rFonts w:ascii="宋体" w:hAnsi="宋体"/>
          <w:color w:val="auto"/>
          <w:sz w:val="36"/>
          <w:szCs w:val="36"/>
        </w:rPr>
      </w:pPr>
      <w:r>
        <w:rPr>
          <w:rFonts w:hint="eastAsia" w:ascii="宋体" w:hAnsi="宋体" w:cs="宋体"/>
          <w:b/>
          <w:color w:val="auto"/>
          <w:sz w:val="24"/>
        </w:rPr>
        <w:t>附表2：授 权 委 托 书 格 式</w:t>
      </w:r>
    </w:p>
    <w:p>
      <w:pPr>
        <w:spacing w:after="100" w:afterAutospacing="1" w:line="360" w:lineRule="auto"/>
        <w:jc w:val="center"/>
        <w:outlineLvl w:val="2"/>
        <w:rPr>
          <w:rFonts w:ascii="宋体" w:hAnsi="宋体" w:cs="宋体"/>
          <w:b/>
          <w:color w:val="auto"/>
          <w:sz w:val="32"/>
          <w:szCs w:val="32"/>
        </w:rPr>
      </w:pPr>
      <w:bookmarkStart w:id="512" w:name="_Toc32695"/>
      <w:r>
        <w:rPr>
          <w:rFonts w:hint="eastAsia" w:ascii="宋体" w:hAnsi="宋体" w:cs="宋体"/>
          <w:b/>
          <w:color w:val="auto"/>
          <w:sz w:val="32"/>
          <w:szCs w:val="32"/>
        </w:rPr>
        <w:t>授 权 委 托 书</w:t>
      </w:r>
      <w:bookmarkEnd w:id="512"/>
    </w:p>
    <w:p>
      <w:pPr>
        <w:spacing w:line="600" w:lineRule="exact"/>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大埔县城市管理和综合执法局</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本授</w:t>
      </w:r>
      <w:r>
        <w:rPr>
          <w:rFonts w:hint="eastAsia" w:ascii="宋体" w:hAnsi="宋体" w:cs="宋体"/>
          <w:color w:val="auto"/>
          <w:sz w:val="24"/>
          <w:szCs w:val="24"/>
        </w:rPr>
        <w:t>权书</w:t>
      </w:r>
      <w:r>
        <w:rPr>
          <w:rFonts w:hint="eastAsia" w:ascii="宋体" w:hAnsi="宋体"/>
          <w:color w:val="auto"/>
          <w:sz w:val="24"/>
          <w:szCs w:val="24"/>
        </w:rPr>
        <w:t>宣告，在下面</w:t>
      </w:r>
      <w:r>
        <w:rPr>
          <w:rFonts w:hint="eastAsia" w:ascii="宋体" w:hAnsi="宋体" w:cs="宋体"/>
          <w:color w:val="auto"/>
          <w:sz w:val="24"/>
          <w:szCs w:val="24"/>
        </w:rPr>
        <w:t>签</w:t>
      </w:r>
      <w:r>
        <w:rPr>
          <w:rFonts w:hint="eastAsia" w:ascii="宋体" w:hAnsi="宋体"/>
          <w:color w:val="auto"/>
          <w:sz w:val="24"/>
          <w:szCs w:val="24"/>
        </w:rPr>
        <w:t>字的</w:t>
      </w:r>
      <w:r>
        <w:rPr>
          <w:rFonts w:hint="eastAsia" w:ascii="宋体" w:hAnsi="宋体"/>
          <w:color w:val="auto"/>
          <w:sz w:val="24"/>
          <w:szCs w:val="24"/>
          <w:u w:val="single"/>
        </w:rPr>
        <w:t xml:space="preserve">        </w:t>
      </w:r>
      <w:r>
        <w:rPr>
          <w:rFonts w:hint="eastAsia" w:ascii="宋体" w:hAnsi="宋体"/>
          <w:color w:val="auto"/>
          <w:sz w:val="24"/>
          <w:szCs w:val="24"/>
        </w:rPr>
        <w:t>（法定代表人姓名）以法定代表人身份代表本</w:t>
      </w:r>
      <w:r>
        <w:rPr>
          <w:rFonts w:hint="eastAsia" w:ascii="宋体" w:hAnsi="宋体" w:cs="宋体"/>
          <w:color w:val="auto"/>
          <w:sz w:val="24"/>
          <w:szCs w:val="24"/>
        </w:rPr>
        <w:t>单</w:t>
      </w:r>
      <w:r>
        <w:rPr>
          <w:rFonts w:hint="eastAsia" w:ascii="宋体" w:hAnsi="宋体"/>
          <w:color w:val="auto"/>
          <w:sz w:val="24"/>
          <w:szCs w:val="24"/>
        </w:rPr>
        <w:t>位授</w:t>
      </w:r>
      <w:r>
        <w:rPr>
          <w:rFonts w:hint="eastAsia" w:ascii="宋体" w:hAnsi="宋体" w:cs="宋体"/>
          <w:color w:val="auto"/>
          <w:sz w:val="24"/>
          <w:szCs w:val="24"/>
        </w:rPr>
        <w:t>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（授权委托人姓名），其身份证号码为 </w:t>
      </w:r>
      <w:r>
        <w:rPr>
          <w:rFonts w:hint="eastAsia" w:ascii="宋体" w:hAnsi="宋体" w:cs="宋体"/>
          <w:color w:val="auto"/>
          <w:sz w:val="24"/>
          <w:szCs w:val="24"/>
          <w:u w:val="single"/>
        </w:rPr>
        <w:t xml:space="preserve">      </w:t>
      </w:r>
      <w:r>
        <w:rPr>
          <w:rFonts w:hint="eastAsia" w:ascii="宋体" w:hAnsi="宋体" w:cs="宋体"/>
          <w:color w:val="auto"/>
          <w:sz w:val="24"/>
          <w:szCs w:val="24"/>
        </w:rPr>
        <w:t>，作为</w:t>
      </w:r>
      <w:r>
        <w:rPr>
          <w:rFonts w:hint="eastAsia" w:ascii="宋体" w:hAnsi="宋体"/>
          <w:color w:val="auto"/>
          <w:sz w:val="24"/>
          <w:szCs w:val="24"/>
        </w:rPr>
        <w:t>本</w:t>
      </w:r>
      <w:r>
        <w:rPr>
          <w:rFonts w:hint="eastAsia" w:ascii="宋体" w:hAnsi="宋体" w:cs="宋体"/>
          <w:color w:val="auto"/>
          <w:sz w:val="24"/>
          <w:szCs w:val="24"/>
        </w:rPr>
        <w:t>单</w:t>
      </w:r>
      <w:r>
        <w:rPr>
          <w:rFonts w:hint="eastAsia" w:ascii="宋体" w:hAnsi="宋体"/>
          <w:color w:val="auto"/>
          <w:sz w:val="24"/>
          <w:szCs w:val="24"/>
        </w:rPr>
        <w:t>位的合法授</w:t>
      </w:r>
      <w:r>
        <w:rPr>
          <w:rFonts w:hint="eastAsia" w:ascii="宋体" w:hAnsi="宋体" w:cs="宋体"/>
          <w:color w:val="auto"/>
          <w:sz w:val="24"/>
          <w:szCs w:val="24"/>
        </w:rPr>
        <w:t>权</w:t>
      </w:r>
      <w:r>
        <w:rPr>
          <w:rFonts w:hint="eastAsia" w:ascii="宋体" w:hAnsi="宋体"/>
          <w:color w:val="auto"/>
          <w:sz w:val="24"/>
          <w:szCs w:val="24"/>
        </w:rPr>
        <w:t>代表，授</w:t>
      </w:r>
      <w:r>
        <w:rPr>
          <w:rFonts w:hint="eastAsia" w:ascii="宋体" w:hAnsi="宋体" w:cs="宋体"/>
          <w:color w:val="auto"/>
          <w:sz w:val="24"/>
          <w:szCs w:val="24"/>
        </w:rPr>
        <w:t>权</w:t>
      </w:r>
      <w:r>
        <w:rPr>
          <w:rFonts w:hint="eastAsia" w:ascii="宋体" w:hAnsi="宋体"/>
          <w:color w:val="auto"/>
          <w:sz w:val="24"/>
          <w:szCs w:val="24"/>
        </w:rPr>
        <w:t>其在</w:t>
      </w:r>
      <w:r>
        <w:rPr>
          <w:rFonts w:hint="eastAsia" w:ascii="宋体" w:hAnsi="宋体"/>
          <w:b/>
          <w:color w:val="auto"/>
          <w:sz w:val="24"/>
          <w:szCs w:val="24"/>
          <w:u w:val="single"/>
        </w:rPr>
        <w:t>大埔县智慧停车场项目(勘察、设计)</w:t>
      </w:r>
      <w:r>
        <w:rPr>
          <w:rFonts w:hint="eastAsia" w:ascii="宋体" w:hAnsi="宋体"/>
          <w:color w:val="auto"/>
          <w:sz w:val="24"/>
          <w:szCs w:val="24"/>
        </w:rPr>
        <w:t>招</w:t>
      </w:r>
      <w:r>
        <w:rPr>
          <w:rFonts w:hint="eastAsia" w:ascii="宋体" w:hAnsi="宋体" w:cs="宋体"/>
          <w:color w:val="auto"/>
          <w:sz w:val="24"/>
          <w:szCs w:val="24"/>
        </w:rPr>
        <w:t>标</w:t>
      </w:r>
      <w:r>
        <w:rPr>
          <w:rFonts w:hint="eastAsia" w:ascii="宋体" w:hAnsi="宋体"/>
          <w:color w:val="auto"/>
          <w:sz w:val="24"/>
          <w:szCs w:val="24"/>
        </w:rPr>
        <w:t>活</w:t>
      </w:r>
      <w:r>
        <w:rPr>
          <w:rFonts w:hint="eastAsia" w:ascii="宋体" w:hAnsi="宋体" w:cs="宋体"/>
          <w:color w:val="auto"/>
          <w:sz w:val="24"/>
          <w:szCs w:val="24"/>
        </w:rPr>
        <w:t>动</w:t>
      </w:r>
      <w:r>
        <w:rPr>
          <w:rFonts w:hint="eastAsia" w:ascii="宋体" w:hAnsi="宋体"/>
          <w:color w:val="auto"/>
          <w:sz w:val="24"/>
          <w:szCs w:val="24"/>
        </w:rPr>
        <w:t>中，以本</w:t>
      </w:r>
      <w:r>
        <w:rPr>
          <w:rFonts w:hint="eastAsia" w:ascii="宋体" w:hAnsi="宋体" w:cs="宋体"/>
          <w:color w:val="auto"/>
          <w:sz w:val="24"/>
          <w:szCs w:val="24"/>
        </w:rPr>
        <w:t>单</w:t>
      </w:r>
      <w:r>
        <w:rPr>
          <w:rFonts w:hint="eastAsia" w:ascii="宋体" w:hAnsi="宋体"/>
          <w:color w:val="auto"/>
          <w:sz w:val="24"/>
          <w:szCs w:val="24"/>
        </w:rPr>
        <w:t>位的名</w:t>
      </w:r>
      <w:r>
        <w:rPr>
          <w:rFonts w:hint="eastAsia" w:ascii="宋体" w:hAnsi="宋体" w:cs="宋体"/>
          <w:color w:val="auto"/>
          <w:sz w:val="24"/>
          <w:szCs w:val="24"/>
        </w:rPr>
        <w:t>义</w:t>
      </w:r>
      <w:r>
        <w:rPr>
          <w:rFonts w:hint="eastAsia" w:ascii="宋体" w:hAnsi="宋体"/>
          <w:color w:val="auto"/>
          <w:sz w:val="24"/>
          <w:szCs w:val="24"/>
        </w:rPr>
        <w:t>，并代表本人与你</w:t>
      </w:r>
      <w:r>
        <w:rPr>
          <w:rFonts w:hint="eastAsia" w:ascii="宋体" w:hAnsi="宋体" w:cs="宋体"/>
          <w:color w:val="auto"/>
          <w:sz w:val="24"/>
          <w:szCs w:val="24"/>
        </w:rPr>
        <w:t>们进</w:t>
      </w:r>
      <w:r>
        <w:rPr>
          <w:rFonts w:hint="eastAsia" w:ascii="宋体" w:hAnsi="宋体"/>
          <w:color w:val="auto"/>
          <w:sz w:val="24"/>
          <w:szCs w:val="24"/>
        </w:rPr>
        <w:t>行磋商、</w:t>
      </w:r>
      <w:r>
        <w:rPr>
          <w:rFonts w:hint="eastAsia" w:ascii="宋体" w:hAnsi="宋体" w:cs="宋体"/>
          <w:color w:val="auto"/>
          <w:sz w:val="24"/>
          <w:szCs w:val="24"/>
        </w:rPr>
        <w:t>签</w:t>
      </w:r>
      <w:r>
        <w:rPr>
          <w:rFonts w:hint="eastAsia" w:ascii="宋体" w:hAnsi="宋体"/>
          <w:color w:val="auto"/>
          <w:sz w:val="24"/>
          <w:szCs w:val="24"/>
        </w:rPr>
        <w:t>署文件和</w:t>
      </w:r>
      <w:r>
        <w:rPr>
          <w:rFonts w:hint="eastAsia" w:ascii="宋体" w:hAnsi="宋体" w:cs="宋体"/>
          <w:color w:val="auto"/>
          <w:sz w:val="24"/>
          <w:szCs w:val="24"/>
        </w:rPr>
        <w:t>处</w:t>
      </w:r>
      <w:r>
        <w:rPr>
          <w:rFonts w:hint="eastAsia" w:ascii="宋体" w:hAnsi="宋体"/>
          <w:color w:val="auto"/>
          <w:sz w:val="24"/>
          <w:szCs w:val="24"/>
        </w:rPr>
        <w:t>理一切与此事有</w:t>
      </w:r>
      <w:r>
        <w:rPr>
          <w:rFonts w:hint="eastAsia" w:ascii="宋体" w:hAnsi="宋体" w:cs="宋体"/>
          <w:color w:val="auto"/>
          <w:sz w:val="24"/>
          <w:szCs w:val="24"/>
        </w:rPr>
        <w:t>关</w:t>
      </w:r>
      <w:r>
        <w:rPr>
          <w:rFonts w:hint="eastAsia" w:ascii="宋体" w:hAnsi="宋体"/>
          <w:color w:val="auto"/>
          <w:sz w:val="24"/>
          <w:szCs w:val="24"/>
        </w:rPr>
        <w:t>的事</w:t>
      </w:r>
      <w:r>
        <w:rPr>
          <w:rFonts w:hint="eastAsia" w:ascii="宋体" w:hAnsi="宋体" w:cs="宋体"/>
          <w:color w:val="auto"/>
          <w:sz w:val="24"/>
          <w:szCs w:val="24"/>
        </w:rPr>
        <w:t>务</w:t>
      </w:r>
      <w:r>
        <w:rPr>
          <w:rFonts w:hint="eastAsia" w:ascii="宋体" w:hAnsi="宋体"/>
          <w:color w:val="auto"/>
          <w:sz w:val="24"/>
          <w:szCs w:val="24"/>
        </w:rPr>
        <w:t>。授</w:t>
      </w:r>
      <w:r>
        <w:rPr>
          <w:rFonts w:hint="eastAsia" w:ascii="宋体" w:hAnsi="宋体" w:cs="宋体"/>
          <w:color w:val="auto"/>
          <w:sz w:val="24"/>
          <w:szCs w:val="24"/>
        </w:rPr>
        <w:t>权</w:t>
      </w:r>
      <w:r>
        <w:rPr>
          <w:rFonts w:hint="eastAsia" w:ascii="宋体" w:hAnsi="宋体"/>
          <w:color w:val="auto"/>
          <w:sz w:val="24"/>
          <w:szCs w:val="24"/>
        </w:rPr>
        <w:t>代表的一切行</w:t>
      </w:r>
      <w:r>
        <w:rPr>
          <w:rFonts w:hint="eastAsia" w:ascii="宋体" w:hAnsi="宋体" w:cs="宋体"/>
          <w:color w:val="auto"/>
          <w:sz w:val="24"/>
          <w:szCs w:val="24"/>
        </w:rPr>
        <w:t>为</w:t>
      </w:r>
      <w:r>
        <w:rPr>
          <w:rFonts w:hint="eastAsia" w:ascii="宋体" w:hAnsi="宋体"/>
          <w:color w:val="auto"/>
          <w:sz w:val="24"/>
          <w:szCs w:val="24"/>
        </w:rPr>
        <w:t>均代表本</w:t>
      </w:r>
      <w:r>
        <w:rPr>
          <w:rFonts w:hint="eastAsia" w:ascii="宋体" w:hAnsi="宋体" w:cs="宋体"/>
          <w:color w:val="auto"/>
          <w:sz w:val="24"/>
          <w:szCs w:val="24"/>
        </w:rPr>
        <w:t>单</w:t>
      </w:r>
      <w:r>
        <w:rPr>
          <w:rFonts w:hint="eastAsia" w:ascii="宋体" w:hAnsi="宋体"/>
          <w:color w:val="auto"/>
          <w:sz w:val="24"/>
          <w:szCs w:val="24"/>
        </w:rPr>
        <w:t>位，与本人的行</w:t>
      </w:r>
      <w:r>
        <w:rPr>
          <w:rFonts w:hint="eastAsia" w:ascii="宋体" w:hAnsi="宋体" w:cs="宋体"/>
          <w:color w:val="auto"/>
          <w:sz w:val="24"/>
          <w:szCs w:val="24"/>
        </w:rPr>
        <w:t>为</w:t>
      </w:r>
      <w:r>
        <w:rPr>
          <w:rFonts w:hint="eastAsia" w:ascii="宋体" w:hAnsi="宋体"/>
          <w:color w:val="auto"/>
          <w:sz w:val="24"/>
          <w:szCs w:val="24"/>
        </w:rPr>
        <w:t>具有同等法律效力。本</w:t>
      </w:r>
      <w:r>
        <w:rPr>
          <w:rFonts w:hint="eastAsia" w:ascii="宋体" w:hAnsi="宋体" w:cs="宋体"/>
          <w:color w:val="auto"/>
          <w:sz w:val="24"/>
          <w:szCs w:val="24"/>
        </w:rPr>
        <w:t>单</w:t>
      </w:r>
      <w:r>
        <w:rPr>
          <w:rFonts w:hint="eastAsia" w:ascii="宋体" w:hAnsi="宋体"/>
          <w:color w:val="auto"/>
          <w:sz w:val="24"/>
          <w:szCs w:val="24"/>
        </w:rPr>
        <w:t>位将承担授</w:t>
      </w:r>
      <w:r>
        <w:rPr>
          <w:rFonts w:hint="eastAsia" w:ascii="宋体" w:hAnsi="宋体" w:cs="宋体"/>
          <w:color w:val="auto"/>
          <w:sz w:val="24"/>
          <w:szCs w:val="24"/>
        </w:rPr>
        <w:t>权</w:t>
      </w:r>
      <w:r>
        <w:rPr>
          <w:rFonts w:hint="eastAsia" w:ascii="宋体" w:hAnsi="宋体"/>
          <w:color w:val="auto"/>
          <w:sz w:val="24"/>
          <w:szCs w:val="24"/>
        </w:rPr>
        <w:t>代表行</w:t>
      </w:r>
      <w:r>
        <w:rPr>
          <w:rFonts w:hint="eastAsia" w:ascii="宋体" w:hAnsi="宋体" w:cs="宋体"/>
          <w:color w:val="auto"/>
          <w:sz w:val="24"/>
          <w:szCs w:val="24"/>
        </w:rPr>
        <w:t>为</w:t>
      </w:r>
      <w:r>
        <w:rPr>
          <w:rFonts w:hint="eastAsia" w:ascii="宋体" w:hAnsi="宋体"/>
          <w:color w:val="auto"/>
          <w:sz w:val="24"/>
          <w:szCs w:val="24"/>
        </w:rPr>
        <w:t>的全部法律</w:t>
      </w:r>
      <w:r>
        <w:rPr>
          <w:rFonts w:hint="eastAsia" w:ascii="宋体" w:hAnsi="宋体" w:cs="宋体"/>
          <w:color w:val="auto"/>
          <w:sz w:val="24"/>
          <w:szCs w:val="24"/>
        </w:rPr>
        <w:t>责</w:t>
      </w:r>
      <w:r>
        <w:rPr>
          <w:rFonts w:hint="eastAsia" w:ascii="宋体" w:hAnsi="宋体"/>
          <w:color w:val="auto"/>
          <w:sz w:val="24"/>
          <w:szCs w:val="24"/>
        </w:rPr>
        <w:t>任和后果。</w:t>
      </w:r>
    </w:p>
    <w:p>
      <w:pPr>
        <w:spacing w:line="600" w:lineRule="exact"/>
        <w:rPr>
          <w:rFonts w:ascii="宋体" w:hAnsi="宋体"/>
          <w:color w:val="auto"/>
          <w:sz w:val="24"/>
          <w:szCs w:val="24"/>
        </w:rPr>
      </w:pPr>
      <w:r>
        <w:rPr>
          <w:rFonts w:hint="eastAsia" w:ascii="宋体" w:hAnsi="宋体"/>
          <w:color w:val="auto"/>
          <w:sz w:val="24"/>
          <w:szCs w:val="24"/>
        </w:rPr>
        <w:t xml:space="preserve">    本授权委托书期限自</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日止。</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授</w:t>
      </w:r>
      <w:r>
        <w:rPr>
          <w:rFonts w:hint="eastAsia" w:ascii="宋体" w:hAnsi="宋体" w:cs="宋体"/>
          <w:color w:val="auto"/>
          <w:sz w:val="24"/>
          <w:szCs w:val="24"/>
        </w:rPr>
        <w:t>权</w:t>
      </w:r>
      <w:r>
        <w:rPr>
          <w:rFonts w:hint="eastAsia" w:ascii="宋体" w:hAnsi="宋体"/>
          <w:color w:val="auto"/>
          <w:sz w:val="24"/>
          <w:szCs w:val="24"/>
        </w:rPr>
        <w:t>代表无</w:t>
      </w:r>
      <w:r>
        <w:rPr>
          <w:rFonts w:hint="eastAsia" w:ascii="宋体" w:hAnsi="宋体" w:cs="宋体"/>
          <w:color w:val="auto"/>
          <w:sz w:val="24"/>
          <w:szCs w:val="24"/>
        </w:rPr>
        <w:t>权转让</w:t>
      </w:r>
      <w:r>
        <w:rPr>
          <w:rFonts w:hint="eastAsia" w:ascii="宋体" w:hAnsi="宋体"/>
          <w:color w:val="auto"/>
          <w:sz w:val="24"/>
          <w:szCs w:val="24"/>
        </w:rPr>
        <w:t>委托</w:t>
      </w:r>
      <w:r>
        <w:rPr>
          <w:rFonts w:hint="eastAsia" w:ascii="宋体" w:hAnsi="宋体" w:cs="宋体"/>
          <w:color w:val="auto"/>
          <w:sz w:val="24"/>
          <w:szCs w:val="24"/>
        </w:rPr>
        <w:t>权</w:t>
      </w:r>
      <w:r>
        <w:rPr>
          <w:rFonts w:hint="eastAsia" w:ascii="宋体" w:hAnsi="宋体"/>
          <w:color w:val="auto"/>
          <w:sz w:val="24"/>
          <w:szCs w:val="24"/>
        </w:rPr>
        <w:t>，特此委托。</w:t>
      </w:r>
    </w:p>
    <w:p>
      <w:pPr>
        <w:spacing w:line="600" w:lineRule="exact"/>
        <w:ind w:firstLine="480" w:firstLineChars="200"/>
        <w:rPr>
          <w:rFonts w:ascii="宋体" w:hAnsi="宋体"/>
          <w:color w:val="auto"/>
          <w:sz w:val="24"/>
          <w:szCs w:val="24"/>
        </w:rPr>
      </w:pPr>
      <w:r>
        <w:rPr>
          <w:rFonts w:hint="eastAsia" w:ascii="宋体" w:hAnsi="宋体"/>
          <w:color w:val="auto"/>
          <w:sz w:val="24"/>
          <w:szCs w:val="24"/>
        </w:rPr>
        <w:t>备注：附授权委托人身份证复印件。</w:t>
      </w:r>
    </w:p>
    <w:p>
      <w:pPr>
        <w:spacing w:line="600" w:lineRule="exact"/>
        <w:rPr>
          <w:rFonts w:ascii="宋体" w:hAnsi="宋体"/>
          <w:color w:val="auto"/>
          <w:sz w:val="24"/>
          <w:szCs w:val="24"/>
        </w:rPr>
      </w:pPr>
    </w:p>
    <w:p>
      <w:pPr>
        <w:spacing w:line="600" w:lineRule="exact"/>
        <w:rPr>
          <w:rFonts w:ascii="宋体" w:hAnsi="宋体"/>
          <w:color w:val="auto"/>
          <w:sz w:val="24"/>
          <w:szCs w:val="24"/>
        </w:rPr>
      </w:pPr>
    </w:p>
    <w:p>
      <w:pPr>
        <w:spacing w:line="600" w:lineRule="exact"/>
        <w:ind w:firstLine="480" w:firstLineChars="200"/>
        <w:rPr>
          <w:rFonts w:ascii="宋体" w:hAnsi="宋体"/>
          <w:color w:val="auto"/>
          <w:sz w:val="24"/>
          <w:szCs w:val="24"/>
        </w:rPr>
      </w:pPr>
      <w:r>
        <w:rPr>
          <w:rFonts w:hint="eastAsia" w:ascii="宋体" w:hAnsi="宋体"/>
          <w:color w:val="auto"/>
          <w:sz w:val="24"/>
          <w:szCs w:val="24"/>
        </w:rPr>
        <w:t>投</w:t>
      </w:r>
      <w:r>
        <w:rPr>
          <w:rFonts w:hint="eastAsia" w:ascii="宋体" w:hAnsi="宋体" w:cs="宋体"/>
          <w:color w:val="auto"/>
          <w:sz w:val="24"/>
          <w:szCs w:val="24"/>
        </w:rPr>
        <w:t>标</w:t>
      </w:r>
      <w:r>
        <w:rPr>
          <w:rFonts w:hint="eastAsia" w:ascii="宋体" w:hAnsi="宋体"/>
          <w:color w:val="auto"/>
          <w:sz w:val="24"/>
          <w:szCs w:val="24"/>
        </w:rPr>
        <w:t>人：</w:t>
      </w:r>
      <w:r>
        <w:rPr>
          <w:rFonts w:hint="eastAsia" w:ascii="宋体" w:hAnsi="宋体"/>
          <w:color w:val="auto"/>
          <w:sz w:val="24"/>
          <w:szCs w:val="24"/>
          <w:u w:val="single"/>
        </w:rPr>
        <w:t xml:space="preserve">                                      </w:t>
      </w:r>
      <w:r>
        <w:rPr>
          <w:rFonts w:hint="eastAsia" w:ascii="宋体" w:hAnsi="宋体"/>
          <w:color w:val="auto"/>
          <w:sz w:val="24"/>
          <w:szCs w:val="24"/>
        </w:rPr>
        <w:t xml:space="preserve">（盖单位公章）              </w:t>
      </w:r>
    </w:p>
    <w:p>
      <w:pPr>
        <w:spacing w:line="600" w:lineRule="exact"/>
        <w:ind w:firstLine="480" w:firstLineChars="200"/>
        <w:rPr>
          <w:rFonts w:ascii="宋体" w:hAnsi="宋体"/>
          <w:color w:val="auto"/>
          <w:sz w:val="24"/>
          <w:szCs w:val="24"/>
          <w:u w:val="single"/>
        </w:rPr>
      </w:pPr>
      <w:r>
        <w:rPr>
          <w:rFonts w:hint="eastAsia" w:ascii="宋体" w:hAnsi="宋体"/>
          <w:color w:val="auto"/>
          <w:sz w:val="24"/>
          <w:szCs w:val="24"/>
        </w:rPr>
        <w:t>单位负责人姓名：</w:t>
      </w:r>
      <w:r>
        <w:rPr>
          <w:rFonts w:hint="eastAsia" w:ascii="宋体" w:hAnsi="宋体"/>
          <w:color w:val="auto"/>
          <w:sz w:val="24"/>
          <w:szCs w:val="24"/>
          <w:u w:val="single"/>
        </w:rPr>
        <w:t xml:space="preserve">       （签字）        </w:t>
      </w:r>
      <w:r>
        <w:rPr>
          <w:rFonts w:hint="eastAsia" w:ascii="宋体" w:hAnsi="宋体"/>
          <w:color w:val="auto"/>
          <w:sz w:val="24"/>
          <w:szCs w:val="24"/>
        </w:rPr>
        <w:t xml:space="preserve">； </w:t>
      </w:r>
      <w:r>
        <w:rPr>
          <w:rFonts w:hint="eastAsia" w:ascii="宋体" w:hAnsi="宋体" w:cs="宋体"/>
          <w:color w:val="auto"/>
          <w:sz w:val="24"/>
          <w:szCs w:val="24"/>
        </w:rPr>
        <w:t>职务</w:t>
      </w:r>
      <w:r>
        <w:rPr>
          <w:rFonts w:hint="eastAsia" w:ascii="宋体" w:hAnsi="宋体"/>
          <w:color w:val="auto"/>
          <w:sz w:val="24"/>
          <w:szCs w:val="24"/>
        </w:rPr>
        <w:t>：</w:t>
      </w:r>
      <w:r>
        <w:rPr>
          <w:rFonts w:hint="eastAsia" w:ascii="宋体" w:hAnsi="宋体"/>
          <w:color w:val="auto"/>
          <w:sz w:val="24"/>
          <w:szCs w:val="24"/>
          <w:u w:val="single"/>
        </w:rPr>
        <w:t xml:space="preserve">           </w:t>
      </w:r>
    </w:p>
    <w:p>
      <w:pPr>
        <w:spacing w:line="600" w:lineRule="exact"/>
        <w:ind w:firstLine="480" w:firstLineChars="200"/>
        <w:rPr>
          <w:rFonts w:ascii="宋体" w:hAnsi="宋体"/>
          <w:color w:val="auto"/>
          <w:sz w:val="24"/>
          <w:szCs w:val="24"/>
          <w:u w:val="single"/>
        </w:rPr>
      </w:pPr>
      <w:r>
        <w:rPr>
          <w:rFonts w:hint="eastAsia" w:ascii="宋体" w:hAnsi="宋体"/>
          <w:color w:val="auto"/>
          <w:sz w:val="24"/>
          <w:szCs w:val="24"/>
        </w:rPr>
        <w:t>授</w:t>
      </w:r>
      <w:r>
        <w:rPr>
          <w:rFonts w:hint="eastAsia" w:ascii="宋体" w:hAnsi="宋体" w:cs="宋体"/>
          <w:color w:val="auto"/>
          <w:sz w:val="24"/>
          <w:szCs w:val="24"/>
        </w:rPr>
        <w:t>权</w:t>
      </w:r>
      <w:r>
        <w:rPr>
          <w:rFonts w:hint="eastAsia" w:ascii="宋体" w:hAnsi="宋体"/>
          <w:color w:val="auto"/>
          <w:sz w:val="24"/>
          <w:szCs w:val="24"/>
        </w:rPr>
        <w:t>委托人姓名：</w:t>
      </w:r>
      <w:r>
        <w:rPr>
          <w:rFonts w:hint="eastAsia" w:ascii="宋体" w:hAnsi="宋体"/>
          <w:color w:val="auto"/>
          <w:sz w:val="24"/>
          <w:szCs w:val="24"/>
          <w:u w:val="single"/>
        </w:rPr>
        <w:t xml:space="preserve">        （签字）       </w:t>
      </w:r>
      <w:r>
        <w:rPr>
          <w:rFonts w:hint="eastAsia" w:ascii="宋体" w:hAnsi="宋体"/>
          <w:color w:val="auto"/>
          <w:sz w:val="24"/>
          <w:szCs w:val="24"/>
        </w:rPr>
        <w:t xml:space="preserve">； </w:t>
      </w:r>
      <w:r>
        <w:rPr>
          <w:rFonts w:hint="eastAsia" w:ascii="宋体" w:hAnsi="宋体" w:cs="宋体"/>
          <w:color w:val="auto"/>
          <w:sz w:val="24"/>
          <w:szCs w:val="24"/>
        </w:rPr>
        <w:t>职务</w:t>
      </w:r>
      <w:r>
        <w:rPr>
          <w:rFonts w:hint="eastAsia" w:ascii="宋体" w:hAnsi="宋体"/>
          <w:color w:val="auto"/>
          <w:sz w:val="24"/>
          <w:szCs w:val="24"/>
        </w:rPr>
        <w:t>：</w:t>
      </w:r>
      <w:r>
        <w:rPr>
          <w:rFonts w:hint="eastAsia" w:ascii="宋体" w:hAnsi="宋体"/>
          <w:color w:val="auto"/>
          <w:sz w:val="24"/>
          <w:szCs w:val="24"/>
          <w:u w:val="single"/>
        </w:rPr>
        <w:t xml:space="preserve">           </w:t>
      </w:r>
    </w:p>
    <w:p>
      <w:pPr>
        <w:spacing w:line="600" w:lineRule="exact"/>
        <w:rPr>
          <w:rFonts w:ascii="宋体" w:hAnsi="宋体"/>
          <w:color w:val="auto"/>
          <w:sz w:val="24"/>
          <w:szCs w:val="24"/>
        </w:rPr>
      </w:pPr>
      <w:r>
        <w:rPr>
          <w:rFonts w:hint="eastAsia" w:ascii="宋体" w:hAnsi="宋体"/>
          <w:color w:val="auto"/>
          <w:sz w:val="24"/>
          <w:szCs w:val="24"/>
        </w:rPr>
        <w:t xml:space="preserve">    日期： </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6"/>
        <w:tabs>
          <w:tab w:val="left" w:pos="1000"/>
        </w:tabs>
        <w:spacing w:line="360" w:lineRule="auto"/>
        <w:ind w:firstLine="0"/>
        <w:rPr>
          <w:rFonts w:ascii="宋体" w:hAnsi="宋体" w:cs="宋体"/>
          <w:b/>
          <w:color w:val="auto"/>
          <w:sz w:val="24"/>
          <w:szCs w:val="24"/>
        </w:rPr>
      </w:pPr>
    </w:p>
    <w:p>
      <w:pPr>
        <w:pStyle w:val="6"/>
        <w:tabs>
          <w:tab w:val="left" w:pos="1000"/>
        </w:tabs>
        <w:spacing w:line="360" w:lineRule="auto"/>
        <w:rPr>
          <w:rFonts w:ascii="宋体" w:hAnsi="宋体" w:cs="宋体"/>
          <w:color w:val="auto"/>
          <w:sz w:val="24"/>
        </w:rPr>
      </w:pPr>
    </w:p>
    <w:p>
      <w:pPr>
        <w:pStyle w:val="6"/>
        <w:tabs>
          <w:tab w:val="left" w:pos="1000"/>
        </w:tabs>
        <w:spacing w:line="360" w:lineRule="auto"/>
        <w:rPr>
          <w:rFonts w:ascii="宋体" w:hAnsi="宋体" w:cs="宋体"/>
          <w:color w:val="auto"/>
          <w:sz w:val="24"/>
          <w:szCs w:val="24"/>
        </w:rPr>
        <w:sectPr>
          <w:pgSz w:w="11906" w:h="16838"/>
          <w:pgMar w:top="1440" w:right="1080" w:bottom="1440" w:left="1080" w:header="851" w:footer="992" w:gutter="0"/>
          <w:cols w:space="720" w:num="1"/>
          <w:docGrid w:linePitch="312" w:charSpace="0"/>
        </w:sectPr>
      </w:pPr>
      <w:r>
        <w:rPr>
          <w:rFonts w:hint="eastAsia" w:ascii="宋体" w:hAnsi="宋体"/>
          <w:color w:val="auto"/>
          <w:szCs w:val="21"/>
        </w:rPr>
        <w:t>注：</w:t>
      </w:r>
      <w:r>
        <w:rPr>
          <w:rFonts w:hint="eastAsia" w:ascii="宋体" w:hAnsi="宋体"/>
          <w:color w:val="auto"/>
          <w:sz w:val="24"/>
        </w:rPr>
        <w:t>如</w:t>
      </w:r>
      <w:r>
        <w:rPr>
          <w:rFonts w:hint="eastAsia" w:ascii="宋体" w:hAnsi="宋体" w:cs="宋体"/>
          <w:color w:val="auto"/>
          <w:sz w:val="24"/>
          <w:szCs w:val="24"/>
        </w:rPr>
        <w:t>联合体投标，由联合体</w:t>
      </w:r>
      <w:r>
        <w:rPr>
          <w:rFonts w:hint="eastAsia" w:ascii="宋体" w:hAnsi="宋体" w:cs="宋体"/>
          <w:b/>
          <w:bCs/>
          <w:color w:val="auto"/>
          <w:sz w:val="24"/>
          <w:szCs w:val="24"/>
        </w:rPr>
        <w:t>牵头方</w:t>
      </w:r>
      <w:r>
        <w:rPr>
          <w:rFonts w:hint="eastAsia" w:ascii="宋体" w:hAnsi="宋体" w:cs="宋体"/>
          <w:color w:val="auto"/>
          <w:sz w:val="24"/>
          <w:szCs w:val="24"/>
        </w:rPr>
        <w:t>提供。</w:t>
      </w:r>
    </w:p>
    <w:p>
      <w:pPr>
        <w:pStyle w:val="6"/>
        <w:tabs>
          <w:tab w:val="left" w:pos="1000"/>
        </w:tabs>
        <w:spacing w:line="360" w:lineRule="auto"/>
        <w:rPr>
          <w:rFonts w:ascii="宋体" w:hAnsi="宋体" w:cs="宋体"/>
          <w:b/>
          <w:bCs/>
          <w:color w:val="auto"/>
          <w:sz w:val="24"/>
        </w:rPr>
      </w:pPr>
      <w:r>
        <w:rPr>
          <w:rFonts w:hint="eastAsia" w:ascii="宋体" w:hAnsi="宋体" w:cs="宋体"/>
          <w:b/>
          <w:bCs/>
          <w:color w:val="auto"/>
          <w:sz w:val="24"/>
          <w:szCs w:val="24"/>
        </w:rPr>
        <w:t>附表3.</w:t>
      </w:r>
      <w:r>
        <w:rPr>
          <w:rFonts w:hint="eastAsia" w:ascii="宋体" w:hAnsi="宋体" w:cs="宋体"/>
          <w:b/>
          <w:bCs/>
          <w:color w:val="auto"/>
          <w:sz w:val="24"/>
        </w:rPr>
        <w:t>承诺书格式</w:t>
      </w:r>
    </w:p>
    <w:p>
      <w:pPr>
        <w:pStyle w:val="6"/>
        <w:tabs>
          <w:tab w:val="left" w:pos="1000"/>
        </w:tabs>
        <w:spacing w:line="360" w:lineRule="auto"/>
        <w:jc w:val="center"/>
        <w:outlineLvl w:val="2"/>
        <w:rPr>
          <w:rFonts w:ascii="宋体" w:hAnsi="宋体" w:cs="宋体"/>
          <w:b/>
          <w:bCs/>
          <w:color w:val="auto"/>
          <w:sz w:val="32"/>
          <w:szCs w:val="32"/>
        </w:rPr>
      </w:pPr>
      <w:bookmarkStart w:id="513" w:name="_Toc12688"/>
      <w:r>
        <w:rPr>
          <w:rFonts w:hint="eastAsia" w:ascii="宋体" w:hAnsi="宋体" w:cs="宋体"/>
          <w:b/>
          <w:bCs/>
          <w:color w:val="auto"/>
          <w:sz w:val="32"/>
          <w:szCs w:val="32"/>
        </w:rPr>
        <w:t>承 诺 书</w:t>
      </w:r>
      <w:bookmarkEnd w:id="513"/>
    </w:p>
    <w:p>
      <w:pPr>
        <w:pStyle w:val="6"/>
        <w:tabs>
          <w:tab w:val="left" w:pos="1000"/>
        </w:tabs>
        <w:spacing w:line="360" w:lineRule="auto"/>
        <w:ind w:firstLine="0"/>
        <w:rPr>
          <w:rFonts w:ascii="宋体" w:hAnsi="宋体" w:cs="宋体"/>
          <w:b/>
          <w:bCs/>
          <w:color w:val="auto"/>
          <w:sz w:val="32"/>
          <w:szCs w:val="32"/>
        </w:rPr>
      </w:pPr>
    </w:p>
    <w:p>
      <w:pPr>
        <w:pStyle w:val="6"/>
        <w:tabs>
          <w:tab w:val="left" w:pos="1000"/>
        </w:tabs>
        <w:spacing w:line="360" w:lineRule="auto"/>
        <w:ind w:firstLine="0"/>
        <w:rPr>
          <w:rFonts w:ascii="宋体" w:hAnsi="宋体" w:cs="宋体"/>
          <w:color w:val="auto"/>
          <w:sz w:val="24"/>
          <w:szCs w:val="22"/>
        </w:rPr>
      </w:pPr>
      <w:r>
        <w:rPr>
          <w:rFonts w:hint="eastAsia" w:ascii="宋体" w:hAnsi="宋体" w:cs="宋体"/>
          <w:b/>
          <w:bCs/>
          <w:color w:val="auto"/>
          <w:sz w:val="32"/>
          <w:szCs w:val="32"/>
          <w:u w:val="single"/>
        </w:rPr>
        <w:t xml:space="preserve"> </w:t>
      </w:r>
      <w:r>
        <w:rPr>
          <w:rFonts w:hint="eastAsia" w:ascii="宋体" w:hAnsi="宋体" w:cs="宋体"/>
          <w:color w:val="auto"/>
          <w:sz w:val="24"/>
          <w:szCs w:val="22"/>
          <w:u w:val="single"/>
        </w:rPr>
        <w:t xml:space="preserve">                  </w:t>
      </w:r>
      <w:r>
        <w:rPr>
          <w:rFonts w:hint="eastAsia" w:ascii="宋体" w:hAnsi="宋体" w:cs="宋体"/>
          <w:color w:val="auto"/>
          <w:sz w:val="24"/>
          <w:szCs w:val="22"/>
        </w:rPr>
        <w:t>（招标人名称）：</w:t>
      </w:r>
    </w:p>
    <w:p>
      <w:pPr>
        <w:pStyle w:val="6"/>
        <w:tabs>
          <w:tab w:val="left" w:pos="1000"/>
        </w:tabs>
        <w:spacing w:line="360" w:lineRule="auto"/>
        <w:ind w:firstLine="642"/>
        <w:rPr>
          <w:rFonts w:ascii="宋体" w:hAnsi="宋体" w:cs="宋体"/>
          <w:color w:val="auto"/>
          <w:sz w:val="24"/>
          <w:szCs w:val="22"/>
        </w:rPr>
      </w:pPr>
    </w:p>
    <w:p>
      <w:pPr>
        <w:pStyle w:val="6"/>
        <w:tabs>
          <w:tab w:val="left" w:pos="1000"/>
        </w:tabs>
        <w:spacing w:line="480" w:lineRule="auto"/>
        <w:ind w:firstLine="480" w:firstLineChars="200"/>
        <w:rPr>
          <w:rFonts w:ascii="宋体" w:hAnsi="宋体" w:cs="宋体"/>
          <w:color w:val="auto"/>
          <w:sz w:val="24"/>
          <w:szCs w:val="22"/>
        </w:rPr>
      </w:pPr>
      <w:r>
        <w:rPr>
          <w:rFonts w:hint="eastAsia" w:ascii="宋体" w:hAnsi="宋体" w:cs="宋体"/>
          <w:color w:val="auto"/>
          <w:sz w:val="24"/>
          <w:szCs w:val="22"/>
        </w:rPr>
        <w:t>我方参加了</w:t>
      </w:r>
      <w:r>
        <w:rPr>
          <w:rFonts w:hint="eastAsia" w:ascii="宋体" w:hAnsi="宋体" w:cs="宋体"/>
          <w:color w:val="auto"/>
          <w:sz w:val="24"/>
          <w:szCs w:val="22"/>
          <w:u w:val="single"/>
        </w:rPr>
        <w:t xml:space="preserve">             （项目名称）</w:t>
      </w:r>
      <w:r>
        <w:rPr>
          <w:rFonts w:hint="eastAsia" w:ascii="宋体" w:hAnsi="宋体" w:cs="宋体"/>
          <w:color w:val="auto"/>
          <w:sz w:val="24"/>
          <w:szCs w:val="22"/>
        </w:rPr>
        <w:t>投标，若我方中标，我方在此承诺：</w:t>
      </w:r>
    </w:p>
    <w:p>
      <w:pPr>
        <w:pStyle w:val="6"/>
        <w:tabs>
          <w:tab w:val="left" w:pos="1000"/>
        </w:tabs>
        <w:spacing w:line="480" w:lineRule="auto"/>
        <w:ind w:firstLine="480" w:firstLineChars="200"/>
        <w:rPr>
          <w:rFonts w:ascii="宋体" w:hAnsi="宋体" w:cs="宋体"/>
          <w:color w:val="auto"/>
          <w:sz w:val="24"/>
        </w:rPr>
      </w:pPr>
      <w:r>
        <w:rPr>
          <w:rFonts w:hint="eastAsia" w:ascii="宋体" w:hAnsi="宋体" w:cs="宋体"/>
          <w:color w:val="auto"/>
          <w:sz w:val="24"/>
          <w:szCs w:val="22"/>
        </w:rPr>
        <w:t>我方承诺：</w:t>
      </w:r>
      <w:r>
        <w:rPr>
          <w:rFonts w:hint="eastAsia" w:ascii="宋体" w:hAnsi="宋体" w:cs="宋体"/>
          <w:color w:val="auto"/>
          <w:sz w:val="24"/>
        </w:rPr>
        <w:t>自2021年9月1日至本项目投标登记截止时间止（以处罚或通报日期为准），企业和项目负责人在国家住房和城乡建设部“全国建筑市场监管公共服务平台”、“广东省建筑市场监管公共服务平台”、“梅州市住建局建筑市场诚信管理平台”上未有被限制参与投标的信息，如有弄虚作假经查核实，将取消我公司投标和中标资格，列入黑名单，并承担相关法律责任。</w:t>
      </w:r>
    </w:p>
    <w:p>
      <w:pPr>
        <w:pStyle w:val="6"/>
        <w:tabs>
          <w:tab w:val="left" w:pos="1000"/>
        </w:tabs>
        <w:spacing w:line="480" w:lineRule="auto"/>
        <w:ind w:firstLine="642"/>
        <w:rPr>
          <w:rFonts w:ascii="宋体" w:hAnsi="宋体" w:cs="宋体"/>
          <w:color w:val="auto"/>
          <w:sz w:val="24"/>
        </w:rPr>
      </w:pPr>
    </w:p>
    <w:p>
      <w:pPr>
        <w:pStyle w:val="6"/>
        <w:tabs>
          <w:tab w:val="left" w:pos="1000"/>
        </w:tabs>
        <w:spacing w:line="480" w:lineRule="auto"/>
        <w:ind w:firstLine="642"/>
        <w:rPr>
          <w:rFonts w:ascii="宋体" w:hAnsi="宋体" w:cs="宋体"/>
          <w:color w:val="auto"/>
          <w:sz w:val="24"/>
        </w:rPr>
      </w:pPr>
    </w:p>
    <w:p>
      <w:pPr>
        <w:pStyle w:val="6"/>
        <w:tabs>
          <w:tab w:val="left" w:pos="1000"/>
        </w:tabs>
        <w:spacing w:line="480" w:lineRule="auto"/>
        <w:ind w:firstLine="642"/>
        <w:rPr>
          <w:rFonts w:ascii="宋体" w:hAnsi="宋体" w:cs="宋体"/>
          <w:color w:val="auto"/>
          <w:sz w:val="24"/>
        </w:rPr>
      </w:pPr>
    </w:p>
    <w:p>
      <w:pPr>
        <w:pStyle w:val="6"/>
        <w:tabs>
          <w:tab w:val="left" w:pos="1000"/>
        </w:tabs>
        <w:spacing w:line="480" w:lineRule="auto"/>
        <w:ind w:firstLine="642"/>
        <w:rPr>
          <w:rFonts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 xml:space="preserve"> （盖单位公章）</w:t>
      </w:r>
    </w:p>
    <w:p>
      <w:pPr>
        <w:pStyle w:val="6"/>
        <w:tabs>
          <w:tab w:val="left" w:pos="1000"/>
        </w:tabs>
        <w:spacing w:line="480" w:lineRule="auto"/>
        <w:ind w:firstLine="642"/>
        <w:jc w:val="right"/>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 xml:space="preserve">  （签名）</w:t>
      </w:r>
    </w:p>
    <w:p>
      <w:pPr>
        <w:pStyle w:val="6"/>
        <w:tabs>
          <w:tab w:val="left" w:pos="1000"/>
        </w:tabs>
        <w:spacing w:line="480" w:lineRule="auto"/>
        <w:ind w:firstLine="642"/>
        <w:jc w:val="right"/>
        <w:rPr>
          <w:rFonts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6"/>
        <w:tabs>
          <w:tab w:val="left" w:pos="1000"/>
        </w:tabs>
        <w:spacing w:line="360" w:lineRule="auto"/>
        <w:ind w:firstLine="642"/>
        <w:rPr>
          <w:rFonts w:ascii="宋体" w:hAnsi="宋体"/>
          <w:color w:val="auto"/>
          <w:sz w:val="24"/>
        </w:rPr>
      </w:pPr>
    </w:p>
    <w:p>
      <w:pPr>
        <w:pStyle w:val="6"/>
        <w:tabs>
          <w:tab w:val="left" w:pos="1000"/>
        </w:tabs>
        <w:spacing w:line="360" w:lineRule="auto"/>
        <w:ind w:firstLine="0"/>
        <w:rPr>
          <w:rFonts w:ascii="宋体" w:hAnsi="宋体" w:cs="宋体"/>
          <w:color w:val="auto"/>
          <w:szCs w:val="21"/>
        </w:rPr>
      </w:pPr>
    </w:p>
    <w:p>
      <w:pPr>
        <w:jc w:val="center"/>
        <w:outlineLvl w:val="1"/>
        <w:rPr>
          <w:b/>
          <w:color w:val="auto"/>
          <w:sz w:val="44"/>
          <w:szCs w:val="44"/>
        </w:rPr>
      </w:pPr>
      <w:bookmarkStart w:id="514" w:name="_Toc31771"/>
      <w:bookmarkStart w:id="515" w:name="_Toc382381151"/>
    </w:p>
    <w:p>
      <w:pPr>
        <w:jc w:val="center"/>
        <w:outlineLvl w:val="1"/>
        <w:rPr>
          <w:b/>
          <w:color w:val="auto"/>
          <w:sz w:val="44"/>
          <w:szCs w:val="44"/>
        </w:rPr>
      </w:pPr>
    </w:p>
    <w:p>
      <w:pPr>
        <w:jc w:val="center"/>
        <w:outlineLvl w:val="1"/>
        <w:rPr>
          <w:b/>
          <w:color w:val="auto"/>
          <w:sz w:val="44"/>
          <w:szCs w:val="44"/>
        </w:rPr>
      </w:pPr>
    </w:p>
    <w:p>
      <w:pPr>
        <w:jc w:val="center"/>
        <w:outlineLvl w:val="1"/>
        <w:rPr>
          <w:b/>
          <w:color w:val="auto"/>
          <w:sz w:val="44"/>
          <w:szCs w:val="44"/>
        </w:rPr>
      </w:pPr>
    </w:p>
    <w:p>
      <w:pPr>
        <w:jc w:val="center"/>
        <w:outlineLvl w:val="1"/>
        <w:rPr>
          <w:b/>
          <w:color w:val="auto"/>
          <w:sz w:val="44"/>
          <w:szCs w:val="44"/>
        </w:rPr>
      </w:pPr>
    </w:p>
    <w:p>
      <w:pPr>
        <w:jc w:val="center"/>
        <w:outlineLvl w:val="1"/>
        <w:rPr>
          <w:b/>
          <w:color w:val="auto"/>
          <w:sz w:val="44"/>
          <w:szCs w:val="44"/>
        </w:rPr>
      </w:pPr>
      <w:r>
        <w:rPr>
          <w:rFonts w:hint="eastAsia"/>
          <w:b/>
          <w:color w:val="auto"/>
          <w:sz w:val="44"/>
          <w:szCs w:val="44"/>
        </w:rPr>
        <w:t>三、商务文件格式</w:t>
      </w:r>
      <w:bookmarkEnd w:id="508"/>
      <w:bookmarkEnd w:id="514"/>
      <w:bookmarkEnd w:id="515"/>
    </w:p>
    <w:p>
      <w:pPr>
        <w:pStyle w:val="18"/>
        <w:tabs>
          <w:tab w:val="left" w:pos="285"/>
          <w:tab w:val="center" w:pos="4320"/>
        </w:tabs>
        <w:spacing w:line="264" w:lineRule="auto"/>
        <w:rPr>
          <w:rFonts w:hAnsi="宋体" w:cs="宋体"/>
          <w:b/>
          <w:color w:val="auto"/>
          <w:sz w:val="32"/>
        </w:rPr>
      </w:pPr>
    </w:p>
    <w:p>
      <w:pPr>
        <w:pStyle w:val="18"/>
        <w:tabs>
          <w:tab w:val="left" w:pos="285"/>
          <w:tab w:val="center" w:pos="4320"/>
        </w:tabs>
        <w:spacing w:line="264" w:lineRule="auto"/>
        <w:rPr>
          <w:rFonts w:hAnsi="宋体" w:cs="宋体"/>
          <w:b/>
          <w:color w:val="auto"/>
          <w:sz w:val="32"/>
        </w:rPr>
        <w:sectPr>
          <w:pgSz w:w="11906" w:h="16838"/>
          <w:pgMar w:top="1440" w:right="1080" w:bottom="1440" w:left="1080" w:header="851" w:footer="992" w:gutter="0"/>
          <w:cols w:space="720" w:num="1"/>
          <w:docGrid w:linePitch="312" w:charSpace="0"/>
        </w:sectPr>
      </w:pPr>
    </w:p>
    <w:p>
      <w:pPr>
        <w:pStyle w:val="18"/>
        <w:tabs>
          <w:tab w:val="left" w:pos="285"/>
          <w:tab w:val="center" w:pos="4320"/>
        </w:tabs>
        <w:spacing w:line="264" w:lineRule="auto"/>
        <w:rPr>
          <w:rFonts w:hAnsi="宋体" w:cs="宋体"/>
          <w:color w:val="auto"/>
          <w:sz w:val="24"/>
          <w:szCs w:val="24"/>
        </w:rPr>
      </w:pPr>
      <w:r>
        <w:rPr>
          <w:rFonts w:hint="eastAsia" w:hAnsi="宋体" w:cs="宋体"/>
          <w:color w:val="auto"/>
          <w:sz w:val="24"/>
          <w:szCs w:val="24"/>
        </w:rPr>
        <w:t>（用于商务文件封面）</w:t>
      </w:r>
    </w:p>
    <w:p>
      <w:pPr>
        <w:pStyle w:val="18"/>
        <w:spacing w:line="264" w:lineRule="auto"/>
        <w:jc w:val="center"/>
        <w:rPr>
          <w:rFonts w:hAnsi="宋体" w:cs="宋体"/>
          <w:color w:val="auto"/>
          <w:sz w:val="36"/>
        </w:rPr>
      </w:pPr>
    </w:p>
    <w:p>
      <w:pPr>
        <w:pStyle w:val="18"/>
        <w:spacing w:line="480" w:lineRule="auto"/>
        <w:jc w:val="center"/>
        <w:rPr>
          <w:rFonts w:hAnsi="宋体" w:cs="宋体"/>
          <w:b/>
          <w:color w:val="auto"/>
          <w:sz w:val="32"/>
          <w:szCs w:val="32"/>
        </w:rPr>
      </w:pPr>
    </w:p>
    <w:p>
      <w:pPr>
        <w:pStyle w:val="18"/>
        <w:spacing w:line="480" w:lineRule="auto"/>
        <w:ind w:left="3368" w:leftChars="800" w:hanging="1768" w:hangingChars="442"/>
        <w:jc w:val="left"/>
        <w:rPr>
          <w:rFonts w:hAnsi="宋体" w:cs="宋体"/>
          <w:bCs/>
          <w:color w:val="auto"/>
          <w:sz w:val="40"/>
          <w:szCs w:val="28"/>
        </w:rPr>
      </w:pPr>
      <w:r>
        <w:rPr>
          <w:rFonts w:hint="eastAsia" w:hAnsi="宋体" w:cs="宋体"/>
          <w:bCs/>
          <w:color w:val="auto"/>
          <w:sz w:val="40"/>
          <w:szCs w:val="28"/>
        </w:rPr>
        <w:t>大埔县智慧停车场项目(勘察、设计)</w:t>
      </w:r>
    </w:p>
    <w:p>
      <w:pPr>
        <w:pStyle w:val="18"/>
        <w:spacing w:before="240" w:beforeLines="100" w:after="240" w:afterLines="100" w:line="264" w:lineRule="auto"/>
        <w:rPr>
          <w:rFonts w:hAnsi="宋体" w:cs="宋体"/>
          <w:bCs/>
          <w:color w:val="auto"/>
          <w:sz w:val="28"/>
          <w:szCs w:val="28"/>
        </w:rPr>
      </w:pPr>
    </w:p>
    <w:p>
      <w:pPr>
        <w:pStyle w:val="18"/>
        <w:spacing w:line="264" w:lineRule="auto"/>
        <w:jc w:val="center"/>
        <w:rPr>
          <w:rFonts w:hAnsi="宋体" w:cs="宋体"/>
          <w:color w:val="auto"/>
          <w:sz w:val="28"/>
        </w:rPr>
      </w:pPr>
      <w:r>
        <w:rPr>
          <w:rFonts w:hint="eastAsia" w:hAnsi="宋体" w:cs="宋体"/>
          <w:b/>
          <w:color w:val="auto"/>
          <w:sz w:val="84"/>
        </w:rPr>
        <w:t>投标文件</w:t>
      </w: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before="240" w:after="240" w:line="240" w:lineRule="auto"/>
        <w:ind w:firstLine="560"/>
        <w:rPr>
          <w:rFonts w:hAnsi="宋体" w:cs="宋体"/>
          <w:color w:val="auto"/>
          <w:kern w:val="0"/>
          <w:sz w:val="28"/>
          <w:szCs w:val="28"/>
          <w:u w:val="single"/>
        </w:rPr>
      </w:pPr>
      <w:r>
        <w:rPr>
          <w:rFonts w:hint="eastAsia" w:hAnsi="宋体" w:cs="宋体"/>
          <w:color w:val="auto"/>
          <w:kern w:val="0"/>
          <w:sz w:val="28"/>
          <w:szCs w:val="28"/>
        </w:rPr>
        <w:t>投标文件内容</w:t>
      </w:r>
      <w:r>
        <w:rPr>
          <w:rFonts w:hint="eastAsia" w:hAnsi="宋体" w:cs="宋体"/>
          <w:color w:val="auto"/>
          <w:kern w:val="0"/>
          <w:sz w:val="28"/>
          <w:szCs w:val="28"/>
          <w:u w:val="single"/>
        </w:rPr>
        <w:t xml:space="preserve">                商务文件             </w:t>
      </w:r>
    </w:p>
    <w:p>
      <w:pPr>
        <w:pStyle w:val="18"/>
        <w:spacing w:before="240" w:after="240" w:line="240" w:lineRule="auto"/>
        <w:ind w:left="630"/>
        <w:jc w:val="left"/>
        <w:rPr>
          <w:rFonts w:hAnsi="宋体" w:cs="宋体"/>
          <w:color w:val="auto"/>
          <w:sz w:val="28"/>
          <w:szCs w:val="28"/>
        </w:rPr>
      </w:pPr>
      <w:r>
        <w:rPr>
          <w:rFonts w:hint="eastAsia" w:hAnsi="宋体" w:cs="宋体"/>
          <w:color w:val="auto"/>
          <w:sz w:val="28"/>
          <w:szCs w:val="28"/>
        </w:rPr>
        <w:t xml:space="preserve">投  标  人: </w:t>
      </w:r>
      <w:r>
        <w:rPr>
          <w:rFonts w:hint="eastAsia" w:hAnsi="宋体" w:cs="宋体"/>
          <w:color w:val="auto"/>
          <w:sz w:val="28"/>
          <w:szCs w:val="28"/>
          <w:u w:val="single"/>
        </w:rPr>
        <w:t xml:space="preserve">                             </w:t>
      </w:r>
      <w:r>
        <w:rPr>
          <w:rFonts w:hint="eastAsia" w:hAnsi="宋体" w:cs="宋体"/>
          <w:color w:val="auto"/>
          <w:sz w:val="28"/>
          <w:szCs w:val="28"/>
        </w:rPr>
        <w:t xml:space="preserve">（盖投标人单位公章）     </w:t>
      </w:r>
    </w:p>
    <w:p>
      <w:pPr>
        <w:pStyle w:val="18"/>
        <w:spacing w:before="240" w:after="240" w:line="240" w:lineRule="auto"/>
        <w:ind w:firstLine="560"/>
        <w:rPr>
          <w:rFonts w:hAnsi="宋体" w:cs="宋体"/>
          <w:color w:val="auto"/>
          <w:sz w:val="28"/>
          <w:szCs w:val="28"/>
        </w:rPr>
      </w:pPr>
      <w:r>
        <w:rPr>
          <w:rFonts w:hint="eastAsia" w:hAnsi="宋体" w:cs="宋体"/>
          <w:color w:val="auto"/>
          <w:sz w:val="28"/>
          <w:szCs w:val="28"/>
        </w:rPr>
        <w:t>法定代表人或其委托代理人：</w:t>
      </w:r>
      <w:r>
        <w:rPr>
          <w:rFonts w:hint="eastAsia" w:hAnsi="宋体" w:cs="宋体"/>
          <w:color w:val="auto"/>
          <w:sz w:val="28"/>
          <w:szCs w:val="28"/>
          <w:u w:val="single"/>
        </w:rPr>
        <w:t xml:space="preserve">                </w:t>
      </w:r>
      <w:r>
        <w:rPr>
          <w:rFonts w:hint="eastAsia" w:hAnsi="宋体" w:cs="宋体"/>
          <w:color w:val="auto"/>
          <w:sz w:val="28"/>
          <w:szCs w:val="28"/>
        </w:rPr>
        <w:t>（签字）</w:t>
      </w:r>
    </w:p>
    <w:p>
      <w:pPr>
        <w:pStyle w:val="18"/>
        <w:spacing w:before="240" w:after="240" w:line="240" w:lineRule="auto"/>
        <w:ind w:left="630"/>
        <w:rPr>
          <w:rFonts w:hAnsi="宋体" w:cs="宋体"/>
          <w:color w:val="auto"/>
          <w:sz w:val="28"/>
          <w:szCs w:val="28"/>
        </w:rPr>
      </w:pPr>
      <w:r>
        <w:rPr>
          <w:rFonts w:hint="eastAsia" w:hAnsi="宋体" w:cs="宋体"/>
          <w:color w:val="auto"/>
          <w:sz w:val="28"/>
          <w:szCs w:val="28"/>
        </w:rPr>
        <w:t>日      期：</w:t>
      </w:r>
      <w:r>
        <w:rPr>
          <w:rFonts w:hint="eastAsia" w:hAnsi="宋体" w:cs="宋体"/>
          <w:color w:val="auto"/>
          <w:sz w:val="28"/>
          <w:szCs w:val="28"/>
          <w:u w:val="single"/>
        </w:rPr>
        <w:t xml:space="preserve">              </w:t>
      </w:r>
      <w:r>
        <w:rPr>
          <w:rFonts w:hint="eastAsia" w:hAnsi="宋体" w:cs="宋体"/>
          <w:color w:val="auto"/>
          <w:sz w:val="28"/>
          <w:szCs w:val="28"/>
        </w:rPr>
        <w:t>年</w:t>
      </w:r>
      <w:r>
        <w:rPr>
          <w:rFonts w:hint="eastAsia" w:hAnsi="宋体" w:cs="宋体"/>
          <w:color w:val="auto"/>
          <w:sz w:val="28"/>
          <w:szCs w:val="28"/>
          <w:u w:val="single"/>
        </w:rPr>
        <w:t xml:space="preserve">      </w:t>
      </w:r>
      <w:r>
        <w:rPr>
          <w:rFonts w:hint="eastAsia" w:hAnsi="宋体" w:cs="宋体"/>
          <w:color w:val="auto"/>
          <w:sz w:val="28"/>
          <w:szCs w:val="28"/>
        </w:rPr>
        <w:t>月</w:t>
      </w:r>
      <w:r>
        <w:rPr>
          <w:rFonts w:hint="eastAsia" w:hAnsi="宋体" w:cs="宋体"/>
          <w:color w:val="auto"/>
          <w:sz w:val="28"/>
          <w:szCs w:val="28"/>
          <w:u w:val="single"/>
        </w:rPr>
        <w:t xml:space="preserve">      </w:t>
      </w:r>
      <w:r>
        <w:rPr>
          <w:rFonts w:hint="eastAsia" w:hAnsi="宋体" w:cs="宋体"/>
          <w:color w:val="auto"/>
          <w:sz w:val="28"/>
          <w:szCs w:val="28"/>
        </w:rPr>
        <w:t>日</w:t>
      </w:r>
    </w:p>
    <w:p>
      <w:pPr>
        <w:pStyle w:val="18"/>
        <w:spacing w:before="960" w:beforeLines="400" w:line="360" w:lineRule="auto"/>
        <w:ind w:left="629"/>
        <w:jc w:val="center"/>
        <w:rPr>
          <w:rFonts w:hAnsi="宋体" w:cs="宋体"/>
          <w:color w:val="auto"/>
          <w:sz w:val="30"/>
        </w:rPr>
      </w:pPr>
      <w:r>
        <w:rPr>
          <w:rFonts w:hint="eastAsia" w:hAnsi="宋体" w:cs="宋体"/>
          <w:color w:val="auto"/>
          <w:sz w:val="30"/>
        </w:rPr>
        <w:br w:type="page"/>
      </w:r>
      <w:bookmarkStart w:id="516" w:name="_Toc22246"/>
      <w:r>
        <w:rPr>
          <w:rFonts w:hint="eastAsia" w:hAnsi="宋体" w:cs="宋体"/>
          <w:color w:val="auto"/>
          <w:sz w:val="30"/>
        </w:rPr>
        <w:t>说    明</w:t>
      </w:r>
      <w:bookmarkEnd w:id="516"/>
    </w:p>
    <w:p>
      <w:pPr>
        <w:pStyle w:val="18"/>
        <w:spacing w:line="360" w:lineRule="auto"/>
        <w:ind w:left="629"/>
        <w:jc w:val="left"/>
        <w:rPr>
          <w:rFonts w:hAnsi="宋体" w:cs="宋体"/>
          <w:b/>
          <w:color w:val="auto"/>
          <w:sz w:val="30"/>
        </w:rPr>
      </w:pPr>
      <w:r>
        <w:rPr>
          <w:rFonts w:hint="eastAsia" w:hAnsi="宋体" w:cs="宋体"/>
          <w:b/>
          <w:color w:val="auto"/>
          <w:sz w:val="30"/>
        </w:rPr>
        <w:t>商务文件应包含下列内容：</w:t>
      </w:r>
    </w:p>
    <w:p>
      <w:pPr>
        <w:pStyle w:val="18"/>
        <w:spacing w:line="360" w:lineRule="auto"/>
        <w:ind w:firstLine="600" w:firstLineChars="250"/>
        <w:rPr>
          <w:rFonts w:hAnsi="宋体" w:cs="宋体"/>
          <w:color w:val="auto"/>
          <w:sz w:val="24"/>
        </w:rPr>
      </w:pPr>
      <w:r>
        <w:rPr>
          <w:rFonts w:hint="eastAsia" w:hAnsi="宋体" w:cs="宋体"/>
          <w:color w:val="auto"/>
          <w:sz w:val="24"/>
        </w:rPr>
        <w:t>1)投标函；</w:t>
      </w:r>
    </w:p>
    <w:p>
      <w:pPr>
        <w:pStyle w:val="18"/>
        <w:spacing w:line="360" w:lineRule="auto"/>
        <w:ind w:firstLine="600" w:firstLineChars="250"/>
        <w:rPr>
          <w:rFonts w:hAnsi="宋体" w:cs="宋体"/>
          <w:color w:val="auto"/>
          <w:sz w:val="24"/>
        </w:rPr>
      </w:pPr>
      <w:r>
        <w:rPr>
          <w:rFonts w:hint="eastAsia" w:hAnsi="宋体" w:cs="宋体"/>
          <w:color w:val="auto"/>
          <w:sz w:val="24"/>
        </w:rPr>
        <w:t>2)投标函附表；</w:t>
      </w:r>
    </w:p>
    <w:p>
      <w:pPr>
        <w:pStyle w:val="18"/>
        <w:spacing w:line="360" w:lineRule="auto"/>
        <w:ind w:firstLine="600" w:firstLineChars="250"/>
        <w:rPr>
          <w:rFonts w:hAnsi="宋体" w:cs="宋体"/>
          <w:color w:val="auto"/>
          <w:sz w:val="24"/>
        </w:rPr>
      </w:pPr>
      <w:r>
        <w:rPr>
          <w:rFonts w:hint="eastAsia" w:hAnsi="宋体" w:cs="宋体"/>
          <w:color w:val="auto"/>
          <w:sz w:val="24"/>
        </w:rPr>
        <w:t>3)企业荣誉；</w:t>
      </w:r>
    </w:p>
    <w:p>
      <w:pPr>
        <w:pStyle w:val="18"/>
        <w:spacing w:line="360" w:lineRule="auto"/>
        <w:ind w:firstLine="600" w:firstLineChars="250"/>
        <w:rPr>
          <w:rFonts w:hAnsi="宋体" w:cs="宋体"/>
          <w:color w:val="auto"/>
          <w:sz w:val="24"/>
        </w:rPr>
      </w:pPr>
      <w:r>
        <w:rPr>
          <w:rFonts w:hint="eastAsia" w:hAnsi="宋体" w:cs="宋体"/>
          <w:color w:val="auto"/>
          <w:sz w:val="24"/>
        </w:rPr>
        <w:t>4)企业获奖；</w:t>
      </w:r>
    </w:p>
    <w:p>
      <w:pPr>
        <w:pStyle w:val="18"/>
        <w:spacing w:line="360" w:lineRule="auto"/>
        <w:ind w:firstLine="600" w:firstLineChars="250"/>
        <w:rPr>
          <w:rFonts w:hAnsi="宋体" w:cs="宋体"/>
          <w:color w:val="auto"/>
          <w:sz w:val="24"/>
        </w:rPr>
      </w:pPr>
      <w:r>
        <w:rPr>
          <w:rFonts w:hint="eastAsia" w:hAnsi="宋体" w:cs="宋体"/>
          <w:color w:val="auto"/>
          <w:sz w:val="24"/>
        </w:rPr>
        <w:t>5)企业业绩；</w:t>
      </w:r>
    </w:p>
    <w:p>
      <w:pPr>
        <w:pStyle w:val="18"/>
        <w:spacing w:line="360" w:lineRule="auto"/>
        <w:ind w:firstLine="600" w:firstLineChars="250"/>
        <w:rPr>
          <w:rFonts w:hAnsi="宋体" w:cs="宋体"/>
          <w:color w:val="auto"/>
          <w:sz w:val="24"/>
        </w:rPr>
      </w:pPr>
      <w:r>
        <w:rPr>
          <w:rFonts w:hint="eastAsia" w:hAnsi="宋体" w:cs="宋体"/>
          <w:color w:val="auto"/>
          <w:sz w:val="24"/>
        </w:rPr>
        <w:t>6)企业实力；</w:t>
      </w:r>
    </w:p>
    <w:p>
      <w:pPr>
        <w:pStyle w:val="18"/>
        <w:spacing w:line="360" w:lineRule="auto"/>
        <w:ind w:firstLine="600" w:firstLineChars="250"/>
        <w:rPr>
          <w:rFonts w:hAnsi="宋体" w:cs="宋体"/>
          <w:color w:val="auto"/>
          <w:sz w:val="24"/>
        </w:rPr>
      </w:pPr>
      <w:r>
        <w:rPr>
          <w:rFonts w:hint="eastAsia" w:hAnsi="宋体" w:cs="宋体"/>
          <w:color w:val="auto"/>
          <w:sz w:val="24"/>
        </w:rPr>
        <w:t>7)项目负责人实力；</w:t>
      </w:r>
    </w:p>
    <w:p>
      <w:pPr>
        <w:pStyle w:val="18"/>
        <w:spacing w:line="360" w:lineRule="auto"/>
        <w:ind w:firstLine="600" w:firstLineChars="250"/>
        <w:rPr>
          <w:rFonts w:hAnsi="宋体" w:cs="宋体"/>
          <w:color w:val="auto"/>
          <w:sz w:val="24"/>
        </w:rPr>
      </w:pPr>
      <w:r>
        <w:rPr>
          <w:rFonts w:hint="eastAsia" w:hAnsi="宋体" w:cs="宋体"/>
          <w:color w:val="auto"/>
          <w:sz w:val="24"/>
        </w:rPr>
        <w:t>8)其他主要设计人员情况；</w:t>
      </w:r>
    </w:p>
    <w:p>
      <w:pPr>
        <w:pStyle w:val="18"/>
        <w:spacing w:line="360" w:lineRule="auto"/>
        <w:ind w:firstLine="600" w:firstLineChars="250"/>
        <w:rPr>
          <w:rFonts w:hAnsi="宋体" w:cs="宋体"/>
          <w:color w:val="auto"/>
          <w:sz w:val="24"/>
        </w:rPr>
      </w:pPr>
      <w:r>
        <w:rPr>
          <w:rFonts w:hint="eastAsia" w:hAnsi="宋体" w:cs="宋体"/>
          <w:color w:val="auto"/>
          <w:sz w:val="24"/>
        </w:rPr>
        <w:t>9)项目负责人和其他主要专业设计人员到位承诺书；</w:t>
      </w:r>
    </w:p>
    <w:p>
      <w:pPr>
        <w:pStyle w:val="18"/>
        <w:spacing w:line="360" w:lineRule="auto"/>
        <w:ind w:firstLine="600" w:firstLineChars="250"/>
        <w:rPr>
          <w:rFonts w:hAnsi="宋体" w:cs="宋体"/>
          <w:color w:val="auto"/>
          <w:sz w:val="24"/>
        </w:rPr>
      </w:pPr>
      <w:r>
        <w:rPr>
          <w:rFonts w:hint="eastAsia" w:hAnsi="宋体" w:cs="宋体"/>
          <w:color w:val="auto"/>
          <w:sz w:val="24"/>
        </w:rPr>
        <w:t>10)服务保证；</w:t>
      </w:r>
    </w:p>
    <w:p>
      <w:pPr>
        <w:pStyle w:val="18"/>
        <w:spacing w:line="360" w:lineRule="auto"/>
        <w:ind w:firstLine="600" w:firstLineChars="250"/>
        <w:rPr>
          <w:rFonts w:hAnsi="宋体" w:cs="宋体"/>
          <w:color w:val="auto"/>
          <w:sz w:val="24"/>
        </w:rPr>
      </w:pPr>
      <w:r>
        <w:rPr>
          <w:rFonts w:hint="eastAsia" w:hAnsi="宋体" w:cs="宋体"/>
          <w:color w:val="auto"/>
          <w:sz w:val="24"/>
        </w:rPr>
        <w:t>11)承诺书(投标单位提供中标后不得将本项目的勘察、设计工作进行分包、转包或委托第三方实施的承诺书 )</w:t>
      </w:r>
    </w:p>
    <w:p>
      <w:pPr>
        <w:pStyle w:val="18"/>
        <w:spacing w:line="360" w:lineRule="auto"/>
        <w:ind w:firstLine="600" w:firstLineChars="250"/>
        <w:rPr>
          <w:rFonts w:hAnsi="宋体" w:cs="宋体"/>
          <w:color w:val="auto"/>
          <w:sz w:val="24"/>
        </w:rPr>
      </w:pPr>
      <w:r>
        <w:rPr>
          <w:rFonts w:hint="eastAsia" w:hAnsi="宋体" w:cs="宋体"/>
          <w:color w:val="auto"/>
          <w:sz w:val="24"/>
        </w:rPr>
        <w:t>12)其他资料（根据招标文件的要求和投标人认为需要提供的资料）</w:t>
      </w:r>
    </w:p>
    <w:p>
      <w:pPr>
        <w:pStyle w:val="18"/>
        <w:spacing w:line="360" w:lineRule="auto"/>
        <w:ind w:firstLine="2502" w:firstLineChars="890"/>
        <w:jc w:val="left"/>
        <w:rPr>
          <w:rFonts w:hAnsi="宋体" w:cs="宋体"/>
          <w:color w:val="auto"/>
          <w:sz w:val="28"/>
          <w:szCs w:val="28"/>
        </w:rPr>
      </w:pPr>
      <w:r>
        <w:rPr>
          <w:rFonts w:hint="eastAsia" w:hAnsi="宋体" w:cs="宋体"/>
          <w:b/>
          <w:color w:val="auto"/>
          <w:sz w:val="28"/>
          <w:szCs w:val="28"/>
        </w:rPr>
        <w:t>目录、序号和页码由投标人自行编列</w:t>
      </w:r>
      <w:r>
        <w:rPr>
          <w:rFonts w:hint="eastAsia" w:hAnsi="宋体" w:cs="宋体"/>
          <w:color w:val="auto"/>
          <w:sz w:val="28"/>
          <w:szCs w:val="28"/>
        </w:rPr>
        <w:t>。</w:t>
      </w: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color w:val="auto"/>
        </w:rPr>
      </w:pPr>
    </w:p>
    <w:p>
      <w:pPr>
        <w:pStyle w:val="6"/>
        <w:tabs>
          <w:tab w:val="left" w:pos="1000"/>
        </w:tabs>
        <w:spacing w:line="360" w:lineRule="auto"/>
        <w:ind w:firstLine="0"/>
        <w:rPr>
          <w:rFonts w:ascii="宋体" w:hAnsi="宋体" w:cs="宋体"/>
          <w:b/>
          <w:color w:val="auto"/>
          <w:sz w:val="28"/>
          <w:szCs w:val="28"/>
        </w:rPr>
        <w:sectPr>
          <w:pgSz w:w="11906" w:h="16838"/>
          <w:pgMar w:top="1440" w:right="1133" w:bottom="1440" w:left="993" w:header="851" w:footer="992" w:gutter="0"/>
          <w:cols w:space="720" w:num="1"/>
          <w:docGrid w:linePitch="312" w:charSpace="0"/>
        </w:sectPr>
      </w:pPr>
    </w:p>
    <w:p>
      <w:pPr>
        <w:numPr>
          <w:ilvl w:val="0"/>
          <w:numId w:val="21"/>
        </w:numPr>
        <w:jc w:val="center"/>
        <w:outlineLvl w:val="2"/>
        <w:rPr>
          <w:rFonts w:ascii="宋体" w:hAnsi="宋体" w:cs="宋体"/>
          <w:b/>
          <w:color w:val="auto"/>
          <w:sz w:val="36"/>
          <w:szCs w:val="36"/>
        </w:rPr>
      </w:pPr>
      <w:bookmarkStart w:id="517" w:name="_Toc18227"/>
      <w:r>
        <w:rPr>
          <w:rFonts w:hint="eastAsia" w:ascii="宋体" w:hAnsi="宋体" w:cs="宋体"/>
          <w:b/>
          <w:color w:val="auto"/>
          <w:sz w:val="36"/>
          <w:szCs w:val="36"/>
        </w:rPr>
        <w:t>投 标 函</w:t>
      </w:r>
      <w:bookmarkEnd w:id="517"/>
    </w:p>
    <w:p>
      <w:pPr>
        <w:spacing w:line="360" w:lineRule="auto"/>
        <w:rPr>
          <w:rFonts w:ascii="宋体" w:hAnsi="宋体" w:cs="宋体"/>
          <w:color w:val="auto"/>
          <w:sz w:val="24"/>
          <w:szCs w:val="24"/>
        </w:rPr>
      </w:pPr>
    </w:p>
    <w:p>
      <w:pPr>
        <w:spacing w:line="560" w:lineRule="exact"/>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b/>
          <w:color w:val="auto"/>
          <w:sz w:val="24"/>
          <w:szCs w:val="24"/>
          <w:u w:val="single"/>
        </w:rPr>
        <w:t>大埔县城市管理和综合执法局</w:t>
      </w:r>
    </w:p>
    <w:p>
      <w:pPr>
        <w:spacing w:line="56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根据已收到的，</w:t>
      </w:r>
      <w:r>
        <w:rPr>
          <w:rFonts w:hint="eastAsia" w:ascii="宋体" w:hAnsi="宋体" w:cs="宋体"/>
          <w:color w:val="auto"/>
          <w:sz w:val="24"/>
          <w:szCs w:val="24"/>
        </w:rPr>
        <w:t>我单位经考察现场和研究</w:t>
      </w:r>
      <w:r>
        <w:rPr>
          <w:rFonts w:hint="eastAsia" w:ascii="宋体" w:hAnsi="宋体" w:cs="宋体"/>
          <w:b/>
          <w:color w:val="auto"/>
          <w:sz w:val="24"/>
          <w:u w:val="single"/>
        </w:rPr>
        <w:t>大埔县智慧停车场项目(勘察、设计)</w:t>
      </w:r>
      <w:r>
        <w:rPr>
          <w:rFonts w:hint="eastAsia" w:ascii="宋体" w:hAnsi="宋体" w:cs="宋体"/>
          <w:color w:val="auto"/>
          <w:spacing w:val="-2"/>
          <w:sz w:val="24"/>
          <w:szCs w:val="24"/>
        </w:rPr>
        <w:t>招标文件(含招标文件的澄清、修改、招标答疑纪要、补充通知)的所有内容后，决定参加投标。并正式授权的下述签字人代表本投标人提交招标文件要求的全套投标</w:t>
      </w:r>
      <w:r>
        <w:rPr>
          <w:rFonts w:hint="eastAsia" w:ascii="宋体" w:hAnsi="宋体" w:cs="宋体"/>
          <w:color w:val="auto"/>
          <w:sz w:val="24"/>
          <w:szCs w:val="24"/>
        </w:rPr>
        <w:t>文件，包括：</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（1）招标文件中要求的投标文件；</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（2）金额为人民币（小写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）（大写：</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）的投标保证金；</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据此函，签字人兹宣布同意如下：</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1、我方已详细审核并确认全部招标文件，包括澄清、修改或补充招标文件（如有时）及有关附件，接受招标文件全部条款，未经招标人允许，不对招标文件条款及内容提出异议。若有违反，同意被废除投标资格并接受处罚。</w:t>
      </w:r>
    </w:p>
    <w:p>
      <w:pPr>
        <w:spacing w:line="560" w:lineRule="exact"/>
        <w:ind w:firstLine="480" w:firstLineChars="200"/>
        <w:rPr>
          <w:rFonts w:ascii="宋体" w:hAnsi="宋体" w:cs="宋体"/>
          <w:color w:val="auto"/>
          <w:spacing w:val="-2"/>
          <w:sz w:val="24"/>
          <w:szCs w:val="24"/>
        </w:rPr>
      </w:pPr>
      <w:r>
        <w:rPr>
          <w:rFonts w:hint="eastAsia" w:ascii="宋体" w:hAnsi="宋体" w:cs="宋体"/>
          <w:color w:val="auto"/>
          <w:sz w:val="24"/>
          <w:szCs w:val="24"/>
        </w:rPr>
        <w:t>2、</w:t>
      </w:r>
      <w:r>
        <w:rPr>
          <w:rFonts w:hint="eastAsia" w:ascii="宋体" w:hAnsi="宋体"/>
          <w:color w:val="auto"/>
          <w:spacing w:val="-2"/>
          <w:sz w:val="24"/>
          <w:szCs w:val="24"/>
        </w:rPr>
        <w:t>我方承诺</w:t>
      </w:r>
      <w:r>
        <w:rPr>
          <w:rFonts w:hint="eastAsia" w:ascii="宋体" w:hAnsi="宋体"/>
          <w:color w:val="auto"/>
          <w:spacing w:val="-2"/>
          <w:sz w:val="24"/>
        </w:rPr>
        <w:t>设计费投标报价</w:t>
      </w:r>
      <w:r>
        <w:rPr>
          <w:rFonts w:hint="eastAsia" w:ascii="宋体" w:hAnsi="宋体" w:cs="宋体"/>
          <w:color w:val="auto"/>
          <w:spacing w:val="-2"/>
          <w:sz w:val="24"/>
        </w:rPr>
        <w:t>包含方案设计、初步设计及概算、施工图设计、深化设计、二次设计、变更设计等整个工程项目设计的相关工作、工程量清单及预算编制及施工现场驻点指导与配合服务，招标人不再支付其它附属的任何费用。勘察费投标报价包含制订勘察纲要、进行勘探点定点测量费、取岩芯样收费、室内试验费、剪切波速测试、土壤氡浓度测试；其他费用：技术工作费、大型机械搬运费、勘察所需的水电及附属设施等勘察作业以及编制工程勘察文件和岩土工程设计文件等费用，招标人不再支付其它附属的任何费用。</w:t>
      </w:r>
    </w:p>
    <w:p>
      <w:pPr>
        <w:spacing w:line="560" w:lineRule="exact"/>
        <w:ind w:firstLine="472" w:firstLineChars="200"/>
        <w:rPr>
          <w:rFonts w:ascii="宋体" w:hAnsi="宋体" w:cs="宋体"/>
          <w:color w:val="auto"/>
          <w:spacing w:val="-2"/>
          <w:sz w:val="24"/>
          <w:szCs w:val="24"/>
        </w:rPr>
      </w:pPr>
      <w:r>
        <w:rPr>
          <w:rFonts w:hint="eastAsia" w:ascii="宋体" w:hAnsi="宋体" w:cs="宋体"/>
          <w:color w:val="auto"/>
          <w:spacing w:val="-2"/>
          <w:sz w:val="24"/>
          <w:szCs w:val="24"/>
        </w:rPr>
        <w:t>3、我方承诺派出勘察、设计代表现场服务，现场服务费用包含在勘察、设计费用报价中，不再另行收费。</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4、一旦我方中标，我方保证严格按国家现行规范及有关规定进行工程</w:t>
      </w:r>
      <w:r>
        <w:rPr>
          <w:rFonts w:hint="eastAsia" w:ascii="宋体" w:hAnsi="宋体" w:cs="宋体"/>
          <w:color w:val="auto"/>
          <w:spacing w:val="-2"/>
          <w:sz w:val="24"/>
          <w:szCs w:val="24"/>
        </w:rPr>
        <w:t>勘察、</w:t>
      </w:r>
      <w:r>
        <w:rPr>
          <w:rFonts w:hint="eastAsia" w:ascii="宋体" w:hAnsi="宋体" w:cs="宋体"/>
          <w:color w:val="auto"/>
          <w:sz w:val="24"/>
          <w:szCs w:val="24"/>
        </w:rPr>
        <w:t>设计工作，我方保证按招标人、评审委员会及图纸审查机构的意见，对</w:t>
      </w:r>
      <w:r>
        <w:rPr>
          <w:rFonts w:hint="eastAsia" w:ascii="宋体" w:hAnsi="宋体" w:cs="宋体"/>
          <w:color w:val="auto"/>
          <w:spacing w:val="-2"/>
          <w:sz w:val="24"/>
          <w:szCs w:val="24"/>
        </w:rPr>
        <w:t>勘察、</w:t>
      </w:r>
      <w:r>
        <w:rPr>
          <w:rFonts w:hint="eastAsia" w:ascii="宋体" w:hAnsi="宋体" w:cs="宋体"/>
          <w:color w:val="auto"/>
          <w:sz w:val="24"/>
          <w:szCs w:val="24"/>
        </w:rPr>
        <w:t>设计方案和</w:t>
      </w:r>
      <w:r>
        <w:rPr>
          <w:rFonts w:hint="eastAsia" w:ascii="宋体" w:hAnsi="宋体" w:cs="宋体"/>
          <w:color w:val="auto"/>
          <w:spacing w:val="-2"/>
          <w:sz w:val="24"/>
          <w:szCs w:val="24"/>
        </w:rPr>
        <w:t>勘察、</w:t>
      </w:r>
      <w:r>
        <w:rPr>
          <w:rFonts w:hint="eastAsia" w:ascii="宋体" w:hAnsi="宋体" w:cs="宋体"/>
          <w:color w:val="auto"/>
          <w:sz w:val="24"/>
          <w:szCs w:val="24"/>
        </w:rPr>
        <w:t>设计图纸进行修改和完善,并符合建设部《建筑工程勘察、设计文件编制深度规定》（2003年版）。</w:t>
      </w:r>
    </w:p>
    <w:p>
      <w:pPr>
        <w:spacing w:line="560" w:lineRule="exact"/>
        <w:ind w:firstLine="480" w:firstLineChars="200"/>
        <w:rPr>
          <w:rFonts w:ascii="宋体" w:hAnsi="宋体" w:cs="宋体"/>
          <w:color w:val="auto"/>
          <w:sz w:val="24"/>
        </w:rPr>
      </w:pPr>
      <w:r>
        <w:rPr>
          <w:rFonts w:hint="eastAsia" w:ascii="宋体" w:hAnsi="宋体" w:cs="宋体"/>
          <w:color w:val="auto"/>
          <w:sz w:val="24"/>
          <w:szCs w:val="24"/>
        </w:rPr>
        <w:t>5、一旦我方中标，我方将按照投标文件中的承诺组建项目</w:t>
      </w:r>
      <w:r>
        <w:rPr>
          <w:rFonts w:hint="eastAsia" w:ascii="宋体" w:hAnsi="宋体" w:cs="宋体"/>
          <w:color w:val="auto"/>
          <w:spacing w:val="-2"/>
          <w:sz w:val="24"/>
          <w:szCs w:val="24"/>
        </w:rPr>
        <w:t>勘察、</w:t>
      </w:r>
      <w:r>
        <w:rPr>
          <w:rFonts w:hint="eastAsia" w:ascii="宋体" w:hAnsi="宋体" w:cs="宋体"/>
          <w:color w:val="auto"/>
          <w:sz w:val="24"/>
          <w:szCs w:val="24"/>
        </w:rPr>
        <w:t>设计组，由投标文件所承诺的项目负责人和其他主要</w:t>
      </w:r>
      <w:r>
        <w:rPr>
          <w:rFonts w:hint="eastAsia" w:ascii="宋体" w:hAnsi="宋体" w:cs="宋体"/>
          <w:color w:val="auto"/>
          <w:spacing w:val="-2"/>
          <w:sz w:val="24"/>
          <w:szCs w:val="24"/>
        </w:rPr>
        <w:t>勘察、</w:t>
      </w:r>
      <w:r>
        <w:rPr>
          <w:rFonts w:hint="eastAsia" w:ascii="宋体" w:hAnsi="宋体" w:cs="宋体"/>
          <w:color w:val="auto"/>
          <w:sz w:val="24"/>
          <w:szCs w:val="24"/>
        </w:rPr>
        <w:t>设计人员完成本项目的全部设计工作，保证在未征得招标人同意的前提下不变更主要</w:t>
      </w:r>
      <w:r>
        <w:rPr>
          <w:rFonts w:hint="eastAsia" w:ascii="宋体" w:hAnsi="宋体" w:cs="宋体"/>
          <w:color w:val="auto"/>
          <w:spacing w:val="-2"/>
          <w:sz w:val="24"/>
          <w:szCs w:val="24"/>
        </w:rPr>
        <w:t>勘察、</w:t>
      </w:r>
      <w:r>
        <w:rPr>
          <w:rFonts w:hint="eastAsia" w:ascii="宋体" w:hAnsi="宋体" w:cs="宋体"/>
          <w:color w:val="auto"/>
          <w:sz w:val="24"/>
          <w:szCs w:val="24"/>
        </w:rPr>
        <w:t>设计人员，保证按投标函附表中承诺的</w:t>
      </w:r>
      <w:r>
        <w:rPr>
          <w:rFonts w:hint="eastAsia" w:ascii="宋体" w:hAnsi="宋体" w:cs="宋体"/>
          <w:color w:val="auto"/>
          <w:spacing w:val="-2"/>
          <w:sz w:val="24"/>
          <w:szCs w:val="24"/>
        </w:rPr>
        <w:t>勘察、</w:t>
      </w:r>
      <w:r>
        <w:rPr>
          <w:rFonts w:hint="eastAsia" w:ascii="宋体" w:hAnsi="宋体" w:cs="宋体"/>
          <w:color w:val="auto"/>
          <w:sz w:val="24"/>
          <w:szCs w:val="24"/>
        </w:rPr>
        <w:t>设计周期完成</w:t>
      </w:r>
      <w:r>
        <w:rPr>
          <w:rFonts w:hint="eastAsia" w:ascii="宋体" w:hAnsi="宋体" w:cs="宋体"/>
          <w:color w:val="auto"/>
          <w:spacing w:val="-2"/>
          <w:sz w:val="24"/>
          <w:szCs w:val="24"/>
        </w:rPr>
        <w:t>勘察、</w:t>
      </w:r>
      <w:r>
        <w:rPr>
          <w:rFonts w:hint="eastAsia" w:ascii="宋体" w:hAnsi="宋体" w:cs="宋体"/>
          <w:color w:val="auto"/>
          <w:sz w:val="24"/>
          <w:szCs w:val="24"/>
        </w:rPr>
        <w:t>设计并提供完善的施工配合服务。</w:t>
      </w:r>
      <w:r>
        <w:rPr>
          <w:rFonts w:hint="eastAsia" w:ascii="宋体" w:hAnsi="宋体" w:cs="宋体"/>
          <w:color w:val="auto"/>
          <w:sz w:val="24"/>
        </w:rPr>
        <w:t>承诺项目负责人不随意更换，但征得招标人同意的除外，并协助本项目施工过程中的后续工作。</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6、我方同意所提交的投标文件在招标文件的投标须知前附表规定的投标有效期限内有效，在此期间内如果中标，我方将受此约束。</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7、除非另外达成协议并生效，贵方的中标通知书和本投标文件（含澄清、修改、补充文件）将成为约束双方的合同文件的组成部分。</w:t>
      </w:r>
    </w:p>
    <w:p>
      <w:pPr>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8、我方提供业绩证明资料复印件如有虚假，愿意承担一切法律责任。</w:t>
      </w:r>
    </w:p>
    <w:p>
      <w:pPr>
        <w:spacing w:line="560" w:lineRule="exact"/>
        <w:ind w:firstLine="480" w:firstLineChars="200"/>
        <w:rPr>
          <w:rFonts w:ascii="宋体" w:hAnsi="宋体" w:cs="宋体"/>
          <w:color w:val="auto"/>
          <w:sz w:val="24"/>
          <w:szCs w:val="24"/>
        </w:rPr>
      </w:pPr>
    </w:p>
    <w:p>
      <w:pPr>
        <w:spacing w:line="560" w:lineRule="exact"/>
        <w:ind w:firstLine="600" w:firstLineChars="250"/>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w:t>
      </w:r>
      <w:r>
        <w:rPr>
          <w:rFonts w:hint="eastAsia" w:ascii="宋体" w:hAnsi="宋体" w:cs="宋体"/>
          <w:color w:val="auto"/>
          <w:sz w:val="24"/>
          <w:szCs w:val="24"/>
        </w:rPr>
        <w:t>（盖单位公章）</w:t>
      </w:r>
    </w:p>
    <w:p>
      <w:pPr>
        <w:pStyle w:val="18"/>
        <w:spacing w:before="240" w:after="240" w:line="560" w:lineRule="exact"/>
        <w:ind w:firstLine="560"/>
        <w:rPr>
          <w:rFonts w:hAnsi="宋体" w:cs="宋体"/>
          <w:color w:val="auto"/>
          <w:sz w:val="24"/>
          <w:szCs w:val="24"/>
          <w:u w:val="single"/>
        </w:rPr>
      </w:pPr>
      <w:r>
        <w:rPr>
          <w:rFonts w:hint="eastAsia" w:hAnsi="宋体" w:cs="宋体"/>
          <w:color w:val="auto"/>
          <w:sz w:val="24"/>
          <w:szCs w:val="24"/>
        </w:rPr>
        <w:t>法定代表人或其委托代理人：</w:t>
      </w:r>
      <w:r>
        <w:rPr>
          <w:rFonts w:hint="eastAsia" w:hAnsi="宋体" w:cs="宋体"/>
          <w:color w:val="auto"/>
          <w:sz w:val="24"/>
          <w:szCs w:val="24"/>
          <w:u w:val="single"/>
        </w:rPr>
        <w:t xml:space="preserve">                         </w:t>
      </w:r>
      <w:r>
        <w:rPr>
          <w:rFonts w:hint="eastAsia" w:hAnsi="宋体" w:cs="宋体"/>
          <w:color w:val="auto"/>
          <w:sz w:val="24"/>
          <w:szCs w:val="24"/>
        </w:rPr>
        <w:t>（签字）</w:t>
      </w:r>
    </w:p>
    <w:p>
      <w:pPr>
        <w:pStyle w:val="18"/>
        <w:spacing w:before="240" w:after="240" w:line="560" w:lineRule="exact"/>
        <w:ind w:firstLine="560"/>
        <w:rPr>
          <w:rFonts w:hAnsi="宋体" w:cs="宋体"/>
          <w:color w:val="auto"/>
          <w:sz w:val="24"/>
          <w:szCs w:val="24"/>
        </w:rPr>
      </w:pPr>
    </w:p>
    <w:p>
      <w:pPr>
        <w:spacing w:line="560" w:lineRule="exact"/>
        <w:ind w:firstLine="6840" w:firstLineChars="2850"/>
        <w:rPr>
          <w:rFonts w:ascii="宋体" w:hAnsi="宋体" w:cs="宋体"/>
          <w:color w:val="auto"/>
          <w:sz w:val="24"/>
          <w:szCs w:val="24"/>
        </w:rPr>
      </w:pPr>
      <w:r>
        <w:rPr>
          <w:rFonts w:hint="eastAsia" w:ascii="宋体" w:hAnsi="宋体" w:cs="宋体"/>
          <w:color w:val="auto"/>
          <w:sz w:val="24"/>
          <w:szCs w:val="24"/>
        </w:rPr>
        <w:t>日期：年   月   日</w:t>
      </w:r>
    </w:p>
    <w:p>
      <w:pPr>
        <w:jc w:val="center"/>
        <w:rPr>
          <w:rFonts w:ascii="宋体" w:hAnsi="宋体" w:cs="宋体"/>
          <w:b/>
          <w:color w:val="auto"/>
          <w:sz w:val="32"/>
          <w:szCs w:val="32"/>
        </w:rPr>
      </w:pPr>
    </w:p>
    <w:p>
      <w:pPr>
        <w:jc w:val="left"/>
        <w:rPr>
          <w:rFonts w:ascii="宋体" w:hAnsi="宋体" w:cs="宋体"/>
          <w:color w:val="auto"/>
          <w:sz w:val="24"/>
          <w:szCs w:val="24"/>
        </w:rPr>
      </w:pPr>
    </w:p>
    <w:p>
      <w:pPr>
        <w:jc w:val="center"/>
        <w:outlineLvl w:val="2"/>
        <w:rPr>
          <w:rFonts w:ascii="宋体" w:hAnsi="宋体" w:cs="宋体"/>
          <w:b/>
          <w:color w:val="auto"/>
          <w:sz w:val="36"/>
          <w:szCs w:val="36"/>
        </w:rPr>
      </w:pPr>
      <w:r>
        <w:rPr>
          <w:rFonts w:ascii="宋体" w:hAnsi="宋体" w:cs="宋体"/>
          <w:b/>
          <w:color w:val="auto"/>
          <w:sz w:val="36"/>
          <w:szCs w:val="36"/>
        </w:rPr>
        <w:br w:type="page"/>
      </w:r>
      <w:bookmarkStart w:id="518" w:name="_Toc9327"/>
      <w:r>
        <w:rPr>
          <w:rFonts w:hint="eastAsia" w:ascii="宋体" w:hAnsi="宋体" w:cs="宋体"/>
          <w:b/>
          <w:color w:val="auto"/>
          <w:sz w:val="36"/>
          <w:szCs w:val="36"/>
        </w:rPr>
        <w:t>(二）投标函附表</w:t>
      </w:r>
      <w:bookmarkEnd w:id="518"/>
    </w:p>
    <w:p>
      <w:pPr>
        <w:jc w:val="center"/>
        <w:rPr>
          <w:rFonts w:ascii="宋体" w:hAnsi="宋体" w:cs="宋体"/>
          <w:b/>
          <w:color w:val="auto"/>
          <w:sz w:val="32"/>
          <w:szCs w:val="32"/>
        </w:rPr>
      </w:pPr>
    </w:p>
    <w:tbl>
      <w:tblPr>
        <w:tblStyle w:val="37"/>
        <w:tblW w:w="9798" w:type="dxa"/>
        <w:tblInd w:w="0" w:type="dxa"/>
        <w:tblLayout w:type="fixed"/>
        <w:tblCellMar>
          <w:top w:w="0" w:type="dxa"/>
          <w:left w:w="0" w:type="dxa"/>
          <w:bottom w:w="0" w:type="dxa"/>
          <w:right w:w="0" w:type="dxa"/>
        </w:tblCellMar>
      </w:tblPr>
      <w:tblGrid>
        <w:gridCol w:w="2640"/>
        <w:gridCol w:w="7158"/>
      </w:tblGrid>
      <w:tr>
        <w:tblPrEx>
          <w:tblCellMar>
            <w:top w:w="0" w:type="dxa"/>
            <w:left w:w="0" w:type="dxa"/>
            <w:bottom w:w="0" w:type="dxa"/>
            <w:right w:w="0" w:type="dxa"/>
          </w:tblCellMar>
        </w:tblPrEx>
        <w:trPr>
          <w:trHeight w:val="1185"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rPr>
              <w:t>项目名称</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ascii="宋体" w:hAnsi="宋体" w:cs="宋体"/>
                <w:color w:val="auto"/>
                <w:sz w:val="24"/>
              </w:rPr>
            </w:pPr>
            <w:r>
              <w:rPr>
                <w:rFonts w:hint="eastAsia" w:ascii="宋体" w:hAnsi="宋体" w:cs="宋体"/>
                <w:color w:val="auto"/>
                <w:sz w:val="24"/>
              </w:rPr>
              <w:t>大埔县智慧停车场项目(勘察、设计)</w:t>
            </w:r>
          </w:p>
        </w:tc>
      </w:tr>
      <w:tr>
        <w:tblPrEx>
          <w:tblCellMar>
            <w:top w:w="0" w:type="dxa"/>
            <w:left w:w="0" w:type="dxa"/>
            <w:bottom w:w="0" w:type="dxa"/>
            <w:right w:w="0" w:type="dxa"/>
          </w:tblCellMar>
        </w:tblPrEx>
        <w:trPr>
          <w:trHeight w:val="680"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rPr>
              <w:t>投标人名称</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rPr>
                <w:rFonts w:ascii="宋体" w:hAnsi="宋体" w:cs="宋体"/>
                <w:color w:val="auto"/>
                <w:sz w:val="24"/>
              </w:rPr>
            </w:pPr>
          </w:p>
        </w:tc>
      </w:tr>
      <w:tr>
        <w:tblPrEx>
          <w:tblCellMar>
            <w:top w:w="0" w:type="dxa"/>
            <w:left w:w="0" w:type="dxa"/>
            <w:bottom w:w="0" w:type="dxa"/>
            <w:right w:w="0" w:type="dxa"/>
          </w:tblCellMar>
        </w:tblPrEx>
        <w:trPr>
          <w:trHeight w:val="1327"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szCs w:val="24"/>
              </w:rPr>
              <w:t>拟担任本项目设计项目负责人</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p>
          <w:p>
            <w:pPr>
              <w:spacing w:line="500" w:lineRule="exact"/>
              <w:ind w:firstLine="120" w:firstLineChars="50"/>
              <w:rPr>
                <w:rFonts w:ascii="宋体" w:hAnsi="宋体" w:cs="宋体"/>
                <w:color w:val="auto"/>
                <w:sz w:val="24"/>
                <w:u w:val="single"/>
              </w:rPr>
            </w:pPr>
            <w:r>
              <w:rPr>
                <w:rFonts w:hint="eastAsia" w:ascii="宋体" w:hAnsi="宋体" w:cs="宋体"/>
                <w:color w:val="auto"/>
                <w:sz w:val="24"/>
              </w:rPr>
              <w:t>证书编号：</w:t>
            </w:r>
            <w:r>
              <w:rPr>
                <w:rFonts w:hint="eastAsia" w:ascii="宋体" w:hAnsi="宋体" w:cs="宋体"/>
                <w:color w:val="auto"/>
                <w:sz w:val="24"/>
                <w:u w:val="single"/>
              </w:rPr>
              <w:t xml:space="preserve">               </w:t>
            </w:r>
          </w:p>
        </w:tc>
      </w:tr>
      <w:tr>
        <w:tblPrEx>
          <w:tblCellMar>
            <w:top w:w="0" w:type="dxa"/>
            <w:left w:w="0" w:type="dxa"/>
            <w:bottom w:w="0" w:type="dxa"/>
            <w:right w:w="0" w:type="dxa"/>
          </w:tblCellMar>
        </w:tblPrEx>
        <w:trPr>
          <w:trHeight w:val="1327"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szCs w:val="24"/>
              </w:rPr>
            </w:pPr>
            <w:r>
              <w:rPr>
                <w:rFonts w:hint="eastAsia" w:ascii="宋体" w:hAnsi="宋体" w:cs="宋体"/>
                <w:color w:val="auto"/>
                <w:spacing w:val="-2"/>
                <w:sz w:val="24"/>
                <w:szCs w:val="24"/>
              </w:rPr>
              <w:t>勘察</w:t>
            </w:r>
            <w:r>
              <w:rPr>
                <w:rFonts w:hint="eastAsia" w:ascii="宋体" w:hAnsi="宋体" w:cs="宋体"/>
                <w:color w:val="auto"/>
                <w:sz w:val="24"/>
                <w:szCs w:val="24"/>
              </w:rPr>
              <w:t>项目负责人</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ind w:firstLine="120" w:firstLineChars="50"/>
              <w:rPr>
                <w:rFonts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p>
          <w:p>
            <w:pPr>
              <w:spacing w:line="500" w:lineRule="exact"/>
              <w:ind w:firstLine="120" w:firstLineChars="50"/>
              <w:rPr>
                <w:rFonts w:ascii="宋体" w:hAnsi="宋体" w:cs="宋体"/>
                <w:color w:val="auto"/>
                <w:sz w:val="24"/>
              </w:rPr>
            </w:pPr>
            <w:r>
              <w:rPr>
                <w:rFonts w:hint="eastAsia" w:ascii="宋体" w:hAnsi="宋体" w:cs="宋体"/>
                <w:color w:val="auto"/>
                <w:sz w:val="24"/>
              </w:rPr>
              <w:t>证书编号：</w:t>
            </w:r>
            <w:r>
              <w:rPr>
                <w:rFonts w:hint="eastAsia" w:ascii="宋体" w:hAnsi="宋体" w:cs="宋体"/>
                <w:color w:val="auto"/>
                <w:sz w:val="24"/>
                <w:u w:val="single"/>
              </w:rPr>
              <w:t xml:space="preserve">               </w:t>
            </w:r>
          </w:p>
        </w:tc>
      </w:tr>
      <w:tr>
        <w:tblPrEx>
          <w:tblCellMar>
            <w:top w:w="0" w:type="dxa"/>
            <w:left w:w="0" w:type="dxa"/>
            <w:bottom w:w="0" w:type="dxa"/>
            <w:right w:w="0" w:type="dxa"/>
          </w:tblCellMar>
        </w:tblPrEx>
        <w:trPr>
          <w:trHeight w:val="1229" w:hRule="atLeast"/>
        </w:trPr>
        <w:tc>
          <w:tcPr>
            <w:tcW w:w="2640" w:type="dxa"/>
            <w:tcBorders>
              <w:top w:val="single" w:color="auto" w:sz="8" w:space="0"/>
              <w:left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pacing w:val="-2"/>
                <w:sz w:val="24"/>
                <w:szCs w:val="24"/>
              </w:rPr>
              <w:t>勘察、</w:t>
            </w:r>
            <w:r>
              <w:rPr>
                <w:rFonts w:hint="eastAsia" w:ascii="宋体" w:hAnsi="宋体" w:cs="宋体"/>
                <w:color w:val="auto"/>
                <w:sz w:val="24"/>
              </w:rPr>
              <w:t>设计费投标报价</w:t>
            </w:r>
          </w:p>
        </w:tc>
        <w:tc>
          <w:tcPr>
            <w:tcW w:w="7158" w:type="dxa"/>
            <w:tcBorders>
              <w:top w:val="single" w:color="auto" w:sz="8" w:space="0"/>
              <w:left w:val="single" w:color="auto" w:sz="8" w:space="0"/>
              <w:right w:val="single" w:color="auto" w:sz="8" w:space="0"/>
            </w:tcBorders>
            <w:vAlign w:val="center"/>
          </w:tcPr>
          <w:p>
            <w:pPr>
              <w:pStyle w:val="85"/>
              <w:widowControl/>
              <w:adjustRightInd/>
              <w:spacing w:line="400" w:lineRule="exact"/>
              <w:ind w:firstLine="0" w:firstLineChars="0"/>
              <w:textAlignment w:val="auto"/>
              <w:rPr>
                <w:rFonts w:ascii="宋体" w:hAnsi="宋体"/>
                <w:color w:val="auto"/>
                <w:sz w:val="24"/>
              </w:rPr>
            </w:pPr>
            <w:r>
              <w:rPr>
                <w:rFonts w:hint="eastAsia" w:ascii="宋体" w:hAnsi="宋体"/>
                <w:color w:val="auto"/>
                <w:sz w:val="24"/>
              </w:rPr>
              <w:t xml:space="preserve"> </w:t>
            </w:r>
            <w:r>
              <w:rPr>
                <w:rFonts w:hint="eastAsia" w:ascii="宋体" w:hAnsi="宋体"/>
                <w:color w:val="auto"/>
                <w:sz w:val="24"/>
              </w:rPr>
              <w:fldChar w:fldCharType="begin"/>
            </w:r>
            <w:r>
              <w:rPr>
                <w:rFonts w:hint="eastAsia" w:ascii="宋体" w:hAnsi="宋体"/>
                <w:color w:val="auto"/>
                <w:sz w:val="24"/>
              </w:rPr>
              <w:instrText xml:space="preserve"> = 1 \* GB3 \* MERGEFORMAT </w:instrText>
            </w:r>
            <w:r>
              <w:rPr>
                <w:rFonts w:hint="eastAsia" w:ascii="宋体" w:hAnsi="宋体"/>
                <w:color w:val="auto"/>
                <w:sz w:val="24"/>
              </w:rPr>
              <w:fldChar w:fldCharType="separate"/>
            </w:r>
            <w:r>
              <w:rPr>
                <w:color w:val="auto"/>
              </w:rPr>
              <w:t>①</w:t>
            </w:r>
            <w:r>
              <w:rPr>
                <w:rFonts w:hint="eastAsia" w:ascii="宋体" w:hAnsi="宋体"/>
                <w:color w:val="auto"/>
                <w:sz w:val="24"/>
              </w:rPr>
              <w:fldChar w:fldCharType="end"/>
            </w:r>
            <w:r>
              <w:rPr>
                <w:rFonts w:hint="eastAsia" w:ascii="宋体" w:hAnsi="宋体"/>
                <w:color w:val="auto"/>
                <w:sz w:val="24"/>
              </w:rPr>
              <w:t>勘察费：</w:t>
            </w:r>
            <w:r>
              <w:rPr>
                <w:rFonts w:hint="eastAsia"/>
                <w:color w:val="auto"/>
                <w:sz w:val="24"/>
              </w:rPr>
              <w:t>投标报价下浮率为</w:t>
            </w:r>
            <w:r>
              <w:rPr>
                <w:rFonts w:hint="eastAsia"/>
                <w:color w:val="auto"/>
                <w:sz w:val="24"/>
                <w:u w:val="single"/>
              </w:rPr>
              <w:t xml:space="preserve">      </w:t>
            </w:r>
            <w:r>
              <w:rPr>
                <w:rFonts w:hint="eastAsia"/>
                <w:color w:val="auto"/>
                <w:sz w:val="24"/>
              </w:rPr>
              <w:t>%（保留两位小数）</w:t>
            </w:r>
            <w:r>
              <w:rPr>
                <w:rFonts w:hint="eastAsia" w:ascii="宋体" w:hAnsi="宋体"/>
                <w:color w:val="auto"/>
                <w:sz w:val="24"/>
              </w:rPr>
              <w:t>；</w:t>
            </w:r>
          </w:p>
          <w:p>
            <w:pPr>
              <w:widowControl/>
              <w:adjustRightInd/>
              <w:spacing w:line="500" w:lineRule="exact"/>
              <w:ind w:firstLine="120" w:firstLineChars="50"/>
              <w:textAlignment w:val="auto"/>
              <w:rPr>
                <w:rFonts w:ascii="宋体" w:hAnsi="宋体" w:cs="宋体"/>
                <w:color w:val="auto"/>
                <w:sz w:val="24"/>
              </w:rPr>
            </w:pPr>
            <w:r>
              <w:rPr>
                <w:rFonts w:hint="eastAsia" w:ascii="宋体" w:hAnsi="宋体"/>
                <w:color w:val="auto"/>
                <w:sz w:val="24"/>
              </w:rPr>
              <w:t>② 设计费：</w:t>
            </w:r>
            <w:r>
              <w:rPr>
                <w:rFonts w:hint="eastAsia"/>
                <w:color w:val="auto"/>
                <w:sz w:val="24"/>
              </w:rPr>
              <w:t>投标报价下浮率为</w:t>
            </w:r>
            <w:r>
              <w:rPr>
                <w:rFonts w:hint="eastAsia"/>
                <w:color w:val="auto"/>
                <w:sz w:val="24"/>
                <w:u w:val="single"/>
              </w:rPr>
              <w:t xml:space="preserve">      </w:t>
            </w:r>
            <w:r>
              <w:rPr>
                <w:rFonts w:hint="eastAsia"/>
                <w:color w:val="auto"/>
                <w:sz w:val="24"/>
              </w:rPr>
              <w:t>%（保留两位小数）</w:t>
            </w:r>
            <w:r>
              <w:rPr>
                <w:rFonts w:hint="eastAsia" w:ascii="宋体" w:hAnsi="宋体"/>
                <w:color w:val="auto"/>
                <w:sz w:val="24"/>
              </w:rPr>
              <w:t>。</w:t>
            </w:r>
          </w:p>
        </w:tc>
      </w:tr>
      <w:tr>
        <w:tblPrEx>
          <w:tblCellMar>
            <w:top w:w="0" w:type="dxa"/>
            <w:left w:w="0" w:type="dxa"/>
            <w:bottom w:w="0" w:type="dxa"/>
            <w:right w:w="0" w:type="dxa"/>
          </w:tblCellMar>
        </w:tblPrEx>
        <w:trPr>
          <w:cantSplit/>
          <w:trHeight w:val="774" w:hRule="atLeast"/>
        </w:trPr>
        <w:tc>
          <w:tcPr>
            <w:tcW w:w="2640" w:type="dxa"/>
            <w:tcBorders>
              <w:top w:val="single" w:color="auto" w:sz="8" w:space="0"/>
              <w:left w:val="single" w:color="auto" w:sz="8" w:space="0"/>
              <w:right w:val="single" w:color="auto" w:sz="8" w:space="0"/>
            </w:tcBorders>
            <w:vAlign w:val="center"/>
          </w:tcPr>
          <w:p>
            <w:pPr>
              <w:spacing w:line="500" w:lineRule="exact"/>
              <w:jc w:val="center"/>
              <w:rPr>
                <w:rFonts w:ascii="宋体" w:hAnsi="宋体" w:cs="宋体"/>
                <w:color w:val="auto"/>
                <w:sz w:val="24"/>
                <w:szCs w:val="24"/>
              </w:rPr>
            </w:pPr>
            <w:r>
              <w:rPr>
                <w:rFonts w:hint="eastAsia" w:ascii="宋体" w:hAnsi="宋体" w:cs="宋体"/>
                <w:color w:val="auto"/>
                <w:spacing w:val="-2"/>
                <w:sz w:val="24"/>
                <w:szCs w:val="24"/>
              </w:rPr>
              <w:t>勘察、</w:t>
            </w:r>
            <w:r>
              <w:rPr>
                <w:rFonts w:hint="eastAsia" w:ascii="宋体" w:hAnsi="宋体" w:cs="宋体"/>
                <w:color w:val="auto"/>
                <w:sz w:val="24"/>
                <w:szCs w:val="24"/>
              </w:rPr>
              <w:t>设计</w:t>
            </w:r>
            <w:r>
              <w:rPr>
                <w:rFonts w:hint="eastAsia" w:ascii="宋体" w:hAnsi="宋体" w:cs="宋体"/>
                <w:color w:val="auto"/>
                <w:sz w:val="24"/>
              </w:rPr>
              <w:t>周期</w:t>
            </w:r>
          </w:p>
        </w:tc>
        <w:tc>
          <w:tcPr>
            <w:tcW w:w="7158" w:type="dxa"/>
            <w:tcBorders>
              <w:top w:val="single" w:color="auto" w:sz="8" w:space="0"/>
              <w:left w:val="single" w:color="auto" w:sz="8" w:space="0"/>
              <w:right w:val="single" w:color="auto" w:sz="8" w:space="0"/>
            </w:tcBorders>
            <w:vAlign w:val="center"/>
          </w:tcPr>
          <w:p>
            <w:pPr>
              <w:widowControl/>
              <w:adjustRightInd/>
              <w:spacing w:line="500" w:lineRule="exact"/>
              <w:ind w:firstLine="120" w:firstLineChars="50"/>
              <w:jc w:val="left"/>
              <w:textAlignment w:val="auto"/>
              <w:rPr>
                <w:rFonts w:ascii="宋体" w:hAnsi="宋体" w:cs="宋体"/>
                <w:color w:val="auto"/>
                <w:sz w:val="24"/>
                <w:szCs w:val="24"/>
              </w:rPr>
            </w:pP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rPr>
              <w:t>投标有效期</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天</w:t>
            </w: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rPr>
              <w:t>质量标准</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p>
        </w:tc>
      </w:tr>
      <w:tr>
        <w:tblPrEx>
          <w:tblCellMar>
            <w:top w:w="0" w:type="dxa"/>
            <w:left w:w="0" w:type="dxa"/>
            <w:bottom w:w="0" w:type="dxa"/>
            <w:right w:w="0" w:type="dxa"/>
          </w:tblCellMar>
        </w:tblPrEx>
        <w:trPr>
          <w:trHeight w:val="718" w:hRule="exact"/>
        </w:trPr>
        <w:tc>
          <w:tcPr>
            <w:tcW w:w="2640"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r>
              <w:rPr>
                <w:rFonts w:hint="eastAsia" w:ascii="宋体" w:hAnsi="宋体" w:cs="宋体"/>
                <w:color w:val="auto"/>
                <w:sz w:val="24"/>
              </w:rPr>
              <w:t>备注</w:t>
            </w:r>
          </w:p>
        </w:tc>
        <w:tc>
          <w:tcPr>
            <w:tcW w:w="7158" w:type="dxa"/>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ascii="宋体" w:hAnsi="宋体" w:cs="宋体"/>
                <w:color w:val="auto"/>
                <w:sz w:val="24"/>
              </w:rPr>
            </w:pPr>
          </w:p>
        </w:tc>
      </w:tr>
    </w:tbl>
    <w:p>
      <w:pPr>
        <w:spacing w:line="500" w:lineRule="exact"/>
        <w:ind w:firstLine="480" w:firstLineChars="200"/>
        <w:rPr>
          <w:rFonts w:ascii="宋体" w:hAnsi="宋体" w:cs="宋体"/>
          <w:color w:val="auto"/>
          <w:sz w:val="24"/>
        </w:rPr>
      </w:pPr>
    </w:p>
    <w:p>
      <w:pPr>
        <w:spacing w:line="500" w:lineRule="exact"/>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 xml:space="preserve">（盖单位公章） </w:t>
      </w:r>
    </w:p>
    <w:p>
      <w:pPr>
        <w:spacing w:line="500" w:lineRule="exac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p>
    <w:p>
      <w:pPr>
        <w:spacing w:line="500" w:lineRule="exact"/>
        <w:rPr>
          <w:color w:val="auto"/>
          <w:sz w:val="24"/>
          <w:szCs w:val="24"/>
          <w:u w:val="single"/>
        </w:rPr>
      </w:pPr>
      <w:r>
        <w:rPr>
          <w:rFonts w:hint="eastAsia" w:ascii="宋体" w:hAnsi="宋体" w:cs="宋体"/>
          <w:color w:val="auto"/>
          <w:sz w:val="24"/>
          <w:szCs w:val="24"/>
        </w:rPr>
        <w:t>日期：    年   月   日</w:t>
      </w:r>
    </w:p>
    <w:p>
      <w:pPr>
        <w:spacing w:line="600" w:lineRule="exact"/>
        <w:ind w:firstLine="480" w:firstLineChars="200"/>
        <w:rPr>
          <w:rFonts w:ascii="宋体" w:hAnsi="宋体" w:cs="宋体"/>
          <w:color w:val="auto"/>
          <w:sz w:val="24"/>
          <w:szCs w:val="24"/>
        </w:rPr>
      </w:pPr>
    </w:p>
    <w:p>
      <w:pPr>
        <w:spacing w:line="600" w:lineRule="exact"/>
        <w:rPr>
          <w:rFonts w:ascii="宋体" w:hAnsi="宋体" w:cs="宋体"/>
          <w:color w:val="auto"/>
          <w:sz w:val="24"/>
          <w:szCs w:val="24"/>
        </w:rPr>
      </w:pPr>
      <w:r>
        <w:rPr>
          <w:rFonts w:hint="eastAsia" w:ascii="宋体" w:hAnsi="宋体" w:cs="宋体"/>
          <w:color w:val="auto"/>
          <w:sz w:val="24"/>
          <w:szCs w:val="24"/>
        </w:rPr>
        <w:t xml:space="preserve">                                                          </w:t>
      </w:r>
    </w:p>
    <w:p>
      <w:pPr>
        <w:spacing w:line="400" w:lineRule="exact"/>
        <w:rPr>
          <w:rFonts w:ascii="宋体" w:hAnsi="宋体" w:cs="宋体"/>
          <w:b/>
          <w:color w:val="auto"/>
          <w:sz w:val="21"/>
          <w:szCs w:val="21"/>
        </w:rPr>
      </w:pPr>
      <w:r>
        <w:rPr>
          <w:rFonts w:ascii="宋体" w:hAnsi="宋体" w:cs="宋体"/>
          <w:color w:val="auto"/>
          <w:sz w:val="24"/>
          <w:szCs w:val="24"/>
        </w:rPr>
        <w:br w:type="page"/>
      </w:r>
    </w:p>
    <w:p>
      <w:pPr>
        <w:numPr>
          <w:ilvl w:val="0"/>
          <w:numId w:val="16"/>
        </w:numPr>
        <w:jc w:val="center"/>
        <w:outlineLvl w:val="2"/>
        <w:rPr>
          <w:rFonts w:ascii="宋体" w:hAnsi="宋体" w:cs="宋体"/>
          <w:b/>
          <w:color w:val="auto"/>
          <w:sz w:val="36"/>
          <w:szCs w:val="36"/>
        </w:rPr>
      </w:pPr>
      <w:bookmarkStart w:id="519" w:name="_Toc12732"/>
      <w:r>
        <w:rPr>
          <w:rFonts w:hint="eastAsia" w:ascii="宋体" w:hAnsi="宋体" w:cs="宋体"/>
          <w:b/>
          <w:color w:val="auto"/>
          <w:sz w:val="36"/>
          <w:szCs w:val="36"/>
        </w:rPr>
        <w:t>企业业绩情况一览表</w:t>
      </w:r>
      <w:bookmarkEnd w:id="519"/>
    </w:p>
    <w:p>
      <w:pPr>
        <w:pStyle w:val="36"/>
        <w:ind w:left="0" w:leftChars="0" w:firstLine="0" w:firstLineChars="0"/>
        <w:rPr>
          <w:color w:val="auto"/>
        </w:rPr>
      </w:pPr>
    </w:p>
    <w:tbl>
      <w:tblPr>
        <w:tblStyle w:val="37"/>
        <w:tblW w:w="9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181"/>
        <w:gridCol w:w="4330"/>
        <w:gridCol w:w="1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12" w:space="0"/>
              <w:bottom w:val="single" w:color="auto" w:sz="4" w:space="0"/>
            </w:tcBorders>
            <w:vAlign w:val="center"/>
          </w:tcPr>
          <w:p>
            <w:pPr>
              <w:jc w:val="center"/>
              <w:rPr>
                <w:rFonts w:ascii="宋体" w:hAnsi="宋体"/>
                <w:b/>
                <w:color w:val="auto"/>
                <w:sz w:val="21"/>
                <w:szCs w:val="21"/>
              </w:rPr>
            </w:pPr>
            <w:r>
              <w:rPr>
                <w:rFonts w:hint="eastAsia" w:ascii="宋体" w:hAnsi="宋体"/>
                <w:b/>
                <w:color w:val="auto"/>
                <w:sz w:val="21"/>
                <w:szCs w:val="21"/>
              </w:rPr>
              <w:t>序号</w:t>
            </w:r>
          </w:p>
        </w:tc>
        <w:tc>
          <w:tcPr>
            <w:tcW w:w="3181" w:type="dxa"/>
            <w:tcBorders>
              <w:top w:val="single" w:color="auto" w:sz="12" w:space="0"/>
              <w:bottom w:val="single" w:color="auto" w:sz="4" w:space="0"/>
            </w:tcBorders>
            <w:vAlign w:val="center"/>
          </w:tcPr>
          <w:p>
            <w:pPr>
              <w:jc w:val="center"/>
              <w:rPr>
                <w:rFonts w:ascii="宋体" w:hAnsi="宋体"/>
                <w:b/>
                <w:color w:val="auto"/>
                <w:sz w:val="21"/>
                <w:szCs w:val="21"/>
              </w:rPr>
            </w:pPr>
            <w:r>
              <w:rPr>
                <w:rFonts w:hint="eastAsia" w:ascii="宋体" w:hAnsi="宋体"/>
                <w:b/>
                <w:color w:val="auto"/>
                <w:sz w:val="21"/>
                <w:szCs w:val="21"/>
              </w:rPr>
              <w:t>项目名称</w:t>
            </w:r>
          </w:p>
        </w:tc>
        <w:tc>
          <w:tcPr>
            <w:tcW w:w="4330" w:type="dxa"/>
            <w:tcBorders>
              <w:top w:val="single" w:color="auto" w:sz="12" w:space="0"/>
              <w:bottom w:val="single" w:color="auto" w:sz="4" w:space="0"/>
            </w:tcBorders>
            <w:vAlign w:val="center"/>
          </w:tcPr>
          <w:p>
            <w:pPr>
              <w:jc w:val="center"/>
              <w:rPr>
                <w:rFonts w:ascii="宋体" w:hAnsi="宋体"/>
                <w:b/>
                <w:color w:val="auto"/>
                <w:sz w:val="21"/>
                <w:szCs w:val="21"/>
              </w:rPr>
            </w:pPr>
            <w:r>
              <w:rPr>
                <w:rFonts w:hint="eastAsia" w:ascii="宋体" w:hAnsi="宋体"/>
                <w:b/>
                <w:color w:val="auto"/>
                <w:sz w:val="21"/>
                <w:szCs w:val="21"/>
              </w:rPr>
              <w:t>业绩简介</w:t>
            </w:r>
          </w:p>
        </w:tc>
        <w:tc>
          <w:tcPr>
            <w:tcW w:w="1617" w:type="dxa"/>
            <w:tcBorders>
              <w:top w:val="single" w:color="auto" w:sz="12" w:space="0"/>
              <w:bottom w:val="single" w:color="auto" w:sz="4" w:space="0"/>
            </w:tcBorders>
            <w:vAlign w:val="center"/>
          </w:tcPr>
          <w:p>
            <w:pPr>
              <w:jc w:val="center"/>
              <w:rPr>
                <w:rFonts w:ascii="宋体" w:hAnsi="宋体"/>
                <w:b/>
                <w:color w:val="auto"/>
                <w:sz w:val="21"/>
                <w:szCs w:val="21"/>
              </w:rPr>
            </w:pPr>
            <w:r>
              <w:rPr>
                <w:rFonts w:hint="eastAsia" w:ascii="宋体" w:hAnsi="宋体"/>
                <w:b/>
                <w:color w:val="auto"/>
                <w:sz w:val="21"/>
                <w:szCs w:val="21"/>
              </w:rPr>
              <w:t>签约时间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1</w:t>
            </w:r>
          </w:p>
        </w:tc>
        <w:tc>
          <w:tcPr>
            <w:tcW w:w="3181" w:type="dxa"/>
            <w:tcBorders>
              <w:top w:val="single" w:color="auto" w:sz="4" w:space="0"/>
              <w:bottom w:val="single" w:color="auto" w:sz="4" w:space="0"/>
            </w:tcBorders>
            <w:vAlign w:val="center"/>
          </w:tcPr>
          <w:p>
            <w:pPr>
              <w:jc w:val="center"/>
              <w:rPr>
                <w:rFonts w:ascii="宋体" w:hAnsi="宋体"/>
                <w:color w:val="auto"/>
                <w:sz w:val="21"/>
                <w:szCs w:val="21"/>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2</w:t>
            </w:r>
          </w:p>
        </w:tc>
        <w:tc>
          <w:tcPr>
            <w:tcW w:w="3181" w:type="dxa"/>
            <w:tcBorders>
              <w:top w:val="single" w:color="auto" w:sz="4" w:space="0"/>
              <w:bottom w:val="single" w:color="auto" w:sz="4" w:space="0"/>
            </w:tcBorders>
            <w:vAlign w:val="center"/>
          </w:tcPr>
          <w:p>
            <w:pPr>
              <w:jc w:val="center"/>
              <w:rPr>
                <w:rFonts w:ascii="宋体" w:hAnsi="宋体"/>
                <w:color w:val="auto"/>
                <w:sz w:val="21"/>
                <w:szCs w:val="21"/>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3</w:t>
            </w:r>
          </w:p>
        </w:tc>
        <w:tc>
          <w:tcPr>
            <w:tcW w:w="3181" w:type="dxa"/>
            <w:tcBorders>
              <w:top w:val="single" w:color="auto" w:sz="4" w:space="0"/>
              <w:bottom w:val="single" w:color="auto" w:sz="4" w:space="0"/>
            </w:tcBorders>
            <w:vAlign w:val="center"/>
          </w:tcPr>
          <w:p>
            <w:pPr>
              <w:jc w:val="center"/>
              <w:rPr>
                <w:rFonts w:ascii="宋体" w:hAnsi="宋体"/>
                <w:color w:val="auto"/>
                <w:sz w:val="21"/>
                <w:szCs w:val="21"/>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4</w:t>
            </w:r>
          </w:p>
        </w:tc>
        <w:tc>
          <w:tcPr>
            <w:tcW w:w="3181" w:type="dxa"/>
            <w:tcBorders>
              <w:top w:val="single" w:color="auto" w:sz="4" w:space="0"/>
              <w:bottom w:val="single" w:color="auto" w:sz="4" w:space="0"/>
            </w:tcBorders>
            <w:vAlign w:val="center"/>
          </w:tcPr>
          <w:p>
            <w:pPr>
              <w:jc w:val="center"/>
              <w:rPr>
                <w:rFonts w:ascii="宋体" w:hAnsi="宋体"/>
                <w:color w:val="auto"/>
                <w:sz w:val="21"/>
                <w:szCs w:val="21"/>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4" w:type="dxa"/>
            <w:tcBorders>
              <w:top w:val="single" w:color="auto" w:sz="4" w:space="0"/>
              <w:bottom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5</w:t>
            </w:r>
          </w:p>
        </w:tc>
        <w:tc>
          <w:tcPr>
            <w:tcW w:w="3181" w:type="dxa"/>
            <w:tcBorders>
              <w:top w:val="single" w:color="auto" w:sz="4" w:space="0"/>
              <w:bottom w:val="single" w:color="auto" w:sz="4" w:space="0"/>
            </w:tcBorders>
            <w:vAlign w:val="center"/>
          </w:tcPr>
          <w:p>
            <w:pPr>
              <w:jc w:val="center"/>
              <w:rPr>
                <w:rFonts w:ascii="宋体" w:hAnsi="宋体"/>
                <w:color w:val="auto"/>
                <w:sz w:val="21"/>
                <w:szCs w:val="21"/>
              </w:rPr>
            </w:pPr>
          </w:p>
        </w:tc>
        <w:tc>
          <w:tcPr>
            <w:tcW w:w="4330" w:type="dxa"/>
            <w:tcBorders>
              <w:top w:val="single" w:color="auto" w:sz="4" w:space="0"/>
              <w:bottom w:val="single" w:color="auto" w:sz="4"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4" w:space="0"/>
            </w:tcBorders>
            <w:vAlign w:val="center"/>
          </w:tcPr>
          <w:p>
            <w:pPr>
              <w:jc w:val="center"/>
              <w:rPr>
                <w:rFonts w:ascii="宋体" w:hAnsi="宋体"/>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4" w:type="dxa"/>
            <w:tcBorders>
              <w:top w:val="single" w:color="auto" w:sz="4" w:space="0"/>
              <w:bottom w:val="single" w:color="auto" w:sz="12" w:space="0"/>
            </w:tcBorders>
            <w:vAlign w:val="center"/>
          </w:tcPr>
          <w:p>
            <w:pPr>
              <w:jc w:val="center"/>
              <w:rPr>
                <w:rFonts w:ascii="宋体" w:hAnsi="宋体"/>
                <w:color w:val="auto"/>
                <w:sz w:val="21"/>
                <w:szCs w:val="21"/>
              </w:rPr>
            </w:pPr>
            <w:r>
              <w:rPr>
                <w:rFonts w:ascii="宋体" w:hAnsi="宋体"/>
                <w:color w:val="auto"/>
                <w:sz w:val="21"/>
                <w:szCs w:val="21"/>
              </w:rPr>
              <w:t>……</w:t>
            </w:r>
          </w:p>
        </w:tc>
        <w:tc>
          <w:tcPr>
            <w:tcW w:w="3181" w:type="dxa"/>
            <w:tcBorders>
              <w:top w:val="single" w:color="auto" w:sz="4" w:space="0"/>
              <w:bottom w:val="single" w:color="auto" w:sz="12" w:space="0"/>
              <w:right w:val="single" w:color="002060" w:sz="6" w:space="0"/>
            </w:tcBorders>
            <w:vAlign w:val="center"/>
          </w:tcPr>
          <w:p>
            <w:pPr>
              <w:jc w:val="center"/>
              <w:rPr>
                <w:rFonts w:ascii="宋体" w:hAnsi="宋体"/>
                <w:color w:val="auto"/>
                <w:sz w:val="21"/>
                <w:szCs w:val="21"/>
              </w:rPr>
            </w:pPr>
          </w:p>
        </w:tc>
        <w:tc>
          <w:tcPr>
            <w:tcW w:w="4330" w:type="dxa"/>
            <w:tcBorders>
              <w:top w:val="single" w:color="auto" w:sz="4" w:space="0"/>
              <w:left w:val="single" w:color="002060" w:sz="6" w:space="0"/>
              <w:bottom w:val="single" w:color="auto" w:sz="12" w:space="0"/>
            </w:tcBorders>
            <w:vAlign w:val="center"/>
          </w:tcPr>
          <w:p>
            <w:pPr>
              <w:jc w:val="center"/>
              <w:rPr>
                <w:rFonts w:ascii="宋体" w:hAnsi="宋体"/>
                <w:b/>
                <w:color w:val="auto"/>
                <w:sz w:val="21"/>
                <w:szCs w:val="21"/>
              </w:rPr>
            </w:pPr>
          </w:p>
        </w:tc>
        <w:tc>
          <w:tcPr>
            <w:tcW w:w="1617" w:type="dxa"/>
            <w:tcBorders>
              <w:top w:val="single" w:color="auto" w:sz="4" w:space="0"/>
              <w:bottom w:val="single" w:color="auto" w:sz="12" w:space="0"/>
            </w:tcBorders>
            <w:vAlign w:val="center"/>
          </w:tcPr>
          <w:p>
            <w:pPr>
              <w:jc w:val="center"/>
              <w:rPr>
                <w:rFonts w:ascii="宋体" w:hAnsi="宋体"/>
                <w:b/>
                <w:color w:val="auto"/>
                <w:sz w:val="21"/>
                <w:szCs w:val="21"/>
              </w:rPr>
            </w:pPr>
          </w:p>
        </w:tc>
      </w:tr>
    </w:tbl>
    <w:p>
      <w:pPr>
        <w:spacing w:line="520" w:lineRule="exact"/>
        <w:ind w:left="617" w:hanging="617" w:hangingChars="294"/>
        <w:rPr>
          <w:rFonts w:ascii="宋体" w:hAnsi="宋体"/>
          <w:color w:val="auto"/>
          <w:sz w:val="21"/>
          <w:szCs w:val="21"/>
        </w:rPr>
      </w:pPr>
      <w:r>
        <w:rPr>
          <w:rFonts w:hint="eastAsia" w:ascii="宋体" w:hAnsi="宋体"/>
          <w:bCs/>
          <w:color w:val="auto"/>
          <w:sz w:val="21"/>
          <w:szCs w:val="21"/>
        </w:rPr>
        <w:t>备注：</w:t>
      </w:r>
      <w:r>
        <w:rPr>
          <w:rFonts w:hint="eastAsia" w:ascii="宋体" w:hAnsi="宋体"/>
          <w:color w:val="auto"/>
          <w:sz w:val="21"/>
          <w:szCs w:val="21"/>
        </w:rPr>
        <w:t>根据评审表的要求提交相应资料。</w:t>
      </w:r>
    </w:p>
    <w:p>
      <w:pPr>
        <w:autoSpaceDE w:val="0"/>
        <w:autoSpaceDN w:val="0"/>
        <w:snapToGrid w:val="0"/>
        <w:spacing w:line="360" w:lineRule="auto"/>
        <w:rPr>
          <w:rFonts w:ascii="宋体" w:hAnsi="宋体" w:cs="宋体"/>
          <w:color w:val="auto"/>
          <w:sz w:val="24"/>
        </w:rPr>
      </w:pPr>
    </w:p>
    <w:p>
      <w:pPr>
        <w:autoSpaceDE w:val="0"/>
        <w:autoSpaceDN w:val="0"/>
        <w:snapToGrid w:val="0"/>
        <w:spacing w:line="360" w:lineRule="auto"/>
        <w:rPr>
          <w:rFonts w:ascii="宋体" w:hAnsi="宋体" w:cs="宋体"/>
          <w:color w:val="auto"/>
          <w:sz w:val="24"/>
        </w:rPr>
      </w:pPr>
    </w:p>
    <w:p>
      <w:pPr>
        <w:pStyle w:val="36"/>
        <w:ind w:left="400" w:firstLine="480"/>
        <w:rPr>
          <w:rFonts w:ascii="宋体" w:hAnsi="宋体" w:cs="宋体"/>
          <w:color w:val="auto"/>
          <w:sz w:val="24"/>
        </w:rPr>
      </w:pPr>
    </w:p>
    <w:p>
      <w:pPr>
        <w:pStyle w:val="36"/>
        <w:ind w:left="400" w:firstLine="480"/>
        <w:rPr>
          <w:rFonts w:ascii="宋体" w:hAnsi="宋体" w:cs="宋体"/>
          <w:color w:val="auto"/>
          <w:sz w:val="24"/>
        </w:rPr>
      </w:pPr>
    </w:p>
    <w:p>
      <w:pPr>
        <w:spacing w:line="500" w:lineRule="exact"/>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 xml:space="preserve">（盖单位公章） </w:t>
      </w:r>
    </w:p>
    <w:p>
      <w:pPr>
        <w:spacing w:line="500" w:lineRule="exac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p>
    <w:p>
      <w:pPr>
        <w:spacing w:line="500" w:lineRule="exact"/>
        <w:rPr>
          <w:color w:val="auto"/>
          <w:sz w:val="24"/>
          <w:szCs w:val="24"/>
          <w:u w:val="single"/>
        </w:rPr>
      </w:pPr>
      <w:r>
        <w:rPr>
          <w:rFonts w:hint="eastAsia" w:ascii="宋体" w:hAnsi="宋体" w:cs="宋体"/>
          <w:color w:val="auto"/>
          <w:sz w:val="24"/>
          <w:szCs w:val="24"/>
        </w:rPr>
        <w:t>日期：     年   月   日</w:t>
      </w:r>
    </w:p>
    <w:p>
      <w:pPr>
        <w:spacing w:line="520" w:lineRule="exact"/>
        <w:ind w:left="617" w:hanging="617" w:hangingChars="294"/>
        <w:rPr>
          <w:rFonts w:ascii="宋体" w:hAnsi="宋体"/>
          <w:color w:val="auto"/>
          <w:sz w:val="21"/>
          <w:szCs w:val="21"/>
        </w:rPr>
      </w:pPr>
    </w:p>
    <w:p>
      <w:pPr>
        <w:widowControl/>
        <w:adjustRightInd/>
        <w:spacing w:line="240" w:lineRule="auto"/>
        <w:jc w:val="left"/>
        <w:textAlignment w:val="auto"/>
        <w:rPr>
          <w:rFonts w:ascii="宋体"/>
          <w:color w:val="auto"/>
          <w:kern w:val="2"/>
          <w:sz w:val="21"/>
          <w:szCs w:val="21"/>
        </w:rPr>
        <w:sectPr>
          <w:pgSz w:w="11906" w:h="16838"/>
          <w:pgMar w:top="1440" w:right="1133" w:bottom="1440" w:left="993" w:header="851" w:footer="992" w:gutter="0"/>
          <w:cols w:space="720" w:num="1"/>
          <w:docGrid w:linePitch="312" w:charSpace="0"/>
        </w:sectPr>
      </w:pPr>
    </w:p>
    <w:p>
      <w:pPr>
        <w:widowControl/>
        <w:numPr>
          <w:ilvl w:val="0"/>
          <w:numId w:val="16"/>
        </w:numPr>
        <w:adjustRightInd/>
        <w:spacing w:line="240" w:lineRule="auto"/>
        <w:jc w:val="left"/>
        <w:textAlignment w:val="auto"/>
        <w:outlineLvl w:val="2"/>
        <w:rPr>
          <w:rFonts w:ascii="宋体" w:hAnsi="宋体" w:cs="宋体"/>
          <w:b/>
          <w:color w:val="auto"/>
          <w:sz w:val="32"/>
          <w:szCs w:val="32"/>
          <w:lang w:eastAsia="zh-Hans"/>
        </w:rPr>
      </w:pPr>
      <w:bookmarkStart w:id="520" w:name="_Toc19588"/>
      <w:r>
        <w:rPr>
          <w:rFonts w:hint="eastAsia" w:ascii="宋体" w:hAnsi="宋体" w:cs="宋体"/>
          <w:b/>
          <w:color w:val="auto"/>
          <w:sz w:val="32"/>
          <w:szCs w:val="32"/>
          <w:lang w:eastAsia="zh-Hans"/>
        </w:rPr>
        <w:t>企业</w:t>
      </w:r>
      <w:r>
        <w:rPr>
          <w:rFonts w:hint="eastAsia" w:ascii="宋体" w:hAnsi="宋体" w:cs="宋体"/>
          <w:b/>
          <w:color w:val="auto"/>
          <w:sz w:val="32"/>
          <w:szCs w:val="32"/>
        </w:rPr>
        <w:t>荣</w:t>
      </w:r>
      <w:r>
        <w:rPr>
          <w:rFonts w:hint="eastAsia" w:ascii="宋体" w:hAnsi="宋体" w:cs="宋体"/>
          <w:b/>
          <w:color w:val="auto"/>
          <w:sz w:val="32"/>
          <w:szCs w:val="32"/>
          <w:lang w:eastAsia="zh-Hans"/>
        </w:rPr>
        <w:t>誉</w:t>
      </w:r>
      <w:bookmarkEnd w:id="520"/>
    </w:p>
    <w:p>
      <w:pPr>
        <w:pStyle w:val="36"/>
        <w:ind w:left="0" w:leftChars="0" w:firstLine="0" w:firstLineChars="0"/>
        <w:rPr>
          <w:color w:val="auto"/>
        </w:rPr>
      </w:pPr>
    </w:p>
    <w:p>
      <w:pPr>
        <w:spacing w:line="520" w:lineRule="exact"/>
        <w:rPr>
          <w:rFonts w:ascii="宋体" w:hAnsi="宋体"/>
          <w:color w:val="auto"/>
          <w:sz w:val="21"/>
          <w:szCs w:val="21"/>
        </w:rPr>
      </w:pPr>
      <w:r>
        <w:rPr>
          <w:rFonts w:hint="eastAsia" w:ascii="宋体" w:hAnsi="宋体"/>
          <w:bCs/>
          <w:color w:val="auto"/>
          <w:sz w:val="21"/>
          <w:szCs w:val="21"/>
        </w:rPr>
        <w:t>备注：</w:t>
      </w:r>
      <w:r>
        <w:rPr>
          <w:rFonts w:hint="eastAsia" w:ascii="宋体" w:hAnsi="宋体"/>
          <w:color w:val="auto"/>
          <w:sz w:val="21"/>
          <w:szCs w:val="21"/>
        </w:rPr>
        <w:t>根据评审表的要求提交相应资料。</w:t>
      </w: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pPr>
    </w:p>
    <w:p>
      <w:pPr>
        <w:pStyle w:val="36"/>
        <w:ind w:left="0" w:leftChars="0" w:firstLine="0" w:firstLineChars="0"/>
        <w:rPr>
          <w:color w:val="auto"/>
        </w:rPr>
        <w:sectPr>
          <w:pgSz w:w="11906" w:h="16838"/>
          <w:pgMar w:top="1440" w:right="1133" w:bottom="1440" w:left="993" w:header="851" w:footer="992" w:gutter="0"/>
          <w:cols w:space="720" w:num="1"/>
          <w:docGrid w:linePitch="312" w:charSpace="0"/>
        </w:sectPr>
      </w:pPr>
    </w:p>
    <w:p>
      <w:pPr>
        <w:pStyle w:val="36"/>
        <w:ind w:left="0" w:leftChars="0" w:firstLine="0" w:firstLineChars="0"/>
        <w:rPr>
          <w:color w:val="auto"/>
        </w:rPr>
      </w:pPr>
    </w:p>
    <w:p>
      <w:pPr>
        <w:widowControl/>
        <w:numPr>
          <w:ilvl w:val="0"/>
          <w:numId w:val="16"/>
        </w:numPr>
        <w:adjustRightInd/>
        <w:spacing w:line="240" w:lineRule="auto"/>
        <w:jc w:val="left"/>
        <w:textAlignment w:val="auto"/>
        <w:outlineLvl w:val="2"/>
        <w:rPr>
          <w:rFonts w:ascii="宋体" w:hAnsi="宋体" w:cs="宋体"/>
          <w:b/>
          <w:color w:val="auto"/>
          <w:sz w:val="32"/>
          <w:szCs w:val="32"/>
          <w:lang w:eastAsia="zh-Hans"/>
        </w:rPr>
      </w:pPr>
      <w:bookmarkStart w:id="521" w:name="_Toc24337"/>
      <w:r>
        <w:rPr>
          <w:rFonts w:hint="eastAsia" w:ascii="宋体" w:hAnsi="宋体" w:cs="宋体"/>
          <w:b/>
          <w:color w:val="auto"/>
          <w:sz w:val="32"/>
          <w:szCs w:val="32"/>
          <w:lang w:eastAsia="zh-Hans"/>
        </w:rPr>
        <w:t>企业获奖情况一览表</w:t>
      </w:r>
      <w:bookmarkEnd w:id="521"/>
    </w:p>
    <w:p>
      <w:pPr>
        <w:pStyle w:val="36"/>
        <w:ind w:left="0" w:leftChars="0" w:firstLine="0" w:firstLineChars="0"/>
        <w:rPr>
          <w:color w:val="auto"/>
          <w:lang w:eastAsia="zh-Hans"/>
        </w:rPr>
      </w:pPr>
    </w:p>
    <w:p>
      <w:pPr>
        <w:widowControl/>
        <w:wordWrap w:val="0"/>
        <w:spacing w:line="360" w:lineRule="auto"/>
        <w:ind w:firstLine="240" w:firstLineChars="100"/>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1"/>
          <w:szCs w:val="21"/>
        </w:rPr>
        <w:t xml:space="preserve">                                            </w:t>
      </w:r>
    </w:p>
    <w:tbl>
      <w:tblPr>
        <w:tblStyle w:val="37"/>
        <w:tblW w:w="102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251"/>
        <w:gridCol w:w="4428"/>
        <w:gridCol w:w="1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5"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3251"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p>
        </w:tc>
        <w:tc>
          <w:tcPr>
            <w:tcW w:w="4428"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获奖名称</w:t>
            </w:r>
          </w:p>
        </w:tc>
        <w:tc>
          <w:tcPr>
            <w:tcW w:w="1652" w:type="dxa"/>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获奖时间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b/>
                <w:color w:val="auto"/>
                <w:sz w:val="21"/>
                <w:szCs w:val="21"/>
              </w:rPr>
            </w:pPr>
          </w:p>
        </w:tc>
        <w:tc>
          <w:tcPr>
            <w:tcW w:w="1652" w:type="dxa"/>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5" w:type="dxa"/>
            <w:vAlign w:val="center"/>
          </w:tcPr>
          <w:p>
            <w:pPr>
              <w:jc w:val="center"/>
              <w:rPr>
                <w:rFonts w:asciiTheme="minorEastAsia" w:hAnsiTheme="minorEastAsia" w:eastAsiaTheme="minorEastAsia"/>
                <w:color w:val="auto"/>
                <w:sz w:val="21"/>
                <w:szCs w:val="21"/>
              </w:rPr>
            </w:pP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5" w:type="dxa"/>
            <w:vAlign w:val="center"/>
          </w:tcPr>
          <w:p>
            <w:pPr>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3251" w:type="dxa"/>
            <w:vAlign w:val="center"/>
          </w:tcPr>
          <w:p>
            <w:pPr>
              <w:jc w:val="center"/>
              <w:rPr>
                <w:rFonts w:asciiTheme="minorEastAsia" w:hAnsiTheme="minorEastAsia" w:eastAsiaTheme="minorEastAsia"/>
                <w:color w:val="auto"/>
                <w:sz w:val="21"/>
                <w:szCs w:val="21"/>
              </w:rPr>
            </w:pPr>
          </w:p>
        </w:tc>
        <w:tc>
          <w:tcPr>
            <w:tcW w:w="4428" w:type="dxa"/>
            <w:vAlign w:val="center"/>
          </w:tcPr>
          <w:p>
            <w:pPr>
              <w:jc w:val="center"/>
              <w:rPr>
                <w:rFonts w:asciiTheme="minorEastAsia" w:hAnsiTheme="minorEastAsia" w:eastAsiaTheme="minorEastAsia"/>
                <w:color w:val="auto"/>
                <w:sz w:val="21"/>
                <w:szCs w:val="21"/>
              </w:rPr>
            </w:pPr>
          </w:p>
        </w:tc>
        <w:tc>
          <w:tcPr>
            <w:tcW w:w="1652" w:type="dxa"/>
            <w:vAlign w:val="center"/>
          </w:tcPr>
          <w:p>
            <w:pPr>
              <w:jc w:val="center"/>
              <w:rPr>
                <w:rFonts w:asciiTheme="minorEastAsia" w:hAnsiTheme="minorEastAsia" w:eastAsiaTheme="minorEastAsia"/>
                <w:color w:val="auto"/>
                <w:sz w:val="21"/>
                <w:szCs w:val="21"/>
              </w:rPr>
            </w:pPr>
          </w:p>
        </w:tc>
      </w:tr>
    </w:tbl>
    <w:p>
      <w:pPr>
        <w:widowControl/>
        <w:adjustRightInd/>
        <w:spacing w:line="240" w:lineRule="auto"/>
        <w:jc w:val="left"/>
        <w:textAlignment w:val="auto"/>
        <w:rPr>
          <w:rFonts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备注：</w:t>
      </w:r>
      <w:r>
        <w:rPr>
          <w:rFonts w:hint="eastAsia" w:asciiTheme="minorEastAsia" w:hAnsiTheme="minorEastAsia" w:eastAsiaTheme="minorEastAsia"/>
          <w:color w:val="auto"/>
          <w:sz w:val="21"/>
          <w:szCs w:val="21"/>
        </w:rPr>
        <w:t>根据评审表的要求提交相应资料。</w:t>
      </w:r>
    </w:p>
    <w:p>
      <w:pPr>
        <w:widowControl/>
        <w:adjustRightInd/>
        <w:spacing w:line="240" w:lineRule="auto"/>
        <w:jc w:val="left"/>
        <w:textAlignment w:val="auto"/>
        <w:rPr>
          <w:rFonts w:asciiTheme="minorEastAsia" w:hAnsiTheme="minorEastAsia" w:eastAsiaTheme="minorEastAsia"/>
          <w:color w:val="auto"/>
          <w:sz w:val="21"/>
          <w:szCs w:val="21"/>
        </w:rPr>
      </w:pPr>
    </w:p>
    <w:p>
      <w:pPr>
        <w:widowControl/>
        <w:adjustRightInd/>
        <w:spacing w:line="240" w:lineRule="auto"/>
        <w:jc w:val="left"/>
        <w:textAlignment w:val="auto"/>
        <w:rPr>
          <w:rFonts w:asciiTheme="minorEastAsia" w:hAnsiTheme="minorEastAsia" w:eastAsiaTheme="minorEastAsia"/>
          <w:color w:val="auto"/>
          <w:sz w:val="21"/>
          <w:szCs w:val="21"/>
        </w:rPr>
      </w:pPr>
    </w:p>
    <w:p>
      <w:pPr>
        <w:widowControl/>
        <w:adjustRightInd/>
        <w:spacing w:line="240" w:lineRule="auto"/>
        <w:jc w:val="left"/>
        <w:textAlignment w:val="auto"/>
        <w:rPr>
          <w:rFonts w:asciiTheme="minorEastAsia" w:hAnsiTheme="minorEastAsia" w:eastAsiaTheme="minorEastAsia"/>
          <w:color w:val="auto"/>
          <w:sz w:val="21"/>
          <w:szCs w:val="21"/>
        </w:rPr>
      </w:pPr>
    </w:p>
    <w:p>
      <w:pPr>
        <w:widowControl/>
        <w:adjustRightInd/>
        <w:spacing w:line="240" w:lineRule="auto"/>
        <w:jc w:val="left"/>
        <w:textAlignment w:val="auto"/>
        <w:rPr>
          <w:rFonts w:asciiTheme="minorEastAsia" w:hAnsiTheme="minorEastAsia" w:eastAsiaTheme="minorEastAsia"/>
          <w:color w:val="auto"/>
          <w:sz w:val="21"/>
          <w:szCs w:val="21"/>
        </w:rPr>
      </w:pPr>
    </w:p>
    <w:p>
      <w:pPr>
        <w:spacing w:line="500" w:lineRule="exact"/>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 xml:space="preserve">（盖单位公章） </w:t>
      </w:r>
    </w:p>
    <w:p>
      <w:pPr>
        <w:spacing w:line="500" w:lineRule="exac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p>
    <w:p>
      <w:pPr>
        <w:spacing w:line="500" w:lineRule="exact"/>
        <w:rPr>
          <w:rFonts w:ascii="宋体" w:hAnsi="宋体" w:cs="宋体"/>
          <w:color w:val="auto"/>
          <w:sz w:val="24"/>
          <w:szCs w:val="24"/>
        </w:rPr>
      </w:pPr>
      <w:r>
        <w:rPr>
          <w:rFonts w:hint="eastAsia" w:ascii="宋体" w:hAnsi="宋体" w:cs="宋体"/>
          <w:color w:val="auto"/>
          <w:sz w:val="24"/>
          <w:szCs w:val="24"/>
        </w:rPr>
        <w:t>日期：    年   月   日</w:t>
      </w: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400" w:firstLine="480"/>
        <w:rPr>
          <w:rFonts w:ascii="宋体" w:hAnsi="宋体" w:cs="宋体"/>
          <w:color w:val="auto"/>
          <w:sz w:val="24"/>
          <w:szCs w:val="24"/>
        </w:rPr>
      </w:pPr>
    </w:p>
    <w:p>
      <w:pPr>
        <w:pStyle w:val="36"/>
        <w:ind w:left="0" w:leftChars="0" w:firstLine="0" w:firstLineChars="0"/>
        <w:rPr>
          <w:rFonts w:ascii="宋体" w:hAnsi="宋体" w:cs="宋体"/>
          <w:color w:val="auto"/>
          <w:sz w:val="24"/>
          <w:szCs w:val="24"/>
        </w:rPr>
        <w:sectPr>
          <w:pgSz w:w="11906" w:h="16838"/>
          <w:pgMar w:top="1440" w:right="1133" w:bottom="1440" w:left="993" w:header="851" w:footer="992" w:gutter="0"/>
          <w:cols w:space="720" w:num="1"/>
          <w:docGrid w:linePitch="312" w:charSpace="0"/>
        </w:sectPr>
      </w:pPr>
    </w:p>
    <w:p>
      <w:pPr>
        <w:jc w:val="center"/>
        <w:outlineLvl w:val="2"/>
        <w:rPr>
          <w:rFonts w:cs="宋体"/>
          <w:b/>
          <w:color w:val="auto"/>
          <w:sz w:val="36"/>
          <w:szCs w:val="36"/>
        </w:rPr>
      </w:pPr>
      <w:bookmarkStart w:id="522" w:name="_Toc15849"/>
      <w:r>
        <w:rPr>
          <w:rFonts w:hint="eastAsia" w:cs="宋体"/>
          <w:b/>
          <w:color w:val="auto"/>
          <w:sz w:val="36"/>
          <w:szCs w:val="36"/>
        </w:rPr>
        <w:t>（六）拟担任的设计项目负责人业绩、职称情况一览表</w:t>
      </w:r>
      <w:bookmarkEnd w:id="522"/>
    </w:p>
    <w:p>
      <w:pPr>
        <w:widowControl/>
        <w:wordWrap w:val="0"/>
        <w:spacing w:line="360" w:lineRule="auto"/>
        <w:jc w:val="left"/>
        <w:rPr>
          <w:rFonts w:asciiTheme="minorEastAsia" w:hAnsiTheme="minorEastAsia" w:eastAsiaTheme="minorEastAsia"/>
          <w:color w:val="auto"/>
          <w:sz w:val="24"/>
          <w:szCs w:val="24"/>
        </w:rPr>
      </w:pPr>
    </w:p>
    <w:p>
      <w:pPr>
        <w:widowControl/>
        <w:wordWrap w:val="0"/>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1"/>
          <w:szCs w:val="21"/>
        </w:rPr>
        <w:t xml:space="preserve">                                                  </w:t>
      </w:r>
    </w:p>
    <w:tbl>
      <w:tblPr>
        <w:tblStyle w:val="37"/>
        <w:tblW w:w="9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950"/>
        <w:gridCol w:w="3197"/>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992" w:type="dxa"/>
            <w:gridSpan w:val="4"/>
            <w:tcBorders>
              <w:top w:val="single" w:color="auto" w:sz="12"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cs="宋体"/>
                <w:b/>
                <w:color w:val="auto"/>
                <w:sz w:val="36"/>
                <w:szCs w:val="36"/>
              </w:rPr>
              <w:t>设计项目负责人业绩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w:t>
            </w: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业绩简介</w:t>
            </w: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签约时间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992" w:type="dxa"/>
            <w:gridSpan w:val="4"/>
            <w:tcBorders>
              <w:top w:val="single" w:color="auto" w:sz="4" w:space="0"/>
              <w:bottom w:val="single" w:color="auto" w:sz="4" w:space="0"/>
            </w:tcBorders>
            <w:vAlign w:val="center"/>
          </w:tcPr>
          <w:p>
            <w:pPr>
              <w:jc w:val="center"/>
              <w:rPr>
                <w:rFonts w:asciiTheme="minorEastAsia" w:hAnsiTheme="minorEastAsia" w:eastAsiaTheme="minorEastAsia"/>
                <w:b/>
                <w:color w:val="auto"/>
                <w:sz w:val="21"/>
                <w:szCs w:val="21"/>
              </w:rPr>
            </w:pPr>
            <w:r>
              <w:rPr>
                <w:rFonts w:hint="eastAsia" w:cs="宋体"/>
                <w:b/>
                <w:color w:val="auto"/>
                <w:sz w:val="36"/>
                <w:szCs w:val="36"/>
              </w:rPr>
              <w:t>设计项目负责人</w:t>
            </w:r>
            <w:r>
              <w:rPr>
                <w:rFonts w:hint="eastAsia" w:cs="宋体"/>
                <w:b/>
                <w:color w:val="auto"/>
                <w:sz w:val="36"/>
                <w:szCs w:val="36"/>
                <w:lang w:eastAsia="zh-Hans"/>
              </w:rPr>
              <w:t>职称</w:t>
            </w:r>
            <w:r>
              <w:rPr>
                <w:rFonts w:hint="eastAsia" w:cs="宋体"/>
                <w:b/>
                <w:color w:val="auto"/>
                <w:sz w:val="36"/>
                <w:szCs w:val="36"/>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27"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设计项目负责人</w:t>
            </w:r>
          </w:p>
        </w:tc>
        <w:tc>
          <w:tcPr>
            <w:tcW w:w="3950" w:type="dxa"/>
            <w:tcBorders>
              <w:top w:val="single" w:color="auto" w:sz="4" w:space="0"/>
              <w:bottom w:val="single" w:color="auto" w:sz="4" w:space="0"/>
              <w:right w:val="single" w:color="002060" w:sz="6"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是否具有市政相关专业类高级工程师职称</w:t>
            </w:r>
          </w:p>
        </w:tc>
        <w:tc>
          <w:tcPr>
            <w:tcW w:w="3197" w:type="dxa"/>
            <w:tcBorders>
              <w:top w:val="single" w:color="auto" w:sz="4" w:space="0"/>
              <w:left w:val="single" w:color="002060" w:sz="6"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是否具有一级注册建筑师</w:t>
            </w:r>
          </w:p>
        </w:tc>
        <w:tc>
          <w:tcPr>
            <w:tcW w:w="1618" w:type="dxa"/>
            <w:tcBorders>
              <w:top w:val="single" w:color="auto" w:sz="4" w:space="0"/>
              <w:bottom w:val="single" w:color="auto" w:sz="4" w:space="0"/>
            </w:tcBorders>
            <w:vAlign w:val="center"/>
          </w:tcPr>
          <w:p>
            <w:pPr>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27" w:type="dxa"/>
            <w:tcBorders>
              <w:top w:val="single" w:color="auto" w:sz="4" w:space="0"/>
              <w:bottom w:val="single" w:color="auto" w:sz="12" w:space="0"/>
            </w:tcBorders>
            <w:vAlign w:val="center"/>
          </w:tcPr>
          <w:p>
            <w:pPr>
              <w:jc w:val="center"/>
              <w:rPr>
                <w:rFonts w:asciiTheme="minorEastAsia" w:hAnsiTheme="minorEastAsia" w:eastAsiaTheme="minorEastAsia"/>
                <w:color w:val="auto"/>
                <w:sz w:val="21"/>
                <w:szCs w:val="21"/>
              </w:rPr>
            </w:pPr>
          </w:p>
        </w:tc>
        <w:tc>
          <w:tcPr>
            <w:tcW w:w="3950" w:type="dxa"/>
            <w:tcBorders>
              <w:top w:val="single" w:color="auto" w:sz="4" w:space="0"/>
              <w:bottom w:val="single" w:color="auto" w:sz="12" w:space="0"/>
              <w:right w:val="single" w:color="002060" w:sz="6" w:space="0"/>
            </w:tcBorders>
            <w:vAlign w:val="center"/>
          </w:tcPr>
          <w:p>
            <w:pPr>
              <w:jc w:val="center"/>
              <w:rPr>
                <w:rFonts w:asciiTheme="minorEastAsia" w:hAnsiTheme="minorEastAsia" w:eastAsiaTheme="minorEastAsia"/>
                <w:color w:val="auto"/>
                <w:sz w:val="21"/>
                <w:szCs w:val="21"/>
              </w:rPr>
            </w:pPr>
          </w:p>
        </w:tc>
        <w:tc>
          <w:tcPr>
            <w:tcW w:w="3197" w:type="dxa"/>
            <w:tcBorders>
              <w:top w:val="single" w:color="auto" w:sz="4" w:space="0"/>
              <w:left w:val="single" w:color="002060" w:sz="6" w:space="0"/>
              <w:bottom w:val="single" w:color="auto" w:sz="12" w:space="0"/>
            </w:tcBorders>
            <w:vAlign w:val="center"/>
          </w:tcPr>
          <w:p>
            <w:pPr>
              <w:jc w:val="center"/>
              <w:rPr>
                <w:rFonts w:asciiTheme="minorEastAsia" w:hAnsiTheme="minorEastAsia" w:eastAsiaTheme="minorEastAsia"/>
                <w:b/>
                <w:color w:val="auto"/>
                <w:sz w:val="21"/>
                <w:szCs w:val="21"/>
              </w:rPr>
            </w:pPr>
          </w:p>
        </w:tc>
        <w:tc>
          <w:tcPr>
            <w:tcW w:w="1618" w:type="dxa"/>
            <w:tcBorders>
              <w:top w:val="single" w:color="auto" w:sz="4" w:space="0"/>
              <w:bottom w:val="single" w:color="auto" w:sz="12" w:space="0"/>
            </w:tcBorders>
            <w:vAlign w:val="center"/>
          </w:tcPr>
          <w:p>
            <w:pPr>
              <w:jc w:val="center"/>
              <w:rPr>
                <w:rFonts w:asciiTheme="minorEastAsia" w:hAnsiTheme="minorEastAsia" w:eastAsiaTheme="minorEastAsia"/>
                <w:b/>
                <w:color w:val="auto"/>
                <w:sz w:val="21"/>
                <w:szCs w:val="21"/>
              </w:rPr>
            </w:pPr>
          </w:p>
        </w:tc>
      </w:tr>
    </w:tbl>
    <w:p>
      <w:pPr>
        <w:pStyle w:val="36"/>
        <w:ind w:left="400"/>
        <w:rPr>
          <w:rFonts w:asciiTheme="minorEastAsia" w:hAnsiTheme="minorEastAsia" w:eastAsiaTheme="minorEastAsia"/>
          <w:bCs/>
          <w:color w:val="auto"/>
          <w:sz w:val="21"/>
          <w:szCs w:val="21"/>
        </w:rPr>
      </w:pPr>
    </w:p>
    <w:p>
      <w:pPr>
        <w:pStyle w:val="36"/>
        <w:ind w:left="400"/>
        <w:rPr>
          <w:rFonts w:asciiTheme="minorEastAsia" w:hAnsiTheme="minorEastAsia" w:eastAsiaTheme="minorEastAsia"/>
          <w:color w:val="auto"/>
          <w:sz w:val="21"/>
          <w:szCs w:val="21"/>
        </w:rPr>
      </w:pPr>
      <w:r>
        <w:rPr>
          <w:rFonts w:hint="eastAsia" w:asciiTheme="minorEastAsia" w:hAnsiTheme="minorEastAsia" w:eastAsiaTheme="minorEastAsia"/>
          <w:bCs/>
          <w:color w:val="auto"/>
          <w:sz w:val="21"/>
          <w:szCs w:val="21"/>
        </w:rPr>
        <w:t>备注：</w:t>
      </w:r>
      <w:r>
        <w:rPr>
          <w:rFonts w:hint="eastAsia" w:asciiTheme="minorEastAsia" w:hAnsiTheme="minorEastAsia" w:eastAsiaTheme="minorEastAsia"/>
          <w:color w:val="auto"/>
          <w:sz w:val="21"/>
          <w:szCs w:val="21"/>
        </w:rPr>
        <w:t>根据评审表的要求提交相应资料。</w:t>
      </w:r>
    </w:p>
    <w:p>
      <w:pPr>
        <w:pStyle w:val="36"/>
        <w:ind w:left="400"/>
        <w:rPr>
          <w:rFonts w:asciiTheme="minorEastAsia" w:hAnsiTheme="minorEastAsia" w:eastAsiaTheme="minorEastAsia"/>
          <w:color w:val="auto"/>
          <w:sz w:val="21"/>
          <w:szCs w:val="21"/>
        </w:rPr>
      </w:pPr>
    </w:p>
    <w:p>
      <w:pPr>
        <w:pStyle w:val="36"/>
        <w:ind w:left="400"/>
        <w:rPr>
          <w:rFonts w:asciiTheme="minorEastAsia" w:hAnsiTheme="minorEastAsia" w:eastAsiaTheme="minorEastAsia"/>
          <w:color w:val="auto"/>
          <w:sz w:val="21"/>
          <w:szCs w:val="21"/>
        </w:rPr>
      </w:pPr>
    </w:p>
    <w:p>
      <w:pPr>
        <w:spacing w:line="500" w:lineRule="exact"/>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 xml:space="preserve">（盖单位公章） </w:t>
      </w:r>
    </w:p>
    <w:p>
      <w:pPr>
        <w:spacing w:line="500" w:lineRule="exac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p>
    <w:p>
      <w:pPr>
        <w:spacing w:line="500" w:lineRule="exact"/>
        <w:rPr>
          <w:rFonts w:ascii="宋体" w:hAnsi="宋体" w:cs="宋体"/>
          <w:color w:val="auto"/>
          <w:sz w:val="24"/>
          <w:szCs w:val="24"/>
        </w:rPr>
      </w:pPr>
      <w:r>
        <w:rPr>
          <w:rFonts w:hint="eastAsia" w:ascii="宋体" w:hAnsi="宋体" w:cs="宋体"/>
          <w:color w:val="auto"/>
          <w:sz w:val="24"/>
          <w:szCs w:val="24"/>
        </w:rPr>
        <w:t>日期：    年   月   日</w:t>
      </w:r>
    </w:p>
    <w:p>
      <w:pPr>
        <w:pStyle w:val="36"/>
        <w:ind w:left="400" w:firstLine="480"/>
        <w:rPr>
          <w:rFonts w:ascii="宋体" w:hAnsi="宋体" w:cs="宋体"/>
          <w:color w:val="auto"/>
          <w:sz w:val="24"/>
          <w:szCs w:val="24"/>
        </w:rPr>
        <w:sectPr>
          <w:pgSz w:w="11906" w:h="16838"/>
          <w:pgMar w:top="1440" w:right="1133" w:bottom="1440" w:left="993" w:header="851" w:footer="992" w:gutter="0"/>
          <w:cols w:space="720" w:num="1"/>
          <w:docGrid w:linePitch="312" w:charSpace="0"/>
        </w:sectPr>
      </w:pPr>
    </w:p>
    <w:p>
      <w:pPr>
        <w:pStyle w:val="36"/>
        <w:ind w:left="0" w:leftChars="0" w:firstLine="0" w:firstLineChars="0"/>
        <w:outlineLvl w:val="2"/>
        <w:rPr>
          <w:rFonts w:cs="宋体"/>
          <w:b/>
          <w:color w:val="auto"/>
          <w:sz w:val="36"/>
          <w:szCs w:val="36"/>
        </w:rPr>
      </w:pPr>
      <w:bookmarkStart w:id="523" w:name="_Toc24662"/>
      <w:r>
        <w:rPr>
          <w:rFonts w:cs="宋体"/>
          <w:b/>
          <w:color w:val="auto"/>
          <w:sz w:val="36"/>
          <w:szCs w:val="36"/>
        </w:rPr>
        <w:t>（</w:t>
      </w:r>
      <w:r>
        <w:rPr>
          <w:rFonts w:hint="eastAsia" w:cs="宋体"/>
          <w:b/>
          <w:color w:val="auto"/>
          <w:sz w:val="36"/>
          <w:szCs w:val="36"/>
        </w:rPr>
        <w:t>七</w:t>
      </w:r>
      <w:r>
        <w:rPr>
          <w:rFonts w:cs="宋体"/>
          <w:b/>
          <w:color w:val="auto"/>
          <w:sz w:val="36"/>
          <w:szCs w:val="36"/>
          <w:lang w:eastAsia="zh-Hans"/>
        </w:rPr>
        <w:t>）</w:t>
      </w:r>
      <w:r>
        <w:rPr>
          <w:rFonts w:hint="eastAsia" w:cs="宋体"/>
          <w:b/>
          <w:color w:val="auto"/>
          <w:sz w:val="36"/>
          <w:szCs w:val="36"/>
        </w:rPr>
        <w:t>拟担任的</w:t>
      </w:r>
      <w:r>
        <w:rPr>
          <w:rFonts w:hint="eastAsia" w:cs="宋体"/>
          <w:b/>
          <w:color w:val="auto"/>
          <w:sz w:val="36"/>
          <w:szCs w:val="36"/>
          <w:lang w:eastAsia="zh-Hans"/>
        </w:rPr>
        <w:t>勘察</w:t>
      </w:r>
      <w:r>
        <w:rPr>
          <w:rFonts w:hint="eastAsia" w:cs="宋体"/>
          <w:b/>
          <w:color w:val="auto"/>
          <w:sz w:val="36"/>
          <w:szCs w:val="36"/>
        </w:rPr>
        <w:t>项目负责人</w:t>
      </w:r>
      <w:r>
        <w:rPr>
          <w:rFonts w:hint="eastAsia" w:cs="宋体"/>
          <w:b/>
          <w:color w:val="auto"/>
          <w:sz w:val="36"/>
          <w:szCs w:val="36"/>
          <w:lang w:eastAsia="zh-Hans"/>
        </w:rPr>
        <w:t>职称</w:t>
      </w:r>
      <w:r>
        <w:rPr>
          <w:rFonts w:hint="eastAsia" w:cs="宋体"/>
          <w:b/>
          <w:color w:val="auto"/>
          <w:sz w:val="36"/>
          <w:szCs w:val="36"/>
        </w:rPr>
        <w:t>情况一览表</w:t>
      </w:r>
      <w:bookmarkEnd w:id="523"/>
    </w:p>
    <w:tbl>
      <w:tblPr>
        <w:tblStyle w:val="38"/>
        <w:tblW w:w="7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2012"/>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5" w:hRule="atLeast"/>
          <w:jc w:val="center"/>
        </w:trPr>
        <w:tc>
          <w:tcPr>
            <w:tcW w:w="2959" w:type="dxa"/>
            <w:vAlign w:val="center"/>
          </w:tcPr>
          <w:p>
            <w:pPr>
              <w:pStyle w:val="36"/>
              <w:ind w:left="0" w:leftChars="0"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勘察项目负责人</w:t>
            </w:r>
          </w:p>
        </w:tc>
        <w:tc>
          <w:tcPr>
            <w:tcW w:w="2012" w:type="dxa"/>
            <w:vAlign w:val="center"/>
          </w:tcPr>
          <w:p>
            <w:pPr>
              <w:pStyle w:val="36"/>
              <w:ind w:left="0" w:leftChars="0"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是否具有勘察类相关专业高级工程师职称</w:t>
            </w:r>
          </w:p>
        </w:tc>
        <w:tc>
          <w:tcPr>
            <w:tcW w:w="2408" w:type="dxa"/>
            <w:vAlign w:val="center"/>
          </w:tcPr>
          <w:p>
            <w:pPr>
              <w:pStyle w:val="36"/>
              <w:ind w:left="0" w:leftChars="0"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是否具有注册土木（岩土）工程师执业资格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959" w:type="dxa"/>
            <w:vAlign w:val="center"/>
          </w:tcPr>
          <w:p>
            <w:pPr>
              <w:pStyle w:val="36"/>
              <w:ind w:left="400" w:firstLine="480"/>
              <w:jc w:val="center"/>
              <w:rPr>
                <w:rFonts w:asciiTheme="minorEastAsia" w:hAnsiTheme="minorEastAsia" w:eastAsiaTheme="minorEastAsia"/>
                <w:color w:val="auto"/>
                <w:sz w:val="24"/>
                <w:szCs w:val="24"/>
              </w:rPr>
            </w:pPr>
          </w:p>
        </w:tc>
        <w:tc>
          <w:tcPr>
            <w:tcW w:w="2012" w:type="dxa"/>
            <w:vAlign w:val="center"/>
          </w:tcPr>
          <w:p>
            <w:pPr>
              <w:pStyle w:val="36"/>
              <w:ind w:left="400" w:firstLine="480"/>
              <w:jc w:val="center"/>
              <w:rPr>
                <w:rFonts w:asciiTheme="minorEastAsia" w:hAnsiTheme="minorEastAsia" w:eastAsiaTheme="minorEastAsia"/>
                <w:color w:val="auto"/>
                <w:sz w:val="24"/>
                <w:szCs w:val="24"/>
              </w:rPr>
            </w:pPr>
          </w:p>
        </w:tc>
        <w:tc>
          <w:tcPr>
            <w:tcW w:w="2408" w:type="dxa"/>
            <w:vAlign w:val="center"/>
          </w:tcPr>
          <w:p>
            <w:pPr>
              <w:pStyle w:val="36"/>
              <w:ind w:left="400" w:firstLine="480"/>
              <w:jc w:val="center"/>
              <w:rPr>
                <w:rFonts w:asciiTheme="minorEastAsia" w:hAnsiTheme="minorEastAsia" w:eastAsiaTheme="minorEastAsia"/>
                <w:color w:val="auto"/>
                <w:sz w:val="24"/>
                <w:szCs w:val="24"/>
              </w:rPr>
            </w:pPr>
          </w:p>
        </w:tc>
      </w:tr>
    </w:tbl>
    <w:p>
      <w:pPr>
        <w:pStyle w:val="36"/>
        <w:ind w:left="400"/>
        <w:rPr>
          <w:rFonts w:asciiTheme="minorEastAsia" w:hAnsiTheme="minorEastAsia" w:eastAsiaTheme="minorEastAsia"/>
          <w:color w:val="auto"/>
          <w:sz w:val="21"/>
          <w:szCs w:val="21"/>
        </w:rPr>
      </w:pPr>
    </w:p>
    <w:p>
      <w:pPr>
        <w:pStyle w:val="36"/>
        <w:ind w:left="400"/>
        <w:rPr>
          <w:rFonts w:asciiTheme="minorEastAsia" w:hAnsiTheme="minorEastAsia" w:eastAsiaTheme="minorEastAsia"/>
          <w:color w:val="auto"/>
          <w:sz w:val="21"/>
          <w:szCs w:val="21"/>
        </w:rPr>
      </w:pPr>
    </w:p>
    <w:p>
      <w:pPr>
        <w:pStyle w:val="36"/>
        <w:ind w:left="400"/>
        <w:rPr>
          <w:rFonts w:asciiTheme="minorEastAsia" w:hAnsiTheme="minorEastAsia" w:eastAsia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olor w:val="auto"/>
          <w:sz w:val="21"/>
          <w:szCs w:val="21"/>
        </w:rPr>
        <w:t>根据评审表的要求提交相应资料。</w:t>
      </w:r>
    </w:p>
    <w:p>
      <w:pPr>
        <w:pStyle w:val="36"/>
        <w:ind w:left="400" w:firstLine="400"/>
        <w:rPr>
          <w:color w:val="auto"/>
        </w:rPr>
      </w:pPr>
    </w:p>
    <w:p>
      <w:pPr>
        <w:widowControl/>
        <w:adjustRightInd/>
        <w:spacing w:line="240" w:lineRule="auto"/>
        <w:jc w:val="left"/>
        <w:textAlignment w:val="auto"/>
        <w:rPr>
          <w:rFonts w:ascii="宋体" w:hAnsi="宋体" w:cs="宋体"/>
          <w:b/>
          <w:color w:val="auto"/>
          <w:sz w:val="32"/>
          <w:szCs w:val="32"/>
        </w:rPr>
      </w:pPr>
    </w:p>
    <w:p>
      <w:pPr>
        <w:widowControl/>
        <w:adjustRightInd/>
        <w:spacing w:line="240" w:lineRule="auto"/>
        <w:jc w:val="left"/>
        <w:textAlignment w:val="auto"/>
        <w:rPr>
          <w:rFonts w:ascii="宋体" w:hAnsi="宋体" w:cs="宋体"/>
          <w:b/>
          <w:color w:val="auto"/>
          <w:sz w:val="32"/>
          <w:szCs w:val="32"/>
        </w:rPr>
      </w:pPr>
    </w:p>
    <w:p>
      <w:pPr>
        <w:widowControl/>
        <w:adjustRightInd/>
        <w:spacing w:line="240" w:lineRule="auto"/>
        <w:jc w:val="left"/>
        <w:textAlignment w:val="auto"/>
        <w:rPr>
          <w:rFonts w:ascii="宋体" w:hAnsi="宋体" w:cs="宋体"/>
          <w:b/>
          <w:color w:val="auto"/>
          <w:sz w:val="32"/>
          <w:szCs w:val="32"/>
        </w:rPr>
      </w:pPr>
    </w:p>
    <w:p>
      <w:pPr>
        <w:widowControl/>
        <w:adjustRightInd/>
        <w:spacing w:line="240" w:lineRule="auto"/>
        <w:jc w:val="left"/>
        <w:textAlignment w:val="auto"/>
        <w:rPr>
          <w:rFonts w:ascii="宋体" w:hAnsi="宋体" w:cs="宋体"/>
          <w:b/>
          <w:color w:val="auto"/>
          <w:sz w:val="32"/>
          <w:szCs w:val="32"/>
        </w:rPr>
      </w:pPr>
    </w:p>
    <w:p>
      <w:pPr>
        <w:widowControl/>
        <w:adjustRightInd/>
        <w:spacing w:line="240" w:lineRule="auto"/>
        <w:jc w:val="left"/>
        <w:textAlignment w:val="auto"/>
        <w:rPr>
          <w:rFonts w:ascii="宋体" w:hAnsi="宋体" w:cs="宋体"/>
          <w:b/>
          <w:color w:val="auto"/>
          <w:sz w:val="32"/>
          <w:szCs w:val="32"/>
        </w:rPr>
      </w:pPr>
    </w:p>
    <w:p>
      <w:pPr>
        <w:widowControl/>
        <w:adjustRightInd/>
        <w:spacing w:line="240" w:lineRule="auto"/>
        <w:jc w:val="left"/>
        <w:textAlignment w:val="auto"/>
        <w:outlineLvl w:val="2"/>
        <w:rPr>
          <w:rFonts w:ascii="宋体" w:hAnsi="宋体" w:cs="宋体"/>
          <w:b/>
          <w:color w:val="auto"/>
          <w:sz w:val="32"/>
          <w:szCs w:val="32"/>
        </w:rPr>
        <w:sectPr>
          <w:pgSz w:w="11906" w:h="16838"/>
          <w:pgMar w:top="1440" w:right="1133" w:bottom="1440" w:left="993" w:header="851" w:footer="992" w:gutter="0"/>
          <w:cols w:space="720" w:num="1"/>
          <w:docGrid w:linePitch="312" w:charSpace="0"/>
        </w:sectPr>
      </w:pPr>
      <w:r>
        <w:rPr>
          <w:rFonts w:ascii="宋体" w:hAnsi="宋体" w:cs="宋体"/>
          <w:b/>
          <w:color w:val="auto"/>
          <w:sz w:val="32"/>
          <w:szCs w:val="32"/>
        </w:rPr>
        <w:br w:type="page"/>
      </w:r>
    </w:p>
    <w:p>
      <w:pPr>
        <w:outlineLvl w:val="2"/>
        <w:rPr>
          <w:rFonts w:ascii="宋体" w:hAnsi="宋体" w:cs="宋体"/>
          <w:b/>
          <w:color w:val="auto"/>
          <w:kern w:val="2"/>
          <w:sz w:val="36"/>
          <w:szCs w:val="36"/>
        </w:rPr>
      </w:pPr>
      <w:bookmarkStart w:id="524" w:name="_Toc29917"/>
      <w:r>
        <w:rPr>
          <w:rFonts w:ascii="宋体" w:hAnsi="宋体" w:cs="宋体"/>
          <w:b/>
          <w:color w:val="auto"/>
          <w:sz w:val="36"/>
          <w:szCs w:val="36"/>
        </w:rPr>
        <w:t>（</w:t>
      </w:r>
      <w:r>
        <w:rPr>
          <w:rFonts w:hint="eastAsia" w:ascii="宋体" w:hAnsi="宋体" w:cs="宋体"/>
          <w:b/>
          <w:color w:val="auto"/>
          <w:sz w:val="36"/>
          <w:szCs w:val="36"/>
        </w:rPr>
        <w:t>八</w:t>
      </w:r>
      <w:r>
        <w:rPr>
          <w:rFonts w:ascii="宋体" w:hAnsi="宋体" w:cs="宋体"/>
          <w:b/>
          <w:color w:val="auto"/>
          <w:sz w:val="36"/>
          <w:szCs w:val="36"/>
          <w:lang w:eastAsia="zh-Hans"/>
        </w:rPr>
        <w:t>）</w:t>
      </w:r>
      <w:r>
        <w:rPr>
          <w:rFonts w:hint="eastAsia" w:ascii="宋体" w:hAnsi="宋体" w:cs="宋体"/>
          <w:b/>
          <w:color w:val="auto"/>
          <w:sz w:val="36"/>
          <w:szCs w:val="36"/>
        </w:rPr>
        <w:t>拟担任本项目设计人员</w:t>
      </w:r>
      <w:r>
        <w:rPr>
          <w:rFonts w:hint="eastAsia" w:ascii="宋体" w:hAnsi="宋体" w:cs="宋体"/>
          <w:b/>
          <w:color w:val="auto"/>
          <w:sz w:val="36"/>
          <w:szCs w:val="36"/>
          <w:lang w:eastAsia="zh-Hans"/>
        </w:rPr>
        <w:t>情况一览表</w:t>
      </w:r>
      <w:bookmarkEnd w:id="524"/>
    </w:p>
    <w:tbl>
      <w:tblPr>
        <w:tblStyle w:val="37"/>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840"/>
        <w:gridCol w:w="1300"/>
        <w:gridCol w:w="1116"/>
        <w:gridCol w:w="1184"/>
        <w:gridCol w:w="2050"/>
        <w:gridCol w:w="106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363" w:type="dxa"/>
            <w:gridSpan w:val="2"/>
            <w:tcBorders>
              <w:top w:val="single" w:color="auto" w:sz="8" w:space="0"/>
              <w:left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岗位名称</w:t>
            </w:r>
          </w:p>
        </w:tc>
        <w:tc>
          <w:tcPr>
            <w:tcW w:w="1300" w:type="dxa"/>
            <w:tcBorders>
              <w:top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姓名</w:t>
            </w:r>
          </w:p>
        </w:tc>
        <w:tc>
          <w:tcPr>
            <w:tcW w:w="1116" w:type="dxa"/>
            <w:tcBorders>
              <w:top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执业资格/职称</w:t>
            </w:r>
          </w:p>
        </w:tc>
        <w:tc>
          <w:tcPr>
            <w:tcW w:w="1184"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现任</w:t>
            </w:r>
          </w:p>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职务</w:t>
            </w:r>
          </w:p>
        </w:tc>
        <w:tc>
          <w:tcPr>
            <w:tcW w:w="2050"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从事 设计年限、经验和在该项目中担任的职务</w:t>
            </w:r>
          </w:p>
        </w:tc>
        <w:tc>
          <w:tcPr>
            <w:tcW w:w="1066"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是否驻施工现场</w:t>
            </w:r>
          </w:p>
        </w:tc>
        <w:tc>
          <w:tcPr>
            <w:tcW w:w="937" w:type="dxa"/>
            <w:tcBorders>
              <w:top w:val="single" w:color="auto" w:sz="8" w:space="0"/>
              <w:right w:val="single" w:color="auto" w:sz="8" w:space="0"/>
            </w:tcBorders>
            <w:vAlign w:val="center"/>
          </w:tcPr>
          <w:p>
            <w:pPr>
              <w:spacing w:line="500" w:lineRule="exact"/>
              <w:jc w:val="center"/>
              <w:rPr>
                <w:rFonts w:ascii="宋体" w:hAnsi="宋体" w:cs="宋体"/>
                <w:color w:val="auto"/>
                <w:kern w:val="2"/>
                <w:sz w:val="21"/>
                <w:szCs w:val="21"/>
              </w:rPr>
            </w:pPr>
            <w:r>
              <w:rPr>
                <w:rFonts w:hint="eastAsia" w:ascii="宋体" w:hAnsi="宋体" w:cs="宋体"/>
                <w:color w:val="auto"/>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restart"/>
            <w:tcBorders>
              <w:left w:val="single" w:color="auto" w:sz="8" w:space="0"/>
              <w:right w:val="single" w:color="auto" w:sz="4" w:space="0"/>
            </w:tcBorders>
            <w:vAlign w:val="center"/>
          </w:tcPr>
          <w:p>
            <w:pPr>
              <w:spacing w:line="500" w:lineRule="exact"/>
              <w:rPr>
                <w:rFonts w:ascii="宋体" w:hAnsi="宋体" w:cs="宋体"/>
                <w:color w:val="auto"/>
                <w:kern w:val="2"/>
                <w:sz w:val="21"/>
                <w:szCs w:val="21"/>
              </w:rPr>
            </w:pPr>
            <w:r>
              <w:rPr>
                <w:rFonts w:hint="eastAsia" w:ascii="宋体" w:hAnsi="宋体" w:cs="宋体"/>
                <w:color w:val="auto"/>
                <w:kern w:val="2"/>
                <w:sz w:val="21"/>
                <w:szCs w:val="21"/>
              </w:rPr>
              <w:t>项目主要设计人员</w:t>
            </w:r>
          </w:p>
        </w:tc>
        <w:tc>
          <w:tcPr>
            <w:tcW w:w="1840" w:type="dxa"/>
            <w:tcBorders>
              <w:left w:val="single" w:color="auto" w:sz="4" w:space="0"/>
            </w:tcBorders>
            <w:vAlign w:val="center"/>
          </w:tcPr>
          <w:p>
            <w:pPr>
              <w:spacing w:line="500" w:lineRule="exact"/>
              <w:rPr>
                <w:rFonts w:ascii="宋体" w:hAnsi="宋体" w:cs="宋体"/>
                <w:color w:val="auto"/>
                <w:kern w:val="2"/>
                <w:sz w:val="21"/>
                <w:szCs w:val="21"/>
              </w:rPr>
            </w:pPr>
            <w:r>
              <w:rPr>
                <w:rFonts w:hint="eastAsia" w:ascii="宋体" w:hAnsi="宋体" w:cs="宋体"/>
                <w:color w:val="auto"/>
                <w:kern w:val="2"/>
                <w:sz w:val="21"/>
                <w:szCs w:val="21"/>
              </w:rPr>
              <w:t>项目负责人</w:t>
            </w:r>
          </w:p>
        </w:tc>
        <w:tc>
          <w:tcPr>
            <w:tcW w:w="1300" w:type="dxa"/>
            <w:vAlign w:val="center"/>
          </w:tcPr>
          <w:p>
            <w:pPr>
              <w:spacing w:line="500" w:lineRule="exact"/>
              <w:rPr>
                <w:rFonts w:ascii="宋体" w:hAnsi="宋体" w:cs="宋体"/>
                <w:color w:val="auto"/>
                <w:kern w:val="2"/>
                <w:sz w:val="21"/>
                <w:szCs w:val="21"/>
              </w:rPr>
            </w:pPr>
          </w:p>
        </w:tc>
        <w:tc>
          <w:tcPr>
            <w:tcW w:w="1116" w:type="dxa"/>
            <w:vAlign w:val="center"/>
          </w:tcPr>
          <w:p>
            <w:pPr>
              <w:spacing w:line="500" w:lineRule="exact"/>
              <w:rPr>
                <w:rFonts w:ascii="宋体" w:hAnsi="宋体" w:cs="宋体"/>
                <w:color w:val="auto"/>
                <w:kern w:val="2"/>
                <w:sz w:val="21"/>
                <w:szCs w:val="21"/>
              </w:rPr>
            </w:pPr>
          </w:p>
        </w:tc>
        <w:tc>
          <w:tcPr>
            <w:tcW w:w="1184" w:type="dxa"/>
            <w:vAlign w:val="center"/>
          </w:tcPr>
          <w:p>
            <w:pPr>
              <w:spacing w:line="500" w:lineRule="exact"/>
              <w:rPr>
                <w:rFonts w:ascii="宋体" w:hAnsi="宋体" w:cs="宋体"/>
                <w:color w:val="auto"/>
                <w:kern w:val="2"/>
                <w:sz w:val="21"/>
                <w:szCs w:val="21"/>
              </w:rPr>
            </w:pPr>
          </w:p>
        </w:tc>
        <w:tc>
          <w:tcPr>
            <w:tcW w:w="2050" w:type="dxa"/>
            <w:vAlign w:val="center"/>
          </w:tcPr>
          <w:p>
            <w:pPr>
              <w:spacing w:line="500" w:lineRule="exact"/>
              <w:rPr>
                <w:rFonts w:ascii="宋体" w:hAnsi="宋体" w:cs="宋体"/>
                <w:color w:val="auto"/>
                <w:kern w:val="2"/>
                <w:sz w:val="21"/>
                <w:szCs w:val="21"/>
              </w:rPr>
            </w:pPr>
          </w:p>
        </w:tc>
        <w:tc>
          <w:tcPr>
            <w:tcW w:w="1066" w:type="dxa"/>
            <w:vAlign w:val="center"/>
          </w:tcPr>
          <w:p>
            <w:pPr>
              <w:spacing w:line="500" w:lineRule="exact"/>
              <w:rPr>
                <w:rFonts w:ascii="宋体" w:hAnsi="宋体" w:cs="宋体"/>
                <w:color w:val="auto"/>
                <w:kern w:val="2"/>
                <w:sz w:val="21"/>
                <w:szCs w:val="21"/>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rPr>
            </w:pPr>
          </w:p>
        </w:tc>
        <w:tc>
          <w:tcPr>
            <w:tcW w:w="1840" w:type="dxa"/>
            <w:tcBorders>
              <w:left w:val="single" w:color="auto" w:sz="4" w:space="0"/>
            </w:tcBorders>
            <w:vAlign w:val="center"/>
          </w:tcPr>
          <w:p>
            <w:pPr>
              <w:spacing w:line="500" w:lineRule="exact"/>
              <w:rPr>
                <w:rFonts w:ascii="宋体" w:hAnsi="宋体" w:cs="宋体"/>
                <w:color w:val="auto"/>
                <w:kern w:val="2"/>
                <w:sz w:val="21"/>
                <w:szCs w:val="21"/>
              </w:rPr>
            </w:pPr>
            <w:r>
              <w:rPr>
                <w:rFonts w:hint="eastAsia" w:asciiTheme="minorEastAsia" w:hAnsiTheme="minorEastAsia" w:eastAsiaTheme="minorEastAsia" w:cstheme="minorEastAsia"/>
                <w:color w:val="auto"/>
                <w:sz w:val="21"/>
                <w:szCs w:val="21"/>
              </w:rPr>
              <w:t>道路与桥梁类专业负责人</w:t>
            </w:r>
          </w:p>
        </w:tc>
        <w:tc>
          <w:tcPr>
            <w:tcW w:w="1300" w:type="dxa"/>
            <w:vAlign w:val="center"/>
          </w:tcPr>
          <w:p>
            <w:pPr>
              <w:spacing w:line="500" w:lineRule="exact"/>
              <w:rPr>
                <w:rFonts w:ascii="宋体" w:hAnsi="宋体" w:cs="宋体"/>
                <w:color w:val="auto"/>
                <w:kern w:val="2"/>
                <w:sz w:val="21"/>
                <w:szCs w:val="21"/>
              </w:rPr>
            </w:pPr>
          </w:p>
        </w:tc>
        <w:tc>
          <w:tcPr>
            <w:tcW w:w="1116" w:type="dxa"/>
            <w:vAlign w:val="center"/>
          </w:tcPr>
          <w:p>
            <w:pPr>
              <w:spacing w:line="500" w:lineRule="exact"/>
              <w:rPr>
                <w:rFonts w:ascii="宋体" w:hAnsi="宋体" w:cs="宋体"/>
                <w:color w:val="auto"/>
                <w:kern w:val="2"/>
                <w:sz w:val="21"/>
                <w:szCs w:val="21"/>
              </w:rPr>
            </w:pPr>
          </w:p>
        </w:tc>
        <w:tc>
          <w:tcPr>
            <w:tcW w:w="1184" w:type="dxa"/>
            <w:vAlign w:val="center"/>
          </w:tcPr>
          <w:p>
            <w:pPr>
              <w:spacing w:line="500" w:lineRule="exact"/>
              <w:rPr>
                <w:rFonts w:ascii="宋体" w:hAnsi="宋体" w:cs="宋体"/>
                <w:color w:val="auto"/>
                <w:kern w:val="2"/>
                <w:sz w:val="21"/>
                <w:szCs w:val="21"/>
              </w:rPr>
            </w:pPr>
          </w:p>
        </w:tc>
        <w:tc>
          <w:tcPr>
            <w:tcW w:w="2050" w:type="dxa"/>
            <w:vAlign w:val="center"/>
          </w:tcPr>
          <w:p>
            <w:pPr>
              <w:spacing w:line="500" w:lineRule="exact"/>
              <w:rPr>
                <w:rFonts w:ascii="宋体" w:hAnsi="宋体" w:cs="宋体"/>
                <w:color w:val="auto"/>
                <w:kern w:val="2"/>
                <w:sz w:val="21"/>
                <w:szCs w:val="21"/>
              </w:rPr>
            </w:pPr>
          </w:p>
        </w:tc>
        <w:tc>
          <w:tcPr>
            <w:tcW w:w="1066" w:type="dxa"/>
            <w:vAlign w:val="center"/>
          </w:tcPr>
          <w:p>
            <w:pPr>
              <w:spacing w:line="500" w:lineRule="exact"/>
              <w:rPr>
                <w:rFonts w:ascii="宋体" w:hAnsi="宋体" w:cs="宋体"/>
                <w:color w:val="auto"/>
                <w:kern w:val="2"/>
                <w:sz w:val="21"/>
                <w:szCs w:val="21"/>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rPr>
            </w:pPr>
          </w:p>
        </w:tc>
        <w:tc>
          <w:tcPr>
            <w:tcW w:w="1840" w:type="dxa"/>
            <w:tcBorders>
              <w:left w:val="single" w:color="auto" w:sz="4" w:space="0"/>
            </w:tcBorders>
            <w:vAlign w:val="center"/>
          </w:tcPr>
          <w:p>
            <w:pPr>
              <w:spacing w:line="500" w:lineRule="exact"/>
              <w:rPr>
                <w:rFonts w:ascii="宋体" w:hAnsi="宋体" w:cs="宋体"/>
                <w:color w:val="auto"/>
                <w:kern w:val="2"/>
                <w:sz w:val="21"/>
                <w:szCs w:val="21"/>
              </w:rPr>
            </w:pPr>
            <w:r>
              <w:rPr>
                <w:rFonts w:hint="eastAsia" w:asciiTheme="minorEastAsia" w:hAnsiTheme="minorEastAsia" w:eastAsiaTheme="minorEastAsia" w:cstheme="minorEastAsia"/>
                <w:color w:val="auto"/>
                <w:sz w:val="21"/>
                <w:szCs w:val="21"/>
              </w:rPr>
              <w:t>给排水专业负责人</w:t>
            </w:r>
          </w:p>
        </w:tc>
        <w:tc>
          <w:tcPr>
            <w:tcW w:w="1300" w:type="dxa"/>
            <w:vAlign w:val="center"/>
          </w:tcPr>
          <w:p>
            <w:pPr>
              <w:spacing w:line="500" w:lineRule="exact"/>
              <w:rPr>
                <w:rFonts w:ascii="宋体" w:hAnsi="宋体" w:cs="宋体"/>
                <w:color w:val="auto"/>
                <w:kern w:val="2"/>
                <w:sz w:val="21"/>
                <w:szCs w:val="21"/>
              </w:rPr>
            </w:pPr>
          </w:p>
        </w:tc>
        <w:tc>
          <w:tcPr>
            <w:tcW w:w="1116" w:type="dxa"/>
            <w:vAlign w:val="center"/>
          </w:tcPr>
          <w:p>
            <w:pPr>
              <w:spacing w:line="500" w:lineRule="exact"/>
              <w:rPr>
                <w:rFonts w:ascii="宋体" w:hAnsi="宋体" w:cs="宋体"/>
                <w:color w:val="auto"/>
                <w:kern w:val="2"/>
                <w:sz w:val="21"/>
                <w:szCs w:val="21"/>
              </w:rPr>
            </w:pPr>
          </w:p>
        </w:tc>
        <w:tc>
          <w:tcPr>
            <w:tcW w:w="1184" w:type="dxa"/>
            <w:vAlign w:val="center"/>
          </w:tcPr>
          <w:p>
            <w:pPr>
              <w:spacing w:line="500" w:lineRule="exact"/>
              <w:rPr>
                <w:rFonts w:ascii="宋体" w:hAnsi="宋体" w:cs="宋体"/>
                <w:color w:val="auto"/>
                <w:kern w:val="2"/>
                <w:sz w:val="21"/>
                <w:szCs w:val="21"/>
              </w:rPr>
            </w:pPr>
          </w:p>
        </w:tc>
        <w:tc>
          <w:tcPr>
            <w:tcW w:w="2050" w:type="dxa"/>
            <w:vAlign w:val="center"/>
          </w:tcPr>
          <w:p>
            <w:pPr>
              <w:spacing w:line="500" w:lineRule="exact"/>
              <w:rPr>
                <w:rFonts w:ascii="宋体" w:hAnsi="宋体" w:cs="宋体"/>
                <w:color w:val="auto"/>
                <w:kern w:val="2"/>
                <w:sz w:val="21"/>
                <w:szCs w:val="21"/>
              </w:rPr>
            </w:pPr>
          </w:p>
        </w:tc>
        <w:tc>
          <w:tcPr>
            <w:tcW w:w="1066" w:type="dxa"/>
            <w:vAlign w:val="center"/>
          </w:tcPr>
          <w:p>
            <w:pPr>
              <w:spacing w:line="500" w:lineRule="exact"/>
              <w:rPr>
                <w:rFonts w:ascii="宋体" w:hAnsi="宋体" w:cs="宋体"/>
                <w:color w:val="auto"/>
                <w:kern w:val="2"/>
                <w:sz w:val="21"/>
                <w:szCs w:val="21"/>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rPr>
            </w:pPr>
          </w:p>
        </w:tc>
        <w:tc>
          <w:tcPr>
            <w:tcW w:w="1840" w:type="dxa"/>
            <w:tcBorders>
              <w:left w:val="single" w:color="auto" w:sz="4" w:space="0"/>
            </w:tcBorders>
            <w:vAlign w:val="center"/>
          </w:tcPr>
          <w:p>
            <w:pPr>
              <w:spacing w:line="500" w:lineRule="exact"/>
              <w:rPr>
                <w:rFonts w:ascii="宋体" w:hAnsi="宋体" w:cs="宋体"/>
                <w:color w:val="auto"/>
                <w:kern w:val="2"/>
                <w:sz w:val="21"/>
                <w:szCs w:val="21"/>
              </w:rPr>
            </w:pPr>
            <w:r>
              <w:rPr>
                <w:rFonts w:hint="eastAsia" w:asciiTheme="minorEastAsia" w:hAnsiTheme="minorEastAsia" w:eastAsiaTheme="minorEastAsia" w:cstheme="minorEastAsia"/>
                <w:color w:val="auto"/>
                <w:sz w:val="21"/>
                <w:szCs w:val="21"/>
              </w:rPr>
              <w:t>电气专业负责人</w:t>
            </w:r>
          </w:p>
        </w:tc>
        <w:tc>
          <w:tcPr>
            <w:tcW w:w="1300" w:type="dxa"/>
            <w:vAlign w:val="center"/>
          </w:tcPr>
          <w:p>
            <w:pPr>
              <w:spacing w:line="500" w:lineRule="exact"/>
              <w:rPr>
                <w:rFonts w:ascii="宋体" w:hAnsi="宋体" w:cs="宋体"/>
                <w:color w:val="auto"/>
                <w:kern w:val="2"/>
                <w:sz w:val="21"/>
                <w:szCs w:val="21"/>
              </w:rPr>
            </w:pPr>
          </w:p>
        </w:tc>
        <w:tc>
          <w:tcPr>
            <w:tcW w:w="1116" w:type="dxa"/>
            <w:vAlign w:val="center"/>
          </w:tcPr>
          <w:p>
            <w:pPr>
              <w:spacing w:line="500" w:lineRule="exact"/>
              <w:rPr>
                <w:rFonts w:ascii="宋体" w:hAnsi="宋体" w:cs="宋体"/>
                <w:color w:val="auto"/>
                <w:kern w:val="2"/>
                <w:sz w:val="21"/>
                <w:szCs w:val="21"/>
              </w:rPr>
            </w:pPr>
          </w:p>
        </w:tc>
        <w:tc>
          <w:tcPr>
            <w:tcW w:w="1184" w:type="dxa"/>
            <w:vAlign w:val="center"/>
          </w:tcPr>
          <w:p>
            <w:pPr>
              <w:spacing w:line="500" w:lineRule="exact"/>
              <w:rPr>
                <w:rFonts w:ascii="宋体" w:hAnsi="宋体" w:cs="宋体"/>
                <w:color w:val="auto"/>
                <w:kern w:val="2"/>
                <w:sz w:val="21"/>
                <w:szCs w:val="21"/>
              </w:rPr>
            </w:pPr>
          </w:p>
        </w:tc>
        <w:tc>
          <w:tcPr>
            <w:tcW w:w="2050" w:type="dxa"/>
            <w:vAlign w:val="center"/>
          </w:tcPr>
          <w:p>
            <w:pPr>
              <w:spacing w:line="500" w:lineRule="exact"/>
              <w:rPr>
                <w:rFonts w:ascii="宋体" w:hAnsi="宋体" w:cs="宋体"/>
                <w:color w:val="auto"/>
                <w:kern w:val="2"/>
                <w:sz w:val="21"/>
                <w:szCs w:val="21"/>
              </w:rPr>
            </w:pPr>
          </w:p>
        </w:tc>
        <w:tc>
          <w:tcPr>
            <w:tcW w:w="1066" w:type="dxa"/>
            <w:vAlign w:val="center"/>
          </w:tcPr>
          <w:p>
            <w:pPr>
              <w:spacing w:line="500" w:lineRule="exact"/>
              <w:rPr>
                <w:rFonts w:ascii="宋体" w:hAnsi="宋体" w:cs="宋体"/>
                <w:color w:val="auto"/>
                <w:kern w:val="2"/>
                <w:sz w:val="21"/>
                <w:szCs w:val="21"/>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1"/>
                <w:szCs w:val="21"/>
              </w:rPr>
            </w:pPr>
          </w:p>
        </w:tc>
        <w:tc>
          <w:tcPr>
            <w:tcW w:w="1840" w:type="dxa"/>
            <w:tcBorders>
              <w:left w:val="single" w:color="auto" w:sz="4" w:space="0"/>
            </w:tcBorders>
            <w:tcMar>
              <w:left w:w="28" w:type="dxa"/>
              <w:right w:w="28" w:type="dxa"/>
            </w:tcMar>
            <w:vAlign w:val="center"/>
          </w:tcPr>
          <w:p>
            <w:pPr>
              <w:spacing w:line="500" w:lineRule="exact"/>
              <w:ind w:firstLine="105" w:firstLineChars="50"/>
              <w:rPr>
                <w:rFonts w:ascii="宋体" w:hAnsi="宋体" w:cs="宋体"/>
                <w:color w:val="auto"/>
                <w:kern w:val="2"/>
                <w:sz w:val="21"/>
                <w:szCs w:val="21"/>
                <w:lang w:eastAsia="zh-Hans"/>
              </w:rPr>
            </w:pPr>
            <w:r>
              <w:rPr>
                <w:rFonts w:hint="eastAsia" w:asciiTheme="minorEastAsia" w:hAnsiTheme="minorEastAsia" w:eastAsiaTheme="minorEastAsia" w:cstheme="minorEastAsia"/>
                <w:color w:val="auto"/>
                <w:sz w:val="21"/>
                <w:szCs w:val="21"/>
              </w:rPr>
              <w:t>造价专业负责人</w:t>
            </w:r>
          </w:p>
        </w:tc>
        <w:tc>
          <w:tcPr>
            <w:tcW w:w="1300" w:type="dxa"/>
            <w:vAlign w:val="center"/>
          </w:tcPr>
          <w:p>
            <w:pPr>
              <w:spacing w:line="500" w:lineRule="exact"/>
              <w:rPr>
                <w:rFonts w:ascii="宋体" w:hAnsi="宋体" w:cs="宋体"/>
                <w:color w:val="auto"/>
                <w:kern w:val="2"/>
                <w:sz w:val="21"/>
                <w:szCs w:val="21"/>
              </w:rPr>
            </w:pPr>
          </w:p>
        </w:tc>
        <w:tc>
          <w:tcPr>
            <w:tcW w:w="1116" w:type="dxa"/>
            <w:vAlign w:val="center"/>
          </w:tcPr>
          <w:p>
            <w:pPr>
              <w:spacing w:line="500" w:lineRule="exact"/>
              <w:rPr>
                <w:rFonts w:ascii="宋体" w:hAnsi="宋体" w:cs="宋体"/>
                <w:color w:val="auto"/>
                <w:kern w:val="2"/>
                <w:sz w:val="21"/>
                <w:szCs w:val="21"/>
              </w:rPr>
            </w:pPr>
          </w:p>
        </w:tc>
        <w:tc>
          <w:tcPr>
            <w:tcW w:w="1184" w:type="dxa"/>
            <w:vAlign w:val="center"/>
          </w:tcPr>
          <w:p>
            <w:pPr>
              <w:spacing w:line="500" w:lineRule="exact"/>
              <w:rPr>
                <w:rFonts w:ascii="宋体" w:hAnsi="宋体" w:cs="宋体"/>
                <w:color w:val="auto"/>
                <w:kern w:val="2"/>
                <w:sz w:val="21"/>
                <w:szCs w:val="21"/>
              </w:rPr>
            </w:pPr>
          </w:p>
        </w:tc>
        <w:tc>
          <w:tcPr>
            <w:tcW w:w="2050" w:type="dxa"/>
            <w:vAlign w:val="center"/>
          </w:tcPr>
          <w:p>
            <w:pPr>
              <w:spacing w:line="500" w:lineRule="exact"/>
              <w:rPr>
                <w:rFonts w:ascii="宋体" w:hAnsi="宋体" w:cs="宋体"/>
                <w:color w:val="auto"/>
                <w:kern w:val="2"/>
                <w:sz w:val="21"/>
                <w:szCs w:val="21"/>
              </w:rPr>
            </w:pPr>
          </w:p>
        </w:tc>
        <w:tc>
          <w:tcPr>
            <w:tcW w:w="1066" w:type="dxa"/>
            <w:vAlign w:val="center"/>
          </w:tcPr>
          <w:p>
            <w:pPr>
              <w:spacing w:line="500" w:lineRule="exact"/>
              <w:rPr>
                <w:rFonts w:ascii="宋体" w:hAnsi="宋体" w:cs="宋体"/>
                <w:color w:val="auto"/>
                <w:kern w:val="2"/>
                <w:sz w:val="21"/>
                <w:szCs w:val="21"/>
              </w:rPr>
            </w:pPr>
          </w:p>
        </w:tc>
        <w:tc>
          <w:tcPr>
            <w:tcW w:w="937" w:type="dxa"/>
            <w:tcBorders>
              <w:right w:val="single" w:color="auto" w:sz="8" w:space="0"/>
            </w:tcBorders>
            <w:vAlign w:val="center"/>
          </w:tcPr>
          <w:p>
            <w:pPr>
              <w:spacing w:line="500" w:lineRule="exact"/>
              <w:rPr>
                <w:rFonts w:ascii="宋体" w:hAnsi="宋体" w:cs="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23" w:type="dxa"/>
            <w:vMerge w:val="continue"/>
            <w:tcBorders>
              <w:left w:val="single" w:color="auto" w:sz="8" w:space="0"/>
              <w:right w:val="single" w:color="auto" w:sz="4" w:space="0"/>
            </w:tcBorders>
            <w:vAlign w:val="center"/>
          </w:tcPr>
          <w:p>
            <w:pPr>
              <w:spacing w:line="500" w:lineRule="exact"/>
              <w:rPr>
                <w:rFonts w:ascii="宋体" w:hAnsi="宋体" w:cs="宋体"/>
                <w:color w:val="auto"/>
                <w:kern w:val="2"/>
                <w:sz w:val="24"/>
                <w:szCs w:val="24"/>
              </w:rPr>
            </w:pPr>
          </w:p>
        </w:tc>
        <w:tc>
          <w:tcPr>
            <w:tcW w:w="1840" w:type="dxa"/>
            <w:tcBorders>
              <w:left w:val="single" w:color="auto" w:sz="4" w:space="0"/>
            </w:tcBorders>
            <w:vAlign w:val="center"/>
          </w:tcPr>
          <w:p>
            <w:pPr>
              <w:spacing w:line="500" w:lineRule="exact"/>
              <w:rPr>
                <w:rFonts w:ascii="宋体" w:hAnsi="宋体" w:cs="宋体"/>
                <w:color w:val="auto"/>
                <w:kern w:val="2"/>
                <w:sz w:val="24"/>
                <w:szCs w:val="24"/>
              </w:rPr>
            </w:pPr>
            <w:r>
              <w:rPr>
                <w:rFonts w:hint="eastAsia" w:ascii="宋体" w:hAnsi="宋体" w:cs="宋体"/>
                <w:color w:val="auto"/>
                <w:kern w:val="2"/>
                <w:sz w:val="24"/>
                <w:szCs w:val="24"/>
              </w:rPr>
              <w:t>……</w:t>
            </w:r>
          </w:p>
        </w:tc>
        <w:tc>
          <w:tcPr>
            <w:tcW w:w="1300" w:type="dxa"/>
            <w:vAlign w:val="center"/>
          </w:tcPr>
          <w:p>
            <w:pPr>
              <w:spacing w:line="500" w:lineRule="exact"/>
              <w:rPr>
                <w:rFonts w:ascii="宋体" w:hAnsi="宋体" w:cs="宋体"/>
                <w:color w:val="auto"/>
                <w:kern w:val="2"/>
                <w:sz w:val="24"/>
                <w:szCs w:val="24"/>
              </w:rPr>
            </w:pPr>
          </w:p>
        </w:tc>
        <w:tc>
          <w:tcPr>
            <w:tcW w:w="1116" w:type="dxa"/>
            <w:vAlign w:val="center"/>
          </w:tcPr>
          <w:p>
            <w:pPr>
              <w:spacing w:line="500" w:lineRule="exact"/>
              <w:rPr>
                <w:rFonts w:ascii="宋体" w:hAnsi="宋体" w:cs="宋体"/>
                <w:color w:val="auto"/>
                <w:kern w:val="2"/>
                <w:sz w:val="24"/>
                <w:szCs w:val="24"/>
              </w:rPr>
            </w:pPr>
          </w:p>
        </w:tc>
        <w:tc>
          <w:tcPr>
            <w:tcW w:w="1184" w:type="dxa"/>
            <w:vAlign w:val="center"/>
          </w:tcPr>
          <w:p>
            <w:pPr>
              <w:spacing w:line="500" w:lineRule="exact"/>
              <w:rPr>
                <w:rFonts w:ascii="宋体" w:hAnsi="宋体" w:cs="宋体"/>
                <w:color w:val="auto"/>
                <w:kern w:val="2"/>
                <w:sz w:val="24"/>
                <w:szCs w:val="24"/>
              </w:rPr>
            </w:pPr>
          </w:p>
        </w:tc>
        <w:tc>
          <w:tcPr>
            <w:tcW w:w="2050" w:type="dxa"/>
            <w:vAlign w:val="center"/>
          </w:tcPr>
          <w:p>
            <w:pPr>
              <w:spacing w:line="500" w:lineRule="exact"/>
              <w:rPr>
                <w:rFonts w:ascii="宋体" w:hAnsi="宋体" w:cs="宋体"/>
                <w:color w:val="auto"/>
                <w:kern w:val="2"/>
                <w:sz w:val="24"/>
                <w:szCs w:val="24"/>
              </w:rPr>
            </w:pPr>
          </w:p>
        </w:tc>
        <w:tc>
          <w:tcPr>
            <w:tcW w:w="1066" w:type="dxa"/>
            <w:vAlign w:val="center"/>
          </w:tcPr>
          <w:p>
            <w:pPr>
              <w:spacing w:line="500" w:lineRule="exact"/>
              <w:rPr>
                <w:rFonts w:ascii="宋体" w:hAnsi="宋体" w:cs="宋体"/>
                <w:color w:val="auto"/>
                <w:kern w:val="2"/>
                <w:sz w:val="24"/>
                <w:szCs w:val="24"/>
              </w:rPr>
            </w:pPr>
          </w:p>
        </w:tc>
        <w:tc>
          <w:tcPr>
            <w:tcW w:w="937" w:type="dxa"/>
            <w:tcBorders>
              <w:right w:val="single" w:color="auto" w:sz="8" w:space="0"/>
            </w:tcBorders>
            <w:vAlign w:val="center"/>
          </w:tcPr>
          <w:p>
            <w:pPr>
              <w:spacing w:line="500" w:lineRule="exact"/>
              <w:rPr>
                <w:rFonts w:ascii="宋体" w:hAnsi="宋体" w:cs="宋体"/>
                <w:color w:val="auto"/>
                <w:kern w:val="2"/>
                <w:sz w:val="24"/>
                <w:szCs w:val="24"/>
              </w:rPr>
            </w:pPr>
          </w:p>
        </w:tc>
      </w:tr>
    </w:tbl>
    <w:p>
      <w:pPr>
        <w:autoSpaceDE w:val="0"/>
        <w:autoSpaceDN w:val="0"/>
        <w:snapToGrid w:val="0"/>
        <w:spacing w:line="360" w:lineRule="auto"/>
        <w:rPr>
          <w:rFonts w:ascii="宋体" w:hAnsi="宋体" w:cs="宋体"/>
          <w:color w:val="auto"/>
          <w:sz w:val="24"/>
        </w:rPr>
      </w:pPr>
      <w:r>
        <w:rPr>
          <w:rFonts w:hint="eastAsia" w:asciiTheme="minorEastAsia" w:hAnsiTheme="minorEastAsia" w:eastAsiaTheme="minorEastAsia"/>
          <w:color w:val="auto"/>
          <w:sz w:val="21"/>
          <w:szCs w:val="21"/>
        </w:rPr>
        <w:t>备注：根据评审表的要求提交相应资料</w:t>
      </w:r>
    </w:p>
    <w:p>
      <w:pPr>
        <w:spacing w:line="500" w:lineRule="exact"/>
        <w:rPr>
          <w:color w:val="auto"/>
          <w:sz w:val="24"/>
          <w:szCs w:val="24"/>
        </w:rPr>
      </w:pPr>
      <w:r>
        <w:rPr>
          <w:rFonts w:hint="eastAsia"/>
          <w:color w:val="auto"/>
          <w:sz w:val="24"/>
          <w:szCs w:val="24"/>
        </w:rPr>
        <w:t>投标人：</w:t>
      </w:r>
      <w:r>
        <w:rPr>
          <w:rFonts w:hint="eastAsia"/>
          <w:color w:val="auto"/>
          <w:sz w:val="24"/>
          <w:szCs w:val="24"/>
          <w:u w:val="single"/>
        </w:rPr>
        <w:t xml:space="preserve">                                      </w:t>
      </w:r>
      <w:r>
        <w:rPr>
          <w:rFonts w:hint="eastAsia"/>
          <w:color w:val="auto"/>
          <w:sz w:val="24"/>
          <w:szCs w:val="24"/>
        </w:rPr>
        <w:t xml:space="preserve">（盖单位公章） </w:t>
      </w:r>
    </w:p>
    <w:p>
      <w:pPr>
        <w:spacing w:line="500" w:lineRule="exac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 xml:space="preserve"> （签字）</w:t>
      </w:r>
    </w:p>
    <w:p>
      <w:pPr>
        <w:spacing w:line="500" w:lineRule="exact"/>
        <w:rPr>
          <w:color w:val="auto"/>
          <w:sz w:val="24"/>
          <w:szCs w:val="24"/>
          <w:u w:val="single"/>
        </w:rPr>
      </w:pPr>
      <w:r>
        <w:rPr>
          <w:rFonts w:hint="eastAsia" w:ascii="宋体" w:hAnsi="宋体" w:cs="宋体"/>
          <w:color w:val="auto"/>
          <w:sz w:val="24"/>
          <w:szCs w:val="24"/>
        </w:rPr>
        <w:t>日期：     年   月   日</w:t>
      </w:r>
    </w:p>
    <w:p>
      <w:pPr>
        <w:autoSpaceDE w:val="0"/>
        <w:autoSpaceDN w:val="0"/>
        <w:snapToGrid w:val="0"/>
        <w:spacing w:line="300" w:lineRule="auto"/>
        <w:ind w:firstLine="420"/>
        <w:rPr>
          <w:rFonts w:ascii="宋体" w:hAnsi="宋体" w:cs="宋体"/>
          <w:b/>
          <w:color w:val="auto"/>
          <w:sz w:val="21"/>
          <w:szCs w:val="21"/>
        </w:rPr>
      </w:pPr>
    </w:p>
    <w:p>
      <w:pPr>
        <w:autoSpaceDE w:val="0"/>
        <w:autoSpaceDN w:val="0"/>
        <w:snapToGrid w:val="0"/>
        <w:spacing w:line="360" w:lineRule="auto"/>
        <w:ind w:firstLine="632" w:firstLineChars="300"/>
        <w:rPr>
          <w:rFonts w:ascii="宋体" w:hAnsi="宋体" w:cs="宋体"/>
          <w:b/>
          <w:color w:val="auto"/>
          <w:sz w:val="21"/>
          <w:szCs w:val="21"/>
        </w:rPr>
      </w:pPr>
      <w:r>
        <w:rPr>
          <w:rFonts w:hint="eastAsia" w:ascii="宋体" w:hAnsi="宋体" w:cs="宋体"/>
          <w:b/>
          <w:color w:val="auto"/>
          <w:sz w:val="21"/>
          <w:szCs w:val="21"/>
        </w:rPr>
        <w:t>注：投标人拟担任的项目负责人和其他主要设计人员必须是本单位正式在岗职工。“其他主要设计人员”是指各专业设计负责人，如建筑、结构、道路与桥梁类、电气、给水排水、造价、暖通空调等专业负责人。按拟投入本项目设计人员实际情况填写。</w:t>
      </w:r>
    </w:p>
    <w:p>
      <w:pPr>
        <w:autoSpaceDE w:val="0"/>
        <w:autoSpaceDN w:val="0"/>
        <w:snapToGrid w:val="0"/>
        <w:spacing w:line="300" w:lineRule="auto"/>
        <w:rPr>
          <w:rFonts w:ascii="宋体" w:hAnsi="宋体" w:cs="宋体"/>
          <w:color w:val="auto"/>
          <w:sz w:val="24"/>
          <w:szCs w:val="24"/>
        </w:rPr>
      </w:pPr>
    </w:p>
    <w:p>
      <w:pPr>
        <w:numPr>
          <w:ilvl w:val="0"/>
          <w:numId w:val="21"/>
        </w:numPr>
        <w:jc w:val="center"/>
        <w:rPr>
          <w:rFonts w:hAnsi="宋体" w:cs="宋体"/>
          <w:color w:val="auto"/>
          <w:sz w:val="24"/>
        </w:rPr>
      </w:pPr>
      <w:r>
        <w:rPr>
          <w:rFonts w:hint="eastAsia" w:ascii="宋体" w:hAnsi="宋体" w:cs="宋体"/>
          <w:b/>
          <w:color w:val="auto"/>
          <w:sz w:val="32"/>
          <w:szCs w:val="32"/>
        </w:rPr>
        <w:br w:type="page"/>
      </w:r>
    </w:p>
    <w:p>
      <w:pPr>
        <w:spacing w:line="360" w:lineRule="auto"/>
        <w:jc w:val="left"/>
        <w:outlineLvl w:val="2"/>
        <w:rPr>
          <w:rFonts w:ascii="宋体" w:hAnsi="宋体" w:cs="宋体"/>
          <w:b/>
          <w:color w:val="auto"/>
          <w:sz w:val="34"/>
          <w:szCs w:val="36"/>
        </w:rPr>
      </w:pPr>
      <w:bookmarkStart w:id="525" w:name="_Toc22995"/>
      <w:r>
        <w:rPr>
          <w:rFonts w:hint="eastAsia" w:ascii="宋体" w:hAnsi="宋体" w:cs="宋体"/>
          <w:b/>
          <w:color w:val="auto"/>
          <w:sz w:val="36"/>
          <w:szCs w:val="36"/>
        </w:rPr>
        <w:t>（九）</w:t>
      </w:r>
      <w:r>
        <w:rPr>
          <w:rFonts w:hint="eastAsia" w:ascii="宋体" w:hAnsi="宋体" w:cs="宋体"/>
          <w:b/>
          <w:color w:val="auto"/>
          <w:sz w:val="34"/>
          <w:szCs w:val="36"/>
        </w:rPr>
        <w:t>项目负责人和其他主要专业设计人员到位承诺书</w:t>
      </w:r>
      <w:bookmarkEnd w:id="525"/>
    </w:p>
    <w:p>
      <w:pPr>
        <w:tabs>
          <w:tab w:val="left" w:pos="0"/>
          <w:tab w:val="left" w:pos="567"/>
          <w:tab w:val="left" w:pos="993"/>
          <w:tab w:val="left" w:pos="1134"/>
        </w:tabs>
        <w:snapToGrid w:val="0"/>
        <w:spacing w:before="240" w:after="120" w:line="360" w:lineRule="auto"/>
        <w:ind w:right="640"/>
        <w:jc w:val="center"/>
        <w:rPr>
          <w:rFonts w:ascii="宋体" w:hAnsi="宋体" w:cs="宋体"/>
          <w:b/>
          <w:color w:val="auto"/>
          <w:sz w:val="32"/>
          <w:szCs w:val="32"/>
        </w:rPr>
        <w:sectPr>
          <w:pgSz w:w="11906" w:h="16838"/>
          <w:pgMar w:top="1440" w:right="1133" w:bottom="1440" w:left="993" w:header="851" w:footer="992" w:gutter="0"/>
          <w:cols w:space="720" w:num="1"/>
          <w:docGrid w:linePitch="312" w:charSpace="0"/>
        </w:sectPr>
      </w:pPr>
      <w:r>
        <w:rPr>
          <w:rFonts w:hint="eastAsia" w:ascii="宋体" w:hAnsi="宋体" w:cs="宋体"/>
          <w:b/>
          <w:color w:val="auto"/>
          <w:sz w:val="32"/>
          <w:szCs w:val="32"/>
        </w:rPr>
        <w:t>（格式自拟）</w:t>
      </w:r>
    </w:p>
    <w:p>
      <w:pPr>
        <w:pStyle w:val="36"/>
        <w:ind w:left="400" w:firstLine="400"/>
        <w:rPr>
          <w:color w:val="auto"/>
        </w:rPr>
      </w:pPr>
    </w:p>
    <w:p>
      <w:pPr>
        <w:spacing w:line="360" w:lineRule="auto"/>
        <w:jc w:val="left"/>
        <w:outlineLvl w:val="2"/>
        <w:rPr>
          <w:rFonts w:ascii="宋体" w:hAnsi="宋体" w:cs="宋体"/>
          <w:b/>
          <w:color w:val="auto"/>
          <w:sz w:val="36"/>
          <w:szCs w:val="36"/>
        </w:rPr>
      </w:pPr>
      <w:bookmarkStart w:id="526" w:name="_Toc16772"/>
      <w:r>
        <w:rPr>
          <w:rFonts w:hint="eastAsia" w:ascii="宋体" w:hAnsi="宋体" w:cs="宋体"/>
          <w:b/>
          <w:color w:val="auto"/>
          <w:sz w:val="36"/>
          <w:szCs w:val="36"/>
        </w:rPr>
        <w:t>（十）服务保证</w:t>
      </w:r>
      <w:bookmarkEnd w:id="526"/>
    </w:p>
    <w:p>
      <w:pPr>
        <w:tabs>
          <w:tab w:val="left" w:pos="0"/>
          <w:tab w:val="left" w:pos="567"/>
          <w:tab w:val="left" w:pos="993"/>
          <w:tab w:val="left" w:pos="1134"/>
        </w:tabs>
        <w:snapToGrid w:val="0"/>
        <w:spacing w:line="360" w:lineRule="auto"/>
        <w:ind w:firstLine="472" w:firstLineChars="196"/>
        <w:jc w:val="left"/>
        <w:rPr>
          <w:rFonts w:ascii="宋体" w:hAnsi="宋体" w:cs="宋体"/>
          <w:b/>
          <w:color w:val="auto"/>
          <w:sz w:val="24"/>
          <w:szCs w:val="24"/>
        </w:rPr>
        <w:sectPr>
          <w:pgSz w:w="11906" w:h="16838"/>
          <w:pgMar w:top="1440" w:right="1133" w:bottom="1440" w:left="993" w:header="851" w:footer="992" w:gutter="0"/>
          <w:cols w:space="720" w:num="1"/>
          <w:docGrid w:linePitch="312" w:charSpace="0"/>
        </w:sectPr>
      </w:pPr>
      <w:r>
        <w:rPr>
          <w:rFonts w:hint="eastAsia" w:ascii="宋体" w:hAnsi="宋体" w:cs="宋体"/>
          <w:b/>
          <w:color w:val="auto"/>
          <w:sz w:val="24"/>
          <w:szCs w:val="24"/>
        </w:rPr>
        <w:t>须附上“保证勘察、设计质量、勘察、设计进度计划”、“勘察、设计人在工程施工过程中配合工程实施所派出现场服务勘察、设计工程师的人员（职称、专业、数量）、服务内容、响应时间等”实施方案。</w:t>
      </w:r>
    </w:p>
    <w:p>
      <w:pPr>
        <w:pStyle w:val="36"/>
        <w:ind w:left="400" w:firstLine="400"/>
        <w:rPr>
          <w:color w:val="auto"/>
        </w:rPr>
      </w:pPr>
    </w:p>
    <w:p>
      <w:pPr>
        <w:spacing w:line="360" w:lineRule="auto"/>
        <w:jc w:val="left"/>
        <w:outlineLvl w:val="2"/>
        <w:rPr>
          <w:rFonts w:ascii="宋体" w:hAnsi="宋体" w:cs="宋体"/>
          <w:b/>
          <w:color w:val="auto"/>
          <w:sz w:val="36"/>
          <w:szCs w:val="36"/>
        </w:rPr>
      </w:pPr>
      <w:bookmarkStart w:id="527" w:name="_Toc3113"/>
      <w:r>
        <w:rPr>
          <w:rFonts w:hint="eastAsia" w:ascii="宋体" w:hAnsi="宋体" w:cs="宋体"/>
          <w:b/>
          <w:color w:val="auto"/>
          <w:sz w:val="36"/>
          <w:szCs w:val="36"/>
        </w:rPr>
        <w:t>（十一）承诺书</w:t>
      </w:r>
      <w:bookmarkEnd w:id="527"/>
    </w:p>
    <w:p>
      <w:pPr>
        <w:tabs>
          <w:tab w:val="left" w:pos="0"/>
          <w:tab w:val="left" w:pos="567"/>
          <w:tab w:val="left" w:pos="993"/>
          <w:tab w:val="left" w:pos="1134"/>
        </w:tabs>
        <w:snapToGrid w:val="0"/>
        <w:spacing w:line="360" w:lineRule="auto"/>
        <w:ind w:firstLine="472" w:firstLineChars="196"/>
        <w:jc w:val="left"/>
        <w:rPr>
          <w:rFonts w:ascii="宋体" w:hAnsi="宋体" w:cs="宋体"/>
          <w:color w:val="auto"/>
          <w:sz w:val="24"/>
        </w:rPr>
        <w:sectPr>
          <w:pgSz w:w="11906" w:h="16838"/>
          <w:pgMar w:top="1440" w:right="1133" w:bottom="1440" w:left="993" w:header="851" w:footer="992" w:gutter="0"/>
          <w:cols w:space="720" w:num="1"/>
          <w:docGrid w:linePitch="312" w:charSpace="0"/>
        </w:sectPr>
      </w:pPr>
      <w:r>
        <w:rPr>
          <w:rFonts w:hint="eastAsia" w:ascii="宋体" w:hAnsi="宋体" w:cs="宋体"/>
          <w:b/>
          <w:color w:val="auto"/>
          <w:sz w:val="24"/>
          <w:szCs w:val="24"/>
        </w:rPr>
        <w:t>投标单位提供中标后不得将本项目的勘察、设计工作进行分包、转包或委托第三方实施的承诺书 。（格式自拟）</w:t>
      </w:r>
    </w:p>
    <w:p>
      <w:pPr>
        <w:spacing w:line="360" w:lineRule="auto"/>
        <w:jc w:val="left"/>
        <w:outlineLvl w:val="2"/>
        <w:rPr>
          <w:rFonts w:ascii="宋体" w:hAnsi="宋体" w:cs="宋体"/>
          <w:b/>
          <w:color w:val="auto"/>
          <w:sz w:val="36"/>
          <w:szCs w:val="36"/>
        </w:rPr>
      </w:pPr>
      <w:bookmarkStart w:id="528" w:name="_Toc5824"/>
      <w:r>
        <w:rPr>
          <w:rFonts w:hint="eastAsia" w:ascii="宋体" w:hAnsi="宋体" w:cs="宋体"/>
          <w:b/>
          <w:color w:val="auto"/>
          <w:sz w:val="36"/>
          <w:szCs w:val="36"/>
        </w:rPr>
        <w:t>（十二）其他资料</w:t>
      </w:r>
      <w:bookmarkEnd w:id="528"/>
      <w:r>
        <w:rPr>
          <w:rFonts w:hint="eastAsia" w:ascii="宋体" w:hAnsi="宋体" w:cs="宋体"/>
          <w:b/>
          <w:color w:val="auto"/>
          <w:sz w:val="36"/>
          <w:szCs w:val="36"/>
        </w:rPr>
        <w:t xml:space="preserve"> </w:t>
      </w:r>
    </w:p>
    <w:p>
      <w:pPr>
        <w:tabs>
          <w:tab w:val="left" w:pos="0"/>
          <w:tab w:val="left" w:pos="567"/>
          <w:tab w:val="left" w:pos="993"/>
          <w:tab w:val="left" w:pos="1134"/>
        </w:tabs>
        <w:snapToGrid w:val="0"/>
        <w:spacing w:line="300" w:lineRule="auto"/>
        <w:ind w:firstLine="470" w:firstLineChars="196"/>
        <w:jc w:val="left"/>
        <w:rPr>
          <w:rFonts w:ascii="宋体" w:hAnsi="宋体" w:cs="宋体"/>
          <w:b/>
          <w:color w:val="auto"/>
          <w:sz w:val="24"/>
          <w:szCs w:val="24"/>
        </w:rPr>
      </w:pPr>
      <w:r>
        <w:rPr>
          <w:rFonts w:hint="eastAsia" w:ascii="宋体" w:hAnsi="宋体" w:cs="宋体"/>
          <w:bCs/>
          <w:color w:val="auto"/>
          <w:sz w:val="24"/>
          <w:szCs w:val="24"/>
        </w:rPr>
        <w:t>根据招标文件的要求和投标人认为需要提供的资料</w:t>
      </w:r>
      <w:r>
        <w:rPr>
          <w:rFonts w:hint="eastAsia" w:ascii="宋体" w:hAnsi="宋体" w:cs="宋体"/>
          <w:b/>
          <w:color w:val="auto"/>
          <w:sz w:val="24"/>
          <w:szCs w:val="24"/>
        </w:rPr>
        <w:t>。</w:t>
      </w:r>
    </w:p>
    <w:p>
      <w:pPr>
        <w:pStyle w:val="6"/>
        <w:tabs>
          <w:tab w:val="left" w:pos="1000"/>
        </w:tabs>
        <w:spacing w:line="360" w:lineRule="auto"/>
        <w:rPr>
          <w:rFonts w:ascii="宋体" w:hAnsi="宋体" w:cs="宋体"/>
          <w:color w:val="auto"/>
          <w:sz w:val="24"/>
          <w:szCs w:val="24"/>
        </w:rPr>
      </w:pPr>
    </w:p>
    <w:p>
      <w:pPr>
        <w:pStyle w:val="6"/>
        <w:tabs>
          <w:tab w:val="left" w:pos="1000"/>
        </w:tabs>
        <w:spacing w:line="360" w:lineRule="auto"/>
        <w:rPr>
          <w:rFonts w:ascii="宋体" w:hAnsi="宋体" w:cs="宋体"/>
          <w:color w:val="auto"/>
          <w:sz w:val="24"/>
          <w:szCs w:val="24"/>
        </w:rPr>
        <w:sectPr>
          <w:pgSz w:w="11906" w:h="16838"/>
          <w:pgMar w:top="1440" w:right="1133" w:bottom="1440" w:left="993" w:header="851" w:footer="992" w:gutter="0"/>
          <w:cols w:space="720" w:num="1"/>
          <w:docGrid w:linePitch="312" w:charSpace="0"/>
        </w:sectPr>
      </w:pPr>
    </w:p>
    <w:p>
      <w:pPr>
        <w:pStyle w:val="79"/>
        <w:ind w:left="420"/>
        <w:outlineLvl w:val="9"/>
        <w:rPr>
          <w:color w:val="auto"/>
          <w:sz w:val="32"/>
          <w:szCs w:val="32"/>
        </w:rPr>
      </w:pPr>
      <w:bookmarkStart w:id="529" w:name="_Toc382381152"/>
      <w:bookmarkStart w:id="530" w:name="_Toc219773168"/>
    </w:p>
    <w:p>
      <w:pPr>
        <w:pStyle w:val="79"/>
        <w:jc w:val="both"/>
        <w:outlineLvl w:val="9"/>
        <w:rPr>
          <w:color w:val="auto"/>
          <w:sz w:val="32"/>
          <w:szCs w:val="32"/>
        </w:rPr>
      </w:pPr>
    </w:p>
    <w:p>
      <w:pPr>
        <w:jc w:val="center"/>
        <w:outlineLvl w:val="1"/>
        <w:rPr>
          <w:b/>
          <w:color w:val="auto"/>
          <w:sz w:val="32"/>
          <w:szCs w:val="32"/>
        </w:rPr>
      </w:pPr>
      <w:bookmarkStart w:id="531" w:name="_Toc10326"/>
      <w:r>
        <w:rPr>
          <w:rFonts w:hint="eastAsia"/>
          <w:b/>
          <w:color w:val="auto"/>
          <w:sz w:val="32"/>
          <w:szCs w:val="32"/>
        </w:rPr>
        <w:t>四、技术文件</w:t>
      </w:r>
      <w:bookmarkEnd w:id="529"/>
      <w:bookmarkEnd w:id="530"/>
      <w:r>
        <w:rPr>
          <w:rFonts w:hint="eastAsia"/>
          <w:b/>
          <w:color w:val="auto"/>
          <w:sz w:val="32"/>
          <w:szCs w:val="32"/>
        </w:rPr>
        <w:t>格式</w:t>
      </w:r>
      <w:bookmarkEnd w:id="531"/>
    </w:p>
    <w:p>
      <w:pPr>
        <w:pStyle w:val="18"/>
        <w:tabs>
          <w:tab w:val="left" w:pos="285"/>
          <w:tab w:val="center" w:pos="4320"/>
        </w:tabs>
        <w:spacing w:line="264" w:lineRule="auto"/>
        <w:rPr>
          <w:rFonts w:hAnsi="宋体" w:cs="宋体"/>
          <w:color w:val="auto"/>
          <w:sz w:val="24"/>
          <w:szCs w:val="24"/>
        </w:rPr>
      </w:pPr>
      <w:r>
        <w:rPr>
          <w:rFonts w:hint="eastAsia" w:hAnsi="宋体" w:cs="宋体"/>
          <w:color w:val="auto"/>
          <w:sz w:val="28"/>
        </w:rPr>
        <w:br w:type="page"/>
      </w:r>
    </w:p>
    <w:p>
      <w:pPr>
        <w:pStyle w:val="18"/>
        <w:spacing w:line="264" w:lineRule="auto"/>
        <w:jc w:val="center"/>
        <w:rPr>
          <w:rFonts w:hAnsi="宋体" w:cs="宋体"/>
          <w:color w:val="auto"/>
          <w:sz w:val="36"/>
        </w:rPr>
      </w:pPr>
    </w:p>
    <w:p>
      <w:pPr>
        <w:pStyle w:val="18"/>
        <w:spacing w:line="480" w:lineRule="auto"/>
        <w:jc w:val="center"/>
        <w:rPr>
          <w:rFonts w:hAnsi="宋体" w:cs="宋体"/>
          <w:b/>
          <w:color w:val="auto"/>
          <w:sz w:val="32"/>
          <w:szCs w:val="32"/>
        </w:rPr>
      </w:pPr>
    </w:p>
    <w:p>
      <w:pPr>
        <w:pStyle w:val="18"/>
        <w:spacing w:before="240" w:beforeLines="100" w:after="240" w:afterLines="100" w:line="264" w:lineRule="auto"/>
        <w:jc w:val="center"/>
        <w:rPr>
          <w:rFonts w:hAnsi="宋体" w:cs="宋体"/>
          <w:bCs/>
          <w:color w:val="auto"/>
          <w:sz w:val="28"/>
          <w:szCs w:val="28"/>
        </w:rPr>
      </w:pPr>
      <w:r>
        <w:rPr>
          <w:rFonts w:hint="eastAsia" w:hAnsi="宋体" w:cs="宋体"/>
          <w:bCs/>
          <w:color w:val="auto"/>
          <w:sz w:val="44"/>
          <w:szCs w:val="44"/>
        </w:rPr>
        <w:t>大埔县智慧停车场项目(勘察、设计)</w:t>
      </w:r>
    </w:p>
    <w:p>
      <w:pPr>
        <w:pStyle w:val="18"/>
        <w:spacing w:line="264" w:lineRule="auto"/>
        <w:jc w:val="center"/>
        <w:rPr>
          <w:rFonts w:hAnsi="宋体" w:cs="宋体"/>
          <w:b/>
          <w:color w:val="auto"/>
          <w:sz w:val="84"/>
        </w:rPr>
      </w:pPr>
    </w:p>
    <w:p>
      <w:pPr>
        <w:pStyle w:val="18"/>
        <w:spacing w:line="264" w:lineRule="auto"/>
        <w:jc w:val="center"/>
        <w:rPr>
          <w:rFonts w:hAnsi="宋体" w:cs="宋体"/>
          <w:color w:val="auto"/>
          <w:sz w:val="28"/>
        </w:rPr>
      </w:pPr>
      <w:r>
        <w:rPr>
          <w:rFonts w:hint="eastAsia" w:hAnsi="宋体" w:cs="宋体"/>
          <w:b/>
          <w:color w:val="auto"/>
          <w:sz w:val="84"/>
        </w:rPr>
        <w:t>投标文件</w:t>
      </w: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line="264" w:lineRule="auto"/>
        <w:jc w:val="center"/>
        <w:rPr>
          <w:rFonts w:hAnsi="宋体" w:cs="宋体"/>
          <w:color w:val="auto"/>
          <w:sz w:val="72"/>
        </w:rPr>
      </w:pPr>
    </w:p>
    <w:p>
      <w:pPr>
        <w:pStyle w:val="18"/>
        <w:spacing w:before="240" w:after="240" w:line="240" w:lineRule="auto"/>
        <w:ind w:firstLine="560"/>
        <w:rPr>
          <w:rFonts w:hAnsi="宋体" w:cs="宋体"/>
          <w:color w:val="auto"/>
          <w:sz w:val="30"/>
          <w:szCs w:val="30"/>
        </w:rPr>
      </w:pPr>
      <w:r>
        <w:rPr>
          <w:rFonts w:hint="eastAsia" w:hAnsi="宋体" w:cs="宋体"/>
          <w:color w:val="auto"/>
          <w:sz w:val="30"/>
          <w:szCs w:val="30"/>
        </w:rPr>
        <w:t>投标文件内容</w:t>
      </w:r>
      <w:r>
        <w:rPr>
          <w:rFonts w:hint="eastAsia" w:hAnsi="宋体" w:cs="宋体"/>
          <w:color w:val="auto"/>
          <w:sz w:val="30"/>
          <w:szCs w:val="30"/>
          <w:u w:val="single"/>
        </w:rPr>
        <w:t xml:space="preserve">               技术文件             </w:t>
      </w:r>
    </w:p>
    <w:p>
      <w:pPr>
        <w:pStyle w:val="18"/>
        <w:spacing w:before="240" w:after="240" w:line="240" w:lineRule="auto"/>
        <w:ind w:left="630"/>
        <w:jc w:val="left"/>
        <w:rPr>
          <w:rFonts w:hAnsi="宋体" w:cs="宋体"/>
          <w:color w:val="auto"/>
          <w:sz w:val="30"/>
          <w:szCs w:val="30"/>
        </w:rPr>
      </w:pPr>
      <w:r>
        <w:rPr>
          <w:rFonts w:hint="eastAsia" w:hAnsi="宋体" w:cs="宋体"/>
          <w:color w:val="auto"/>
          <w:sz w:val="30"/>
          <w:szCs w:val="30"/>
        </w:rPr>
        <w:t>投   标   人:</w:t>
      </w:r>
      <w:r>
        <w:rPr>
          <w:rFonts w:hint="eastAsia" w:hAnsi="宋体" w:cs="宋体"/>
          <w:color w:val="auto"/>
          <w:sz w:val="30"/>
          <w:szCs w:val="30"/>
          <w:u w:val="single"/>
        </w:rPr>
        <w:t xml:space="preserve">                      </w:t>
      </w:r>
      <w:r>
        <w:rPr>
          <w:rFonts w:hint="eastAsia" w:hAnsi="宋体" w:cs="宋体"/>
          <w:color w:val="auto"/>
          <w:sz w:val="30"/>
          <w:szCs w:val="30"/>
        </w:rPr>
        <w:t xml:space="preserve">（盖投标人单位公章）     </w:t>
      </w:r>
    </w:p>
    <w:p>
      <w:pPr>
        <w:pStyle w:val="18"/>
        <w:spacing w:before="240" w:after="240" w:line="240" w:lineRule="auto"/>
        <w:ind w:firstLine="560"/>
        <w:rPr>
          <w:rFonts w:hAnsi="宋体" w:cs="宋体"/>
          <w:color w:val="auto"/>
          <w:sz w:val="30"/>
          <w:szCs w:val="30"/>
          <w:u w:val="single"/>
        </w:rPr>
      </w:pPr>
      <w:r>
        <w:rPr>
          <w:rFonts w:hint="eastAsia" w:hAnsi="宋体" w:cs="宋体"/>
          <w:color w:val="auto"/>
          <w:sz w:val="30"/>
          <w:szCs w:val="30"/>
        </w:rPr>
        <w:t>法定代表人或其委托代理人：</w:t>
      </w:r>
      <w:r>
        <w:rPr>
          <w:rFonts w:hint="eastAsia" w:hAnsi="宋体" w:cs="宋体"/>
          <w:color w:val="auto"/>
          <w:sz w:val="30"/>
          <w:szCs w:val="30"/>
          <w:u w:val="single"/>
        </w:rPr>
        <w:t xml:space="preserve">                   </w:t>
      </w:r>
      <w:r>
        <w:rPr>
          <w:rFonts w:hint="eastAsia" w:hAnsi="宋体" w:cs="宋体"/>
          <w:color w:val="auto"/>
          <w:sz w:val="30"/>
          <w:szCs w:val="30"/>
        </w:rPr>
        <w:t>（签字）</w:t>
      </w:r>
    </w:p>
    <w:p>
      <w:pPr>
        <w:pStyle w:val="18"/>
        <w:spacing w:before="240" w:after="240" w:line="240" w:lineRule="auto"/>
        <w:ind w:left="630"/>
        <w:rPr>
          <w:rFonts w:hAnsi="宋体" w:cs="宋体"/>
          <w:color w:val="auto"/>
          <w:sz w:val="30"/>
        </w:rPr>
      </w:pPr>
      <w:r>
        <w:rPr>
          <w:rFonts w:hint="eastAsia" w:hAnsi="宋体" w:cs="宋体"/>
          <w:color w:val="auto"/>
          <w:sz w:val="30"/>
          <w:szCs w:val="30"/>
        </w:rPr>
        <w:t>日期：</w:t>
      </w:r>
      <w:r>
        <w:rPr>
          <w:rFonts w:hint="eastAsia" w:hAnsi="宋体" w:cs="宋体"/>
          <w:color w:val="auto"/>
          <w:sz w:val="30"/>
          <w:szCs w:val="30"/>
          <w:u w:val="single"/>
        </w:rPr>
        <w:t xml:space="preserve">           </w:t>
      </w:r>
      <w:r>
        <w:rPr>
          <w:rFonts w:hint="eastAsia" w:hAnsi="宋体" w:cs="宋体"/>
          <w:color w:val="auto"/>
          <w:sz w:val="30"/>
          <w:szCs w:val="30"/>
        </w:rPr>
        <w:t>年</w:t>
      </w:r>
      <w:r>
        <w:rPr>
          <w:rFonts w:hint="eastAsia" w:hAnsi="宋体" w:cs="宋体"/>
          <w:color w:val="auto"/>
          <w:sz w:val="30"/>
          <w:szCs w:val="30"/>
          <w:u w:val="single"/>
        </w:rPr>
        <w:t xml:space="preserve">      </w:t>
      </w:r>
      <w:r>
        <w:rPr>
          <w:rFonts w:hint="eastAsia" w:hAnsi="宋体" w:cs="宋体"/>
          <w:color w:val="auto"/>
          <w:sz w:val="30"/>
          <w:szCs w:val="30"/>
        </w:rPr>
        <w:t>月</w:t>
      </w:r>
      <w:r>
        <w:rPr>
          <w:rFonts w:hint="eastAsia" w:hAnsi="宋体" w:cs="宋体"/>
          <w:color w:val="auto"/>
          <w:sz w:val="30"/>
          <w:szCs w:val="30"/>
          <w:u w:val="single"/>
        </w:rPr>
        <w:t xml:space="preserve">       </w:t>
      </w:r>
      <w:r>
        <w:rPr>
          <w:rFonts w:hint="eastAsia" w:hAnsi="宋体" w:cs="宋体"/>
          <w:color w:val="auto"/>
          <w:sz w:val="30"/>
          <w:szCs w:val="30"/>
        </w:rPr>
        <w:t>日</w:t>
      </w:r>
    </w:p>
    <w:p>
      <w:pPr>
        <w:pStyle w:val="18"/>
        <w:tabs>
          <w:tab w:val="left" w:pos="285"/>
          <w:tab w:val="center" w:pos="4320"/>
        </w:tabs>
        <w:spacing w:line="240" w:lineRule="auto"/>
        <w:ind w:firstLine="560" w:firstLineChars="200"/>
        <w:jc w:val="center"/>
        <w:outlineLvl w:val="2"/>
        <w:rPr>
          <w:rFonts w:hAnsi="宋体" w:cs="宋体"/>
          <w:b/>
          <w:color w:val="auto"/>
          <w:sz w:val="32"/>
          <w:szCs w:val="32"/>
        </w:rPr>
      </w:pPr>
      <w:r>
        <w:rPr>
          <w:rFonts w:hAnsi="宋体" w:cs="宋体"/>
          <w:color w:val="auto"/>
          <w:sz w:val="28"/>
        </w:rPr>
        <w:br w:type="page"/>
      </w:r>
      <w:bookmarkStart w:id="532" w:name="_Toc19639"/>
      <w:r>
        <w:rPr>
          <w:rFonts w:hint="eastAsia" w:hAnsi="宋体" w:cs="宋体"/>
          <w:b/>
          <w:color w:val="auto"/>
          <w:sz w:val="32"/>
          <w:szCs w:val="32"/>
        </w:rPr>
        <w:t>说  明</w:t>
      </w:r>
      <w:bookmarkEnd w:id="532"/>
    </w:p>
    <w:p>
      <w:pPr>
        <w:numPr>
          <w:ilvl w:val="1"/>
          <w:numId w:val="22"/>
        </w:numPr>
        <w:tabs>
          <w:tab w:val="left" w:pos="0"/>
          <w:tab w:val="left" w:pos="567"/>
          <w:tab w:val="left" w:pos="993"/>
          <w:tab w:val="left" w:pos="1134"/>
        </w:tabs>
        <w:snapToGrid w:val="0"/>
        <w:spacing w:before="240" w:line="360" w:lineRule="auto"/>
        <w:ind w:firstLine="0"/>
        <w:rPr>
          <w:rFonts w:ascii="宋体" w:hAnsi="宋体" w:cs="宋体"/>
          <w:b/>
          <w:color w:val="auto"/>
          <w:sz w:val="28"/>
          <w:szCs w:val="28"/>
        </w:rPr>
      </w:pPr>
      <w:r>
        <w:rPr>
          <w:rFonts w:hint="eastAsia" w:ascii="宋体" w:hAnsi="宋体" w:cs="宋体"/>
          <w:b/>
          <w:bCs/>
          <w:color w:val="auto"/>
          <w:sz w:val="28"/>
          <w:szCs w:val="28"/>
          <w:lang w:val="zh-CN"/>
        </w:rPr>
        <w:t>技术文件包含下列内容</w:t>
      </w:r>
      <w:r>
        <w:rPr>
          <w:rFonts w:hint="eastAsia" w:ascii="宋体" w:hAnsi="宋体" w:cs="宋体"/>
          <w:color w:val="auto"/>
          <w:sz w:val="28"/>
        </w:rPr>
        <w:t>：</w:t>
      </w:r>
    </w:p>
    <w:p>
      <w:pPr>
        <w:numPr>
          <w:ilvl w:val="0"/>
          <w:numId w:val="23"/>
        </w:numPr>
        <w:spacing w:line="360" w:lineRule="auto"/>
        <w:rPr>
          <w:color w:val="auto"/>
          <w:sz w:val="24"/>
          <w:szCs w:val="24"/>
        </w:rPr>
      </w:pPr>
      <w:r>
        <w:rPr>
          <w:rFonts w:hint="eastAsia"/>
          <w:color w:val="auto"/>
          <w:sz w:val="24"/>
          <w:szCs w:val="24"/>
        </w:rPr>
        <w:t>设计说明和设计图纸汇编缩印本；</w:t>
      </w:r>
    </w:p>
    <w:p>
      <w:pPr>
        <w:numPr>
          <w:ilvl w:val="0"/>
          <w:numId w:val="23"/>
        </w:numPr>
        <w:spacing w:line="360" w:lineRule="auto"/>
        <w:rPr>
          <w:color w:val="auto"/>
          <w:sz w:val="24"/>
          <w:szCs w:val="24"/>
        </w:rPr>
      </w:pPr>
      <w:r>
        <w:rPr>
          <w:rFonts w:hint="eastAsia"/>
          <w:color w:val="auto"/>
          <w:sz w:val="24"/>
          <w:szCs w:val="24"/>
        </w:rPr>
        <w:t>电子文档（包含投标文件全部内容，文件需为PDF或JPG格式）；</w:t>
      </w:r>
    </w:p>
    <w:p>
      <w:pPr>
        <w:numPr>
          <w:ilvl w:val="0"/>
          <w:numId w:val="23"/>
        </w:numPr>
        <w:spacing w:line="360" w:lineRule="auto"/>
        <w:rPr>
          <w:color w:val="auto"/>
          <w:sz w:val="24"/>
          <w:szCs w:val="24"/>
        </w:rPr>
      </w:pPr>
      <w:r>
        <w:rPr>
          <w:rFonts w:hint="eastAsia"/>
          <w:color w:val="auto"/>
          <w:sz w:val="24"/>
          <w:szCs w:val="24"/>
        </w:rPr>
        <w:t>其他技术文件（当招标文件有要求时须提供）。</w:t>
      </w:r>
    </w:p>
    <w:p>
      <w:pPr>
        <w:numPr>
          <w:ilvl w:val="1"/>
          <w:numId w:val="22"/>
        </w:numPr>
        <w:tabs>
          <w:tab w:val="left" w:pos="0"/>
          <w:tab w:val="left" w:pos="567"/>
          <w:tab w:val="left" w:pos="993"/>
          <w:tab w:val="left" w:pos="1134"/>
        </w:tabs>
        <w:snapToGrid w:val="0"/>
        <w:spacing w:before="240" w:line="500" w:lineRule="exact"/>
        <w:ind w:firstLine="0"/>
        <w:rPr>
          <w:rFonts w:ascii="宋体" w:hAnsi="宋体" w:cs="宋体"/>
          <w:b/>
          <w:bCs/>
          <w:color w:val="auto"/>
          <w:sz w:val="28"/>
          <w:szCs w:val="28"/>
          <w:lang w:val="zh-CN"/>
        </w:rPr>
      </w:pPr>
      <w:r>
        <w:rPr>
          <w:rFonts w:hint="eastAsia" w:ascii="宋体" w:hAnsi="宋体" w:cs="宋体"/>
          <w:b/>
          <w:bCs/>
          <w:color w:val="auto"/>
          <w:sz w:val="28"/>
          <w:szCs w:val="28"/>
          <w:lang w:val="zh-CN"/>
        </w:rPr>
        <w:t>技术文件编制要求</w:t>
      </w:r>
    </w:p>
    <w:p>
      <w:pPr>
        <w:numPr>
          <w:ilvl w:val="0"/>
          <w:numId w:val="24"/>
        </w:numPr>
        <w:tabs>
          <w:tab w:val="left" w:pos="426"/>
        </w:tabs>
        <w:spacing w:line="500" w:lineRule="exact"/>
        <w:rPr>
          <w:rFonts w:ascii="宋体" w:hAnsi="宋体" w:cs="宋体"/>
          <w:bCs/>
          <w:color w:val="auto"/>
          <w:sz w:val="24"/>
          <w:szCs w:val="24"/>
          <w:lang w:val="zh-CN"/>
        </w:rPr>
      </w:pPr>
      <w:r>
        <w:rPr>
          <w:rFonts w:hint="eastAsia" w:ascii="宋体" w:hAnsi="宋体" w:cs="宋体"/>
          <w:color w:val="auto"/>
          <w:sz w:val="24"/>
        </w:rPr>
        <w:t>设计方案必须满足国家、省和市有关建设方针、政策、规范、规程同时满足技术标准、通行能力的要求，并考虑工程造价、经济效益和社会效益等综合因素。</w:t>
      </w:r>
    </w:p>
    <w:p>
      <w:pPr>
        <w:numPr>
          <w:ilvl w:val="0"/>
          <w:numId w:val="24"/>
        </w:numPr>
        <w:tabs>
          <w:tab w:val="left" w:pos="426"/>
        </w:tabs>
        <w:spacing w:line="500" w:lineRule="exact"/>
        <w:rPr>
          <w:rFonts w:ascii="宋体" w:hAnsi="宋体" w:cs="宋体"/>
          <w:color w:val="auto"/>
          <w:sz w:val="24"/>
        </w:rPr>
      </w:pPr>
      <w:r>
        <w:rPr>
          <w:rFonts w:hint="eastAsia" w:ascii="宋体" w:hAnsi="宋体" w:cs="宋体"/>
          <w:color w:val="auto"/>
          <w:sz w:val="24"/>
        </w:rPr>
        <w:t>设计方案应符合本项目可行性研究报告批复的有关强制性要求。</w:t>
      </w:r>
    </w:p>
    <w:p>
      <w:pPr>
        <w:numPr>
          <w:ilvl w:val="0"/>
          <w:numId w:val="24"/>
        </w:numPr>
        <w:tabs>
          <w:tab w:val="left" w:pos="426"/>
        </w:tabs>
        <w:spacing w:line="500" w:lineRule="exact"/>
        <w:rPr>
          <w:rFonts w:ascii="宋体" w:hAnsi="宋体" w:cs="宋体"/>
          <w:color w:val="auto"/>
          <w:sz w:val="24"/>
        </w:rPr>
      </w:pPr>
      <w:r>
        <w:rPr>
          <w:rFonts w:hint="eastAsia" w:ascii="宋体" w:hAnsi="宋体" w:cs="宋体"/>
          <w:color w:val="auto"/>
          <w:sz w:val="24"/>
        </w:rPr>
        <w:t>设计方案可以充分结合周边现状，尽量减少重复开挖、边坡处理生态自然。</w:t>
      </w:r>
    </w:p>
    <w:p>
      <w:pPr>
        <w:numPr>
          <w:ilvl w:val="0"/>
          <w:numId w:val="24"/>
        </w:numPr>
        <w:tabs>
          <w:tab w:val="left" w:pos="426"/>
        </w:tabs>
        <w:spacing w:line="500" w:lineRule="exact"/>
        <w:rPr>
          <w:rFonts w:ascii="宋体" w:hAnsi="宋体" w:cs="宋体"/>
          <w:bCs/>
          <w:color w:val="auto"/>
          <w:sz w:val="24"/>
          <w:szCs w:val="24"/>
          <w:lang w:val="zh-CN"/>
        </w:rPr>
      </w:pPr>
      <w:r>
        <w:rPr>
          <w:rFonts w:hint="eastAsia" w:ascii="宋体" w:hAnsi="宋体" w:cs="宋体"/>
          <w:bCs/>
          <w:color w:val="auto"/>
          <w:sz w:val="24"/>
          <w:szCs w:val="24"/>
          <w:lang w:val="zh-CN"/>
        </w:rPr>
        <w:t>工程总投资合理，节约工程总投资的措施及理由合理、可信、可行，投资估算编制依据正确，达到相应的深度要求，编制质量高。</w:t>
      </w:r>
    </w:p>
    <w:p>
      <w:pPr>
        <w:pStyle w:val="36"/>
        <w:ind w:left="0" w:leftChars="0" w:firstLine="0" w:firstLineChars="0"/>
        <w:rPr>
          <w:color w:val="auto"/>
        </w:rPr>
      </w:pPr>
    </w:p>
    <w:p>
      <w:pPr>
        <w:numPr>
          <w:ilvl w:val="0"/>
          <w:numId w:val="25"/>
        </w:numPr>
        <w:tabs>
          <w:tab w:val="left" w:pos="1800"/>
        </w:tabs>
        <w:spacing w:line="500" w:lineRule="exact"/>
        <w:rPr>
          <w:rFonts w:ascii="宋体" w:hAnsi="宋体" w:cs="宋体"/>
          <w:b/>
          <w:bCs/>
          <w:color w:val="auto"/>
          <w:sz w:val="28"/>
          <w:szCs w:val="28"/>
          <w:lang w:val="zh-CN"/>
        </w:rPr>
      </w:pPr>
      <w:r>
        <w:rPr>
          <w:rFonts w:hint="eastAsia" w:ascii="宋体" w:hAnsi="宋体" w:cs="宋体"/>
          <w:b/>
          <w:bCs/>
          <w:color w:val="auto"/>
          <w:sz w:val="28"/>
          <w:szCs w:val="28"/>
          <w:lang w:val="zh-CN"/>
        </w:rPr>
        <w:t xml:space="preserve"> 设计成果要求</w:t>
      </w:r>
    </w:p>
    <w:p>
      <w:pPr>
        <w:tabs>
          <w:tab w:val="left" w:pos="0"/>
          <w:tab w:val="left" w:pos="567"/>
          <w:tab w:val="left" w:pos="993"/>
          <w:tab w:val="left" w:pos="1134"/>
        </w:tabs>
        <w:snapToGrid w:val="0"/>
        <w:spacing w:line="500" w:lineRule="exact"/>
        <w:rPr>
          <w:rFonts w:ascii="宋体" w:hAnsi="宋体" w:cs="宋体"/>
          <w:b/>
          <w:bCs/>
          <w:color w:val="auto"/>
          <w:sz w:val="28"/>
          <w:szCs w:val="28"/>
          <w:lang w:val="zh-CN"/>
        </w:rPr>
      </w:pPr>
      <w:r>
        <w:rPr>
          <w:rFonts w:hint="eastAsia" w:ascii="宋体" w:hAnsi="宋体" w:cs="宋体"/>
          <w:b/>
          <w:color w:val="auto"/>
          <w:sz w:val="28"/>
          <w:szCs w:val="28"/>
        </w:rPr>
        <w:t>1.设计说明和设计图纸汇编缩印本编制要求</w:t>
      </w:r>
    </w:p>
    <w:p>
      <w:pPr>
        <w:tabs>
          <w:tab w:val="left" w:pos="0"/>
          <w:tab w:val="left" w:pos="567"/>
          <w:tab w:val="left" w:pos="993"/>
          <w:tab w:val="left" w:pos="1134"/>
        </w:tabs>
        <w:snapToGrid w:val="0"/>
        <w:spacing w:line="500" w:lineRule="exact"/>
        <w:rPr>
          <w:rFonts w:ascii="宋体" w:hAnsi="宋体" w:cs="宋体"/>
          <w:b/>
          <w:color w:val="auto"/>
          <w:sz w:val="24"/>
          <w:szCs w:val="24"/>
        </w:rPr>
      </w:pPr>
      <w:r>
        <w:rPr>
          <w:rFonts w:hint="eastAsia" w:ascii="宋体" w:hAnsi="宋体" w:cs="宋体"/>
          <w:b/>
          <w:color w:val="auto"/>
          <w:sz w:val="24"/>
          <w:szCs w:val="24"/>
        </w:rPr>
        <w:t>1.1设计说明</w:t>
      </w:r>
    </w:p>
    <w:p>
      <w:pPr>
        <w:spacing w:line="500" w:lineRule="exact"/>
        <w:ind w:firstLine="480" w:firstLineChars="200"/>
        <w:jc w:val="left"/>
        <w:rPr>
          <w:rFonts w:ascii="宋体" w:hAnsi="宋体" w:cs="宋体"/>
          <w:bCs/>
          <w:color w:val="auto"/>
          <w:sz w:val="24"/>
          <w:szCs w:val="24"/>
        </w:rPr>
      </w:pPr>
      <w:r>
        <w:rPr>
          <w:rFonts w:hint="eastAsia" w:ascii="宋体" w:hAnsi="宋体" w:cs="宋体"/>
          <w:color w:val="auto"/>
          <w:sz w:val="24"/>
          <w:szCs w:val="24"/>
        </w:rPr>
        <w:t>投标人的设计说明至少应包括以下内容：</w:t>
      </w:r>
      <w:r>
        <w:rPr>
          <w:rFonts w:hint="eastAsia" w:ascii="宋体" w:hAnsi="宋体" w:cs="宋体"/>
          <w:color w:val="auto"/>
          <w:sz w:val="24"/>
        </w:rPr>
        <w:t>工程概况、场地现状分析、设计构思、总体布局设计说明、给水排水设计说明、关键技术说明（含拟采用新材料、新设备、新工艺、新技术的说明）、技术经济指标、以及投标人完成设计所独有的有利条件及投标人提出的工程创新、保障设计工期、质量的主要措施、设计方案的主要优点、特点和推荐的主要理由、本设计方案的工程投资估算等。</w:t>
      </w:r>
    </w:p>
    <w:p>
      <w:pPr>
        <w:tabs>
          <w:tab w:val="left" w:pos="0"/>
          <w:tab w:val="left" w:pos="567"/>
          <w:tab w:val="left" w:pos="993"/>
          <w:tab w:val="left" w:pos="1134"/>
        </w:tabs>
        <w:snapToGrid w:val="0"/>
        <w:spacing w:line="500" w:lineRule="exact"/>
        <w:rPr>
          <w:rFonts w:ascii="宋体" w:hAnsi="宋体" w:cs="宋体"/>
          <w:bCs/>
          <w:color w:val="auto"/>
          <w:sz w:val="24"/>
          <w:szCs w:val="24"/>
        </w:rPr>
      </w:pPr>
      <w:r>
        <w:rPr>
          <w:rFonts w:hint="eastAsia" w:ascii="宋体" w:hAnsi="宋体" w:cs="宋体"/>
          <w:b/>
          <w:snapToGrid w:val="0"/>
          <w:color w:val="auto"/>
          <w:sz w:val="24"/>
          <w:szCs w:val="24"/>
        </w:rPr>
        <w:t>1.2设计图纸</w:t>
      </w:r>
    </w:p>
    <w:p>
      <w:pPr>
        <w:tabs>
          <w:tab w:val="left" w:pos="0"/>
          <w:tab w:val="left" w:pos="567"/>
          <w:tab w:val="left" w:pos="993"/>
          <w:tab w:val="left" w:pos="1134"/>
        </w:tabs>
        <w:snapToGrid w:val="0"/>
        <w:spacing w:line="500" w:lineRule="exact"/>
        <w:ind w:firstLine="480" w:firstLineChars="200"/>
        <w:rPr>
          <w:rFonts w:hAnsi="宋体" w:cs="宋体"/>
          <w:color w:val="auto"/>
          <w:spacing w:val="-2"/>
          <w:sz w:val="24"/>
          <w:szCs w:val="24"/>
        </w:rPr>
      </w:pPr>
      <w:r>
        <w:rPr>
          <w:rFonts w:hint="eastAsia" w:ascii="宋体" w:hAnsi="宋体" w:cs="宋体"/>
          <w:snapToGrid w:val="0"/>
          <w:color w:val="auto"/>
          <w:sz w:val="24"/>
          <w:szCs w:val="24"/>
        </w:rPr>
        <w:t>投标人的设计图纸至少应包括以下内容：</w:t>
      </w:r>
      <w:r>
        <w:rPr>
          <w:rFonts w:hint="eastAsia" w:ascii="宋体" w:hAnsi="宋体" w:cs="宋体"/>
          <w:color w:val="auto"/>
          <w:sz w:val="24"/>
        </w:rPr>
        <w:t>包括总平面、平面图、纵断面图、横断面图等。</w:t>
      </w:r>
    </w:p>
    <w:p>
      <w:pPr>
        <w:spacing w:line="500" w:lineRule="exact"/>
        <w:rPr>
          <w:color w:val="auto"/>
        </w:rPr>
      </w:pPr>
      <w:r>
        <w:rPr>
          <w:rFonts w:hint="eastAsia" w:ascii="宋体" w:hAnsi="宋体" w:cs="宋体"/>
          <w:b/>
          <w:bCs/>
          <w:color w:val="auto"/>
          <w:sz w:val="24"/>
          <w:szCs w:val="24"/>
        </w:rPr>
        <w:t xml:space="preserve"> </w:t>
      </w:r>
      <w:r>
        <w:rPr>
          <w:rFonts w:hint="eastAsia" w:ascii="宋体" w:hAnsi="宋体" w:cs="宋体"/>
          <w:color w:val="auto"/>
          <w:sz w:val="24"/>
        </w:rPr>
        <w:t xml:space="preserve">   全部设计成果及文本文件均应制作成计算机文件，提交电子U盘或光盘1份。</w:t>
      </w:r>
    </w:p>
    <w:p>
      <w:pPr>
        <w:snapToGrid w:val="0"/>
        <w:spacing w:line="440" w:lineRule="exact"/>
        <w:rPr>
          <w:color w:val="auto"/>
        </w:rPr>
      </w:pPr>
    </w:p>
    <w:sectPr>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sz w:val="22"/>
        <w:szCs w:val="22"/>
        <w:u w:val="single"/>
      </w:rPr>
      <w:t>大埔县智慧停车场项目(勘察、设计)</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bCs/>
        <w:sz w:val="22"/>
      </w:rPr>
    </w:pPr>
    <w:r>
      <w:rPr>
        <w:rFonts w:hint="eastAsia" w:ascii="宋体" w:hAnsi="宋体"/>
        <w:bCs/>
        <w:iCs/>
        <w:sz w:val="22"/>
        <w:szCs w:val="18"/>
      </w:rPr>
      <w:t>大埔县智慧停车场项目(勘察、设计)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08CF"/>
    <w:multiLevelType w:val="singleLevel"/>
    <w:tmpl w:val="8CE708CF"/>
    <w:lvl w:ilvl="0" w:tentative="0">
      <w:start w:val="1"/>
      <w:numFmt w:val="decimal"/>
      <w:lvlText w:val="%1."/>
      <w:lvlJc w:val="left"/>
      <w:pPr>
        <w:ind w:left="425" w:hanging="425"/>
      </w:pPr>
      <w:rPr>
        <w:rFonts w:hint="default"/>
      </w:rPr>
    </w:lvl>
  </w:abstractNum>
  <w:abstractNum w:abstractNumId="1">
    <w:nsid w:val="ACFDAACF"/>
    <w:multiLevelType w:val="singleLevel"/>
    <w:tmpl w:val="ACFDAACF"/>
    <w:lvl w:ilvl="0" w:tentative="0">
      <w:start w:val="1"/>
      <w:numFmt w:val="decimal"/>
      <w:suff w:val="nothing"/>
      <w:lvlText w:val="%1、"/>
      <w:lvlJc w:val="left"/>
    </w:lvl>
  </w:abstractNum>
  <w:abstractNum w:abstractNumId="2">
    <w:nsid w:val="AF492657"/>
    <w:multiLevelType w:val="singleLevel"/>
    <w:tmpl w:val="AF492657"/>
    <w:lvl w:ilvl="0" w:tentative="0">
      <w:start w:val="7"/>
      <w:numFmt w:val="decimal"/>
      <w:suff w:val="nothing"/>
      <w:lvlText w:val="%1、"/>
      <w:lvlJc w:val="left"/>
    </w:lvl>
  </w:abstractNum>
  <w:abstractNum w:abstractNumId="3">
    <w:nsid w:val="DC9FA70A"/>
    <w:multiLevelType w:val="singleLevel"/>
    <w:tmpl w:val="DC9FA70A"/>
    <w:lvl w:ilvl="0" w:tentative="0">
      <w:start w:val="1"/>
      <w:numFmt w:val="decimal"/>
      <w:suff w:val="nothing"/>
      <w:lvlText w:val="%1、"/>
      <w:lvlJc w:val="left"/>
    </w:lvl>
  </w:abstractNum>
  <w:abstractNum w:abstractNumId="4">
    <w:nsid w:val="F17956C5"/>
    <w:multiLevelType w:val="singleLevel"/>
    <w:tmpl w:val="F17956C5"/>
    <w:lvl w:ilvl="0" w:tentative="0">
      <w:start w:val="1"/>
      <w:numFmt w:val="chineseCounting"/>
      <w:suff w:val="nothing"/>
      <w:lvlText w:val="（%1）"/>
      <w:lvlJc w:val="left"/>
      <w:rPr>
        <w:rFonts w:hint="eastAsia"/>
      </w:rPr>
    </w:lvl>
  </w:abstractNum>
  <w:abstractNum w:abstractNumId="5">
    <w:nsid w:val="00000008"/>
    <w:multiLevelType w:val="multilevel"/>
    <w:tmpl w:val="00000008"/>
    <w:lvl w:ilvl="0" w:tentative="0">
      <w:start w:val="1"/>
      <w:numFmt w:val="decimal"/>
      <w:suff w:val="space"/>
      <w:lvlText w:val="第%1章"/>
      <w:lvlJc w:val="center"/>
      <w:pPr>
        <w:ind w:left="0" w:firstLine="624"/>
      </w:pPr>
      <w:rPr>
        <w:rFonts w:hint="eastAsia" w:eastAsia="宋体"/>
        <w:b/>
        <w:sz w:val="44"/>
      </w:rPr>
    </w:lvl>
    <w:lvl w:ilvl="1" w:tentative="0">
      <w:start w:val="1"/>
      <w:numFmt w:val="decimal"/>
      <w:pStyle w:val="4"/>
      <w:suff w:val="space"/>
      <w:lvlText w:val="第%2节"/>
      <w:lvlJc w:val="left"/>
      <w:pPr>
        <w:ind w:left="0" w:firstLine="624"/>
      </w:pPr>
      <w:rPr>
        <w:rFonts w:hint="eastAsia" w:eastAsia="宋体"/>
        <w:b/>
        <w:sz w:val="32"/>
        <w:lang w:val="en-US"/>
      </w:rPr>
    </w:lvl>
    <w:lvl w:ilvl="2" w:tentative="0">
      <w:start w:val="1"/>
      <w:numFmt w:val="chineseCountingThousand"/>
      <w:suff w:val="space"/>
      <w:lvlText w:val="（%3）"/>
      <w:lvlJc w:val="left"/>
      <w:pPr>
        <w:ind w:left="0" w:firstLine="510"/>
      </w:pPr>
      <w:rPr>
        <w:rFonts w:hint="eastAsia" w:eastAsia="宋体"/>
        <w:b/>
        <w:sz w:val="28"/>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4"/>
    <w:multiLevelType w:val="multilevel"/>
    <w:tmpl w:val="00000014"/>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Restart w:val="0"/>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b w:val="0"/>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9080C0B"/>
    <w:multiLevelType w:val="singleLevel"/>
    <w:tmpl w:val="09080C0B"/>
    <w:lvl w:ilvl="0" w:tentative="0">
      <w:start w:val="2"/>
      <w:numFmt w:val="decimal"/>
      <w:suff w:val="nothing"/>
      <w:lvlText w:val="（%1）"/>
      <w:lvlJc w:val="left"/>
    </w:lvl>
  </w:abstractNum>
  <w:abstractNum w:abstractNumId="8">
    <w:nsid w:val="0C566D08"/>
    <w:multiLevelType w:val="multilevel"/>
    <w:tmpl w:val="0C566D0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F462EA1"/>
    <w:multiLevelType w:val="multilevel"/>
    <w:tmpl w:val="0F462EA1"/>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Text w:val="（%4）"/>
      <w:lvlJc w:val="left"/>
      <w:pPr>
        <w:tabs>
          <w:tab w:val="left" w:pos="510"/>
        </w:tabs>
        <w:ind w:left="0" w:firstLine="510"/>
      </w:pPr>
      <w:rPr>
        <w:rFonts w:ascii="宋体" w:hAnsi="宋体" w:eastAsia="宋体" w:cs="Times New Roman"/>
        <w:b w:val="0"/>
        <w:sz w:val="24"/>
      </w:rPr>
    </w:lvl>
    <w:lvl w:ilvl="4" w:tentative="0">
      <w:start w:val="1"/>
      <w:numFmt w:val="decimal"/>
      <w:lvlText w:val="（%5）"/>
      <w:lvlJc w:val="left"/>
      <w:pPr>
        <w:tabs>
          <w:tab w:val="left" w:pos="510"/>
        </w:tabs>
        <w:ind w:left="0" w:firstLine="51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1C7C01D6"/>
    <w:multiLevelType w:val="multilevel"/>
    <w:tmpl w:val="1C7C01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D5BC633"/>
    <w:multiLevelType w:val="singleLevel"/>
    <w:tmpl w:val="1D5BC633"/>
    <w:lvl w:ilvl="0" w:tentative="0">
      <w:start w:val="5"/>
      <w:numFmt w:val="decimal"/>
      <w:suff w:val="nothing"/>
      <w:lvlText w:val="%1、"/>
      <w:lvlJc w:val="left"/>
    </w:lvl>
  </w:abstractNum>
  <w:abstractNum w:abstractNumId="12">
    <w:nsid w:val="280FB864"/>
    <w:multiLevelType w:val="singleLevel"/>
    <w:tmpl w:val="280FB864"/>
    <w:lvl w:ilvl="0" w:tentative="0">
      <w:start w:val="1"/>
      <w:numFmt w:val="decimal"/>
      <w:suff w:val="nothing"/>
      <w:lvlText w:val="%1、"/>
      <w:lvlJc w:val="left"/>
    </w:lvl>
  </w:abstractNum>
  <w:abstractNum w:abstractNumId="13">
    <w:nsid w:val="3A5476C5"/>
    <w:multiLevelType w:val="multilevel"/>
    <w:tmpl w:val="3A547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EA07E28"/>
    <w:multiLevelType w:val="multilevel"/>
    <w:tmpl w:val="3EA07E28"/>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40C621AF"/>
    <w:multiLevelType w:val="multilevel"/>
    <w:tmpl w:val="40C621AF"/>
    <w:lvl w:ilvl="0" w:tentative="0">
      <w:start w:val="1"/>
      <w:numFmt w:val="chineseCountingThousand"/>
      <w:lvlText w:val="%1."/>
      <w:lvlJc w:val="left"/>
      <w:pPr>
        <w:tabs>
          <w:tab w:val="left" w:pos="397"/>
        </w:tabs>
        <w:ind w:left="0" w:firstLine="510"/>
      </w:pPr>
      <w:rPr>
        <w:rFonts w:hint="eastAsia"/>
        <w:b/>
        <w:sz w:val="28"/>
        <w:szCs w:val="28"/>
      </w:rPr>
    </w:lvl>
    <w:lvl w:ilvl="1" w:tentative="0">
      <w:start w:val="1"/>
      <w:numFmt w:val="chineseCountingThousand"/>
      <w:lvlText w:val="（%2）"/>
      <w:lvlJc w:val="left"/>
      <w:pPr>
        <w:tabs>
          <w:tab w:val="left" w:pos="397"/>
        </w:tabs>
        <w:ind w:left="0" w:firstLine="397"/>
      </w:pPr>
      <w:rPr>
        <w:rFonts w:hint="eastAsia"/>
        <w:b/>
        <w:sz w:val="28"/>
        <w:szCs w:val="28"/>
        <w:lang w:val="en-US"/>
      </w:rPr>
    </w:lvl>
    <w:lvl w:ilvl="2" w:tentative="0">
      <w:start w:val="1"/>
      <w:numFmt w:val="decimal"/>
      <w:lvlText w:val="%3."/>
      <w:lvlJc w:val="left"/>
      <w:pPr>
        <w:tabs>
          <w:tab w:val="left" w:pos="427"/>
        </w:tabs>
        <w:ind w:left="30" w:firstLine="510"/>
      </w:pPr>
      <w:rPr>
        <w:rFonts w:hint="eastAsia" w:ascii="宋体" w:hAnsi="宋体" w:eastAsia="宋体"/>
        <w:b/>
      </w:rPr>
    </w:lvl>
    <w:lvl w:ilvl="3" w:tentative="0">
      <w:start w:val="1"/>
      <w:numFmt w:val="decimal"/>
      <w:lvlText w:val="%3.%4"/>
      <w:lvlJc w:val="left"/>
      <w:pPr>
        <w:tabs>
          <w:tab w:val="left" w:pos="510"/>
        </w:tabs>
        <w:ind w:left="0" w:firstLine="510"/>
      </w:pPr>
      <w:rPr>
        <w:rFonts w:hint="eastAsia"/>
        <w:b/>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6">
    <w:nsid w:val="50A340B7"/>
    <w:multiLevelType w:val="singleLevel"/>
    <w:tmpl w:val="50A340B7"/>
    <w:lvl w:ilvl="0" w:tentative="0">
      <w:start w:val="6"/>
      <w:numFmt w:val="chineseCounting"/>
      <w:suff w:val="nothing"/>
      <w:lvlText w:val="（%1）"/>
      <w:lvlJc w:val="left"/>
      <w:rPr>
        <w:rFonts w:hint="eastAsia"/>
      </w:rPr>
    </w:lvl>
  </w:abstractNum>
  <w:abstractNum w:abstractNumId="17">
    <w:nsid w:val="520E3086"/>
    <w:multiLevelType w:val="multilevel"/>
    <w:tmpl w:val="520E308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A38644"/>
    <w:multiLevelType w:val="singleLevel"/>
    <w:tmpl w:val="55A38644"/>
    <w:lvl w:ilvl="0" w:tentative="0">
      <w:start w:val="2"/>
      <w:numFmt w:val="chineseCounting"/>
      <w:suff w:val="nothing"/>
      <w:lvlText w:val="%1、"/>
      <w:lvlJc w:val="left"/>
    </w:lvl>
  </w:abstractNum>
  <w:abstractNum w:abstractNumId="19">
    <w:nsid w:val="55E91EBE"/>
    <w:multiLevelType w:val="multilevel"/>
    <w:tmpl w:val="55E91E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68A37D5"/>
    <w:multiLevelType w:val="singleLevel"/>
    <w:tmpl w:val="568A37D5"/>
    <w:lvl w:ilvl="0" w:tentative="0">
      <w:start w:val="2"/>
      <w:numFmt w:val="decimal"/>
      <w:suff w:val="nothing"/>
      <w:lvlText w:val="%1."/>
      <w:lvlJc w:val="left"/>
    </w:lvl>
  </w:abstractNum>
  <w:abstractNum w:abstractNumId="21">
    <w:nsid w:val="568A37E1"/>
    <w:multiLevelType w:val="singleLevel"/>
    <w:tmpl w:val="568A37E1"/>
    <w:lvl w:ilvl="0" w:tentative="0">
      <w:start w:val="3"/>
      <w:numFmt w:val="decimal"/>
      <w:suff w:val="nothing"/>
      <w:lvlText w:val="%1."/>
      <w:lvlJc w:val="left"/>
    </w:lvl>
  </w:abstractNum>
  <w:abstractNum w:abstractNumId="22">
    <w:nsid w:val="568A3A0C"/>
    <w:multiLevelType w:val="singleLevel"/>
    <w:tmpl w:val="568A3A0C"/>
    <w:lvl w:ilvl="0" w:tentative="0">
      <w:start w:val="3"/>
      <w:numFmt w:val="chineseCounting"/>
      <w:suff w:val="nothing"/>
      <w:lvlText w:val="（%1）"/>
      <w:lvlJc w:val="left"/>
    </w:lvl>
  </w:abstractNum>
  <w:abstractNum w:abstractNumId="23">
    <w:nsid w:val="5966CCFF"/>
    <w:multiLevelType w:val="singleLevel"/>
    <w:tmpl w:val="5966CCFF"/>
    <w:lvl w:ilvl="0" w:tentative="0">
      <w:start w:val="1"/>
      <w:numFmt w:val="chineseCounting"/>
      <w:suff w:val="space"/>
      <w:lvlText w:val="第%1章"/>
      <w:lvlJc w:val="left"/>
    </w:lvl>
  </w:abstractNum>
  <w:abstractNum w:abstractNumId="24">
    <w:nsid w:val="59705FFE"/>
    <w:multiLevelType w:val="singleLevel"/>
    <w:tmpl w:val="59705FFE"/>
    <w:lvl w:ilvl="0" w:tentative="0">
      <w:start w:val="2"/>
      <w:numFmt w:val="chineseCounting"/>
      <w:suff w:val="nothing"/>
      <w:lvlText w:val="（%1）"/>
      <w:lvlJc w:val="left"/>
    </w:lvl>
  </w:abstractNum>
  <w:num w:numId="1">
    <w:abstractNumId w:val="5"/>
  </w:num>
  <w:num w:numId="2">
    <w:abstractNumId w:val="23"/>
  </w:num>
  <w:num w:numId="3">
    <w:abstractNumId w:val="14"/>
  </w:num>
  <w:num w:numId="4">
    <w:abstractNumId w:val="7"/>
  </w:num>
  <w:num w:numId="5">
    <w:abstractNumId w:val="11"/>
  </w:num>
  <w:num w:numId="6">
    <w:abstractNumId w:val="2"/>
  </w:num>
  <w:num w:numId="7">
    <w:abstractNumId w:val="10"/>
  </w:num>
  <w:num w:numId="8">
    <w:abstractNumId w:val="8"/>
  </w:num>
  <w:num w:numId="9">
    <w:abstractNumId w:val="19"/>
  </w:num>
  <w:num w:numId="10">
    <w:abstractNumId w:val="9"/>
  </w:num>
  <w:num w:numId="11">
    <w:abstractNumId w:val="6"/>
  </w:num>
  <w:num w:numId="12">
    <w:abstractNumId w:val="4"/>
  </w:num>
  <w:num w:numId="13">
    <w:abstractNumId w:val="3"/>
  </w:num>
  <w:num w:numId="14">
    <w:abstractNumId w:val="12"/>
  </w:num>
  <w:num w:numId="15">
    <w:abstractNumId w:val="1"/>
  </w:num>
  <w:num w:numId="16">
    <w:abstractNumId w:val="24"/>
  </w:num>
  <w:num w:numId="17">
    <w:abstractNumId w:val="18"/>
  </w:num>
  <w:num w:numId="18">
    <w:abstractNumId w:val="16"/>
  </w:num>
  <w:num w:numId="19">
    <w:abstractNumId w:val="20"/>
  </w:num>
  <w:num w:numId="20">
    <w:abstractNumId w:val="21"/>
  </w:num>
  <w:num w:numId="21">
    <w:abstractNumId w:val="17"/>
  </w:num>
  <w:num w:numId="22">
    <w:abstractNumId w:val="15"/>
  </w:num>
  <w:num w:numId="23">
    <w:abstractNumId w:val="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8F"/>
    <w:rsid w:val="00016D03"/>
    <w:rsid w:val="00030092"/>
    <w:rsid w:val="00030EB5"/>
    <w:rsid w:val="00032F7E"/>
    <w:rsid w:val="00035086"/>
    <w:rsid w:val="000417B7"/>
    <w:rsid w:val="00082892"/>
    <w:rsid w:val="00086A14"/>
    <w:rsid w:val="000A3A8F"/>
    <w:rsid w:val="000A597D"/>
    <w:rsid w:val="000B621C"/>
    <w:rsid w:val="000F1EF0"/>
    <w:rsid w:val="00100DA9"/>
    <w:rsid w:val="00127958"/>
    <w:rsid w:val="0013300B"/>
    <w:rsid w:val="001566B7"/>
    <w:rsid w:val="00157CDB"/>
    <w:rsid w:val="00172222"/>
    <w:rsid w:val="001862D2"/>
    <w:rsid w:val="001B5F7C"/>
    <w:rsid w:val="001D68B3"/>
    <w:rsid w:val="001D73DE"/>
    <w:rsid w:val="002071CF"/>
    <w:rsid w:val="00213F86"/>
    <w:rsid w:val="002157DB"/>
    <w:rsid w:val="002379AE"/>
    <w:rsid w:val="00243E0F"/>
    <w:rsid w:val="00246810"/>
    <w:rsid w:val="00253BA6"/>
    <w:rsid w:val="00254327"/>
    <w:rsid w:val="002804DE"/>
    <w:rsid w:val="0029607C"/>
    <w:rsid w:val="002E702A"/>
    <w:rsid w:val="00324D09"/>
    <w:rsid w:val="00350121"/>
    <w:rsid w:val="00365E67"/>
    <w:rsid w:val="0037196F"/>
    <w:rsid w:val="00372DE7"/>
    <w:rsid w:val="00381BEE"/>
    <w:rsid w:val="00383759"/>
    <w:rsid w:val="00391122"/>
    <w:rsid w:val="00394A28"/>
    <w:rsid w:val="00394D9B"/>
    <w:rsid w:val="003A15E1"/>
    <w:rsid w:val="003A38BF"/>
    <w:rsid w:val="003D24CC"/>
    <w:rsid w:val="003D2DE6"/>
    <w:rsid w:val="003F1ABB"/>
    <w:rsid w:val="003F47F0"/>
    <w:rsid w:val="00412FAF"/>
    <w:rsid w:val="00415656"/>
    <w:rsid w:val="00430042"/>
    <w:rsid w:val="0043279F"/>
    <w:rsid w:val="0046795A"/>
    <w:rsid w:val="004941D8"/>
    <w:rsid w:val="004B68C5"/>
    <w:rsid w:val="004B7015"/>
    <w:rsid w:val="00511497"/>
    <w:rsid w:val="00526D5E"/>
    <w:rsid w:val="00566BEB"/>
    <w:rsid w:val="005749F5"/>
    <w:rsid w:val="005754F8"/>
    <w:rsid w:val="005767EE"/>
    <w:rsid w:val="00590B72"/>
    <w:rsid w:val="005A4B23"/>
    <w:rsid w:val="005B49F3"/>
    <w:rsid w:val="00610D7D"/>
    <w:rsid w:val="0061328F"/>
    <w:rsid w:val="006262AB"/>
    <w:rsid w:val="00631051"/>
    <w:rsid w:val="0064148D"/>
    <w:rsid w:val="0068501F"/>
    <w:rsid w:val="006A013C"/>
    <w:rsid w:val="006A2C0A"/>
    <w:rsid w:val="006A3EFC"/>
    <w:rsid w:val="006B551B"/>
    <w:rsid w:val="006B76EB"/>
    <w:rsid w:val="006C4B00"/>
    <w:rsid w:val="006E762E"/>
    <w:rsid w:val="006F75BA"/>
    <w:rsid w:val="00712E44"/>
    <w:rsid w:val="00713807"/>
    <w:rsid w:val="00715263"/>
    <w:rsid w:val="007276B2"/>
    <w:rsid w:val="00735E21"/>
    <w:rsid w:val="0073700C"/>
    <w:rsid w:val="0074392D"/>
    <w:rsid w:val="007454B6"/>
    <w:rsid w:val="0075704E"/>
    <w:rsid w:val="00761563"/>
    <w:rsid w:val="007730D9"/>
    <w:rsid w:val="00774F99"/>
    <w:rsid w:val="00793C26"/>
    <w:rsid w:val="007B0ECD"/>
    <w:rsid w:val="007B563C"/>
    <w:rsid w:val="007D7B20"/>
    <w:rsid w:val="007E0E98"/>
    <w:rsid w:val="007F07CC"/>
    <w:rsid w:val="00821653"/>
    <w:rsid w:val="00835FA3"/>
    <w:rsid w:val="00840473"/>
    <w:rsid w:val="00857C44"/>
    <w:rsid w:val="0086539C"/>
    <w:rsid w:val="008750A8"/>
    <w:rsid w:val="0088394F"/>
    <w:rsid w:val="008E1F37"/>
    <w:rsid w:val="008F3033"/>
    <w:rsid w:val="008F6BCE"/>
    <w:rsid w:val="00904F0F"/>
    <w:rsid w:val="0091271B"/>
    <w:rsid w:val="0092363B"/>
    <w:rsid w:val="00930343"/>
    <w:rsid w:val="009370F9"/>
    <w:rsid w:val="00957A98"/>
    <w:rsid w:val="00986980"/>
    <w:rsid w:val="009A3FF9"/>
    <w:rsid w:val="009D2725"/>
    <w:rsid w:val="009E4857"/>
    <w:rsid w:val="009E4B9D"/>
    <w:rsid w:val="009E5F4A"/>
    <w:rsid w:val="009F7005"/>
    <w:rsid w:val="00A00F59"/>
    <w:rsid w:val="00A20B39"/>
    <w:rsid w:val="00A423F3"/>
    <w:rsid w:val="00A5763F"/>
    <w:rsid w:val="00A75975"/>
    <w:rsid w:val="00A87A2F"/>
    <w:rsid w:val="00AB0889"/>
    <w:rsid w:val="00AD2FAB"/>
    <w:rsid w:val="00AD7534"/>
    <w:rsid w:val="00AE2902"/>
    <w:rsid w:val="00AE2B79"/>
    <w:rsid w:val="00AF3EAC"/>
    <w:rsid w:val="00AF51D3"/>
    <w:rsid w:val="00B01E1F"/>
    <w:rsid w:val="00B0302F"/>
    <w:rsid w:val="00B13984"/>
    <w:rsid w:val="00B518CE"/>
    <w:rsid w:val="00B65708"/>
    <w:rsid w:val="00B7283B"/>
    <w:rsid w:val="00B85DAF"/>
    <w:rsid w:val="00B949E8"/>
    <w:rsid w:val="00BA0625"/>
    <w:rsid w:val="00BB5422"/>
    <w:rsid w:val="00BC3D76"/>
    <w:rsid w:val="00BD77F4"/>
    <w:rsid w:val="00BE0AEB"/>
    <w:rsid w:val="00BE234E"/>
    <w:rsid w:val="00C101BB"/>
    <w:rsid w:val="00C1247C"/>
    <w:rsid w:val="00C260DB"/>
    <w:rsid w:val="00C3791F"/>
    <w:rsid w:val="00C644B1"/>
    <w:rsid w:val="00C813C9"/>
    <w:rsid w:val="00CB2928"/>
    <w:rsid w:val="00CC2093"/>
    <w:rsid w:val="00D06398"/>
    <w:rsid w:val="00D20601"/>
    <w:rsid w:val="00D22380"/>
    <w:rsid w:val="00D30AB7"/>
    <w:rsid w:val="00D71C42"/>
    <w:rsid w:val="00D731B5"/>
    <w:rsid w:val="00D817D7"/>
    <w:rsid w:val="00D90BFD"/>
    <w:rsid w:val="00DA375F"/>
    <w:rsid w:val="00DB61A8"/>
    <w:rsid w:val="00DB69AE"/>
    <w:rsid w:val="00DC286A"/>
    <w:rsid w:val="00E00931"/>
    <w:rsid w:val="00E0600F"/>
    <w:rsid w:val="00E17F3E"/>
    <w:rsid w:val="00E414FA"/>
    <w:rsid w:val="00E6140F"/>
    <w:rsid w:val="00E73B32"/>
    <w:rsid w:val="00E76FA9"/>
    <w:rsid w:val="00E8193F"/>
    <w:rsid w:val="00EA0519"/>
    <w:rsid w:val="00EA7471"/>
    <w:rsid w:val="00EB3B05"/>
    <w:rsid w:val="00EC4C2F"/>
    <w:rsid w:val="00EE59AD"/>
    <w:rsid w:val="00EE7C97"/>
    <w:rsid w:val="00EF61F6"/>
    <w:rsid w:val="00F16DA7"/>
    <w:rsid w:val="00F22E3B"/>
    <w:rsid w:val="00F239ED"/>
    <w:rsid w:val="00F247AE"/>
    <w:rsid w:val="00F3134C"/>
    <w:rsid w:val="00F31B7F"/>
    <w:rsid w:val="00F54B5D"/>
    <w:rsid w:val="00F55484"/>
    <w:rsid w:val="00F56D3F"/>
    <w:rsid w:val="00F572C8"/>
    <w:rsid w:val="00FA3C9B"/>
    <w:rsid w:val="00FC6ABE"/>
    <w:rsid w:val="00FC72D7"/>
    <w:rsid w:val="00FD1E96"/>
    <w:rsid w:val="00FF36C9"/>
    <w:rsid w:val="01345152"/>
    <w:rsid w:val="013D142C"/>
    <w:rsid w:val="01733675"/>
    <w:rsid w:val="01894C2E"/>
    <w:rsid w:val="01AE6CAC"/>
    <w:rsid w:val="01BF64C6"/>
    <w:rsid w:val="01C050BC"/>
    <w:rsid w:val="01F21ACF"/>
    <w:rsid w:val="020055E5"/>
    <w:rsid w:val="0212244C"/>
    <w:rsid w:val="023600E6"/>
    <w:rsid w:val="024A083A"/>
    <w:rsid w:val="0298739E"/>
    <w:rsid w:val="02CB6893"/>
    <w:rsid w:val="03A40DF0"/>
    <w:rsid w:val="03C94369"/>
    <w:rsid w:val="04B10325"/>
    <w:rsid w:val="05746CB5"/>
    <w:rsid w:val="05F43269"/>
    <w:rsid w:val="06335083"/>
    <w:rsid w:val="063B70CA"/>
    <w:rsid w:val="064F4B8C"/>
    <w:rsid w:val="06866968"/>
    <w:rsid w:val="078F7669"/>
    <w:rsid w:val="08025EE8"/>
    <w:rsid w:val="083D7015"/>
    <w:rsid w:val="085944B5"/>
    <w:rsid w:val="088502AF"/>
    <w:rsid w:val="08880F88"/>
    <w:rsid w:val="09692E5B"/>
    <w:rsid w:val="096F0BA3"/>
    <w:rsid w:val="097D2D78"/>
    <w:rsid w:val="09822210"/>
    <w:rsid w:val="09AE1DBC"/>
    <w:rsid w:val="09FE40F2"/>
    <w:rsid w:val="0A140850"/>
    <w:rsid w:val="0A1D069C"/>
    <w:rsid w:val="0A255438"/>
    <w:rsid w:val="0A756C54"/>
    <w:rsid w:val="0AC9609A"/>
    <w:rsid w:val="0B713A86"/>
    <w:rsid w:val="0BAB5D37"/>
    <w:rsid w:val="0BE109F1"/>
    <w:rsid w:val="0BF9582F"/>
    <w:rsid w:val="0C515875"/>
    <w:rsid w:val="0CB362CE"/>
    <w:rsid w:val="0CB63C50"/>
    <w:rsid w:val="0CF90120"/>
    <w:rsid w:val="0D461258"/>
    <w:rsid w:val="0D584D84"/>
    <w:rsid w:val="0DA402E2"/>
    <w:rsid w:val="0DAA03F5"/>
    <w:rsid w:val="0DD47401"/>
    <w:rsid w:val="0DDC5BA0"/>
    <w:rsid w:val="0DE5623F"/>
    <w:rsid w:val="0DED63A4"/>
    <w:rsid w:val="0DF178B9"/>
    <w:rsid w:val="0E5118F2"/>
    <w:rsid w:val="0EF15A64"/>
    <w:rsid w:val="0F0844D4"/>
    <w:rsid w:val="0F1F76FF"/>
    <w:rsid w:val="0F717D53"/>
    <w:rsid w:val="0F7B1FDB"/>
    <w:rsid w:val="103F2148"/>
    <w:rsid w:val="106D0509"/>
    <w:rsid w:val="1096342F"/>
    <w:rsid w:val="10FC223B"/>
    <w:rsid w:val="114E4FF5"/>
    <w:rsid w:val="12414B7B"/>
    <w:rsid w:val="125A01E8"/>
    <w:rsid w:val="12DB3CB8"/>
    <w:rsid w:val="13096D9E"/>
    <w:rsid w:val="13483D00"/>
    <w:rsid w:val="140D2E34"/>
    <w:rsid w:val="142274A2"/>
    <w:rsid w:val="14460444"/>
    <w:rsid w:val="14A41209"/>
    <w:rsid w:val="14CB2EDC"/>
    <w:rsid w:val="14D31C79"/>
    <w:rsid w:val="15140116"/>
    <w:rsid w:val="156F11E7"/>
    <w:rsid w:val="16110B47"/>
    <w:rsid w:val="16297223"/>
    <w:rsid w:val="166A074A"/>
    <w:rsid w:val="17442461"/>
    <w:rsid w:val="174A47DE"/>
    <w:rsid w:val="176B6C4C"/>
    <w:rsid w:val="17BC11AC"/>
    <w:rsid w:val="18495739"/>
    <w:rsid w:val="188C7A05"/>
    <w:rsid w:val="18A654C8"/>
    <w:rsid w:val="192E1910"/>
    <w:rsid w:val="19345F7D"/>
    <w:rsid w:val="195673A7"/>
    <w:rsid w:val="19C834AA"/>
    <w:rsid w:val="19D45CAB"/>
    <w:rsid w:val="1AB60AB7"/>
    <w:rsid w:val="1B18274A"/>
    <w:rsid w:val="1B261D29"/>
    <w:rsid w:val="1B455D8B"/>
    <w:rsid w:val="1B646781"/>
    <w:rsid w:val="1C154E27"/>
    <w:rsid w:val="1C247D55"/>
    <w:rsid w:val="1CAE1D0C"/>
    <w:rsid w:val="1CC901F7"/>
    <w:rsid w:val="1CCB2A98"/>
    <w:rsid w:val="1CEC0234"/>
    <w:rsid w:val="1D247134"/>
    <w:rsid w:val="1D7C6699"/>
    <w:rsid w:val="1D99748B"/>
    <w:rsid w:val="1DD4067B"/>
    <w:rsid w:val="1DEC0914"/>
    <w:rsid w:val="1E3701B6"/>
    <w:rsid w:val="1ED86FEF"/>
    <w:rsid w:val="1EE91C90"/>
    <w:rsid w:val="1F642D10"/>
    <w:rsid w:val="1FCA7095"/>
    <w:rsid w:val="1FFC0374"/>
    <w:rsid w:val="1FFC18F4"/>
    <w:rsid w:val="2081339A"/>
    <w:rsid w:val="20902D2C"/>
    <w:rsid w:val="210D40E2"/>
    <w:rsid w:val="22050F08"/>
    <w:rsid w:val="22D25B4D"/>
    <w:rsid w:val="233F0D58"/>
    <w:rsid w:val="235E3555"/>
    <w:rsid w:val="238846EA"/>
    <w:rsid w:val="23BB026B"/>
    <w:rsid w:val="23F54D43"/>
    <w:rsid w:val="24490CCD"/>
    <w:rsid w:val="24547366"/>
    <w:rsid w:val="24D72C8D"/>
    <w:rsid w:val="24E56912"/>
    <w:rsid w:val="25381C6C"/>
    <w:rsid w:val="25402F80"/>
    <w:rsid w:val="25596717"/>
    <w:rsid w:val="25766EDE"/>
    <w:rsid w:val="25D41F40"/>
    <w:rsid w:val="26B50836"/>
    <w:rsid w:val="26D14553"/>
    <w:rsid w:val="26DC2649"/>
    <w:rsid w:val="26F5689B"/>
    <w:rsid w:val="27070B61"/>
    <w:rsid w:val="271B2615"/>
    <w:rsid w:val="274D553B"/>
    <w:rsid w:val="274F617F"/>
    <w:rsid w:val="27FE0A09"/>
    <w:rsid w:val="280B7B6F"/>
    <w:rsid w:val="280E0675"/>
    <w:rsid w:val="2813130F"/>
    <w:rsid w:val="281E75EE"/>
    <w:rsid w:val="281F524A"/>
    <w:rsid w:val="29413DE5"/>
    <w:rsid w:val="2950455C"/>
    <w:rsid w:val="298D578D"/>
    <w:rsid w:val="29A06369"/>
    <w:rsid w:val="29AD0C4B"/>
    <w:rsid w:val="29EB46DF"/>
    <w:rsid w:val="2A3A6520"/>
    <w:rsid w:val="2A9F71BE"/>
    <w:rsid w:val="2AC906F9"/>
    <w:rsid w:val="2AE77C5A"/>
    <w:rsid w:val="2B173391"/>
    <w:rsid w:val="2B225C93"/>
    <w:rsid w:val="2B600C41"/>
    <w:rsid w:val="2BBB157D"/>
    <w:rsid w:val="2BDE7176"/>
    <w:rsid w:val="2BF46BC9"/>
    <w:rsid w:val="2BFB709B"/>
    <w:rsid w:val="2C4B1799"/>
    <w:rsid w:val="2C7D7C93"/>
    <w:rsid w:val="2CC82F03"/>
    <w:rsid w:val="2D1364EF"/>
    <w:rsid w:val="2D1819BE"/>
    <w:rsid w:val="2D4F71F2"/>
    <w:rsid w:val="2DD50BC5"/>
    <w:rsid w:val="2DD8079F"/>
    <w:rsid w:val="2DE050FD"/>
    <w:rsid w:val="2E40799B"/>
    <w:rsid w:val="2E755B30"/>
    <w:rsid w:val="2EB54105"/>
    <w:rsid w:val="2EC24B29"/>
    <w:rsid w:val="2ED842D8"/>
    <w:rsid w:val="2EDA6942"/>
    <w:rsid w:val="2EDB7060"/>
    <w:rsid w:val="2EDF1160"/>
    <w:rsid w:val="2F48644C"/>
    <w:rsid w:val="2F5F70FF"/>
    <w:rsid w:val="2F6F4E6E"/>
    <w:rsid w:val="2F8006B0"/>
    <w:rsid w:val="2FC759AD"/>
    <w:rsid w:val="2FF93AED"/>
    <w:rsid w:val="30622140"/>
    <w:rsid w:val="30DA2F9E"/>
    <w:rsid w:val="317F57D6"/>
    <w:rsid w:val="31A417A7"/>
    <w:rsid w:val="31C33284"/>
    <w:rsid w:val="32954668"/>
    <w:rsid w:val="32E90F89"/>
    <w:rsid w:val="32ED6FE8"/>
    <w:rsid w:val="32EF49E0"/>
    <w:rsid w:val="332512B9"/>
    <w:rsid w:val="3402128D"/>
    <w:rsid w:val="34172851"/>
    <w:rsid w:val="34282F6B"/>
    <w:rsid w:val="34DA7A32"/>
    <w:rsid w:val="35935F80"/>
    <w:rsid w:val="35B469F6"/>
    <w:rsid w:val="35D831CC"/>
    <w:rsid w:val="364051FE"/>
    <w:rsid w:val="372473BA"/>
    <w:rsid w:val="375868E7"/>
    <w:rsid w:val="376912C4"/>
    <w:rsid w:val="37B52A68"/>
    <w:rsid w:val="37B76065"/>
    <w:rsid w:val="37BC0DCC"/>
    <w:rsid w:val="37EF4F4E"/>
    <w:rsid w:val="3822676A"/>
    <w:rsid w:val="384B7D55"/>
    <w:rsid w:val="385E005E"/>
    <w:rsid w:val="389D0DF3"/>
    <w:rsid w:val="38A04301"/>
    <w:rsid w:val="38EB3CF6"/>
    <w:rsid w:val="390A01C2"/>
    <w:rsid w:val="392B5F4B"/>
    <w:rsid w:val="39803E62"/>
    <w:rsid w:val="39C173A4"/>
    <w:rsid w:val="39CD2B5F"/>
    <w:rsid w:val="3A03092E"/>
    <w:rsid w:val="3A0F0A6E"/>
    <w:rsid w:val="3A3B4D1A"/>
    <w:rsid w:val="3AF5728D"/>
    <w:rsid w:val="3B576416"/>
    <w:rsid w:val="3BC2138C"/>
    <w:rsid w:val="3C9C4AD1"/>
    <w:rsid w:val="3CD013DE"/>
    <w:rsid w:val="3D331D29"/>
    <w:rsid w:val="3D5E5C57"/>
    <w:rsid w:val="3D600BB6"/>
    <w:rsid w:val="3D847724"/>
    <w:rsid w:val="3DAF7535"/>
    <w:rsid w:val="3E656438"/>
    <w:rsid w:val="3E6C3D76"/>
    <w:rsid w:val="3E6D1996"/>
    <w:rsid w:val="3E716C7E"/>
    <w:rsid w:val="3EC179C2"/>
    <w:rsid w:val="3EC93EB0"/>
    <w:rsid w:val="3F015295"/>
    <w:rsid w:val="3F1921D5"/>
    <w:rsid w:val="3F47007E"/>
    <w:rsid w:val="3F512972"/>
    <w:rsid w:val="3F73339A"/>
    <w:rsid w:val="3FB07FA9"/>
    <w:rsid w:val="3FEA64D1"/>
    <w:rsid w:val="3FFF343F"/>
    <w:rsid w:val="4006748A"/>
    <w:rsid w:val="40C82D2E"/>
    <w:rsid w:val="40F607E3"/>
    <w:rsid w:val="41881FA8"/>
    <w:rsid w:val="41987331"/>
    <w:rsid w:val="430660E3"/>
    <w:rsid w:val="43617335"/>
    <w:rsid w:val="43C034A3"/>
    <w:rsid w:val="43CF6918"/>
    <w:rsid w:val="43D67057"/>
    <w:rsid w:val="43F57C9E"/>
    <w:rsid w:val="43F70007"/>
    <w:rsid w:val="446976EB"/>
    <w:rsid w:val="446D2878"/>
    <w:rsid w:val="449E624B"/>
    <w:rsid w:val="44F64C18"/>
    <w:rsid w:val="450D119C"/>
    <w:rsid w:val="451312BE"/>
    <w:rsid w:val="455A3309"/>
    <w:rsid w:val="45660472"/>
    <w:rsid w:val="456B7CF4"/>
    <w:rsid w:val="45C3653A"/>
    <w:rsid w:val="46212E4F"/>
    <w:rsid w:val="46754841"/>
    <w:rsid w:val="467E39BB"/>
    <w:rsid w:val="46EA3AC1"/>
    <w:rsid w:val="470752EE"/>
    <w:rsid w:val="472F3E99"/>
    <w:rsid w:val="474A341E"/>
    <w:rsid w:val="474C226E"/>
    <w:rsid w:val="476B442E"/>
    <w:rsid w:val="47B130F6"/>
    <w:rsid w:val="47CD0304"/>
    <w:rsid w:val="48296957"/>
    <w:rsid w:val="485E09D3"/>
    <w:rsid w:val="48736640"/>
    <w:rsid w:val="48CB41EE"/>
    <w:rsid w:val="493B56A4"/>
    <w:rsid w:val="49533CBF"/>
    <w:rsid w:val="49C60341"/>
    <w:rsid w:val="4A132959"/>
    <w:rsid w:val="4A162D7F"/>
    <w:rsid w:val="4A1B52A9"/>
    <w:rsid w:val="4B067B83"/>
    <w:rsid w:val="4B501CAE"/>
    <w:rsid w:val="4B683617"/>
    <w:rsid w:val="4BFB20BF"/>
    <w:rsid w:val="4C275AC2"/>
    <w:rsid w:val="4C7804F6"/>
    <w:rsid w:val="4CA94840"/>
    <w:rsid w:val="4CB81AD5"/>
    <w:rsid w:val="4CC06E90"/>
    <w:rsid w:val="4CDE3FA9"/>
    <w:rsid w:val="4D082370"/>
    <w:rsid w:val="4D591B49"/>
    <w:rsid w:val="4DC9758F"/>
    <w:rsid w:val="4DD76765"/>
    <w:rsid w:val="4E362474"/>
    <w:rsid w:val="4E52623C"/>
    <w:rsid w:val="4E7579A6"/>
    <w:rsid w:val="4FF37C3E"/>
    <w:rsid w:val="50076E1C"/>
    <w:rsid w:val="508A58F6"/>
    <w:rsid w:val="50E8342D"/>
    <w:rsid w:val="50EB6686"/>
    <w:rsid w:val="5121284B"/>
    <w:rsid w:val="51B253AF"/>
    <w:rsid w:val="51D61032"/>
    <w:rsid w:val="520D660B"/>
    <w:rsid w:val="523039EF"/>
    <w:rsid w:val="52392A30"/>
    <w:rsid w:val="524F6B8B"/>
    <w:rsid w:val="525A6C8C"/>
    <w:rsid w:val="52AE6098"/>
    <w:rsid w:val="531412CF"/>
    <w:rsid w:val="53493BD6"/>
    <w:rsid w:val="53BB615A"/>
    <w:rsid w:val="542B7B9B"/>
    <w:rsid w:val="542F4B27"/>
    <w:rsid w:val="549A6BBC"/>
    <w:rsid w:val="5514509E"/>
    <w:rsid w:val="56293E14"/>
    <w:rsid w:val="56691940"/>
    <w:rsid w:val="56A000EC"/>
    <w:rsid w:val="56F23910"/>
    <w:rsid w:val="57115D5D"/>
    <w:rsid w:val="577C0B71"/>
    <w:rsid w:val="57CD7CED"/>
    <w:rsid w:val="584E56A9"/>
    <w:rsid w:val="595C4FA3"/>
    <w:rsid w:val="596B0F80"/>
    <w:rsid w:val="59B55A74"/>
    <w:rsid w:val="5A165ADB"/>
    <w:rsid w:val="5A340C90"/>
    <w:rsid w:val="5A47348E"/>
    <w:rsid w:val="5A577C19"/>
    <w:rsid w:val="5AE14981"/>
    <w:rsid w:val="5B401D86"/>
    <w:rsid w:val="5BAC4698"/>
    <w:rsid w:val="5BBA2F12"/>
    <w:rsid w:val="5C2A6419"/>
    <w:rsid w:val="5C6851BC"/>
    <w:rsid w:val="5C830363"/>
    <w:rsid w:val="5CAB1F27"/>
    <w:rsid w:val="5D140FAC"/>
    <w:rsid w:val="5D4276FC"/>
    <w:rsid w:val="5D431242"/>
    <w:rsid w:val="5D477678"/>
    <w:rsid w:val="5E254733"/>
    <w:rsid w:val="5E64381D"/>
    <w:rsid w:val="5EBC3A22"/>
    <w:rsid w:val="5EF14BCF"/>
    <w:rsid w:val="5F4731CC"/>
    <w:rsid w:val="5F865CB4"/>
    <w:rsid w:val="5FB914B0"/>
    <w:rsid w:val="5FC835A0"/>
    <w:rsid w:val="604D3B18"/>
    <w:rsid w:val="609406F0"/>
    <w:rsid w:val="6129525A"/>
    <w:rsid w:val="613D4BC7"/>
    <w:rsid w:val="61556C0A"/>
    <w:rsid w:val="61C86F07"/>
    <w:rsid w:val="61FD09AA"/>
    <w:rsid w:val="62E001FA"/>
    <w:rsid w:val="63153798"/>
    <w:rsid w:val="6379779F"/>
    <w:rsid w:val="63F14C43"/>
    <w:rsid w:val="644A1104"/>
    <w:rsid w:val="64A077D0"/>
    <w:rsid w:val="64B7111A"/>
    <w:rsid w:val="659907BC"/>
    <w:rsid w:val="659C5577"/>
    <w:rsid w:val="660E2E4C"/>
    <w:rsid w:val="66874BD2"/>
    <w:rsid w:val="6698152D"/>
    <w:rsid w:val="66B806FA"/>
    <w:rsid w:val="66C027BC"/>
    <w:rsid w:val="670055A8"/>
    <w:rsid w:val="675863D3"/>
    <w:rsid w:val="677C1642"/>
    <w:rsid w:val="67E51BFB"/>
    <w:rsid w:val="67F03D90"/>
    <w:rsid w:val="68453AB0"/>
    <w:rsid w:val="688B1C92"/>
    <w:rsid w:val="68F66F35"/>
    <w:rsid w:val="69440391"/>
    <w:rsid w:val="69464ADF"/>
    <w:rsid w:val="69DC4A17"/>
    <w:rsid w:val="6A002C10"/>
    <w:rsid w:val="6A01393C"/>
    <w:rsid w:val="6A3E6D7D"/>
    <w:rsid w:val="6A5D4BE3"/>
    <w:rsid w:val="6AA31445"/>
    <w:rsid w:val="6AAD7945"/>
    <w:rsid w:val="6ADE1D95"/>
    <w:rsid w:val="6B3A1703"/>
    <w:rsid w:val="6B656420"/>
    <w:rsid w:val="6B88026D"/>
    <w:rsid w:val="6BBC7535"/>
    <w:rsid w:val="6BF55E58"/>
    <w:rsid w:val="6C0A5D4D"/>
    <w:rsid w:val="6C0B0331"/>
    <w:rsid w:val="6C7F7610"/>
    <w:rsid w:val="6D154C1B"/>
    <w:rsid w:val="6D1571F0"/>
    <w:rsid w:val="6D6516E7"/>
    <w:rsid w:val="6DA14039"/>
    <w:rsid w:val="6DDB3642"/>
    <w:rsid w:val="6E1105DC"/>
    <w:rsid w:val="6E5A0E50"/>
    <w:rsid w:val="6E7F33B8"/>
    <w:rsid w:val="6E8D298A"/>
    <w:rsid w:val="6ECB2541"/>
    <w:rsid w:val="6ECC2CB4"/>
    <w:rsid w:val="6EDA7AE9"/>
    <w:rsid w:val="6EE6656B"/>
    <w:rsid w:val="6F013CD8"/>
    <w:rsid w:val="6F1D3874"/>
    <w:rsid w:val="6FDF5046"/>
    <w:rsid w:val="70430BBA"/>
    <w:rsid w:val="7092259B"/>
    <w:rsid w:val="710B7202"/>
    <w:rsid w:val="710C399C"/>
    <w:rsid w:val="71365D90"/>
    <w:rsid w:val="722024BA"/>
    <w:rsid w:val="7241496F"/>
    <w:rsid w:val="72713DE0"/>
    <w:rsid w:val="72B50BD5"/>
    <w:rsid w:val="73303256"/>
    <w:rsid w:val="73371D10"/>
    <w:rsid w:val="739F4DF4"/>
    <w:rsid w:val="73FC0479"/>
    <w:rsid w:val="74173B1D"/>
    <w:rsid w:val="74577453"/>
    <w:rsid w:val="74D2429F"/>
    <w:rsid w:val="75440303"/>
    <w:rsid w:val="755941B6"/>
    <w:rsid w:val="75645631"/>
    <w:rsid w:val="75E426C0"/>
    <w:rsid w:val="75E8A43B"/>
    <w:rsid w:val="762D5583"/>
    <w:rsid w:val="76522336"/>
    <w:rsid w:val="7666259A"/>
    <w:rsid w:val="7683429C"/>
    <w:rsid w:val="76B655F4"/>
    <w:rsid w:val="76C24C38"/>
    <w:rsid w:val="76E71FCD"/>
    <w:rsid w:val="76F10521"/>
    <w:rsid w:val="76FB0840"/>
    <w:rsid w:val="771E4080"/>
    <w:rsid w:val="77B96732"/>
    <w:rsid w:val="77BE757B"/>
    <w:rsid w:val="77F4BF1A"/>
    <w:rsid w:val="781B4BBD"/>
    <w:rsid w:val="7843007C"/>
    <w:rsid w:val="78662CEA"/>
    <w:rsid w:val="7883285E"/>
    <w:rsid w:val="789E20B4"/>
    <w:rsid w:val="78C87EB9"/>
    <w:rsid w:val="79066D1E"/>
    <w:rsid w:val="79113D73"/>
    <w:rsid w:val="79115A24"/>
    <w:rsid w:val="79137D58"/>
    <w:rsid w:val="79372461"/>
    <w:rsid w:val="79DC4948"/>
    <w:rsid w:val="79F72D18"/>
    <w:rsid w:val="79FF2355"/>
    <w:rsid w:val="7A080E9D"/>
    <w:rsid w:val="7A311154"/>
    <w:rsid w:val="7A4740A9"/>
    <w:rsid w:val="7A8E40D3"/>
    <w:rsid w:val="7A987F20"/>
    <w:rsid w:val="7A9B094E"/>
    <w:rsid w:val="7AB54050"/>
    <w:rsid w:val="7AEF2159"/>
    <w:rsid w:val="7B381669"/>
    <w:rsid w:val="7B726563"/>
    <w:rsid w:val="7B7F8C8C"/>
    <w:rsid w:val="7BB372E1"/>
    <w:rsid w:val="7C336A20"/>
    <w:rsid w:val="7C5C4632"/>
    <w:rsid w:val="7CA25F23"/>
    <w:rsid w:val="7CB96E7F"/>
    <w:rsid w:val="7D3D6EC9"/>
    <w:rsid w:val="7D4A4BCF"/>
    <w:rsid w:val="7D6C5685"/>
    <w:rsid w:val="7DB81694"/>
    <w:rsid w:val="7DC34AA7"/>
    <w:rsid w:val="7DCF7006"/>
    <w:rsid w:val="7E2A65B0"/>
    <w:rsid w:val="7E2D7882"/>
    <w:rsid w:val="7E31712B"/>
    <w:rsid w:val="7E581478"/>
    <w:rsid w:val="7EBF9E8C"/>
    <w:rsid w:val="7ED47522"/>
    <w:rsid w:val="7EED6F8B"/>
    <w:rsid w:val="7EFA6CA5"/>
    <w:rsid w:val="7F073C10"/>
    <w:rsid w:val="7F11224C"/>
    <w:rsid w:val="7F457A45"/>
    <w:rsid w:val="7F544DA7"/>
    <w:rsid w:val="7F7F6EC1"/>
    <w:rsid w:val="7FA94841"/>
    <w:rsid w:val="7FB21A4C"/>
    <w:rsid w:val="7FE521A5"/>
    <w:rsid w:val="7FE76F71"/>
    <w:rsid w:val="9EDF306A"/>
    <w:rsid w:val="C41DE464"/>
    <w:rsid w:val="DB2E5915"/>
    <w:rsid w:val="F5BF4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45"/>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46"/>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link w:val="47"/>
    <w:qFormat/>
    <w:uiPriority w:val="0"/>
    <w:pPr>
      <w:keepNext/>
      <w:keepLines/>
      <w:spacing w:before="260" w:after="260" w:line="416" w:lineRule="atLeast"/>
      <w:outlineLvl w:val="2"/>
    </w:pPr>
    <w:rPr>
      <w:b/>
      <w:bCs/>
      <w:sz w:val="32"/>
      <w:szCs w:val="32"/>
    </w:rPr>
  </w:style>
  <w:style w:type="paragraph" w:styleId="7">
    <w:name w:val="heading 4"/>
    <w:basedOn w:val="1"/>
    <w:next w:val="1"/>
    <w:link w:val="48"/>
    <w:qFormat/>
    <w:uiPriority w:val="0"/>
    <w:pPr>
      <w:keepNext/>
      <w:keepLines/>
      <w:spacing w:before="280" w:after="290" w:line="376" w:lineRule="atLeast"/>
      <w:outlineLvl w:val="3"/>
    </w:pPr>
    <w:rPr>
      <w:rFonts w:ascii="Arial" w:hAnsi="Arial" w:eastAsia="黑体"/>
      <w:b/>
      <w:bCs/>
      <w:sz w:val="28"/>
      <w:szCs w:val="28"/>
    </w:rPr>
  </w:style>
  <w:style w:type="paragraph" w:styleId="8">
    <w:name w:val="heading 5"/>
    <w:basedOn w:val="1"/>
    <w:next w:val="1"/>
    <w:link w:val="49"/>
    <w:qFormat/>
    <w:uiPriority w:val="0"/>
    <w:pPr>
      <w:keepNext/>
      <w:keepLines/>
      <w:spacing w:before="280" w:after="290" w:line="376" w:lineRule="atLeast"/>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ind w:firstLine="420"/>
    </w:pPr>
    <w:rPr>
      <w:kern w:val="2"/>
      <w:sz w:val="21"/>
    </w:rPr>
  </w:style>
  <w:style w:type="paragraph" w:styleId="9">
    <w:name w:val="toc 7"/>
    <w:basedOn w:val="1"/>
    <w:next w:val="1"/>
    <w:qFormat/>
    <w:uiPriority w:val="0"/>
    <w:pPr>
      <w:adjustRightInd/>
      <w:spacing w:line="240" w:lineRule="auto"/>
      <w:ind w:left="2520" w:leftChars="1200"/>
      <w:textAlignment w:val="auto"/>
    </w:pPr>
    <w:rPr>
      <w:kern w:val="2"/>
      <w:sz w:val="21"/>
      <w:szCs w:val="24"/>
    </w:rPr>
  </w:style>
  <w:style w:type="paragraph" w:styleId="10">
    <w:name w:val="Document Map"/>
    <w:basedOn w:val="1"/>
    <w:link w:val="57"/>
    <w:semiHidden/>
    <w:qFormat/>
    <w:uiPriority w:val="0"/>
    <w:pPr>
      <w:shd w:val="clear" w:color="auto" w:fill="000080"/>
    </w:pPr>
  </w:style>
  <w:style w:type="paragraph" w:styleId="11">
    <w:name w:val="annotation text"/>
    <w:basedOn w:val="1"/>
    <w:link w:val="58"/>
    <w:qFormat/>
    <w:uiPriority w:val="0"/>
    <w:pPr>
      <w:adjustRightInd/>
      <w:spacing w:line="240" w:lineRule="auto"/>
      <w:jc w:val="left"/>
      <w:textAlignment w:val="auto"/>
    </w:pPr>
    <w:rPr>
      <w:kern w:val="2"/>
      <w:sz w:val="21"/>
      <w:szCs w:val="24"/>
    </w:rPr>
  </w:style>
  <w:style w:type="paragraph" w:styleId="12">
    <w:name w:val="Body Text 3"/>
    <w:basedOn w:val="1"/>
    <w:link w:val="83"/>
    <w:qFormat/>
    <w:uiPriority w:val="0"/>
    <w:pPr>
      <w:adjustRightInd/>
      <w:spacing w:line="240" w:lineRule="auto"/>
      <w:textAlignment w:val="auto"/>
    </w:pPr>
    <w:rPr>
      <w:rFonts w:ascii="宋体"/>
      <w:kern w:val="2"/>
      <w:sz w:val="24"/>
    </w:rPr>
  </w:style>
  <w:style w:type="paragraph" w:styleId="13">
    <w:name w:val="Body Text"/>
    <w:basedOn w:val="1"/>
    <w:link w:val="66"/>
    <w:qFormat/>
    <w:uiPriority w:val="0"/>
    <w:pPr>
      <w:spacing w:after="120"/>
    </w:pPr>
  </w:style>
  <w:style w:type="paragraph" w:styleId="14">
    <w:name w:val="Body Text Indent"/>
    <w:basedOn w:val="1"/>
    <w:link w:val="56"/>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5">
    <w:name w:val="Block Text"/>
    <w:basedOn w:val="1"/>
    <w:qFormat/>
    <w:uiPriority w:val="0"/>
    <w:pPr>
      <w:adjustRightInd/>
      <w:spacing w:line="460" w:lineRule="exact"/>
      <w:ind w:left="400" w:leftChars="200" w:right="-11" w:firstLine="460" w:firstLineChars="200"/>
      <w:textAlignment w:val="auto"/>
    </w:pPr>
    <w:rPr>
      <w:rFonts w:ascii="仿宋_GB2312" w:eastAsia="仿宋_GB2312"/>
      <w:bCs/>
      <w:kern w:val="2"/>
      <w:sz w:val="24"/>
    </w:rPr>
  </w:style>
  <w:style w:type="paragraph" w:styleId="16">
    <w:name w:val="toc 5"/>
    <w:basedOn w:val="1"/>
    <w:next w:val="1"/>
    <w:qFormat/>
    <w:uiPriority w:val="0"/>
    <w:pPr>
      <w:adjustRightInd/>
      <w:spacing w:line="240" w:lineRule="auto"/>
      <w:ind w:left="1680" w:leftChars="800"/>
      <w:textAlignment w:val="auto"/>
    </w:pPr>
    <w:rPr>
      <w:kern w:val="2"/>
      <w:sz w:val="21"/>
      <w:szCs w:val="24"/>
    </w:rPr>
  </w:style>
  <w:style w:type="paragraph" w:styleId="17">
    <w:name w:val="toc 3"/>
    <w:basedOn w:val="1"/>
    <w:next w:val="1"/>
    <w:qFormat/>
    <w:uiPriority w:val="39"/>
    <w:pPr>
      <w:ind w:left="840" w:leftChars="400"/>
    </w:pPr>
    <w:rPr>
      <w:sz w:val="21"/>
    </w:rPr>
  </w:style>
  <w:style w:type="paragraph" w:styleId="18">
    <w:name w:val="Plain Text"/>
    <w:basedOn w:val="1"/>
    <w:link w:val="62"/>
    <w:qFormat/>
    <w:uiPriority w:val="0"/>
    <w:rPr>
      <w:rFonts w:ascii="宋体" w:hAnsi="Courier New"/>
      <w:kern w:val="2"/>
      <w:sz w:val="21"/>
    </w:rPr>
  </w:style>
  <w:style w:type="paragraph" w:styleId="19">
    <w:name w:val="toc 8"/>
    <w:basedOn w:val="1"/>
    <w:next w:val="1"/>
    <w:qFormat/>
    <w:uiPriority w:val="0"/>
    <w:pPr>
      <w:adjustRightInd/>
      <w:spacing w:line="240" w:lineRule="auto"/>
      <w:ind w:left="2940" w:leftChars="1400"/>
      <w:textAlignment w:val="auto"/>
    </w:pPr>
    <w:rPr>
      <w:kern w:val="2"/>
      <w:sz w:val="21"/>
      <w:szCs w:val="24"/>
    </w:rPr>
  </w:style>
  <w:style w:type="paragraph" w:styleId="20">
    <w:name w:val="Date"/>
    <w:basedOn w:val="1"/>
    <w:next w:val="1"/>
    <w:link w:val="65"/>
    <w:qFormat/>
    <w:uiPriority w:val="0"/>
    <w:rPr>
      <w:rFonts w:ascii="黑体" w:eastAsia="黑体"/>
      <w:kern w:val="2"/>
      <w:sz w:val="32"/>
    </w:rPr>
  </w:style>
  <w:style w:type="paragraph" w:styleId="21">
    <w:name w:val="Body Text Indent 2"/>
    <w:basedOn w:val="1"/>
    <w:link w:val="68"/>
    <w:qFormat/>
    <w:uiPriority w:val="0"/>
    <w:pPr>
      <w:spacing w:after="120" w:line="480" w:lineRule="auto"/>
      <w:ind w:left="420"/>
    </w:pPr>
  </w:style>
  <w:style w:type="paragraph" w:styleId="22">
    <w:name w:val="Balloon Text"/>
    <w:basedOn w:val="1"/>
    <w:link w:val="61"/>
    <w:qFormat/>
    <w:uiPriority w:val="0"/>
    <w:rPr>
      <w:sz w:val="18"/>
      <w:szCs w:val="18"/>
    </w:rPr>
  </w:style>
  <w:style w:type="paragraph" w:styleId="23">
    <w:name w:val="footer"/>
    <w:basedOn w:val="1"/>
    <w:link w:val="67"/>
    <w:qFormat/>
    <w:uiPriority w:val="0"/>
    <w:pPr>
      <w:tabs>
        <w:tab w:val="center" w:pos="4153"/>
        <w:tab w:val="right" w:pos="8306"/>
      </w:tabs>
      <w:snapToGrid w:val="0"/>
    </w:pPr>
    <w:rPr>
      <w:kern w:val="2"/>
      <w:sz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22"/>
    </w:rPr>
  </w:style>
  <w:style w:type="paragraph" w:styleId="25">
    <w:name w:val="toc 1"/>
    <w:basedOn w:val="1"/>
    <w:next w:val="1"/>
    <w:qFormat/>
    <w:uiPriority w:val="39"/>
    <w:pPr>
      <w:tabs>
        <w:tab w:val="left" w:pos="900"/>
        <w:tab w:val="right" w:leader="dot" w:pos="8296"/>
      </w:tabs>
      <w:spacing w:line="360" w:lineRule="auto"/>
    </w:pPr>
    <w:rPr>
      <w:b/>
      <w:sz w:val="21"/>
    </w:rPr>
  </w:style>
  <w:style w:type="paragraph" w:styleId="26">
    <w:name w:val="toc 4"/>
    <w:basedOn w:val="1"/>
    <w:next w:val="1"/>
    <w:qFormat/>
    <w:uiPriority w:val="39"/>
    <w:pPr>
      <w:ind w:left="1260" w:leftChars="600"/>
    </w:pPr>
    <w:rPr>
      <w:sz w:val="21"/>
    </w:rPr>
  </w:style>
  <w:style w:type="paragraph" w:styleId="27">
    <w:name w:val="Subtitle"/>
    <w:basedOn w:val="1"/>
    <w:next w:val="1"/>
    <w:link w:val="84"/>
    <w:qFormat/>
    <w:uiPriority w:val="11"/>
    <w:pPr>
      <w:spacing w:before="240" w:after="60" w:line="312" w:lineRule="atLeast"/>
      <w:jc w:val="center"/>
      <w:outlineLvl w:val="1"/>
    </w:pPr>
    <w:rPr>
      <w:rFonts w:asciiTheme="majorHAnsi" w:hAnsiTheme="majorHAnsi" w:cstheme="majorBidi"/>
      <w:b/>
      <w:bCs/>
      <w:kern w:val="28"/>
      <w:sz w:val="32"/>
      <w:szCs w:val="32"/>
    </w:rPr>
  </w:style>
  <w:style w:type="paragraph" w:styleId="28">
    <w:name w:val="toc 6"/>
    <w:basedOn w:val="1"/>
    <w:next w:val="1"/>
    <w:qFormat/>
    <w:uiPriority w:val="0"/>
    <w:pPr>
      <w:adjustRightInd/>
      <w:spacing w:line="240" w:lineRule="auto"/>
      <w:ind w:left="2100" w:leftChars="1000"/>
      <w:textAlignment w:val="auto"/>
    </w:pPr>
    <w:rPr>
      <w:kern w:val="2"/>
      <w:sz w:val="21"/>
      <w:szCs w:val="24"/>
    </w:rPr>
  </w:style>
  <w:style w:type="paragraph" w:styleId="29">
    <w:name w:val="Body Text Indent 3"/>
    <w:basedOn w:val="1"/>
    <w:link w:val="50"/>
    <w:qFormat/>
    <w:uiPriority w:val="0"/>
    <w:pPr>
      <w:widowControl/>
      <w:tabs>
        <w:tab w:val="left" w:pos="0"/>
        <w:tab w:val="left" w:pos="1134"/>
      </w:tabs>
      <w:snapToGrid w:val="0"/>
      <w:spacing w:line="360" w:lineRule="auto"/>
      <w:ind w:left="567"/>
      <w:jc w:val="left"/>
      <w:textAlignment w:val="auto"/>
    </w:pPr>
    <w:rPr>
      <w:rFonts w:ascii="仿宋_GB2312" w:eastAsia="仿宋_GB2312" w:hAnsiTheme="minorHAnsi" w:cstheme="minorBidi"/>
      <w:kern w:val="2"/>
      <w:sz w:val="28"/>
      <w:szCs w:val="22"/>
    </w:rPr>
  </w:style>
  <w:style w:type="paragraph" w:styleId="30">
    <w:name w:val="toc 2"/>
    <w:basedOn w:val="1"/>
    <w:next w:val="1"/>
    <w:qFormat/>
    <w:uiPriority w:val="39"/>
    <w:pPr>
      <w:ind w:left="420" w:leftChars="200"/>
    </w:pPr>
    <w:rPr>
      <w:sz w:val="21"/>
    </w:rPr>
  </w:style>
  <w:style w:type="paragraph" w:styleId="31">
    <w:name w:val="toc 9"/>
    <w:basedOn w:val="1"/>
    <w:next w:val="1"/>
    <w:qFormat/>
    <w:uiPriority w:val="0"/>
    <w:pPr>
      <w:adjustRightInd/>
      <w:spacing w:line="240" w:lineRule="auto"/>
      <w:ind w:left="3360" w:leftChars="1600"/>
      <w:textAlignment w:val="auto"/>
    </w:pPr>
    <w:rPr>
      <w:kern w:val="2"/>
      <w:sz w:val="21"/>
      <w:szCs w:val="24"/>
    </w:rPr>
  </w:style>
  <w:style w:type="paragraph" w:styleId="32">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33">
    <w:name w:val="index 1"/>
    <w:basedOn w:val="1"/>
    <w:next w:val="1"/>
    <w:qFormat/>
    <w:uiPriority w:val="0"/>
    <w:pPr>
      <w:adjustRightInd/>
      <w:spacing w:line="220" w:lineRule="exact"/>
      <w:jc w:val="center"/>
      <w:textAlignment w:val="auto"/>
    </w:pPr>
    <w:rPr>
      <w:rFonts w:ascii="仿宋_GB2312" w:eastAsia="仿宋_GB2312"/>
      <w:kern w:val="2"/>
      <w:sz w:val="21"/>
      <w:szCs w:val="21"/>
    </w:rPr>
  </w:style>
  <w:style w:type="paragraph" w:styleId="34">
    <w:name w:val="Title"/>
    <w:basedOn w:val="1"/>
    <w:next w:val="1"/>
    <w:qFormat/>
    <w:uiPriority w:val="0"/>
    <w:pPr>
      <w:snapToGrid w:val="0"/>
      <w:jc w:val="center"/>
      <w:outlineLvl w:val="0"/>
    </w:pPr>
    <w:rPr>
      <w:rFonts w:ascii="宋体" w:hAnsi="宋体"/>
      <w:b/>
      <w:sz w:val="52"/>
    </w:rPr>
  </w:style>
  <w:style w:type="paragraph" w:styleId="35">
    <w:name w:val="annotation subject"/>
    <w:basedOn w:val="11"/>
    <w:next w:val="11"/>
    <w:link w:val="63"/>
    <w:semiHidden/>
    <w:qFormat/>
    <w:uiPriority w:val="0"/>
    <w:pPr>
      <w:adjustRightInd w:val="0"/>
      <w:spacing w:line="360" w:lineRule="atLeast"/>
      <w:textAlignment w:val="baseline"/>
    </w:pPr>
    <w:rPr>
      <w:b/>
      <w:bCs/>
      <w:kern w:val="0"/>
      <w:sz w:val="20"/>
      <w:szCs w:val="20"/>
    </w:rPr>
  </w:style>
  <w:style w:type="paragraph" w:styleId="36">
    <w:name w:val="Body Text First Indent 2"/>
    <w:basedOn w:val="1"/>
    <w:qFormat/>
    <w:uiPriority w:val="0"/>
    <w:pPr>
      <w:adjustRightInd/>
      <w:spacing w:after="120" w:line="240" w:lineRule="auto"/>
      <w:ind w:left="420" w:leftChars="200" w:firstLine="420" w:firstLineChars="200"/>
      <w:textAlignment w:val="auto"/>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rPr>
      <w:rFonts w:ascii="Arial" w:hAnsi="Arial" w:eastAsia="黑体"/>
      <w:kern w:val="2"/>
      <w:sz w:val="21"/>
      <w:szCs w:val="21"/>
      <w:lang w:val="en-US" w:eastAsia="zh-CN" w:bidi="ar-SA"/>
    </w:rPr>
  </w:style>
  <w:style w:type="character" w:styleId="42">
    <w:name w:val="FollowedHyperlink"/>
    <w:basedOn w:val="39"/>
    <w:unhideWhenUsed/>
    <w:qFormat/>
    <w:uiPriority w:val="99"/>
    <w:rPr>
      <w:color w:val="800080" w:themeColor="followedHyperlink"/>
      <w:u w:val="single"/>
      <w14:textFill>
        <w14:solidFill>
          <w14:schemeClr w14:val="folHlink"/>
        </w14:solidFill>
      </w14:textFill>
    </w:rPr>
  </w:style>
  <w:style w:type="character" w:styleId="43">
    <w:name w:val="Hyperlink"/>
    <w:qFormat/>
    <w:uiPriority w:val="99"/>
    <w:rPr>
      <w:color w:val="0000FF"/>
      <w:kern w:val="2"/>
      <w:sz w:val="21"/>
      <w:u w:val="single"/>
    </w:rPr>
  </w:style>
  <w:style w:type="character" w:styleId="44">
    <w:name w:val="annotation reference"/>
    <w:semiHidden/>
    <w:qFormat/>
    <w:uiPriority w:val="0"/>
    <w:rPr>
      <w:kern w:val="2"/>
      <w:sz w:val="21"/>
      <w:szCs w:val="21"/>
    </w:rPr>
  </w:style>
  <w:style w:type="character" w:customStyle="1" w:styleId="45">
    <w:name w:val="标题 1 Char"/>
    <w:basedOn w:val="39"/>
    <w:link w:val="3"/>
    <w:qFormat/>
    <w:uiPriority w:val="0"/>
    <w:rPr>
      <w:rFonts w:ascii="Times New Roman" w:hAnsi="Times New Roman" w:eastAsia="宋体" w:cs="Times New Roman"/>
      <w:b/>
      <w:bCs/>
      <w:kern w:val="44"/>
      <w:sz w:val="44"/>
      <w:szCs w:val="44"/>
    </w:rPr>
  </w:style>
  <w:style w:type="character" w:customStyle="1" w:styleId="46">
    <w:name w:val="标题 2 Char"/>
    <w:basedOn w:val="39"/>
    <w:link w:val="4"/>
    <w:qFormat/>
    <w:uiPriority w:val="0"/>
    <w:rPr>
      <w:rFonts w:ascii="Arial" w:hAnsi="Arial" w:eastAsia="黑体" w:cs="Times New Roman"/>
      <w:b/>
      <w:bCs/>
      <w:kern w:val="0"/>
      <w:sz w:val="32"/>
      <w:szCs w:val="32"/>
    </w:rPr>
  </w:style>
  <w:style w:type="character" w:customStyle="1" w:styleId="47">
    <w:name w:val="标题 3 Char"/>
    <w:basedOn w:val="39"/>
    <w:link w:val="5"/>
    <w:qFormat/>
    <w:uiPriority w:val="0"/>
    <w:rPr>
      <w:rFonts w:ascii="Times New Roman" w:hAnsi="Times New Roman" w:eastAsia="宋体" w:cs="Times New Roman"/>
      <w:b/>
      <w:bCs/>
      <w:kern w:val="0"/>
      <w:sz w:val="32"/>
      <w:szCs w:val="32"/>
    </w:rPr>
  </w:style>
  <w:style w:type="character" w:customStyle="1" w:styleId="48">
    <w:name w:val="标题 4 Char"/>
    <w:basedOn w:val="39"/>
    <w:link w:val="7"/>
    <w:qFormat/>
    <w:uiPriority w:val="0"/>
    <w:rPr>
      <w:rFonts w:ascii="Arial" w:hAnsi="Arial" w:eastAsia="黑体" w:cs="Times New Roman"/>
      <w:b/>
      <w:bCs/>
      <w:kern w:val="0"/>
      <w:sz w:val="28"/>
      <w:szCs w:val="28"/>
    </w:rPr>
  </w:style>
  <w:style w:type="character" w:customStyle="1" w:styleId="49">
    <w:name w:val="标题 5 Char"/>
    <w:basedOn w:val="39"/>
    <w:link w:val="8"/>
    <w:qFormat/>
    <w:uiPriority w:val="0"/>
    <w:rPr>
      <w:rFonts w:ascii="Times New Roman" w:hAnsi="Times New Roman" w:eastAsia="宋体" w:cs="Times New Roman"/>
      <w:b/>
      <w:bCs/>
      <w:kern w:val="0"/>
      <w:sz w:val="28"/>
      <w:szCs w:val="28"/>
    </w:rPr>
  </w:style>
  <w:style w:type="character" w:customStyle="1" w:styleId="50">
    <w:name w:val="正文文本缩进 3 Char"/>
    <w:link w:val="29"/>
    <w:qFormat/>
    <w:uiPriority w:val="0"/>
    <w:rPr>
      <w:rFonts w:ascii="仿宋_GB2312" w:eastAsia="仿宋_GB2312"/>
      <w:sz w:val="28"/>
    </w:rPr>
  </w:style>
  <w:style w:type="paragraph" w:customStyle="1" w:styleId="51">
    <w:name w:val="_Style 15"/>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character" w:customStyle="1" w:styleId="52">
    <w:name w:val="unnamed11"/>
    <w:qFormat/>
    <w:uiPriority w:val="0"/>
    <w:rPr>
      <w:kern w:val="2"/>
      <w:sz w:val="21"/>
    </w:rPr>
  </w:style>
  <w:style w:type="character" w:customStyle="1" w:styleId="53">
    <w:name w:val="ca-4"/>
    <w:basedOn w:val="39"/>
    <w:qFormat/>
    <w:uiPriority w:val="0"/>
    <w:rPr>
      <w:kern w:val="2"/>
      <w:sz w:val="21"/>
    </w:rPr>
  </w:style>
  <w:style w:type="character" w:customStyle="1" w:styleId="54">
    <w:name w:val="页眉 Char"/>
    <w:link w:val="24"/>
    <w:qFormat/>
    <w:uiPriority w:val="0"/>
    <w:rPr>
      <w:sz w:val="18"/>
    </w:rPr>
  </w:style>
  <w:style w:type="character" w:customStyle="1" w:styleId="55">
    <w:name w:val="ca-5"/>
    <w:basedOn w:val="39"/>
    <w:qFormat/>
    <w:uiPriority w:val="0"/>
    <w:rPr>
      <w:kern w:val="2"/>
      <w:sz w:val="21"/>
    </w:rPr>
  </w:style>
  <w:style w:type="character" w:customStyle="1" w:styleId="56">
    <w:name w:val="正文文本缩进 Char"/>
    <w:basedOn w:val="39"/>
    <w:link w:val="14"/>
    <w:qFormat/>
    <w:uiPriority w:val="0"/>
    <w:rPr>
      <w:rFonts w:ascii="宋体" w:hAnsi="Times New Roman" w:eastAsia="宋体" w:cs="Times New Roman"/>
      <w:kern w:val="0"/>
      <w:sz w:val="28"/>
      <w:szCs w:val="20"/>
    </w:rPr>
  </w:style>
  <w:style w:type="character" w:customStyle="1" w:styleId="57">
    <w:name w:val="文档结构图 Char"/>
    <w:basedOn w:val="39"/>
    <w:link w:val="10"/>
    <w:semiHidden/>
    <w:qFormat/>
    <w:uiPriority w:val="0"/>
    <w:rPr>
      <w:rFonts w:ascii="Times New Roman" w:hAnsi="Times New Roman" w:eastAsia="宋体" w:cs="Times New Roman"/>
      <w:kern w:val="0"/>
      <w:sz w:val="20"/>
      <w:szCs w:val="20"/>
      <w:shd w:val="clear" w:color="auto" w:fill="000080"/>
    </w:rPr>
  </w:style>
  <w:style w:type="character" w:customStyle="1" w:styleId="58">
    <w:name w:val="批注文字 Char"/>
    <w:basedOn w:val="39"/>
    <w:link w:val="11"/>
    <w:qFormat/>
    <w:uiPriority w:val="0"/>
    <w:rPr>
      <w:rFonts w:ascii="Times New Roman" w:hAnsi="Times New Roman" w:eastAsia="宋体" w:cs="Times New Roman"/>
      <w:szCs w:val="24"/>
    </w:rPr>
  </w:style>
  <w:style w:type="paragraph" w:customStyle="1" w:styleId="59">
    <w:name w:val="样式 正文缩进正文（首行缩进两字）特点ALT+Z表正文正文非缩进四号段1Normal Indent Char2...4"/>
    <w:basedOn w:val="14"/>
    <w:qFormat/>
    <w:uiPriority w:val="0"/>
    <w:pPr>
      <w:tabs>
        <w:tab w:val="left" w:pos="510"/>
        <w:tab w:val="clear" w:pos="0"/>
        <w:tab w:val="clear" w:pos="993"/>
        <w:tab w:val="clear" w:pos="1134"/>
      </w:tabs>
      <w:spacing w:line="300" w:lineRule="auto"/>
      <w:ind w:firstLine="510"/>
    </w:pPr>
    <w:rPr>
      <w:rFonts w:hAnsi="宋体"/>
      <w:color w:val="000000"/>
      <w:sz w:val="24"/>
    </w:rPr>
  </w:style>
  <w:style w:type="character" w:customStyle="1" w:styleId="60">
    <w:name w:val="正文文本缩进 3 Char1"/>
    <w:basedOn w:val="39"/>
    <w:semiHidden/>
    <w:qFormat/>
    <w:uiPriority w:val="99"/>
    <w:rPr>
      <w:rFonts w:ascii="Times New Roman" w:hAnsi="Times New Roman" w:eastAsia="宋体" w:cs="Times New Roman"/>
      <w:kern w:val="0"/>
      <w:sz w:val="16"/>
      <w:szCs w:val="16"/>
    </w:rPr>
  </w:style>
  <w:style w:type="character" w:customStyle="1" w:styleId="61">
    <w:name w:val="批注框文本 Char"/>
    <w:basedOn w:val="39"/>
    <w:link w:val="22"/>
    <w:qFormat/>
    <w:uiPriority w:val="0"/>
    <w:rPr>
      <w:rFonts w:ascii="Times New Roman" w:hAnsi="Times New Roman" w:eastAsia="宋体" w:cs="Times New Roman"/>
      <w:kern w:val="0"/>
      <w:sz w:val="18"/>
      <w:szCs w:val="18"/>
    </w:rPr>
  </w:style>
  <w:style w:type="character" w:customStyle="1" w:styleId="62">
    <w:name w:val="纯文本 Char"/>
    <w:basedOn w:val="39"/>
    <w:link w:val="18"/>
    <w:qFormat/>
    <w:uiPriority w:val="0"/>
    <w:rPr>
      <w:rFonts w:ascii="宋体" w:hAnsi="Courier New" w:eastAsia="宋体" w:cs="Times New Roman"/>
      <w:szCs w:val="20"/>
    </w:rPr>
  </w:style>
  <w:style w:type="character" w:customStyle="1" w:styleId="63">
    <w:name w:val="批注主题 Char"/>
    <w:basedOn w:val="58"/>
    <w:link w:val="35"/>
    <w:semiHidden/>
    <w:qFormat/>
    <w:uiPriority w:val="0"/>
    <w:rPr>
      <w:rFonts w:ascii="Times New Roman" w:hAnsi="Times New Roman" w:eastAsia="宋体" w:cs="Times New Roman"/>
      <w:b/>
      <w:bCs/>
      <w:kern w:val="0"/>
      <w:sz w:val="20"/>
      <w:szCs w:val="20"/>
    </w:rPr>
  </w:style>
  <w:style w:type="character" w:customStyle="1" w:styleId="64">
    <w:name w:val="页眉 Char1"/>
    <w:basedOn w:val="39"/>
    <w:semiHidden/>
    <w:qFormat/>
    <w:uiPriority w:val="99"/>
    <w:rPr>
      <w:rFonts w:ascii="Times New Roman" w:hAnsi="Times New Roman" w:eastAsia="宋体" w:cs="Times New Roman"/>
      <w:kern w:val="0"/>
      <w:sz w:val="18"/>
      <w:szCs w:val="18"/>
    </w:rPr>
  </w:style>
  <w:style w:type="character" w:customStyle="1" w:styleId="65">
    <w:name w:val="日期 Char"/>
    <w:basedOn w:val="39"/>
    <w:link w:val="20"/>
    <w:qFormat/>
    <w:uiPriority w:val="0"/>
    <w:rPr>
      <w:rFonts w:ascii="黑体" w:hAnsi="Times New Roman" w:eastAsia="黑体" w:cs="Times New Roman"/>
      <w:sz w:val="32"/>
      <w:szCs w:val="20"/>
    </w:rPr>
  </w:style>
  <w:style w:type="character" w:customStyle="1" w:styleId="66">
    <w:name w:val="正文文本 Char"/>
    <w:basedOn w:val="39"/>
    <w:link w:val="13"/>
    <w:qFormat/>
    <w:uiPriority w:val="0"/>
    <w:rPr>
      <w:rFonts w:ascii="Times New Roman" w:hAnsi="Times New Roman" w:eastAsia="宋体" w:cs="Times New Roman"/>
      <w:kern w:val="0"/>
      <w:sz w:val="20"/>
      <w:szCs w:val="20"/>
    </w:rPr>
  </w:style>
  <w:style w:type="character" w:customStyle="1" w:styleId="67">
    <w:name w:val="页脚 Char"/>
    <w:basedOn w:val="39"/>
    <w:link w:val="23"/>
    <w:qFormat/>
    <w:uiPriority w:val="0"/>
    <w:rPr>
      <w:rFonts w:ascii="Times New Roman" w:hAnsi="Times New Roman" w:eastAsia="宋体" w:cs="Times New Roman"/>
      <w:sz w:val="18"/>
      <w:szCs w:val="20"/>
    </w:rPr>
  </w:style>
  <w:style w:type="character" w:customStyle="1" w:styleId="68">
    <w:name w:val="正文文本缩进 2 Char"/>
    <w:basedOn w:val="39"/>
    <w:link w:val="21"/>
    <w:qFormat/>
    <w:uiPriority w:val="0"/>
    <w:rPr>
      <w:rFonts w:ascii="Times New Roman" w:hAnsi="Times New Roman" w:eastAsia="宋体" w:cs="Times New Roman"/>
      <w:kern w:val="0"/>
      <w:sz w:val="20"/>
      <w:szCs w:val="20"/>
    </w:rPr>
  </w:style>
  <w:style w:type="paragraph" w:customStyle="1" w:styleId="69">
    <w:name w:val="样式 正文缩进正文（首行缩进两字）特点ALT+Z表正文正文非缩进四号段1Normal Indent Char2...1"/>
    <w:basedOn w:val="4"/>
    <w:qFormat/>
    <w:uiPriority w:val="0"/>
    <w:pPr>
      <w:numPr>
        <w:ilvl w:val="0"/>
        <w:numId w:val="0"/>
      </w:numPr>
      <w:tabs>
        <w:tab w:val="left" w:pos="425"/>
      </w:tabs>
      <w:spacing w:before="1320" w:after="240" w:line="300" w:lineRule="auto"/>
      <w:ind w:firstLine="624"/>
      <w:jc w:val="center"/>
    </w:pPr>
    <w:rPr>
      <w:rFonts w:ascii="宋体" w:hAnsi="宋体" w:eastAsia="宋体" w:cs="宋体"/>
      <w:color w:val="000000"/>
    </w:rPr>
  </w:style>
  <w:style w:type="paragraph" w:customStyle="1" w:styleId="70">
    <w:name w:val="样式1"/>
    <w:basedOn w:val="3"/>
    <w:qFormat/>
    <w:uiPriority w:val="0"/>
    <w:pPr>
      <w:tabs>
        <w:tab w:val="left" w:pos="1680"/>
      </w:tabs>
      <w:spacing w:line="0" w:lineRule="atLeast"/>
      <w:ind w:left="1680" w:hanging="420"/>
      <w:jc w:val="center"/>
    </w:pPr>
    <w:rPr>
      <w:b w:val="0"/>
      <w:bCs w:val="0"/>
      <w:szCs w:val="20"/>
    </w:rPr>
  </w:style>
  <w:style w:type="paragraph" w:customStyle="1" w:styleId="71">
    <w:name w:val="Char Char Char Char Char Char Char Char Char Char"/>
    <w:basedOn w:val="1"/>
    <w:qFormat/>
    <w:uiPriority w:val="0"/>
    <w:pPr>
      <w:widowControl/>
      <w:adjustRightInd/>
      <w:spacing w:before="100" w:beforeAutospacing="1" w:after="100" w:afterAutospacing="1" w:line="330" w:lineRule="atLeast"/>
      <w:ind w:left="360"/>
      <w:jc w:val="left"/>
      <w:textAlignment w:val="auto"/>
    </w:pPr>
    <w:rPr>
      <w:rFonts w:ascii="ˎ̥" w:hAnsi="ˎ̥" w:cs="宋体"/>
      <w:color w:val="51585D"/>
      <w:sz w:val="21"/>
      <w:szCs w:val="18"/>
    </w:rPr>
  </w:style>
  <w:style w:type="paragraph" w:customStyle="1" w:styleId="72">
    <w:name w:val="Char Char1 Char Char Char"/>
    <w:basedOn w:val="1"/>
    <w:qFormat/>
    <w:uiPriority w:val="0"/>
    <w:pPr>
      <w:adjustRightInd/>
      <w:spacing w:line="240" w:lineRule="auto"/>
      <w:textAlignment w:val="auto"/>
    </w:pPr>
  </w:style>
  <w:style w:type="paragraph" w:customStyle="1" w:styleId="7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4">
    <w:name w:val="样式3"/>
    <w:basedOn w:val="18"/>
    <w:qFormat/>
    <w:uiPriority w:val="0"/>
    <w:pPr>
      <w:spacing w:line="0" w:lineRule="atLeast"/>
      <w:outlineLvl w:val="0"/>
    </w:pPr>
    <w:rPr>
      <w:sz w:val="28"/>
    </w:rPr>
  </w:style>
  <w:style w:type="paragraph" w:customStyle="1" w:styleId="75">
    <w:name w:val="Blockquote"/>
    <w:basedOn w:val="1"/>
    <w:qFormat/>
    <w:uiPriority w:val="0"/>
    <w:pPr>
      <w:autoSpaceDE w:val="0"/>
      <w:autoSpaceDN w:val="0"/>
      <w:spacing w:before="100" w:after="100" w:line="240" w:lineRule="auto"/>
      <w:ind w:left="360" w:right="360"/>
      <w:jc w:val="left"/>
      <w:textAlignment w:val="auto"/>
    </w:pPr>
    <w:rPr>
      <w:sz w:val="24"/>
    </w:rPr>
  </w:style>
  <w:style w:type="paragraph" w:customStyle="1" w:styleId="76">
    <w:name w:val="Char Char Char Char"/>
    <w:basedOn w:val="1"/>
    <w:qFormat/>
    <w:uiPriority w:val="0"/>
    <w:pPr>
      <w:adjustRightInd/>
      <w:spacing w:afterLines="50" w:line="520" w:lineRule="exact"/>
      <w:jc w:val="center"/>
      <w:textAlignment w:val="auto"/>
    </w:pPr>
    <w:rPr>
      <w:rFonts w:ascii="Arial" w:hAnsi="Arial" w:eastAsia="仿宋_GB2312"/>
      <w:kern w:val="2"/>
      <w:sz w:val="28"/>
      <w:szCs w:val="28"/>
    </w:rPr>
  </w:style>
  <w:style w:type="paragraph" w:customStyle="1" w:styleId="77">
    <w:name w:val="Char"/>
    <w:basedOn w:val="1"/>
    <w:qFormat/>
    <w:uiPriority w:val="0"/>
    <w:pPr>
      <w:adjustRightInd/>
      <w:spacing w:line="240" w:lineRule="auto"/>
      <w:textAlignment w:val="auto"/>
    </w:pPr>
    <w:rPr>
      <w:kern w:val="2"/>
      <w:sz w:val="21"/>
    </w:rPr>
  </w:style>
  <w:style w:type="paragraph" w:customStyle="1" w:styleId="78">
    <w:name w:val="样式 正文缩进正文（首行缩进两字）特点ALT+Z表正文正文非缩进四号段1Normal Indent Char2...3"/>
    <w:basedOn w:val="7"/>
    <w:next w:val="8"/>
    <w:qFormat/>
    <w:uiPriority w:val="0"/>
    <w:pPr>
      <w:spacing w:line="360" w:lineRule="auto"/>
      <w:ind w:firstLine="510"/>
      <w:jc w:val="left"/>
    </w:pPr>
    <w:rPr>
      <w:rFonts w:ascii="宋体" w:hAnsi="宋体" w:eastAsia="宋体"/>
      <w:bCs w:val="0"/>
      <w:color w:val="000000"/>
      <w:sz w:val="24"/>
      <w:szCs w:val="20"/>
    </w:rPr>
  </w:style>
  <w:style w:type="paragraph" w:customStyle="1" w:styleId="79">
    <w:name w:val="样式 标题 1 + 宋体 居中 段前: 48 磅 段后: 12 磅 行距: 1.5 倍行距"/>
    <w:basedOn w:val="3"/>
    <w:qFormat/>
    <w:uiPriority w:val="0"/>
    <w:pPr>
      <w:spacing w:before="1560" w:after="240" w:line="360" w:lineRule="auto"/>
      <w:jc w:val="center"/>
    </w:pPr>
    <w:rPr>
      <w:rFonts w:ascii="宋体" w:hAnsi="宋体" w:cs="宋体"/>
      <w:snapToGrid w:val="0"/>
      <w:kern w:val="2"/>
    </w:rPr>
  </w:style>
  <w:style w:type="paragraph" w:customStyle="1" w:styleId="80">
    <w:name w:val="样式 正文缩进正文（首行缩进两字）特点ALT+Z表正文正文非缩进四号段1Normal Indent Char2...2"/>
    <w:basedOn w:val="5"/>
    <w:qFormat/>
    <w:uiPriority w:val="0"/>
    <w:pPr>
      <w:tabs>
        <w:tab w:val="left" w:pos="1770"/>
      </w:tabs>
      <w:spacing w:before="360" w:after="120" w:line="360" w:lineRule="auto"/>
      <w:ind w:left="1770" w:hanging="420"/>
      <w:jc w:val="center"/>
    </w:pPr>
    <w:rPr>
      <w:rFonts w:ascii="宋体" w:hAnsi="宋体"/>
      <w:bCs w:val="0"/>
      <w:sz w:val="28"/>
      <w:szCs w:val="20"/>
    </w:rPr>
  </w:style>
  <w:style w:type="paragraph" w:customStyle="1" w:styleId="81">
    <w:name w:val="pa-3"/>
    <w:basedOn w:val="1"/>
    <w:qFormat/>
    <w:uiPriority w:val="0"/>
    <w:pPr>
      <w:widowControl/>
      <w:adjustRightInd/>
      <w:spacing w:before="150" w:after="150" w:line="240" w:lineRule="auto"/>
      <w:jc w:val="left"/>
      <w:textAlignment w:val="auto"/>
    </w:pPr>
    <w:rPr>
      <w:rFonts w:ascii="宋体" w:hAnsi="宋体" w:cs="宋体"/>
      <w:sz w:val="24"/>
      <w:szCs w:val="24"/>
    </w:rPr>
  </w:style>
  <w:style w:type="character" w:customStyle="1" w:styleId="82">
    <w:name w:val="font161"/>
    <w:qFormat/>
    <w:uiPriority w:val="0"/>
    <w:rPr>
      <w:b/>
      <w:bCs/>
      <w:sz w:val="32"/>
      <w:szCs w:val="32"/>
    </w:rPr>
  </w:style>
  <w:style w:type="character" w:customStyle="1" w:styleId="83">
    <w:name w:val="正文文本 3 Char"/>
    <w:basedOn w:val="39"/>
    <w:link w:val="12"/>
    <w:qFormat/>
    <w:uiPriority w:val="0"/>
    <w:rPr>
      <w:rFonts w:ascii="宋体" w:hAnsi="Times New Roman" w:eastAsia="宋体" w:cs="Times New Roman"/>
      <w:sz w:val="24"/>
      <w:szCs w:val="20"/>
    </w:rPr>
  </w:style>
  <w:style w:type="character" w:customStyle="1" w:styleId="84">
    <w:name w:val="副标题 Char"/>
    <w:basedOn w:val="39"/>
    <w:link w:val="27"/>
    <w:qFormat/>
    <w:uiPriority w:val="11"/>
    <w:rPr>
      <w:rFonts w:eastAsia="宋体" w:asciiTheme="majorHAnsi" w:hAnsiTheme="majorHAnsi" w:cstheme="majorBidi"/>
      <w:b/>
      <w:bCs/>
      <w:kern w:val="28"/>
      <w:sz w:val="32"/>
      <w:szCs w:val="32"/>
    </w:rPr>
  </w:style>
  <w:style w:type="paragraph" w:customStyle="1" w:styleId="85">
    <w:name w:val="列出段落1"/>
    <w:basedOn w:val="1"/>
    <w:qFormat/>
    <w:uiPriority w:val="34"/>
    <w:pPr>
      <w:ind w:firstLine="420" w:firstLineChars="200"/>
    </w:pPr>
  </w:style>
  <w:style w:type="paragraph" w:customStyle="1" w:styleId="86">
    <w:name w:val="首行缩进"/>
    <w:basedOn w:val="1"/>
    <w:qFormat/>
    <w:uiPriority w:val="99"/>
    <w:pPr>
      <w:ind w:firstLine="480" w:firstLineChars="200"/>
    </w:pPr>
    <w:rPr>
      <w:lang w:val="zh-CN"/>
    </w:rPr>
  </w:style>
  <w:style w:type="paragraph" w:styleId="8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25313</Words>
  <Characters>26172</Characters>
  <Lines>218</Lines>
  <Paragraphs>61</Paragraphs>
  <TotalTime>109</TotalTime>
  <ScaleCrop>false</ScaleCrop>
  <LinksUpToDate>false</LinksUpToDate>
  <CharactersWithSpaces>28359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2020-10-28T02:20:00Z</dcterms:created>
  <dc:creator>GDSK</dc:creator>
  <cp:lastModifiedBy>HD_gai</cp:lastModifiedBy>
  <cp:lastPrinted>2021-08-04T00:45:00Z</cp:lastPrinted>
  <dcterms:modified xsi:type="dcterms:W3CDTF">2022-04-02T09:14:17Z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3A2CCACE16BA4C58B907AE3E19BFBF84</vt:lpwstr>
  </property>
</Properties>
</file>