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Theme="minorEastAsia"/>
          <w:b/>
          <w:bCs/>
          <w:color w:val="auto"/>
          <w:sz w:val="32"/>
          <w:szCs w:val="32"/>
          <w:highlight w:val="none"/>
        </w:rPr>
      </w:pPr>
      <w:r>
        <w:rPr>
          <w:rFonts w:eastAsiaTheme="minorEastAsia"/>
          <w:b/>
          <w:bCs/>
          <w:color w:val="auto"/>
          <w:sz w:val="32"/>
          <w:szCs w:val="32"/>
          <w:highlight w:val="none"/>
        </w:rPr>
        <w:t xml:space="preserve">                                </w:t>
      </w:r>
    </w:p>
    <w:p>
      <w:pPr>
        <w:pStyle w:val="26"/>
        <w:widowControl w:val="0"/>
        <w:jc w:val="center"/>
        <w:rPr>
          <w:rFonts w:ascii="Times New Roman" w:hAnsi="Times New Roman" w:eastAsia="仿宋"/>
          <w:b/>
          <w:bCs/>
          <w:color w:val="auto"/>
          <w:sz w:val="44"/>
          <w:szCs w:val="44"/>
          <w:highlight w:val="none"/>
        </w:rPr>
      </w:pPr>
      <w:r>
        <w:rPr>
          <w:rFonts w:ascii="Times New Roman" w:hAnsi="Times New Roman" w:eastAsia="仿宋"/>
          <w:color w:val="auto"/>
          <w:spacing w:val="140"/>
          <w:highlight w:val="none"/>
        </w:rPr>
        <w:drawing>
          <wp:anchor distT="0" distB="0" distL="114300" distR="114300" simplePos="0" relativeHeight="251658240" behindDoc="0" locked="0" layoutInCell="1" allowOverlap="1">
            <wp:simplePos x="0" y="0"/>
            <wp:positionH relativeFrom="column">
              <wp:posOffset>1935480</wp:posOffset>
            </wp:positionH>
            <wp:positionV relativeFrom="paragraph">
              <wp:posOffset>325755</wp:posOffset>
            </wp:positionV>
            <wp:extent cx="2133600" cy="181737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33600" cy="1817370"/>
                    </a:xfrm>
                    <a:prstGeom prst="rect">
                      <a:avLst/>
                    </a:prstGeom>
                    <a:noFill/>
                    <a:ln>
                      <a:noFill/>
                    </a:ln>
                  </pic:spPr>
                </pic:pic>
              </a:graphicData>
            </a:graphic>
          </wp:anchor>
        </w:drawing>
      </w:r>
    </w:p>
    <w:p>
      <w:pPr>
        <w:pStyle w:val="26"/>
        <w:widowControl w:val="0"/>
        <w:spacing w:line="3000" w:lineRule="exact"/>
        <w:jc w:val="center"/>
        <w:rPr>
          <w:rStyle w:val="32"/>
          <w:rFonts w:ascii="Times New Roman" w:hAnsi="Times New Roman" w:eastAsia="仿宋"/>
          <w:b w:val="0"/>
          <w:bCs w:val="0"/>
          <w:color w:val="auto"/>
          <w:highlight w:val="none"/>
        </w:rPr>
      </w:pPr>
    </w:p>
    <w:p>
      <w:pPr>
        <w:pStyle w:val="26"/>
        <w:widowControl w:val="0"/>
        <w:jc w:val="center"/>
        <w:rPr>
          <w:rFonts w:eastAsia="仿宋"/>
          <w:b/>
          <w:bCs/>
          <w:color w:val="auto"/>
          <w:sz w:val="52"/>
          <w:szCs w:val="32"/>
          <w:highlight w:val="none"/>
        </w:rPr>
      </w:pPr>
      <w:r>
        <w:rPr>
          <w:rFonts w:hint="eastAsia" w:ascii="Times New Roman" w:hAnsi="Times New Roman" w:eastAsia="仿宋"/>
          <w:b/>
          <w:bCs/>
          <w:color w:val="auto"/>
          <w:sz w:val="52"/>
          <w:szCs w:val="52"/>
          <w:highlight w:val="none"/>
        </w:rPr>
        <w:t>白云湖数字科技城（黄金围片区）基础设施</w:t>
      </w:r>
      <w:r>
        <w:rPr>
          <w:rFonts w:ascii="Times New Roman" w:hAnsi="Times New Roman" w:eastAsia="仿宋"/>
          <w:b/>
          <w:bCs/>
          <w:color w:val="auto"/>
          <w:sz w:val="52"/>
          <w:szCs w:val="52"/>
          <w:highlight w:val="none"/>
        </w:rPr>
        <w:t>项目</w:t>
      </w:r>
      <w:r>
        <w:rPr>
          <w:rFonts w:hint="eastAsia" w:eastAsia="仿宋"/>
          <w:b/>
          <w:bCs/>
          <w:color w:val="auto"/>
          <w:sz w:val="52"/>
          <w:szCs w:val="32"/>
          <w:highlight w:val="none"/>
        </w:rPr>
        <w:t>（除联新东街范围道路）</w:t>
      </w:r>
      <w:r>
        <w:rPr>
          <w:rFonts w:eastAsia="仿宋"/>
          <w:b/>
          <w:bCs/>
          <w:color w:val="auto"/>
          <w:sz w:val="52"/>
          <w:szCs w:val="32"/>
          <w:highlight w:val="none"/>
        </w:rPr>
        <w:t>第三方检测</w:t>
      </w:r>
      <w:r>
        <w:rPr>
          <w:rFonts w:hint="eastAsia" w:eastAsia="仿宋"/>
          <w:b/>
          <w:bCs/>
          <w:color w:val="auto"/>
          <w:sz w:val="52"/>
          <w:szCs w:val="32"/>
          <w:highlight w:val="none"/>
        </w:rPr>
        <w:t>监测服务</w:t>
      </w:r>
      <w:r>
        <w:rPr>
          <w:rFonts w:eastAsia="仿宋"/>
          <w:b/>
          <w:bCs/>
          <w:color w:val="auto"/>
          <w:sz w:val="52"/>
          <w:szCs w:val="32"/>
          <w:highlight w:val="none"/>
        </w:rPr>
        <w:t>合同</w:t>
      </w:r>
    </w:p>
    <w:p>
      <w:pPr>
        <w:autoSpaceDE w:val="0"/>
        <w:autoSpaceDN w:val="0"/>
        <w:adjustRightInd w:val="0"/>
        <w:spacing w:before="5" w:line="130" w:lineRule="exact"/>
        <w:jc w:val="left"/>
        <w:rPr>
          <w:rFonts w:eastAsia="仿宋"/>
          <w:color w:val="auto"/>
          <w:kern w:val="0"/>
          <w:sz w:val="44"/>
          <w:szCs w:val="13"/>
          <w:highlight w:val="none"/>
        </w:rPr>
      </w:pPr>
    </w:p>
    <w:p>
      <w:pPr>
        <w:autoSpaceDE w:val="0"/>
        <w:autoSpaceDN w:val="0"/>
        <w:adjustRightInd w:val="0"/>
        <w:spacing w:before="5" w:line="130" w:lineRule="exact"/>
        <w:jc w:val="left"/>
        <w:rPr>
          <w:rFonts w:eastAsia="仿宋"/>
          <w:color w:val="auto"/>
          <w:kern w:val="0"/>
          <w:sz w:val="44"/>
          <w:szCs w:val="13"/>
          <w:highlight w:val="none"/>
        </w:rPr>
      </w:pPr>
    </w:p>
    <w:p>
      <w:pPr>
        <w:autoSpaceDE w:val="0"/>
        <w:autoSpaceDN w:val="0"/>
        <w:adjustRightInd w:val="0"/>
        <w:spacing w:before="5" w:line="130" w:lineRule="exact"/>
        <w:jc w:val="left"/>
        <w:rPr>
          <w:rFonts w:eastAsia="仿宋"/>
          <w:color w:val="auto"/>
          <w:kern w:val="0"/>
          <w:sz w:val="44"/>
          <w:szCs w:val="13"/>
          <w:highlight w:val="none"/>
        </w:rPr>
      </w:pPr>
    </w:p>
    <w:p>
      <w:pPr>
        <w:autoSpaceDE w:val="0"/>
        <w:autoSpaceDN w:val="0"/>
        <w:adjustRightInd w:val="0"/>
        <w:spacing w:line="200" w:lineRule="exact"/>
        <w:jc w:val="left"/>
        <w:rPr>
          <w:rFonts w:eastAsia="仿宋"/>
          <w:color w:val="auto"/>
          <w:kern w:val="0"/>
          <w:sz w:val="44"/>
          <w:highlight w:val="none"/>
        </w:rPr>
      </w:pPr>
    </w:p>
    <w:p>
      <w:pPr>
        <w:autoSpaceDE w:val="0"/>
        <w:autoSpaceDN w:val="0"/>
        <w:adjustRightInd w:val="0"/>
        <w:spacing w:line="200" w:lineRule="exact"/>
        <w:jc w:val="left"/>
        <w:rPr>
          <w:rFonts w:eastAsia="仿宋"/>
          <w:color w:val="auto"/>
          <w:kern w:val="0"/>
          <w:sz w:val="44"/>
          <w:highlight w:val="none"/>
        </w:rPr>
      </w:pPr>
    </w:p>
    <w:p>
      <w:pPr>
        <w:autoSpaceDE w:val="0"/>
        <w:autoSpaceDN w:val="0"/>
        <w:adjustRightInd w:val="0"/>
        <w:spacing w:line="200" w:lineRule="exact"/>
        <w:jc w:val="left"/>
        <w:rPr>
          <w:rFonts w:eastAsia="仿宋"/>
          <w:color w:val="auto"/>
          <w:kern w:val="0"/>
          <w:sz w:val="44"/>
          <w:highlight w:val="none"/>
        </w:rPr>
      </w:pPr>
    </w:p>
    <w:p>
      <w:pPr>
        <w:pStyle w:val="28"/>
        <w:ind w:firstLine="0" w:firstLineChars="0"/>
        <w:rPr>
          <w:rFonts w:eastAsia="仿宋"/>
          <w:color w:val="auto"/>
          <w:kern w:val="0"/>
          <w:sz w:val="44"/>
          <w:highlight w:val="none"/>
        </w:rPr>
      </w:pPr>
    </w:p>
    <w:p>
      <w:pPr>
        <w:autoSpaceDE w:val="0"/>
        <w:autoSpaceDN w:val="0"/>
        <w:adjustRightInd w:val="0"/>
        <w:spacing w:line="200" w:lineRule="exact"/>
        <w:jc w:val="left"/>
        <w:rPr>
          <w:rFonts w:eastAsia="仿宋"/>
          <w:color w:val="auto"/>
          <w:kern w:val="0"/>
          <w:sz w:val="44"/>
          <w:highlight w:val="none"/>
        </w:rPr>
      </w:pPr>
    </w:p>
    <w:p>
      <w:pPr>
        <w:autoSpaceDE w:val="0"/>
        <w:autoSpaceDN w:val="0"/>
        <w:adjustRightInd w:val="0"/>
        <w:spacing w:line="200" w:lineRule="exact"/>
        <w:jc w:val="left"/>
        <w:rPr>
          <w:rFonts w:eastAsia="仿宋"/>
          <w:color w:val="auto"/>
          <w:kern w:val="0"/>
          <w:sz w:val="44"/>
          <w:highlight w:val="none"/>
        </w:rPr>
      </w:pPr>
    </w:p>
    <w:p>
      <w:pPr>
        <w:autoSpaceDE w:val="0"/>
        <w:autoSpaceDN w:val="0"/>
        <w:adjustRightInd w:val="0"/>
        <w:spacing w:line="200" w:lineRule="exact"/>
        <w:jc w:val="left"/>
        <w:rPr>
          <w:rFonts w:eastAsia="仿宋"/>
          <w:color w:val="auto"/>
          <w:kern w:val="0"/>
          <w:sz w:val="44"/>
          <w:highlight w:val="none"/>
        </w:rPr>
      </w:pPr>
    </w:p>
    <w:p>
      <w:pPr>
        <w:tabs>
          <w:tab w:val="left" w:pos="8560"/>
        </w:tabs>
        <w:autoSpaceDE w:val="0"/>
        <w:autoSpaceDN w:val="0"/>
        <w:adjustRightInd w:val="0"/>
        <w:spacing w:line="360" w:lineRule="auto"/>
        <w:ind w:right="-23"/>
        <w:rPr>
          <w:rFonts w:eastAsia="仿宋"/>
          <w:b/>
          <w:color w:val="auto"/>
          <w:kern w:val="0"/>
          <w:sz w:val="32"/>
          <w:szCs w:val="36"/>
          <w:highlight w:val="none"/>
          <w:u w:val="single"/>
        </w:rPr>
      </w:pPr>
      <w:r>
        <w:rPr>
          <w:rFonts w:eastAsia="仿宋"/>
          <w:b/>
          <w:color w:val="auto"/>
          <w:kern w:val="0"/>
          <w:sz w:val="32"/>
          <w:szCs w:val="36"/>
          <w:highlight w:val="none"/>
        </w:rPr>
        <w:t xml:space="preserve">甲 </w:t>
      </w:r>
      <w:r>
        <w:rPr>
          <w:rFonts w:hint="eastAsia" w:eastAsia="仿宋"/>
          <w:b/>
          <w:color w:val="auto"/>
          <w:kern w:val="0"/>
          <w:sz w:val="32"/>
          <w:szCs w:val="36"/>
          <w:highlight w:val="none"/>
        </w:rPr>
        <w:t xml:space="preserve">   </w:t>
      </w:r>
      <w:r>
        <w:rPr>
          <w:rFonts w:eastAsia="仿宋"/>
          <w:b/>
          <w:color w:val="auto"/>
          <w:kern w:val="0"/>
          <w:sz w:val="32"/>
          <w:szCs w:val="36"/>
          <w:highlight w:val="none"/>
        </w:rPr>
        <w:t>方：</w:t>
      </w:r>
      <w:r>
        <w:rPr>
          <w:rFonts w:hint="eastAsia" w:eastAsia="仿宋"/>
          <w:b/>
          <w:color w:val="auto"/>
          <w:kern w:val="0"/>
          <w:sz w:val="32"/>
          <w:szCs w:val="36"/>
          <w:highlight w:val="none"/>
          <w:u w:val="single"/>
        </w:rPr>
        <w:t xml:space="preserve">                                  </w:t>
      </w:r>
    </w:p>
    <w:p>
      <w:pPr>
        <w:tabs>
          <w:tab w:val="left" w:pos="8560"/>
        </w:tabs>
        <w:autoSpaceDE w:val="0"/>
        <w:autoSpaceDN w:val="0"/>
        <w:adjustRightInd w:val="0"/>
        <w:spacing w:line="360" w:lineRule="auto"/>
        <w:ind w:right="-23"/>
        <w:rPr>
          <w:rFonts w:eastAsia="仿宋"/>
          <w:b/>
          <w:color w:val="auto"/>
          <w:kern w:val="0"/>
          <w:sz w:val="32"/>
          <w:szCs w:val="36"/>
          <w:highlight w:val="none"/>
        </w:rPr>
      </w:pPr>
      <w:r>
        <w:rPr>
          <w:rFonts w:eastAsia="仿宋"/>
          <w:b/>
          <w:color w:val="auto"/>
          <w:kern w:val="0"/>
          <w:sz w:val="32"/>
          <w:szCs w:val="36"/>
          <w:highlight w:val="none"/>
        </w:rPr>
        <w:t>乙</w:t>
      </w:r>
      <w:r>
        <w:rPr>
          <w:rFonts w:hint="eastAsia" w:eastAsia="仿宋"/>
          <w:b/>
          <w:color w:val="auto"/>
          <w:kern w:val="0"/>
          <w:sz w:val="32"/>
          <w:szCs w:val="36"/>
          <w:highlight w:val="none"/>
        </w:rPr>
        <w:t xml:space="preserve">    </w:t>
      </w:r>
      <w:r>
        <w:rPr>
          <w:rFonts w:eastAsia="仿宋"/>
          <w:b/>
          <w:color w:val="auto"/>
          <w:kern w:val="0"/>
          <w:sz w:val="32"/>
          <w:szCs w:val="36"/>
          <w:highlight w:val="none"/>
        </w:rPr>
        <w:t>方：</w:t>
      </w:r>
      <w:r>
        <w:rPr>
          <w:rFonts w:hint="eastAsia" w:eastAsia="仿宋"/>
          <w:b/>
          <w:color w:val="auto"/>
          <w:kern w:val="0"/>
          <w:sz w:val="32"/>
          <w:szCs w:val="36"/>
          <w:highlight w:val="none"/>
          <w:u w:val="single"/>
        </w:rPr>
        <w:t xml:space="preserve">                                  </w:t>
      </w:r>
    </w:p>
    <w:p>
      <w:pPr>
        <w:tabs>
          <w:tab w:val="left" w:pos="8560"/>
        </w:tabs>
        <w:autoSpaceDE w:val="0"/>
        <w:autoSpaceDN w:val="0"/>
        <w:adjustRightInd w:val="0"/>
        <w:spacing w:line="360" w:lineRule="auto"/>
        <w:ind w:right="-23"/>
        <w:rPr>
          <w:rFonts w:eastAsia="仿宋"/>
          <w:b/>
          <w:color w:val="auto"/>
          <w:kern w:val="0"/>
          <w:sz w:val="32"/>
          <w:szCs w:val="36"/>
          <w:highlight w:val="none"/>
        </w:rPr>
      </w:pPr>
      <w:r>
        <w:rPr>
          <w:rFonts w:eastAsia="仿宋"/>
          <w:b/>
          <w:color w:val="auto"/>
          <w:kern w:val="0"/>
          <w:sz w:val="32"/>
          <w:szCs w:val="36"/>
          <w:highlight w:val="none"/>
        </w:rPr>
        <w:t>合同编号：</w:t>
      </w:r>
      <w:r>
        <w:rPr>
          <w:rFonts w:hint="eastAsia" w:eastAsia="仿宋"/>
          <w:b/>
          <w:color w:val="auto"/>
          <w:kern w:val="0"/>
          <w:sz w:val="32"/>
          <w:szCs w:val="36"/>
          <w:highlight w:val="none"/>
          <w:u w:val="single"/>
        </w:rPr>
        <w:t xml:space="preserve">                                  </w:t>
      </w:r>
    </w:p>
    <w:p>
      <w:pPr>
        <w:tabs>
          <w:tab w:val="left" w:pos="8560"/>
        </w:tabs>
        <w:autoSpaceDE w:val="0"/>
        <w:autoSpaceDN w:val="0"/>
        <w:adjustRightInd w:val="0"/>
        <w:spacing w:line="360" w:lineRule="auto"/>
        <w:ind w:right="-20"/>
        <w:rPr>
          <w:rFonts w:eastAsia="仿宋"/>
          <w:b/>
          <w:color w:val="auto"/>
          <w:kern w:val="0"/>
          <w:sz w:val="32"/>
          <w:szCs w:val="36"/>
          <w:highlight w:val="none"/>
        </w:rPr>
      </w:pPr>
      <w:r>
        <w:rPr>
          <w:rFonts w:eastAsia="仿宋"/>
          <w:b/>
          <w:color w:val="auto"/>
          <w:kern w:val="0"/>
          <w:sz w:val="32"/>
          <w:szCs w:val="36"/>
          <w:highlight w:val="none"/>
        </w:rPr>
        <w:t>日 期：   　　年　　月</w:t>
      </w:r>
    </w:p>
    <w:p>
      <w:pPr>
        <w:pageBreakBefore/>
        <w:ind w:left="220" w:right="220"/>
        <w:jc w:val="center"/>
        <w:rPr>
          <w:rFonts w:eastAsia="华文中宋"/>
          <w:b/>
          <w:color w:val="auto"/>
          <w:sz w:val="44"/>
          <w:szCs w:val="44"/>
          <w:highlight w:val="none"/>
        </w:rPr>
      </w:pPr>
      <w:r>
        <w:rPr>
          <w:rFonts w:eastAsia="华文中宋"/>
          <w:b/>
          <w:color w:val="auto"/>
          <w:sz w:val="44"/>
          <w:szCs w:val="44"/>
          <w:highlight w:val="none"/>
        </w:rPr>
        <w:t>目  录</w:t>
      </w:r>
    </w:p>
    <w:sdt>
      <w:sdtPr>
        <w:rPr>
          <w:rFonts w:ascii="宋体" w:hAnsi="宋体"/>
          <w:color w:val="auto"/>
          <w:highlight w:val="none"/>
        </w:rPr>
        <w:id w:val="998153690"/>
        <w:docPartObj>
          <w:docPartGallery w:val="Table of Contents"/>
          <w:docPartUnique/>
        </w:docPartObj>
      </w:sdtPr>
      <w:sdtEndPr>
        <w:rPr>
          <w:rFonts w:ascii="Times New Roman" w:hAnsi="Times New Roman"/>
          <w:b/>
          <w:bCs/>
          <w:color w:val="auto"/>
          <w:sz w:val="20"/>
          <w:szCs w:val="20"/>
          <w:highlight w:val="none"/>
        </w:rPr>
      </w:sdtEndPr>
      <w:sdtContent>
        <w:p>
          <w:pPr>
            <w:jc w:val="center"/>
            <w:rPr>
              <w:color w:val="auto"/>
              <w:highlight w:val="none"/>
            </w:rPr>
          </w:pPr>
          <w:bookmarkStart w:id="0" w:name="_Toc20619_WPSOffice_Type2"/>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"_Toc29768_WPSOffice_Level1" </w:instrText>
          </w:r>
          <w:r>
            <w:rPr>
              <w:color w:val="auto"/>
              <w:highlight w:val="none"/>
            </w:rPr>
            <w:fldChar w:fldCharType="separate"/>
          </w:r>
          <w:sdt>
            <w:sdtPr>
              <w:rPr>
                <w:rFonts w:hint="eastAsia" w:ascii="仿宋" w:hAnsi="仿宋" w:eastAsia="仿宋" w:cs="仿宋"/>
                <w:b/>
                <w:bCs/>
                <w:color w:val="auto"/>
                <w:kern w:val="2"/>
                <w:sz w:val="30"/>
                <w:szCs w:val="30"/>
                <w:highlight w:val="none"/>
              </w:rPr>
              <w:id w:val="147454846"/>
              <w:placeholder>
                <w:docPart w:val="{b0cf9e5b-eeee-48d1-b0a9-ee9eb341cee4}"/>
              </w:placeholder>
            </w:sdtPr>
            <w:sdtEndPr>
              <w:rPr>
                <w:rFonts w:hint="eastAsia" w:ascii="仿宋" w:hAnsi="仿宋" w:eastAsia="仿宋" w:cs="仿宋"/>
                <w:b/>
                <w:bCs/>
                <w:color w:val="auto"/>
                <w:kern w:val="2"/>
                <w:sz w:val="30"/>
                <w:szCs w:val="30"/>
                <w:highlight w:val="none"/>
              </w:rPr>
            </w:sdtEndPr>
            <w:sdtContent>
              <w:r>
                <w:rPr>
                  <w:rFonts w:hint="eastAsia" w:ascii="仿宋" w:hAnsi="仿宋" w:eastAsia="仿宋" w:cs="仿宋"/>
                  <w:b/>
                  <w:bCs/>
                  <w:color w:val="auto"/>
                  <w:sz w:val="30"/>
                  <w:szCs w:val="30"/>
                  <w:highlight w:val="none"/>
                </w:rPr>
                <w:t>第一部分  协议书</w:t>
              </w:r>
            </w:sdtContent>
          </w:sdt>
          <w:r>
            <w:rPr>
              <w:rFonts w:hint="eastAsia" w:ascii="仿宋" w:hAnsi="仿宋" w:eastAsia="仿宋" w:cs="仿宋"/>
              <w:b/>
              <w:bCs/>
              <w:color w:val="auto"/>
              <w:sz w:val="30"/>
              <w:szCs w:val="30"/>
              <w:highlight w:val="none"/>
            </w:rPr>
            <w:tab/>
          </w:r>
          <w:bookmarkStart w:id="1" w:name="_Toc29768_WPSOffice_Level1Page"/>
          <w:r>
            <w:rPr>
              <w:rFonts w:hint="eastAsia" w:ascii="仿宋" w:hAnsi="仿宋" w:eastAsia="仿宋" w:cs="仿宋"/>
              <w:b/>
              <w:bCs/>
              <w:color w:val="auto"/>
              <w:sz w:val="30"/>
              <w:szCs w:val="30"/>
              <w:highlight w:val="none"/>
            </w:rPr>
            <w:t>3</w:t>
          </w:r>
          <w:bookmarkEnd w:id="1"/>
          <w:r>
            <w:rPr>
              <w:rFonts w:hint="eastAsia" w:ascii="仿宋" w:hAnsi="仿宋" w:eastAsia="仿宋" w:cs="仿宋"/>
              <w:b/>
              <w:bCs/>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"_Toc15264_WPSOffice_Level2"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2117820452"/>
              <w:placeholder>
                <w:docPart w:val="{a9092a99-0328-4f44-aae6-cfd185e937c7}"/>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一、工程概况</w:t>
              </w:r>
            </w:sdtContent>
          </w:sdt>
          <w:r>
            <w:rPr>
              <w:rFonts w:hint="eastAsia" w:ascii="仿宋" w:hAnsi="仿宋" w:eastAsia="仿宋" w:cs="仿宋"/>
              <w:color w:val="auto"/>
              <w:sz w:val="30"/>
              <w:szCs w:val="30"/>
              <w:highlight w:val="none"/>
            </w:rPr>
            <w:tab/>
          </w:r>
          <w:bookmarkStart w:id="2" w:name="_Toc15264_WPSOffice_Level2Page"/>
          <w:r>
            <w:rPr>
              <w:rFonts w:hint="eastAsia" w:ascii="仿宋" w:hAnsi="仿宋" w:eastAsia="仿宋" w:cs="仿宋"/>
              <w:color w:val="auto"/>
              <w:sz w:val="30"/>
              <w:szCs w:val="30"/>
              <w:highlight w:val="none"/>
            </w:rPr>
            <w:t>4</w:t>
          </w:r>
          <w:bookmarkEnd w:id="2"/>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"_Toc7164_WPSOffice_Level2"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734313805"/>
              <w:placeholder>
                <w:docPart w:val="{ab0a51e6-320b-4a43-a592-7d4575304338}"/>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二、词语限定</w:t>
              </w:r>
            </w:sdtContent>
          </w:sdt>
          <w:r>
            <w:rPr>
              <w:rFonts w:hint="eastAsia" w:ascii="仿宋" w:hAnsi="仿宋" w:eastAsia="仿宋" w:cs="仿宋"/>
              <w:color w:val="auto"/>
              <w:sz w:val="30"/>
              <w:szCs w:val="30"/>
              <w:highlight w:val="none"/>
            </w:rPr>
            <w:tab/>
          </w:r>
          <w:bookmarkStart w:id="3" w:name="_Toc7164_WPSOffice_Level2Page"/>
          <w:r>
            <w:rPr>
              <w:rFonts w:hint="eastAsia" w:ascii="仿宋" w:hAnsi="仿宋" w:eastAsia="仿宋" w:cs="仿宋"/>
              <w:color w:val="auto"/>
              <w:sz w:val="30"/>
              <w:szCs w:val="30"/>
              <w:highlight w:val="none"/>
            </w:rPr>
            <w:t>5</w:t>
          </w:r>
          <w:bookmarkEnd w:id="3"/>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"_Toc7282_WPSOffice_Level2"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11868919"/>
              <w:placeholder>
                <w:docPart w:val="{160e4ee7-05c3-4be5-8425-6f88ab491ad0}"/>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三 、质量要求</w:t>
              </w:r>
            </w:sdtContent>
          </w:sdt>
          <w:r>
            <w:rPr>
              <w:rFonts w:hint="eastAsia" w:ascii="仿宋" w:hAnsi="仿宋" w:eastAsia="仿宋" w:cs="仿宋"/>
              <w:color w:val="auto"/>
              <w:sz w:val="30"/>
              <w:szCs w:val="30"/>
              <w:highlight w:val="none"/>
            </w:rPr>
            <w:tab/>
          </w:r>
          <w:bookmarkStart w:id="4" w:name="_Toc7282_WPSOffice_Level2Page"/>
          <w:r>
            <w:rPr>
              <w:rFonts w:hint="eastAsia" w:ascii="仿宋" w:hAnsi="仿宋" w:eastAsia="仿宋" w:cs="仿宋"/>
              <w:color w:val="auto"/>
              <w:sz w:val="30"/>
              <w:szCs w:val="30"/>
              <w:highlight w:val="none"/>
            </w:rPr>
            <w:t>5</w:t>
          </w:r>
          <w:bookmarkEnd w:id="4"/>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"_Toc26849_WPSOffice_Level2"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576516434"/>
              <w:placeholder>
                <w:docPart w:val="{c73b1510-a29b-407b-bb64-970d2708ed35}"/>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四、 工作内容</w:t>
              </w:r>
            </w:sdtContent>
          </w:sdt>
          <w:r>
            <w:rPr>
              <w:rFonts w:hint="eastAsia" w:ascii="仿宋" w:hAnsi="仿宋" w:eastAsia="仿宋" w:cs="仿宋"/>
              <w:color w:val="auto"/>
              <w:sz w:val="30"/>
              <w:szCs w:val="30"/>
              <w:highlight w:val="none"/>
            </w:rPr>
            <w:tab/>
          </w:r>
          <w:bookmarkStart w:id="5" w:name="_Toc26849_WPSOffice_Level2Page"/>
          <w:r>
            <w:rPr>
              <w:rFonts w:hint="eastAsia" w:ascii="仿宋" w:hAnsi="仿宋" w:eastAsia="仿宋" w:cs="仿宋"/>
              <w:color w:val="auto"/>
              <w:sz w:val="30"/>
              <w:szCs w:val="30"/>
              <w:highlight w:val="none"/>
            </w:rPr>
            <w:t>5</w:t>
          </w:r>
          <w:bookmarkEnd w:id="5"/>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"_Toc17102_WPSOffice_Level2"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575901012"/>
              <w:placeholder>
                <w:docPart w:val="{a4270cdb-7e54-46b6-92da-6fda773d8698}"/>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五、合同价款</w:t>
              </w:r>
            </w:sdtContent>
          </w:sdt>
          <w:r>
            <w:rPr>
              <w:rFonts w:hint="eastAsia" w:ascii="仿宋" w:hAnsi="仿宋" w:eastAsia="仿宋" w:cs="仿宋"/>
              <w:color w:val="auto"/>
              <w:sz w:val="30"/>
              <w:szCs w:val="30"/>
              <w:highlight w:val="none"/>
            </w:rPr>
            <w:tab/>
          </w:r>
          <w:bookmarkStart w:id="6" w:name="_Toc17102_WPSOffice_Level2Page"/>
          <w:r>
            <w:rPr>
              <w:rFonts w:hint="eastAsia" w:ascii="仿宋" w:hAnsi="仿宋" w:eastAsia="仿宋" w:cs="仿宋"/>
              <w:color w:val="auto"/>
              <w:sz w:val="30"/>
              <w:szCs w:val="30"/>
              <w:highlight w:val="none"/>
            </w:rPr>
            <w:t>7</w:t>
          </w:r>
          <w:bookmarkEnd w:id="6"/>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"_Toc15693_WPSOffice_Level2"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359893467"/>
              <w:placeholder>
                <w:docPart w:val="{f4682a4e-7ce7-4965-aee9-1e61cc567454}"/>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六、双方承诺</w:t>
              </w:r>
            </w:sdtContent>
          </w:sdt>
          <w:r>
            <w:rPr>
              <w:rFonts w:hint="eastAsia" w:ascii="仿宋" w:hAnsi="仿宋" w:eastAsia="仿宋" w:cs="仿宋"/>
              <w:color w:val="auto"/>
              <w:sz w:val="30"/>
              <w:szCs w:val="30"/>
              <w:highlight w:val="none"/>
            </w:rPr>
            <w:tab/>
          </w:r>
          <w:bookmarkStart w:id="7" w:name="_Toc15693_WPSOffice_Level2Page"/>
          <w:r>
            <w:rPr>
              <w:rFonts w:hint="eastAsia" w:ascii="仿宋" w:hAnsi="仿宋" w:eastAsia="仿宋" w:cs="仿宋"/>
              <w:color w:val="auto"/>
              <w:sz w:val="30"/>
              <w:szCs w:val="30"/>
              <w:highlight w:val="none"/>
            </w:rPr>
            <w:t>8</w:t>
          </w:r>
          <w:bookmarkEnd w:id="7"/>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"_Toc9006_WPSOffice_Level2"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833681505"/>
              <w:placeholder>
                <w:docPart w:val="{808264bf-fd9f-44f6-a99f-4d2d5f074130}"/>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七、合同生效</w:t>
              </w:r>
            </w:sdtContent>
          </w:sdt>
          <w:r>
            <w:rPr>
              <w:rFonts w:hint="eastAsia" w:ascii="仿宋" w:hAnsi="仿宋" w:eastAsia="仿宋" w:cs="仿宋"/>
              <w:color w:val="auto"/>
              <w:sz w:val="30"/>
              <w:szCs w:val="30"/>
              <w:highlight w:val="none"/>
            </w:rPr>
            <w:tab/>
          </w:r>
          <w:bookmarkStart w:id="8" w:name="_Toc9006_WPSOffice_Level2Page"/>
          <w:r>
            <w:rPr>
              <w:rFonts w:hint="eastAsia" w:ascii="仿宋" w:hAnsi="仿宋" w:eastAsia="仿宋" w:cs="仿宋"/>
              <w:color w:val="auto"/>
              <w:sz w:val="30"/>
              <w:szCs w:val="30"/>
              <w:highlight w:val="none"/>
            </w:rPr>
            <w:t>9</w:t>
          </w:r>
          <w:bookmarkEnd w:id="8"/>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"_Toc26335_WPSOffice_Level2"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918355326"/>
              <w:placeholder>
                <w:docPart w:val="{61bc8029-8122-4259-80bc-3d8ffe233e74}"/>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八、争议解决</w:t>
              </w:r>
            </w:sdtContent>
          </w:sdt>
          <w:r>
            <w:rPr>
              <w:rFonts w:hint="eastAsia" w:ascii="仿宋" w:hAnsi="仿宋" w:eastAsia="仿宋" w:cs="仿宋"/>
              <w:color w:val="auto"/>
              <w:sz w:val="30"/>
              <w:szCs w:val="30"/>
              <w:highlight w:val="none"/>
            </w:rPr>
            <w:tab/>
          </w:r>
          <w:bookmarkStart w:id="9" w:name="_Toc26335_WPSOffice_Level2Page"/>
          <w:r>
            <w:rPr>
              <w:rFonts w:hint="eastAsia" w:ascii="仿宋" w:hAnsi="仿宋" w:eastAsia="仿宋" w:cs="仿宋"/>
              <w:color w:val="auto"/>
              <w:sz w:val="30"/>
              <w:szCs w:val="30"/>
              <w:highlight w:val="none"/>
            </w:rPr>
            <w:t>9</w:t>
          </w:r>
          <w:bookmarkEnd w:id="9"/>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"_Toc7039_WPSOffice_Level2"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479068887"/>
              <w:placeholder>
                <w:docPart w:val="{1e71a330-4dc4-4f87-8a17-8040621c56fd}"/>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九、通知与送达</w:t>
              </w:r>
            </w:sdtContent>
          </w:sdt>
          <w:r>
            <w:rPr>
              <w:rFonts w:hint="eastAsia" w:ascii="仿宋" w:hAnsi="仿宋" w:eastAsia="仿宋" w:cs="仿宋"/>
              <w:color w:val="auto"/>
              <w:sz w:val="30"/>
              <w:szCs w:val="30"/>
              <w:highlight w:val="none"/>
            </w:rPr>
            <w:tab/>
          </w:r>
          <w:bookmarkStart w:id="10" w:name="_Toc7039_WPSOffice_Level2Page"/>
          <w:r>
            <w:rPr>
              <w:rFonts w:hint="eastAsia" w:ascii="仿宋" w:hAnsi="仿宋" w:eastAsia="仿宋" w:cs="仿宋"/>
              <w:color w:val="auto"/>
              <w:sz w:val="30"/>
              <w:szCs w:val="30"/>
              <w:highlight w:val="none"/>
            </w:rPr>
            <w:t>9</w:t>
          </w:r>
          <w:bookmarkEnd w:id="10"/>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"_Toc8052_WPSOffice_Level2"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956790761"/>
              <w:placeholder>
                <w:docPart w:val="{40cd49fa-1143-4905-9133-dae3d4121484}"/>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十、合同份数</w:t>
              </w:r>
            </w:sdtContent>
          </w:sdt>
          <w:r>
            <w:rPr>
              <w:rFonts w:hint="eastAsia" w:ascii="仿宋" w:hAnsi="仿宋" w:eastAsia="仿宋" w:cs="仿宋"/>
              <w:color w:val="auto"/>
              <w:sz w:val="30"/>
              <w:szCs w:val="30"/>
              <w:highlight w:val="none"/>
            </w:rPr>
            <w:tab/>
          </w:r>
          <w:bookmarkStart w:id="11" w:name="_Toc8052_WPSOffice_Level2Page"/>
          <w:r>
            <w:rPr>
              <w:rFonts w:hint="eastAsia" w:ascii="仿宋" w:hAnsi="仿宋" w:eastAsia="仿宋" w:cs="仿宋"/>
              <w:color w:val="auto"/>
              <w:sz w:val="30"/>
              <w:szCs w:val="30"/>
              <w:highlight w:val="none"/>
            </w:rPr>
            <w:t>9</w:t>
          </w:r>
          <w:bookmarkEnd w:id="11"/>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"_Toc9871_WPSOffice_Level1" </w:instrText>
          </w:r>
          <w:r>
            <w:rPr>
              <w:color w:val="auto"/>
              <w:highlight w:val="none"/>
            </w:rPr>
            <w:fldChar w:fldCharType="separate"/>
          </w:r>
          <w:sdt>
            <w:sdtPr>
              <w:rPr>
                <w:rFonts w:hint="eastAsia" w:ascii="仿宋" w:hAnsi="仿宋" w:eastAsia="仿宋" w:cs="仿宋"/>
                <w:b/>
                <w:bCs/>
                <w:color w:val="auto"/>
                <w:kern w:val="2"/>
                <w:sz w:val="30"/>
                <w:szCs w:val="30"/>
                <w:highlight w:val="none"/>
              </w:rPr>
              <w:id w:val="-1488158326"/>
              <w:placeholder>
                <w:docPart w:val="{b2e33028-1df9-4382-8c60-b5d27e5d9700}"/>
              </w:placeholder>
            </w:sdtPr>
            <w:sdtEndPr>
              <w:rPr>
                <w:rFonts w:hint="eastAsia" w:ascii="仿宋" w:hAnsi="仿宋" w:eastAsia="仿宋" w:cs="仿宋"/>
                <w:b/>
                <w:bCs/>
                <w:color w:val="auto"/>
                <w:kern w:val="2"/>
                <w:sz w:val="30"/>
                <w:szCs w:val="30"/>
                <w:highlight w:val="none"/>
              </w:rPr>
            </w:sdtEndPr>
            <w:sdtContent>
              <w:r>
                <w:rPr>
                  <w:rFonts w:hint="eastAsia" w:ascii="仿宋" w:hAnsi="仿宋" w:eastAsia="仿宋" w:cs="仿宋"/>
                  <w:b/>
                  <w:bCs/>
                  <w:color w:val="auto"/>
                  <w:sz w:val="30"/>
                  <w:szCs w:val="30"/>
                  <w:highlight w:val="none"/>
                </w:rPr>
                <w:t>第二部分  通用合同条款</w:t>
              </w:r>
            </w:sdtContent>
          </w:sdt>
          <w:r>
            <w:rPr>
              <w:rFonts w:hint="eastAsia" w:ascii="仿宋" w:hAnsi="仿宋" w:eastAsia="仿宋" w:cs="仿宋"/>
              <w:b/>
              <w:bCs/>
              <w:color w:val="auto"/>
              <w:sz w:val="30"/>
              <w:szCs w:val="30"/>
              <w:highlight w:val="none"/>
            </w:rPr>
            <w:tab/>
          </w:r>
          <w:bookmarkStart w:id="12" w:name="_Toc9871_WPSOffice_Level1Page"/>
          <w:r>
            <w:rPr>
              <w:rFonts w:hint="eastAsia" w:ascii="仿宋" w:hAnsi="仿宋" w:eastAsia="仿宋" w:cs="仿宋"/>
              <w:b/>
              <w:bCs/>
              <w:color w:val="auto"/>
              <w:sz w:val="30"/>
              <w:szCs w:val="30"/>
              <w:highlight w:val="none"/>
            </w:rPr>
            <w:t>10</w:t>
          </w:r>
          <w:bookmarkEnd w:id="12"/>
          <w:r>
            <w:rPr>
              <w:rFonts w:hint="eastAsia" w:ascii="仿宋" w:hAnsi="仿宋" w:eastAsia="仿宋" w:cs="仿宋"/>
              <w:b/>
              <w:bCs/>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"_Toc2887_WPSOffice_Level2"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54988190"/>
              <w:placeholder>
                <w:docPart w:val="{c3f67f9b-4c7a-49ee-b6c4-b2244bf70756}"/>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1.定义与解释</w:t>
              </w:r>
            </w:sdtContent>
          </w:sdt>
          <w:r>
            <w:rPr>
              <w:rFonts w:hint="eastAsia" w:ascii="仿宋" w:hAnsi="仿宋" w:eastAsia="仿宋" w:cs="仿宋"/>
              <w:color w:val="auto"/>
              <w:sz w:val="30"/>
              <w:szCs w:val="30"/>
              <w:highlight w:val="none"/>
            </w:rPr>
            <w:tab/>
          </w:r>
          <w:bookmarkStart w:id="13" w:name="_Toc2887_WPSOffice_Level2Page"/>
          <w:r>
            <w:rPr>
              <w:rFonts w:hint="eastAsia" w:ascii="仿宋" w:hAnsi="仿宋" w:eastAsia="仿宋" w:cs="仿宋"/>
              <w:color w:val="auto"/>
              <w:sz w:val="30"/>
              <w:szCs w:val="30"/>
              <w:highlight w:val="none"/>
            </w:rPr>
            <w:t>10</w:t>
          </w:r>
          <w:bookmarkEnd w:id="13"/>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"_Toc2351_WPSOffice_Level2"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530784128"/>
              <w:placeholder>
                <w:docPart w:val="{83e1b5f6-efba-404a-b1b4-dfc3bc8b1258}"/>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2. 乙方义务</w:t>
              </w:r>
            </w:sdtContent>
          </w:sdt>
          <w:r>
            <w:rPr>
              <w:rFonts w:hint="eastAsia" w:ascii="仿宋" w:hAnsi="仿宋" w:eastAsia="仿宋" w:cs="仿宋"/>
              <w:color w:val="auto"/>
              <w:sz w:val="30"/>
              <w:szCs w:val="30"/>
              <w:highlight w:val="none"/>
            </w:rPr>
            <w:tab/>
          </w:r>
          <w:bookmarkStart w:id="14" w:name="_Toc2351_WPSOffice_Level2Page"/>
          <w:r>
            <w:rPr>
              <w:rFonts w:hint="eastAsia" w:ascii="仿宋" w:hAnsi="仿宋" w:eastAsia="仿宋" w:cs="仿宋"/>
              <w:color w:val="auto"/>
              <w:sz w:val="30"/>
              <w:szCs w:val="30"/>
              <w:highlight w:val="none"/>
            </w:rPr>
            <w:t>12</w:t>
          </w:r>
          <w:bookmarkEnd w:id="14"/>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"_Toc4608_WPSOffice_Level2"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826974334"/>
              <w:placeholder>
                <w:docPart w:val="{adf3e2c8-2dfb-4930-8deb-35668b24318a}"/>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3．甲方的义务</w:t>
              </w:r>
            </w:sdtContent>
          </w:sdt>
          <w:r>
            <w:rPr>
              <w:rFonts w:hint="eastAsia" w:ascii="仿宋" w:hAnsi="仿宋" w:eastAsia="仿宋" w:cs="仿宋"/>
              <w:color w:val="auto"/>
              <w:sz w:val="30"/>
              <w:szCs w:val="30"/>
              <w:highlight w:val="none"/>
            </w:rPr>
            <w:tab/>
          </w:r>
          <w:bookmarkStart w:id="15" w:name="_Toc4608_WPSOffice_Level2Page"/>
          <w:r>
            <w:rPr>
              <w:rFonts w:hint="eastAsia" w:ascii="仿宋" w:hAnsi="仿宋" w:eastAsia="仿宋" w:cs="仿宋"/>
              <w:color w:val="auto"/>
              <w:sz w:val="30"/>
              <w:szCs w:val="30"/>
              <w:highlight w:val="none"/>
            </w:rPr>
            <w:t>14</w:t>
          </w:r>
          <w:bookmarkEnd w:id="15"/>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"_Toc23517_WPSOffice_Level2"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200244682"/>
              <w:placeholder>
                <w:docPart w:val="{9aff7cfc-4d64-4f1f-b3d5-944007ab039d}"/>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4. 违约责任</w:t>
              </w:r>
            </w:sdtContent>
          </w:sdt>
          <w:r>
            <w:rPr>
              <w:rFonts w:hint="eastAsia" w:ascii="仿宋" w:hAnsi="仿宋" w:eastAsia="仿宋" w:cs="仿宋"/>
              <w:color w:val="auto"/>
              <w:sz w:val="30"/>
              <w:szCs w:val="30"/>
              <w:highlight w:val="none"/>
            </w:rPr>
            <w:tab/>
          </w:r>
          <w:bookmarkStart w:id="16" w:name="_Toc23517_WPSOffice_Level2Page"/>
          <w:r>
            <w:rPr>
              <w:rFonts w:hint="eastAsia" w:ascii="仿宋" w:hAnsi="仿宋" w:eastAsia="仿宋" w:cs="仿宋"/>
              <w:color w:val="auto"/>
              <w:sz w:val="30"/>
              <w:szCs w:val="30"/>
              <w:highlight w:val="none"/>
            </w:rPr>
            <w:t>15</w:t>
          </w:r>
          <w:bookmarkEnd w:id="16"/>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"_Toc19842_WPSOffice_Level2"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057701763"/>
              <w:placeholder>
                <w:docPart w:val="{23c53739-4c5a-409a-8c9e-00f4725cdfea}"/>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5. 支付</w:t>
              </w:r>
            </w:sdtContent>
          </w:sdt>
          <w:r>
            <w:rPr>
              <w:rFonts w:hint="eastAsia" w:ascii="仿宋" w:hAnsi="仿宋" w:eastAsia="仿宋" w:cs="仿宋"/>
              <w:color w:val="auto"/>
              <w:sz w:val="30"/>
              <w:szCs w:val="30"/>
              <w:highlight w:val="none"/>
            </w:rPr>
            <w:tab/>
          </w:r>
          <w:bookmarkStart w:id="17" w:name="_Toc19842_WPSOffice_Level2Page"/>
          <w:r>
            <w:rPr>
              <w:rFonts w:hint="eastAsia" w:ascii="仿宋" w:hAnsi="仿宋" w:eastAsia="仿宋" w:cs="仿宋"/>
              <w:color w:val="auto"/>
              <w:sz w:val="30"/>
              <w:szCs w:val="30"/>
              <w:highlight w:val="none"/>
            </w:rPr>
            <w:t>16</w:t>
          </w:r>
          <w:bookmarkEnd w:id="17"/>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"_Toc22095_WPSOffice_Level2"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256556634"/>
              <w:placeholder>
                <w:docPart w:val="{cdeb5569-10f0-4358-93ae-accdfaa22b13}"/>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6. 合同生效、变更、暂停、解除</w:t>
              </w:r>
            </w:sdtContent>
          </w:sdt>
          <w:r>
            <w:rPr>
              <w:rFonts w:hint="eastAsia" w:ascii="仿宋" w:hAnsi="仿宋" w:eastAsia="仿宋" w:cs="仿宋"/>
              <w:color w:val="auto"/>
              <w:sz w:val="30"/>
              <w:szCs w:val="30"/>
              <w:highlight w:val="none"/>
            </w:rPr>
            <w:tab/>
          </w:r>
          <w:bookmarkStart w:id="18" w:name="_Toc22095_WPSOffice_Level2Page"/>
          <w:r>
            <w:rPr>
              <w:rFonts w:hint="eastAsia" w:ascii="仿宋" w:hAnsi="仿宋" w:eastAsia="仿宋" w:cs="仿宋"/>
              <w:color w:val="auto"/>
              <w:sz w:val="30"/>
              <w:szCs w:val="30"/>
              <w:highlight w:val="none"/>
            </w:rPr>
            <w:t>16</w:t>
          </w:r>
          <w:bookmarkEnd w:id="18"/>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"_Toc102_WPSOffice_Level2"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265004973"/>
              <w:placeholder>
                <w:docPart w:val="{b395ec2a-7835-4d74-b6d7-2b5a7f9c036b}"/>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7. 争议解决</w:t>
              </w:r>
            </w:sdtContent>
          </w:sdt>
          <w:r>
            <w:rPr>
              <w:rFonts w:hint="eastAsia" w:ascii="仿宋" w:hAnsi="仿宋" w:eastAsia="仿宋" w:cs="仿宋"/>
              <w:color w:val="auto"/>
              <w:sz w:val="30"/>
              <w:szCs w:val="30"/>
              <w:highlight w:val="none"/>
            </w:rPr>
            <w:tab/>
          </w:r>
          <w:bookmarkStart w:id="19" w:name="_Toc102_WPSOffice_Level2Page"/>
          <w:r>
            <w:rPr>
              <w:rFonts w:hint="eastAsia" w:ascii="仿宋" w:hAnsi="仿宋" w:eastAsia="仿宋" w:cs="仿宋"/>
              <w:color w:val="auto"/>
              <w:sz w:val="30"/>
              <w:szCs w:val="30"/>
              <w:highlight w:val="none"/>
            </w:rPr>
            <w:t>18</w:t>
          </w:r>
          <w:bookmarkEnd w:id="19"/>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"_Toc23450_WPSOffice_Level2"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423497685"/>
              <w:placeholder>
                <w:docPart w:val="{e6039c7b-f952-4d46-b0d1-46309a0541ae}"/>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8. 其他</w:t>
              </w:r>
            </w:sdtContent>
          </w:sdt>
          <w:r>
            <w:rPr>
              <w:rFonts w:hint="eastAsia" w:ascii="仿宋" w:hAnsi="仿宋" w:eastAsia="仿宋" w:cs="仿宋"/>
              <w:color w:val="auto"/>
              <w:sz w:val="30"/>
              <w:szCs w:val="30"/>
              <w:highlight w:val="none"/>
            </w:rPr>
            <w:tab/>
          </w:r>
          <w:bookmarkStart w:id="20" w:name="_Toc23450_WPSOffice_Level2Page"/>
          <w:r>
            <w:rPr>
              <w:rFonts w:hint="eastAsia" w:ascii="仿宋" w:hAnsi="仿宋" w:eastAsia="仿宋" w:cs="仿宋"/>
              <w:color w:val="auto"/>
              <w:sz w:val="30"/>
              <w:szCs w:val="30"/>
              <w:highlight w:val="none"/>
            </w:rPr>
            <w:t>18</w:t>
          </w:r>
          <w:bookmarkEnd w:id="20"/>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"_Toc30166_WPSOffice_Level1" </w:instrText>
          </w:r>
          <w:r>
            <w:rPr>
              <w:color w:val="auto"/>
              <w:highlight w:val="none"/>
            </w:rPr>
            <w:fldChar w:fldCharType="separate"/>
          </w:r>
          <w:sdt>
            <w:sdtPr>
              <w:rPr>
                <w:rFonts w:hint="eastAsia" w:ascii="仿宋" w:hAnsi="仿宋" w:eastAsia="仿宋" w:cs="仿宋"/>
                <w:b/>
                <w:bCs/>
                <w:color w:val="auto"/>
                <w:kern w:val="2"/>
                <w:sz w:val="30"/>
                <w:szCs w:val="30"/>
                <w:highlight w:val="none"/>
              </w:rPr>
              <w:id w:val="-2111970468"/>
              <w:placeholder>
                <w:docPart w:val="{db224c14-7149-4529-9821-d36be833b79c}"/>
              </w:placeholder>
            </w:sdtPr>
            <w:sdtEndPr>
              <w:rPr>
                <w:rFonts w:hint="eastAsia" w:ascii="仿宋" w:hAnsi="仿宋" w:eastAsia="仿宋" w:cs="仿宋"/>
                <w:b/>
                <w:bCs/>
                <w:color w:val="auto"/>
                <w:kern w:val="2"/>
                <w:sz w:val="30"/>
                <w:szCs w:val="30"/>
                <w:highlight w:val="none"/>
              </w:rPr>
            </w:sdtEndPr>
            <w:sdtContent>
              <w:r>
                <w:rPr>
                  <w:rFonts w:hint="eastAsia" w:ascii="仿宋" w:hAnsi="仿宋" w:eastAsia="仿宋" w:cs="仿宋"/>
                  <w:b/>
                  <w:bCs/>
                  <w:color w:val="auto"/>
                  <w:sz w:val="30"/>
                  <w:szCs w:val="30"/>
                  <w:highlight w:val="none"/>
                </w:rPr>
                <w:t>第三部分  专用合同条款</w:t>
              </w:r>
            </w:sdtContent>
          </w:sdt>
          <w:r>
            <w:rPr>
              <w:rFonts w:hint="eastAsia" w:ascii="仿宋" w:hAnsi="仿宋" w:eastAsia="仿宋" w:cs="仿宋"/>
              <w:b/>
              <w:bCs/>
              <w:color w:val="auto"/>
              <w:sz w:val="30"/>
              <w:szCs w:val="30"/>
              <w:highlight w:val="none"/>
            </w:rPr>
            <w:tab/>
          </w:r>
          <w:bookmarkStart w:id="21" w:name="_Toc30166_WPSOffice_Level1Page"/>
          <w:r>
            <w:rPr>
              <w:rFonts w:hint="eastAsia" w:ascii="仿宋" w:hAnsi="仿宋" w:eastAsia="仿宋" w:cs="仿宋"/>
              <w:b/>
              <w:bCs/>
              <w:color w:val="auto"/>
              <w:sz w:val="30"/>
              <w:szCs w:val="30"/>
              <w:highlight w:val="none"/>
            </w:rPr>
            <w:t>20</w:t>
          </w:r>
          <w:bookmarkEnd w:id="21"/>
          <w:r>
            <w:rPr>
              <w:rFonts w:hint="eastAsia" w:ascii="仿宋" w:hAnsi="仿宋" w:eastAsia="仿宋" w:cs="仿宋"/>
              <w:b/>
              <w:bCs/>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"_Toc2243_WPSOffice_Level2"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639687080"/>
              <w:placeholder>
                <w:docPart w:val="{9dc8aa8a-cde3-4899-8c52-8df0cba9f8e8}"/>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1. 定义与解释</w:t>
              </w:r>
            </w:sdtContent>
          </w:sdt>
          <w:r>
            <w:rPr>
              <w:rFonts w:hint="eastAsia" w:ascii="仿宋" w:hAnsi="仿宋" w:eastAsia="仿宋" w:cs="仿宋"/>
              <w:color w:val="auto"/>
              <w:sz w:val="30"/>
              <w:szCs w:val="30"/>
              <w:highlight w:val="none"/>
            </w:rPr>
            <w:tab/>
          </w:r>
          <w:bookmarkStart w:id="22" w:name="_Toc2243_WPSOffice_Level2Page"/>
          <w:r>
            <w:rPr>
              <w:rFonts w:hint="eastAsia" w:ascii="仿宋" w:hAnsi="仿宋" w:eastAsia="仿宋" w:cs="仿宋"/>
              <w:color w:val="auto"/>
              <w:sz w:val="30"/>
              <w:szCs w:val="30"/>
              <w:highlight w:val="none"/>
            </w:rPr>
            <w:t>20</w:t>
          </w:r>
          <w:bookmarkEnd w:id="22"/>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"_Toc9065_WPSOffice_Level2"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620378595"/>
              <w:placeholder>
                <w:docPart w:val="{cf4395e9-29c2-42a5-b549-c43a83eca9d0}"/>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2. 乙方义务</w:t>
              </w:r>
            </w:sdtContent>
          </w:sdt>
          <w:r>
            <w:rPr>
              <w:rFonts w:hint="eastAsia" w:ascii="仿宋" w:hAnsi="仿宋" w:eastAsia="仿宋" w:cs="仿宋"/>
              <w:color w:val="auto"/>
              <w:sz w:val="30"/>
              <w:szCs w:val="30"/>
              <w:highlight w:val="none"/>
            </w:rPr>
            <w:tab/>
          </w:r>
          <w:bookmarkStart w:id="23" w:name="_Toc9065_WPSOffice_Level2Page"/>
          <w:r>
            <w:rPr>
              <w:rFonts w:hint="eastAsia" w:ascii="仿宋" w:hAnsi="仿宋" w:eastAsia="仿宋" w:cs="仿宋"/>
              <w:color w:val="auto"/>
              <w:sz w:val="30"/>
              <w:szCs w:val="30"/>
              <w:highlight w:val="none"/>
            </w:rPr>
            <w:t>20</w:t>
          </w:r>
          <w:bookmarkEnd w:id="23"/>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"_Toc4549_WPSOffice_Level2"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38699752"/>
              <w:placeholder>
                <w:docPart w:val="{754728d3-b652-4e68-95c2-125fc9bf8901}"/>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3. 甲方义务</w:t>
              </w:r>
            </w:sdtContent>
          </w:sdt>
          <w:r>
            <w:rPr>
              <w:rFonts w:hint="eastAsia" w:ascii="仿宋" w:hAnsi="仿宋" w:eastAsia="仿宋" w:cs="仿宋"/>
              <w:color w:val="auto"/>
              <w:sz w:val="30"/>
              <w:szCs w:val="30"/>
              <w:highlight w:val="none"/>
            </w:rPr>
            <w:tab/>
          </w:r>
          <w:bookmarkStart w:id="24" w:name="_Toc4549_WPSOffice_Level2Page"/>
          <w:r>
            <w:rPr>
              <w:rFonts w:hint="eastAsia" w:ascii="仿宋" w:hAnsi="仿宋" w:eastAsia="仿宋" w:cs="仿宋"/>
              <w:color w:val="auto"/>
              <w:sz w:val="30"/>
              <w:szCs w:val="30"/>
              <w:highlight w:val="none"/>
            </w:rPr>
            <w:t>27</w:t>
          </w:r>
          <w:bookmarkEnd w:id="24"/>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"_Toc23998_WPSOffice_Level2"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242066513"/>
              <w:placeholder>
                <w:docPart w:val="{644b6393-811c-46b5-a0b3-d34a62504f2c}"/>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4. 违约责任</w:t>
              </w:r>
            </w:sdtContent>
          </w:sdt>
          <w:r>
            <w:rPr>
              <w:rFonts w:hint="eastAsia" w:ascii="仿宋" w:hAnsi="仿宋" w:eastAsia="仿宋" w:cs="仿宋"/>
              <w:color w:val="auto"/>
              <w:sz w:val="30"/>
              <w:szCs w:val="30"/>
              <w:highlight w:val="none"/>
            </w:rPr>
            <w:tab/>
          </w:r>
          <w:bookmarkStart w:id="25" w:name="_Toc23998_WPSOffice_Level2Page"/>
          <w:r>
            <w:rPr>
              <w:rFonts w:hint="eastAsia" w:ascii="仿宋" w:hAnsi="仿宋" w:eastAsia="仿宋" w:cs="仿宋"/>
              <w:color w:val="auto"/>
              <w:sz w:val="30"/>
              <w:szCs w:val="30"/>
              <w:highlight w:val="none"/>
            </w:rPr>
            <w:t>28</w:t>
          </w:r>
          <w:bookmarkEnd w:id="25"/>
          <w:r>
            <w:rPr>
              <w:rFonts w:hint="eastAsia" w:ascii="仿宋" w:hAnsi="仿宋" w:eastAsia="仿宋" w:cs="仿宋"/>
              <w:color w:val="auto"/>
              <w:sz w:val="30"/>
              <w:szCs w:val="30"/>
              <w:highlight w:val="none"/>
            </w:rPr>
            <w:fldChar w:fldCharType="end"/>
          </w:r>
        </w:p>
        <w:p>
          <w:pPr>
            <w:pStyle w:val="83"/>
            <w:tabs>
              <w:tab w:val="right" w:leader="dot" w:pos="9593"/>
            </w:tabs>
            <w:ind w:left="426"/>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"_Toc32476_WPSOffice_Level2" </w:instrText>
          </w:r>
          <w:r>
            <w:rPr>
              <w:color w:val="auto"/>
              <w:highlight w:val="none"/>
            </w:rPr>
            <w:fldChar w:fldCharType="separate"/>
          </w:r>
          <w:sdt>
            <w:sdtPr>
              <w:rPr>
                <w:rFonts w:hint="eastAsia" w:ascii="仿宋" w:hAnsi="仿宋" w:eastAsia="仿宋" w:cs="仿宋"/>
                <w:color w:val="auto"/>
                <w:kern w:val="2"/>
                <w:sz w:val="30"/>
                <w:szCs w:val="30"/>
                <w:highlight w:val="none"/>
              </w:rPr>
              <w:id w:val="1622720588"/>
              <w:placeholder>
                <w:docPart w:val="{e6159e9a-febf-41b7-9e09-10eccf00b257}"/>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5. 支付</w:t>
              </w:r>
            </w:sdtContent>
          </w:sdt>
          <w:r>
            <w:rPr>
              <w:rFonts w:hint="eastAsia" w:ascii="仿宋" w:hAnsi="仿宋" w:eastAsia="仿宋" w:cs="仿宋"/>
              <w:color w:val="auto"/>
              <w:sz w:val="30"/>
              <w:szCs w:val="30"/>
              <w:highlight w:val="none"/>
            </w:rPr>
            <w:tab/>
          </w:r>
          <w:bookmarkStart w:id="26" w:name="_Toc32476_WPSOffice_Level2Page"/>
          <w:r>
            <w:rPr>
              <w:rFonts w:hint="eastAsia" w:ascii="仿宋" w:hAnsi="仿宋" w:eastAsia="仿宋" w:cs="仿宋"/>
              <w:color w:val="auto"/>
              <w:sz w:val="30"/>
              <w:szCs w:val="30"/>
              <w:highlight w:val="none"/>
            </w:rPr>
            <w:t>30</w:t>
          </w:r>
          <w:bookmarkEnd w:id="26"/>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"_Toc4894_WPSOffice_Level1" </w:instrText>
          </w:r>
          <w:r>
            <w:rPr>
              <w:color w:val="auto"/>
              <w:highlight w:val="none"/>
            </w:rPr>
            <w:fldChar w:fldCharType="separate"/>
          </w:r>
          <w:sdt>
            <w:sdtPr>
              <w:rPr>
                <w:rFonts w:hint="eastAsia" w:ascii="仿宋" w:hAnsi="仿宋" w:eastAsia="仿宋" w:cs="仿宋"/>
                <w:b/>
                <w:bCs/>
                <w:color w:val="auto"/>
                <w:kern w:val="2"/>
                <w:sz w:val="30"/>
                <w:szCs w:val="30"/>
                <w:highlight w:val="none"/>
              </w:rPr>
              <w:id w:val="1773119286"/>
              <w:placeholder>
                <w:docPart w:val="{381b2398-a131-4025-9fdb-5c1d98934841}"/>
              </w:placeholder>
            </w:sdtPr>
            <w:sdtEndPr>
              <w:rPr>
                <w:rFonts w:hint="eastAsia" w:ascii="仿宋" w:hAnsi="仿宋" w:eastAsia="仿宋" w:cs="仿宋"/>
                <w:b/>
                <w:bCs/>
                <w:color w:val="auto"/>
                <w:kern w:val="2"/>
                <w:sz w:val="30"/>
                <w:szCs w:val="30"/>
                <w:highlight w:val="none"/>
              </w:rPr>
            </w:sdtEndPr>
            <w:sdtContent>
              <w:r>
                <w:rPr>
                  <w:rFonts w:hint="eastAsia" w:ascii="仿宋" w:hAnsi="仿宋" w:eastAsia="仿宋" w:cs="仿宋"/>
                  <w:b/>
                  <w:bCs/>
                  <w:color w:val="auto"/>
                  <w:sz w:val="30"/>
                  <w:szCs w:val="30"/>
                  <w:highlight w:val="none"/>
                </w:rPr>
                <w:t>第四部分  合同附件</w:t>
              </w:r>
            </w:sdtContent>
          </w:sdt>
          <w:r>
            <w:rPr>
              <w:rFonts w:hint="eastAsia" w:ascii="仿宋" w:hAnsi="仿宋" w:eastAsia="仿宋" w:cs="仿宋"/>
              <w:b/>
              <w:bCs/>
              <w:color w:val="auto"/>
              <w:sz w:val="30"/>
              <w:szCs w:val="30"/>
              <w:highlight w:val="none"/>
            </w:rPr>
            <w:tab/>
          </w:r>
          <w:bookmarkStart w:id="27" w:name="_Toc4894_WPSOffice_Level1Page"/>
          <w:r>
            <w:rPr>
              <w:rFonts w:hint="eastAsia" w:ascii="仿宋" w:hAnsi="仿宋" w:eastAsia="仿宋" w:cs="仿宋"/>
              <w:b/>
              <w:bCs/>
              <w:color w:val="auto"/>
              <w:sz w:val="30"/>
              <w:szCs w:val="30"/>
              <w:highlight w:val="none"/>
            </w:rPr>
            <w:t>33</w:t>
          </w:r>
          <w:bookmarkEnd w:id="27"/>
          <w:r>
            <w:rPr>
              <w:rFonts w:hint="eastAsia" w:ascii="仿宋" w:hAnsi="仿宋" w:eastAsia="仿宋" w:cs="仿宋"/>
              <w:b/>
              <w:bCs/>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"_Toc15264_WPSOffice_Level1"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779107911"/>
              <w:placeholder>
                <w:docPart w:val="{fa3b2ca0-3b8f-46d4-b008-e25b5c784844}"/>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附件1：结算单价及暂定工程量</w:t>
              </w:r>
            </w:sdtContent>
          </w:sdt>
          <w:r>
            <w:rPr>
              <w:rFonts w:hint="eastAsia" w:ascii="仿宋" w:hAnsi="仿宋" w:eastAsia="仿宋" w:cs="仿宋"/>
              <w:color w:val="auto"/>
              <w:sz w:val="30"/>
              <w:szCs w:val="30"/>
              <w:highlight w:val="none"/>
            </w:rPr>
            <w:tab/>
          </w:r>
          <w:bookmarkStart w:id="28" w:name="_Toc15264_WPSOffice_Level1Page"/>
          <w:r>
            <w:rPr>
              <w:rFonts w:hint="eastAsia" w:ascii="仿宋" w:hAnsi="仿宋" w:eastAsia="仿宋" w:cs="仿宋"/>
              <w:color w:val="auto"/>
              <w:sz w:val="30"/>
              <w:szCs w:val="30"/>
              <w:highlight w:val="none"/>
            </w:rPr>
            <w:t>33</w:t>
          </w:r>
          <w:bookmarkEnd w:id="28"/>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"_Toc7164_WPSOffice_Level1" </w:instrText>
          </w:r>
          <w:r>
            <w:rPr>
              <w:color w:val="auto"/>
              <w:highlight w:val="none"/>
            </w:rPr>
            <w:fldChar w:fldCharType="separate"/>
          </w:r>
          <w:sdt>
            <w:sdtPr>
              <w:rPr>
                <w:rFonts w:hint="eastAsia" w:ascii="仿宋" w:hAnsi="仿宋" w:eastAsia="仿宋" w:cs="仿宋"/>
                <w:strike/>
                <w:color w:val="auto"/>
                <w:kern w:val="2"/>
                <w:sz w:val="30"/>
                <w:szCs w:val="30"/>
                <w:highlight w:val="none"/>
              </w:rPr>
              <w:id w:val="147454843"/>
              <w:placeholder>
                <w:docPart w:val="{17da66aa-439f-4fed-b15c-8fb98b7d9e4d}"/>
              </w:placeholder>
            </w:sdtPr>
            <w:sdtEndPr>
              <w:rPr>
                <w:rFonts w:hint="eastAsia" w:ascii="仿宋" w:hAnsi="仿宋" w:eastAsia="仿宋" w:cs="仿宋"/>
                <w:strike/>
                <w:color w:val="auto"/>
                <w:kern w:val="2"/>
                <w:sz w:val="30"/>
                <w:szCs w:val="30"/>
                <w:highlight w:val="none"/>
              </w:rPr>
            </w:sdtEndPr>
            <w:sdtContent>
              <w:r>
                <w:rPr>
                  <w:rFonts w:hint="eastAsia" w:ascii="仿宋" w:hAnsi="仿宋" w:eastAsia="仿宋" w:cs="仿宋"/>
                  <w:strike/>
                  <w:color w:val="auto"/>
                  <w:sz w:val="30"/>
                  <w:szCs w:val="30"/>
                  <w:highlight w:val="none"/>
                </w:rPr>
                <w:t>附件2：相关服务的范围和内容</w:t>
              </w:r>
            </w:sdtContent>
          </w:sdt>
          <w:r>
            <w:rPr>
              <w:rFonts w:hint="eastAsia" w:ascii="仿宋" w:hAnsi="仿宋" w:eastAsia="仿宋" w:cs="仿宋"/>
              <w:color w:val="auto"/>
              <w:sz w:val="30"/>
              <w:szCs w:val="30"/>
              <w:highlight w:val="none"/>
            </w:rPr>
            <w:tab/>
          </w:r>
          <w:bookmarkStart w:id="29" w:name="_Toc7164_WPSOffice_Level1Page"/>
          <w:r>
            <w:rPr>
              <w:rFonts w:hint="eastAsia" w:ascii="仿宋" w:hAnsi="仿宋" w:eastAsia="仿宋" w:cs="仿宋"/>
              <w:color w:val="auto"/>
              <w:sz w:val="30"/>
              <w:szCs w:val="30"/>
              <w:highlight w:val="none"/>
            </w:rPr>
            <w:t>33</w:t>
          </w:r>
          <w:bookmarkEnd w:id="29"/>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"_Toc20619_WPSOffice_Level1"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984439228"/>
              <w:placeholder>
                <w:docPart w:val="{2b8f6f13-e8c2-4ccc-ac26-7707c671c98d}"/>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附件3：工程检测与相关服务规范</w:t>
              </w:r>
            </w:sdtContent>
          </w:sdt>
          <w:r>
            <w:rPr>
              <w:rFonts w:hint="eastAsia" w:ascii="仿宋" w:hAnsi="仿宋" w:eastAsia="仿宋" w:cs="仿宋"/>
              <w:color w:val="auto"/>
              <w:sz w:val="30"/>
              <w:szCs w:val="30"/>
              <w:highlight w:val="none"/>
            </w:rPr>
            <w:tab/>
          </w:r>
          <w:bookmarkStart w:id="30" w:name="_Toc20619_WPSOffice_Level1Page"/>
          <w:r>
            <w:rPr>
              <w:rFonts w:hint="eastAsia" w:ascii="仿宋" w:hAnsi="仿宋" w:eastAsia="仿宋" w:cs="仿宋"/>
              <w:color w:val="auto"/>
              <w:sz w:val="30"/>
              <w:szCs w:val="30"/>
              <w:highlight w:val="none"/>
            </w:rPr>
            <w:t>33</w:t>
          </w:r>
          <w:bookmarkEnd w:id="30"/>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"_Toc15262_WPSOffice_Level1"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28575388"/>
              <w:placeholder>
                <w:docPart w:val="{9fdbd4b2-cc95-4195-a8a3-53f80d823d2d}"/>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附件4：乙方投入的设备清单</w:t>
              </w:r>
            </w:sdtContent>
          </w:sdt>
          <w:r>
            <w:rPr>
              <w:rFonts w:hint="eastAsia" w:ascii="仿宋" w:hAnsi="仿宋" w:eastAsia="仿宋" w:cs="仿宋"/>
              <w:color w:val="auto"/>
              <w:sz w:val="30"/>
              <w:szCs w:val="30"/>
              <w:highlight w:val="none"/>
            </w:rPr>
            <w:tab/>
          </w:r>
          <w:bookmarkStart w:id="31" w:name="_Toc15262_WPSOffice_Level1Page"/>
          <w:r>
            <w:rPr>
              <w:rFonts w:hint="eastAsia" w:ascii="仿宋" w:hAnsi="仿宋" w:eastAsia="仿宋" w:cs="仿宋"/>
              <w:color w:val="auto"/>
              <w:sz w:val="30"/>
              <w:szCs w:val="30"/>
              <w:highlight w:val="none"/>
            </w:rPr>
            <w:t>33</w:t>
          </w:r>
          <w:bookmarkEnd w:id="31"/>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"_Toc28957_WPSOffice_Level1"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1311359616"/>
              <w:placeholder>
                <w:docPart w:val="{9a0bbe26-9b73-49fe-b2f9-1e785543d310}"/>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附件5：廉洁协议书</w:t>
              </w:r>
            </w:sdtContent>
          </w:sdt>
          <w:r>
            <w:rPr>
              <w:rFonts w:hint="eastAsia" w:ascii="仿宋" w:hAnsi="仿宋" w:eastAsia="仿宋" w:cs="仿宋"/>
              <w:color w:val="auto"/>
              <w:sz w:val="30"/>
              <w:szCs w:val="30"/>
              <w:highlight w:val="none"/>
            </w:rPr>
            <w:tab/>
          </w:r>
          <w:bookmarkStart w:id="32" w:name="_Toc28957_WPSOffice_Level1Page"/>
          <w:r>
            <w:rPr>
              <w:rFonts w:hint="eastAsia" w:ascii="仿宋" w:hAnsi="仿宋" w:eastAsia="仿宋" w:cs="仿宋"/>
              <w:color w:val="auto"/>
              <w:sz w:val="30"/>
              <w:szCs w:val="30"/>
              <w:highlight w:val="none"/>
            </w:rPr>
            <w:t>33</w:t>
          </w:r>
          <w:bookmarkEnd w:id="32"/>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"_Toc25578_WPSOffice_Level1"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1222259826"/>
              <w:placeholder>
                <w:docPart w:val="{16ee2366-28b5-4d3f-8431-36c7fe98b901}"/>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strike/>
                  <w:color w:val="auto"/>
                  <w:sz w:val="30"/>
                  <w:szCs w:val="30"/>
                  <w:highlight w:val="none"/>
                </w:rPr>
                <w:t>附件6：资金监管协议书</w:t>
              </w:r>
            </w:sdtContent>
          </w:sdt>
          <w:r>
            <w:rPr>
              <w:rFonts w:hint="eastAsia" w:ascii="仿宋" w:hAnsi="仿宋" w:eastAsia="仿宋" w:cs="仿宋"/>
              <w:color w:val="auto"/>
              <w:sz w:val="30"/>
              <w:szCs w:val="30"/>
              <w:highlight w:val="none"/>
            </w:rPr>
            <w:tab/>
          </w:r>
          <w:bookmarkStart w:id="33" w:name="_Toc25578_WPSOffice_Level1Page"/>
          <w:r>
            <w:rPr>
              <w:rFonts w:hint="eastAsia" w:ascii="仿宋" w:hAnsi="仿宋" w:eastAsia="仿宋" w:cs="仿宋"/>
              <w:color w:val="auto"/>
              <w:sz w:val="30"/>
              <w:szCs w:val="30"/>
              <w:highlight w:val="none"/>
            </w:rPr>
            <w:t>33</w:t>
          </w:r>
          <w:bookmarkEnd w:id="33"/>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"_Toc11090_WPSOffice_Level1"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247165163"/>
              <w:placeholder>
                <w:docPart w:val="{9a81b187-ee53-4284-b189-c52baf37555e}"/>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附件7：安全生产协议</w:t>
              </w:r>
            </w:sdtContent>
          </w:sdt>
          <w:r>
            <w:rPr>
              <w:rFonts w:hint="eastAsia" w:ascii="仿宋" w:hAnsi="仿宋" w:eastAsia="仿宋" w:cs="仿宋"/>
              <w:color w:val="auto"/>
              <w:sz w:val="30"/>
              <w:szCs w:val="30"/>
              <w:highlight w:val="none"/>
            </w:rPr>
            <w:tab/>
          </w:r>
          <w:bookmarkStart w:id="34" w:name="_Toc11090_WPSOffice_Level1Page"/>
          <w:r>
            <w:rPr>
              <w:rFonts w:hint="eastAsia" w:ascii="仿宋" w:hAnsi="仿宋" w:eastAsia="仿宋" w:cs="仿宋"/>
              <w:color w:val="auto"/>
              <w:sz w:val="30"/>
              <w:szCs w:val="30"/>
              <w:highlight w:val="none"/>
            </w:rPr>
            <w:t>33</w:t>
          </w:r>
          <w:bookmarkEnd w:id="34"/>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"_Toc10395_WPSOffice_Level1"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1736614692"/>
              <w:placeholder>
                <w:docPart w:val="{62f45133-d14c-4130-ae7d-8da2355d93df}"/>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附件8：不可撤销履约保函</w:t>
              </w:r>
            </w:sdtContent>
          </w:sdt>
          <w:r>
            <w:rPr>
              <w:rFonts w:hint="eastAsia" w:ascii="仿宋" w:hAnsi="仿宋" w:eastAsia="仿宋" w:cs="仿宋"/>
              <w:color w:val="auto"/>
              <w:sz w:val="30"/>
              <w:szCs w:val="30"/>
              <w:highlight w:val="none"/>
            </w:rPr>
            <w:tab/>
          </w:r>
          <w:bookmarkStart w:id="35" w:name="_Toc10395_WPSOffice_Level1Page"/>
          <w:r>
            <w:rPr>
              <w:rFonts w:hint="eastAsia" w:ascii="仿宋" w:hAnsi="仿宋" w:eastAsia="仿宋" w:cs="仿宋"/>
              <w:color w:val="auto"/>
              <w:sz w:val="30"/>
              <w:szCs w:val="30"/>
              <w:highlight w:val="none"/>
            </w:rPr>
            <w:t>33</w:t>
          </w:r>
          <w:bookmarkEnd w:id="35"/>
          <w:r>
            <w:rPr>
              <w:rFonts w:hint="eastAsia" w:ascii="仿宋" w:hAnsi="仿宋" w:eastAsia="仿宋" w:cs="仿宋"/>
              <w:color w:val="auto"/>
              <w:sz w:val="30"/>
              <w:szCs w:val="30"/>
              <w:highlight w:val="none"/>
            </w:rPr>
            <w:fldChar w:fldCharType="end"/>
          </w:r>
        </w:p>
        <w:p>
          <w:pPr>
            <w:pStyle w:val="82"/>
            <w:tabs>
              <w:tab w:val="right" w:leader="dot" w:pos="9593"/>
            </w:tabs>
            <w:rPr>
              <w:rFonts w:ascii="仿宋" w:hAnsi="仿宋" w:eastAsia="仿宋" w:cs="仿宋"/>
              <w:color w:val="auto"/>
              <w:sz w:val="30"/>
              <w:szCs w:val="30"/>
              <w:highlight w:val="none"/>
            </w:rPr>
          </w:pPr>
          <w:r>
            <w:rPr>
              <w:color w:val="auto"/>
              <w:highlight w:val="none"/>
            </w:rPr>
            <w:fldChar w:fldCharType="begin"/>
          </w:r>
          <w:r>
            <w:rPr>
              <w:color w:val="auto"/>
              <w:highlight w:val="none"/>
            </w:rPr>
            <w:instrText xml:space="preserve"> HYPERLINK \l "_Toc23922_WPSOffice_Level1" </w:instrText>
          </w:r>
          <w:r>
            <w:rPr>
              <w:color w:val="auto"/>
              <w:highlight w:val="none"/>
            </w:rPr>
            <w:fldChar w:fldCharType="separate"/>
          </w:r>
          <w:sdt>
            <w:sdtPr>
              <w:rPr>
                <w:rFonts w:hint="eastAsia" w:ascii="仿宋" w:hAnsi="仿宋" w:eastAsia="仿宋" w:cs="仿宋"/>
                <w:color w:val="auto"/>
                <w:kern w:val="2"/>
                <w:sz w:val="30"/>
                <w:szCs w:val="30"/>
                <w:highlight w:val="none"/>
              </w:rPr>
              <w:id w:val="828560849"/>
              <w:placeholder>
                <w:docPart w:val="{366a097b-6407-4ebe-b006-5f86e7e51916}"/>
              </w:placeholder>
            </w:sdtPr>
            <w:sdtEndPr>
              <w:rPr>
                <w:rFonts w:hint="eastAsia" w:ascii="仿宋" w:hAnsi="仿宋" w:eastAsia="仿宋" w:cs="仿宋"/>
                <w:color w:val="auto"/>
                <w:kern w:val="2"/>
                <w:sz w:val="30"/>
                <w:szCs w:val="30"/>
                <w:highlight w:val="none"/>
              </w:rPr>
            </w:sdtEndPr>
            <w:sdtContent>
              <w:r>
                <w:rPr>
                  <w:rFonts w:hint="eastAsia" w:ascii="仿宋" w:hAnsi="仿宋" w:eastAsia="仿宋" w:cs="仿宋"/>
                  <w:color w:val="auto"/>
                  <w:sz w:val="30"/>
                  <w:szCs w:val="30"/>
                  <w:highlight w:val="none"/>
                </w:rPr>
                <w:t>附件9：联合体协议</w:t>
              </w:r>
            </w:sdtContent>
          </w:sdt>
          <w:r>
            <w:rPr>
              <w:rFonts w:hint="eastAsia" w:ascii="仿宋" w:hAnsi="仿宋" w:eastAsia="仿宋" w:cs="仿宋"/>
              <w:color w:val="auto"/>
              <w:sz w:val="30"/>
              <w:szCs w:val="30"/>
              <w:highlight w:val="none"/>
            </w:rPr>
            <w:tab/>
          </w:r>
          <w:bookmarkStart w:id="36" w:name="_Toc23922_WPSOffice_Level1Page"/>
          <w:r>
            <w:rPr>
              <w:rFonts w:hint="eastAsia" w:ascii="仿宋" w:hAnsi="仿宋" w:eastAsia="仿宋" w:cs="仿宋"/>
              <w:color w:val="auto"/>
              <w:sz w:val="30"/>
              <w:szCs w:val="30"/>
              <w:highlight w:val="none"/>
            </w:rPr>
            <w:t>33</w:t>
          </w:r>
          <w:bookmarkEnd w:id="36"/>
          <w:r>
            <w:rPr>
              <w:rFonts w:hint="eastAsia" w:ascii="仿宋" w:hAnsi="仿宋" w:eastAsia="仿宋" w:cs="仿宋"/>
              <w:color w:val="auto"/>
              <w:sz w:val="30"/>
              <w:szCs w:val="30"/>
              <w:highlight w:val="none"/>
            </w:rPr>
            <w:fldChar w:fldCharType="end"/>
          </w:r>
        </w:p>
        <w:p>
          <w:pPr>
            <w:pStyle w:val="82"/>
            <w:tabs>
              <w:tab w:val="right" w:leader="dot" w:pos="9593"/>
            </w:tabs>
            <w:rPr>
              <w:color w:val="auto"/>
              <w:highlight w:val="none"/>
            </w:rPr>
          </w:pPr>
        </w:p>
      </w:sdtContent>
    </w:sdt>
    <w:bookmarkEnd w:id="0"/>
    <w:p>
      <w:pPr>
        <w:adjustRightInd w:val="0"/>
        <w:snapToGrid w:val="0"/>
        <w:spacing w:line="360" w:lineRule="auto"/>
        <w:jc w:val="center"/>
        <w:rPr>
          <w:rFonts w:ascii="华文中宋" w:hAnsi="华文中宋" w:eastAsia="华文中宋"/>
          <w:b/>
          <w:bCs/>
          <w:color w:val="auto"/>
          <w:sz w:val="44"/>
          <w:highlight w:val="none"/>
        </w:rPr>
      </w:pPr>
      <w:bookmarkStart w:id="37" w:name="_Toc29768_WPSOffice_Level1"/>
    </w:p>
    <w:p>
      <w:pPr>
        <w:adjustRightInd w:val="0"/>
        <w:snapToGrid w:val="0"/>
        <w:spacing w:line="360" w:lineRule="auto"/>
        <w:jc w:val="center"/>
        <w:rPr>
          <w:rFonts w:ascii="华文中宋" w:hAnsi="华文中宋" w:eastAsia="华文中宋"/>
          <w:b/>
          <w:bCs/>
          <w:color w:val="auto"/>
          <w:sz w:val="44"/>
          <w:highlight w:val="none"/>
        </w:rPr>
      </w:pPr>
    </w:p>
    <w:p>
      <w:pPr>
        <w:adjustRightInd w:val="0"/>
        <w:snapToGrid w:val="0"/>
        <w:spacing w:line="360" w:lineRule="auto"/>
        <w:jc w:val="center"/>
        <w:rPr>
          <w:rFonts w:ascii="华文中宋" w:hAnsi="华文中宋" w:eastAsia="华文中宋"/>
          <w:b/>
          <w:bCs/>
          <w:color w:val="auto"/>
          <w:sz w:val="44"/>
          <w:highlight w:val="none"/>
        </w:rPr>
      </w:pPr>
    </w:p>
    <w:p>
      <w:pPr>
        <w:adjustRightInd w:val="0"/>
        <w:snapToGrid w:val="0"/>
        <w:spacing w:line="360" w:lineRule="auto"/>
        <w:jc w:val="center"/>
        <w:rPr>
          <w:rFonts w:ascii="华文中宋" w:hAnsi="华文中宋" w:eastAsia="华文中宋"/>
          <w:b/>
          <w:bCs/>
          <w:color w:val="auto"/>
          <w:sz w:val="44"/>
          <w:highlight w:val="none"/>
        </w:rPr>
      </w:pPr>
    </w:p>
    <w:p>
      <w:pPr>
        <w:adjustRightInd w:val="0"/>
        <w:snapToGrid w:val="0"/>
        <w:spacing w:line="360" w:lineRule="auto"/>
        <w:jc w:val="center"/>
        <w:rPr>
          <w:rFonts w:ascii="华文中宋" w:hAnsi="华文中宋" w:eastAsia="华文中宋"/>
          <w:b/>
          <w:bCs/>
          <w:color w:val="auto"/>
          <w:sz w:val="44"/>
          <w:highlight w:val="none"/>
        </w:rPr>
      </w:pPr>
    </w:p>
    <w:p>
      <w:pPr>
        <w:adjustRightInd w:val="0"/>
        <w:snapToGrid w:val="0"/>
        <w:spacing w:line="360" w:lineRule="auto"/>
        <w:jc w:val="center"/>
        <w:rPr>
          <w:rFonts w:eastAsia="仿宋"/>
          <w:b/>
          <w:bCs/>
          <w:color w:val="auto"/>
          <w:kern w:val="0"/>
          <w:sz w:val="30"/>
          <w:szCs w:val="30"/>
          <w:highlight w:val="none"/>
        </w:rPr>
      </w:pPr>
      <w:r>
        <w:rPr>
          <w:rFonts w:ascii="华文中宋" w:hAnsi="华文中宋" w:eastAsia="华文中宋"/>
          <w:b/>
          <w:bCs/>
          <w:color w:val="auto"/>
          <w:sz w:val="44"/>
          <w:highlight w:val="none"/>
        </w:rPr>
        <w:t>第一部分  协议书</w:t>
      </w:r>
      <w:bookmarkEnd w:id="37"/>
    </w:p>
    <w:p>
      <w:pPr>
        <w:adjustRightInd w:val="0"/>
        <w:snapToGrid w:val="0"/>
        <w:spacing w:line="360" w:lineRule="auto"/>
        <w:ind w:firstLine="303" w:firstLineChars="100"/>
        <w:rPr>
          <w:rFonts w:eastAsia="仿宋"/>
          <w:b/>
          <w:bCs/>
          <w:color w:val="auto"/>
          <w:kern w:val="0"/>
          <w:sz w:val="30"/>
          <w:szCs w:val="30"/>
          <w:highlight w:val="none"/>
        </w:rPr>
      </w:pPr>
      <w:bookmarkStart w:id="38" w:name="_Toc12754_WPSOffice_Level2"/>
      <w:bookmarkStart w:id="39" w:name="_Toc9871_WPSOffice_Level2"/>
      <w:r>
        <w:rPr>
          <w:rFonts w:eastAsia="仿宋"/>
          <w:b/>
          <w:bCs/>
          <w:color w:val="auto"/>
          <w:kern w:val="0"/>
          <w:sz w:val="30"/>
          <w:szCs w:val="30"/>
          <w:highlight w:val="none"/>
        </w:rPr>
        <w:t>甲方：</w:t>
      </w:r>
      <w:r>
        <w:rPr>
          <w:rFonts w:hint="eastAsia" w:eastAsia="仿宋"/>
          <w:b/>
          <w:color w:val="auto"/>
          <w:kern w:val="0"/>
          <w:sz w:val="32"/>
          <w:szCs w:val="36"/>
          <w:highlight w:val="none"/>
          <w:u w:val="single"/>
        </w:rPr>
        <w:t xml:space="preserve">                                  </w:t>
      </w:r>
      <w:bookmarkEnd w:id="38"/>
      <w:bookmarkEnd w:id="39"/>
    </w:p>
    <w:p>
      <w:pPr>
        <w:adjustRightInd w:val="0"/>
        <w:snapToGrid w:val="0"/>
        <w:spacing w:line="360" w:lineRule="auto"/>
        <w:ind w:firstLine="303" w:firstLineChars="100"/>
        <w:rPr>
          <w:rFonts w:eastAsia="仿宋"/>
          <w:b/>
          <w:bCs/>
          <w:color w:val="auto"/>
          <w:kern w:val="0"/>
          <w:sz w:val="30"/>
          <w:szCs w:val="30"/>
          <w:highlight w:val="none"/>
          <w:u w:val="single"/>
        </w:rPr>
      </w:pPr>
      <w:bookmarkStart w:id="40" w:name="_Toc30166_WPSOffice_Level2"/>
      <w:bookmarkStart w:id="41" w:name="_Toc31153_WPSOffice_Level2"/>
      <w:r>
        <w:rPr>
          <w:rFonts w:eastAsia="仿宋"/>
          <w:b/>
          <w:bCs/>
          <w:color w:val="auto"/>
          <w:kern w:val="0"/>
          <w:sz w:val="30"/>
          <w:szCs w:val="30"/>
          <w:highlight w:val="none"/>
        </w:rPr>
        <w:t>乙方：</w:t>
      </w:r>
      <w:bookmarkEnd w:id="40"/>
      <w:bookmarkEnd w:id="41"/>
      <w:r>
        <w:rPr>
          <w:rFonts w:hint="eastAsia" w:eastAsia="仿宋"/>
          <w:b/>
          <w:bCs/>
          <w:color w:val="auto"/>
          <w:kern w:val="0"/>
          <w:sz w:val="30"/>
          <w:szCs w:val="30"/>
          <w:highlight w:val="none"/>
          <w:u w:val="single"/>
        </w:rPr>
        <w:t xml:space="preserve">                                    </w:t>
      </w:r>
    </w:p>
    <w:p>
      <w:pPr>
        <w:adjustRightInd w:val="0"/>
        <w:snapToGrid w:val="0"/>
        <w:spacing w:line="360" w:lineRule="auto"/>
        <w:ind w:firstLine="606" w:firstLineChars="200"/>
        <w:rPr>
          <w:rFonts w:eastAsia="仿宋"/>
          <w:color w:val="auto"/>
          <w:kern w:val="0"/>
          <w:sz w:val="30"/>
          <w:szCs w:val="30"/>
          <w:highlight w:val="none"/>
          <w:u w:val="single"/>
        </w:rPr>
      </w:pPr>
      <w:r>
        <w:rPr>
          <w:rFonts w:eastAsia="仿宋"/>
          <w:color w:val="auto"/>
          <w:kern w:val="0"/>
          <w:sz w:val="30"/>
          <w:szCs w:val="30"/>
          <w:highlight w:val="none"/>
        </w:rPr>
        <w:t>甲方委托乙方对其开发建设（承建）的</w:t>
      </w:r>
      <w:r>
        <w:rPr>
          <w:rFonts w:hint="eastAsia" w:eastAsia="仿宋"/>
          <w:color w:val="auto"/>
          <w:kern w:val="0"/>
          <w:sz w:val="30"/>
          <w:szCs w:val="30"/>
          <w:highlight w:val="none"/>
          <w:u w:val="single"/>
        </w:rPr>
        <w:t>白云湖数字科技城（黄金围片区）基础设施项目（除联新东街范围道路）</w:t>
      </w:r>
      <w:r>
        <w:rPr>
          <w:rFonts w:eastAsia="仿宋"/>
          <w:color w:val="auto"/>
          <w:kern w:val="0"/>
          <w:sz w:val="30"/>
          <w:szCs w:val="30"/>
          <w:highlight w:val="none"/>
        </w:rPr>
        <w:t>工程进行第三方</w:t>
      </w:r>
      <w:r>
        <w:rPr>
          <w:rFonts w:hint="eastAsia" w:eastAsia="仿宋"/>
          <w:color w:val="auto"/>
          <w:kern w:val="0"/>
          <w:sz w:val="30"/>
          <w:szCs w:val="30"/>
          <w:highlight w:val="none"/>
        </w:rPr>
        <w:t>检测监测</w:t>
      </w:r>
      <w:r>
        <w:rPr>
          <w:rFonts w:eastAsia="仿宋"/>
          <w:color w:val="auto"/>
          <w:kern w:val="0"/>
          <w:sz w:val="30"/>
          <w:szCs w:val="30"/>
          <w:highlight w:val="none"/>
        </w:rPr>
        <w:t>，按照《中华人民共和国</w:t>
      </w:r>
      <w:r>
        <w:rPr>
          <w:rFonts w:hint="eastAsia" w:eastAsia="仿宋"/>
          <w:color w:val="auto"/>
          <w:kern w:val="0"/>
          <w:sz w:val="30"/>
          <w:szCs w:val="30"/>
          <w:highlight w:val="none"/>
        </w:rPr>
        <w:t>民法典</w:t>
      </w:r>
      <w:r>
        <w:rPr>
          <w:rFonts w:eastAsia="仿宋"/>
          <w:color w:val="auto"/>
          <w:kern w:val="0"/>
          <w:sz w:val="30"/>
          <w:szCs w:val="30"/>
          <w:highlight w:val="none"/>
        </w:rPr>
        <w:t>》、《中华人民共和国建筑法》及其他有关法律、行政法规，遵循平等、自愿、公平和诚实信用的原则，双方就</w:t>
      </w:r>
      <w:r>
        <w:rPr>
          <w:rFonts w:hint="eastAsia" w:eastAsia="仿宋"/>
          <w:color w:val="auto"/>
          <w:kern w:val="0"/>
          <w:sz w:val="30"/>
          <w:szCs w:val="30"/>
          <w:highlight w:val="none"/>
          <w:u w:val="single"/>
        </w:rPr>
        <w:t>白云湖数字科技城（黄金围片区）基础设施项目（除联新东街范围道路）</w:t>
      </w:r>
      <w:r>
        <w:rPr>
          <w:rFonts w:eastAsia="仿宋"/>
          <w:color w:val="auto"/>
          <w:kern w:val="0"/>
          <w:sz w:val="30"/>
          <w:szCs w:val="30"/>
          <w:highlight w:val="none"/>
        </w:rPr>
        <w:t>工程第三方</w:t>
      </w:r>
      <w:r>
        <w:rPr>
          <w:rFonts w:hint="eastAsia" w:eastAsia="仿宋"/>
          <w:color w:val="auto"/>
          <w:kern w:val="0"/>
          <w:sz w:val="30"/>
          <w:szCs w:val="30"/>
          <w:highlight w:val="none"/>
        </w:rPr>
        <w:t>检测监测</w:t>
      </w:r>
      <w:r>
        <w:rPr>
          <w:rFonts w:eastAsia="仿宋"/>
          <w:color w:val="auto"/>
          <w:kern w:val="0"/>
          <w:sz w:val="30"/>
          <w:szCs w:val="30"/>
          <w:highlight w:val="none"/>
        </w:rPr>
        <w:t>事项协商一致，订立本合同。</w:t>
      </w:r>
    </w:p>
    <w:p>
      <w:pPr>
        <w:pStyle w:val="4"/>
        <w:rPr>
          <w:rFonts w:ascii="黑体" w:hAnsi="黑体" w:eastAsia="黑体"/>
          <w:color w:val="auto"/>
          <w:sz w:val="32"/>
          <w:highlight w:val="none"/>
        </w:rPr>
      </w:pPr>
      <w:bookmarkStart w:id="42" w:name="_Toc26779"/>
      <w:bookmarkStart w:id="43" w:name="_Toc28129418"/>
      <w:bookmarkStart w:id="44" w:name="_Toc15264_WPSOffice_Level2"/>
      <w:bookmarkStart w:id="45" w:name="_Toc23685143"/>
      <w:bookmarkStart w:id="46" w:name="_Toc15039"/>
      <w:bookmarkStart w:id="47" w:name="_Toc6847129"/>
      <w:bookmarkStart w:id="48" w:name="_Toc32512"/>
      <w:bookmarkStart w:id="49" w:name="_Toc23686137"/>
      <w:bookmarkStart w:id="50" w:name="_Toc4444207"/>
      <w:bookmarkStart w:id="51" w:name="_Toc27254"/>
      <w:r>
        <w:rPr>
          <w:rFonts w:ascii="黑体" w:hAnsi="黑体" w:eastAsia="黑体"/>
          <w:color w:val="auto"/>
          <w:sz w:val="32"/>
          <w:highlight w:val="none"/>
        </w:rPr>
        <w:t>一、工程概况</w:t>
      </w:r>
      <w:bookmarkEnd w:id="42"/>
      <w:bookmarkEnd w:id="43"/>
      <w:bookmarkEnd w:id="44"/>
      <w:bookmarkEnd w:id="45"/>
      <w:bookmarkEnd w:id="46"/>
      <w:bookmarkEnd w:id="47"/>
      <w:bookmarkEnd w:id="48"/>
      <w:bookmarkEnd w:id="49"/>
      <w:bookmarkEnd w:id="50"/>
      <w:bookmarkEnd w:id="51"/>
    </w:p>
    <w:p>
      <w:pPr>
        <w:adjustRightInd w:val="0"/>
        <w:snapToGrid w:val="0"/>
        <w:spacing w:line="360" w:lineRule="auto"/>
        <w:ind w:firstLine="599" w:firstLineChars="198"/>
        <w:rPr>
          <w:rFonts w:eastAsia="仿宋"/>
          <w:color w:val="auto"/>
          <w:kern w:val="0"/>
          <w:sz w:val="30"/>
          <w:szCs w:val="30"/>
          <w:highlight w:val="none"/>
        </w:rPr>
      </w:pPr>
      <w:r>
        <w:rPr>
          <w:rFonts w:eastAsia="仿宋"/>
          <w:color w:val="auto"/>
          <w:kern w:val="0"/>
          <w:sz w:val="30"/>
          <w:szCs w:val="30"/>
          <w:highlight w:val="none"/>
        </w:rPr>
        <w:t>工程名称：</w:t>
      </w:r>
      <w:r>
        <w:rPr>
          <w:rFonts w:hint="eastAsia" w:eastAsia="仿宋"/>
          <w:color w:val="auto"/>
          <w:kern w:val="0"/>
          <w:sz w:val="30"/>
          <w:szCs w:val="30"/>
          <w:highlight w:val="none"/>
          <w:u w:val="single"/>
        </w:rPr>
        <w:t>白云湖数字科技城（黄金围片区）基础设施项目</w:t>
      </w:r>
      <w:r>
        <w:rPr>
          <w:rFonts w:eastAsia="仿宋"/>
          <w:color w:val="auto"/>
          <w:kern w:val="0"/>
          <w:sz w:val="30"/>
          <w:szCs w:val="30"/>
          <w:highlight w:val="none"/>
        </w:rPr>
        <w:t xml:space="preserve"> </w:t>
      </w:r>
    </w:p>
    <w:p>
      <w:pPr>
        <w:adjustRightInd w:val="0"/>
        <w:snapToGrid w:val="0"/>
        <w:spacing w:line="360" w:lineRule="auto"/>
        <w:ind w:firstLine="599" w:firstLineChars="198"/>
        <w:rPr>
          <w:rFonts w:eastAsia="仿宋"/>
          <w:color w:val="auto"/>
          <w:kern w:val="0"/>
          <w:sz w:val="30"/>
          <w:szCs w:val="30"/>
          <w:highlight w:val="none"/>
        </w:rPr>
      </w:pPr>
      <w:r>
        <w:rPr>
          <w:rFonts w:eastAsia="仿宋"/>
          <w:color w:val="auto"/>
          <w:kern w:val="0"/>
          <w:sz w:val="30"/>
          <w:szCs w:val="30"/>
          <w:highlight w:val="none"/>
        </w:rPr>
        <w:t>工程地址：</w:t>
      </w:r>
      <w:r>
        <w:rPr>
          <w:rFonts w:hint="eastAsia" w:eastAsia="仿宋"/>
          <w:color w:val="auto"/>
          <w:kern w:val="0"/>
          <w:sz w:val="30"/>
          <w:szCs w:val="30"/>
          <w:highlight w:val="none"/>
          <w:u w:val="single"/>
        </w:rPr>
        <w:t>广州市白云区</w:t>
      </w:r>
      <w:r>
        <w:rPr>
          <w:rFonts w:eastAsia="仿宋"/>
          <w:color w:val="auto"/>
          <w:sz w:val="30"/>
          <w:szCs w:val="30"/>
          <w:highlight w:val="none"/>
          <w:u w:val="single"/>
        </w:rPr>
        <w:t xml:space="preserve">                              </w:t>
      </w:r>
    </w:p>
    <w:p>
      <w:pPr>
        <w:numPr>
          <w:ilvl w:val="0"/>
          <w:numId w:val="1"/>
        </w:numPr>
        <w:adjustRightInd w:val="0"/>
        <w:snapToGrid w:val="0"/>
        <w:spacing w:line="360" w:lineRule="auto"/>
        <w:ind w:firstLine="606" w:firstLineChars="200"/>
        <w:rPr>
          <w:rFonts w:eastAsia="仿宋"/>
          <w:color w:val="auto"/>
          <w:sz w:val="30"/>
          <w:szCs w:val="30"/>
          <w:highlight w:val="none"/>
        </w:rPr>
      </w:pPr>
      <w:r>
        <w:rPr>
          <w:rFonts w:eastAsia="仿宋"/>
          <w:color w:val="auto"/>
          <w:kern w:val="0"/>
          <w:sz w:val="30"/>
          <w:szCs w:val="30"/>
          <w:highlight w:val="none"/>
        </w:rPr>
        <w:t>工程规模</w:t>
      </w:r>
      <w:r>
        <w:rPr>
          <w:rFonts w:hint="eastAsia" w:eastAsia="仿宋"/>
          <w:color w:val="auto"/>
          <w:kern w:val="0"/>
          <w:sz w:val="30"/>
          <w:szCs w:val="30"/>
          <w:highlight w:val="none"/>
        </w:rPr>
        <w:t>（</w:t>
      </w:r>
      <w:r>
        <w:rPr>
          <w:rFonts w:eastAsia="仿宋"/>
          <w:color w:val="auto"/>
          <w:sz w:val="30"/>
          <w:szCs w:val="30"/>
          <w:highlight w:val="none"/>
        </w:rPr>
        <w:t>除联新东街范围道路</w:t>
      </w:r>
      <w:r>
        <w:rPr>
          <w:rFonts w:hint="eastAsia" w:eastAsia="仿宋"/>
          <w:color w:val="auto"/>
          <w:kern w:val="0"/>
          <w:sz w:val="30"/>
          <w:szCs w:val="30"/>
          <w:highlight w:val="none"/>
        </w:rPr>
        <w:t>）</w:t>
      </w:r>
      <w:r>
        <w:rPr>
          <w:rFonts w:eastAsia="仿宋"/>
          <w:color w:val="auto"/>
          <w:kern w:val="0"/>
          <w:sz w:val="30"/>
          <w:szCs w:val="30"/>
          <w:highlight w:val="none"/>
        </w:rPr>
        <w:t>：</w:t>
      </w:r>
      <w:r>
        <w:rPr>
          <w:rFonts w:eastAsia="仿宋"/>
          <w:color w:val="auto"/>
          <w:sz w:val="30"/>
          <w:szCs w:val="30"/>
          <w:highlight w:val="none"/>
        </w:rPr>
        <w:t>包括但不限于：根据白云湖数字科技城（黄金围片区）基础设施项目分期及总体建设计划说明，包括八方物流园范围道路；西区区属道路；跨武广高铁、跨广清高速和广州汽车集团客车有限公司地块范围道路</w:t>
      </w:r>
      <w:r>
        <w:rPr>
          <w:rFonts w:hint="eastAsia" w:eastAsia="仿宋"/>
          <w:color w:val="auto"/>
          <w:sz w:val="30"/>
          <w:szCs w:val="30"/>
          <w:highlight w:val="none"/>
        </w:rPr>
        <w:t>，</w:t>
      </w:r>
      <w:r>
        <w:rPr>
          <w:rFonts w:eastAsia="仿宋"/>
          <w:color w:val="auto"/>
          <w:sz w:val="30"/>
          <w:szCs w:val="30"/>
          <w:highlight w:val="none"/>
        </w:rPr>
        <w:t>工程费用约为</w:t>
      </w:r>
      <w:r>
        <w:rPr>
          <w:rFonts w:eastAsia="仿宋"/>
          <w:color w:val="auto"/>
          <w:sz w:val="30"/>
          <w:szCs w:val="30"/>
          <w:highlight w:val="none"/>
          <w:lang w:bidi="ar"/>
        </w:rPr>
        <w:t xml:space="preserve">       </w:t>
      </w:r>
      <w:r>
        <w:rPr>
          <w:rFonts w:eastAsia="仿宋"/>
          <w:color w:val="auto"/>
          <w:sz w:val="30"/>
          <w:szCs w:val="30"/>
          <w:highlight w:val="none"/>
        </w:rPr>
        <w:t>万元。</w:t>
      </w:r>
    </w:p>
    <w:p>
      <w:pPr>
        <w:numPr>
          <w:ilvl w:val="0"/>
          <w:numId w:val="1"/>
        </w:numPr>
        <w:adjustRightInd w:val="0"/>
        <w:snapToGrid w:val="0"/>
        <w:spacing w:line="360" w:lineRule="auto"/>
        <w:ind w:firstLine="606" w:firstLineChars="200"/>
        <w:rPr>
          <w:rFonts w:ascii="Times New Roman" w:hAnsi="Times New Roman" w:eastAsia="仿宋" w:cs="Times New Roman"/>
          <w:color w:val="auto"/>
          <w:sz w:val="30"/>
          <w:szCs w:val="30"/>
          <w:highlight w:val="none"/>
        </w:rPr>
      </w:pPr>
      <w:r>
        <w:rPr>
          <w:rFonts w:hint="eastAsia" w:eastAsia="仿宋"/>
          <w:color w:val="auto"/>
          <w:sz w:val="30"/>
          <w:szCs w:val="30"/>
          <w:highlight w:val="none"/>
        </w:rPr>
        <w:t>建设内容（</w:t>
      </w:r>
      <w:r>
        <w:rPr>
          <w:rFonts w:eastAsia="仿宋"/>
          <w:color w:val="auto"/>
          <w:sz w:val="30"/>
          <w:szCs w:val="30"/>
          <w:highlight w:val="none"/>
        </w:rPr>
        <w:t>除联新东街范围道路</w:t>
      </w:r>
      <w:r>
        <w:rPr>
          <w:rFonts w:hint="eastAsia" w:eastAsia="仿宋"/>
          <w:color w:val="auto"/>
          <w:sz w:val="30"/>
          <w:szCs w:val="30"/>
          <w:highlight w:val="none"/>
        </w:rPr>
        <w:t>）：</w:t>
      </w:r>
      <w:r>
        <w:rPr>
          <w:rFonts w:hint="eastAsia" w:ascii="Times New Roman" w:hAnsi="Times New Roman" w:eastAsia="仿宋" w:cs="Times New Roman"/>
          <w:color w:val="auto"/>
          <w:sz w:val="30"/>
          <w:szCs w:val="30"/>
          <w:highlight w:val="none"/>
        </w:rPr>
        <w:t>（</w:t>
      </w:r>
      <w:r>
        <w:rPr>
          <w:rFonts w:ascii="Times New Roman" w:hAnsi="Times New Roman" w:eastAsia="仿宋" w:cs="Times New Roman"/>
          <w:color w:val="auto"/>
          <w:sz w:val="30"/>
          <w:szCs w:val="30"/>
          <w:highlight w:val="none"/>
        </w:rPr>
        <w:t>1）市政道路及其配套工程：包括八方物流园范围道路；西区区属道路；跨武广高铁、跨广清高速和广州汽车集团客车有限公司地块范围道路，</w:t>
      </w:r>
      <w:r>
        <w:rPr>
          <w:rFonts w:hint="eastAsia" w:ascii="Times New Roman" w:hAnsi="Times New Roman" w:eastAsia="仿宋" w:cs="Times New Roman"/>
          <w:color w:val="auto"/>
          <w:sz w:val="30"/>
          <w:szCs w:val="30"/>
          <w:highlight w:val="none"/>
        </w:rPr>
        <w:t>共包含</w:t>
      </w:r>
      <w:r>
        <w:rPr>
          <w:rFonts w:ascii="Times New Roman" w:hAnsi="Times New Roman" w:eastAsia="仿宋" w:cs="Times New Roman"/>
          <w:color w:val="auto"/>
          <w:sz w:val="30"/>
          <w:szCs w:val="30"/>
          <w:highlight w:val="none"/>
        </w:rPr>
        <w:t>13条道路（含主干道3条），西区5条，分别为：西部临江大道、科技大道、横二路、纵三路和纵十路；东区10条，分别为：西部临江大道、科技大道、横一路、横二路、横三路、横四路、白云湖大道、纵三路、纵四路、纵五路。</w:t>
      </w:r>
      <w:r>
        <w:rPr>
          <w:rFonts w:hint="eastAsia" w:ascii="Times New Roman" w:hAnsi="Times New Roman" w:eastAsia="仿宋" w:cs="Times New Roman"/>
          <w:color w:val="auto"/>
          <w:sz w:val="30"/>
          <w:szCs w:val="30"/>
          <w:highlight w:val="none"/>
        </w:rPr>
        <w:t>道路总长约</w:t>
      </w:r>
      <w:r>
        <w:rPr>
          <w:rFonts w:ascii="Times New Roman" w:hAnsi="Times New Roman" w:eastAsia="仿宋" w:cs="Times New Roman"/>
          <w:color w:val="auto"/>
          <w:sz w:val="30"/>
          <w:szCs w:val="30"/>
          <w:highlight w:val="none"/>
        </w:rPr>
        <w:t>13公里,包括但不限于道路工程、桥梁工程（含钢结构）、隧道工程、给排水工程（含海绵城市）、交通工程、电气工程（含照明工程、电力电缆工程、通信工程）、道路绿化工程等。</w:t>
      </w:r>
    </w:p>
    <w:p>
      <w:pPr>
        <w:numPr>
          <w:ilvl w:val="255"/>
          <w:numId w:val="0"/>
        </w:numPr>
        <w:adjustRightInd w:val="0"/>
        <w:snapToGrid w:val="0"/>
        <w:spacing w:line="360" w:lineRule="auto"/>
        <w:ind w:firstLine="0" w:firstLineChars="0"/>
        <w:jc w:val="left"/>
        <w:rPr>
          <w:rFonts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w:t>
      </w:r>
      <w:r>
        <w:rPr>
          <w:rFonts w:ascii="Times New Roman" w:hAnsi="Times New Roman" w:eastAsia="仿宋" w:cs="Times New Roman"/>
          <w:color w:val="auto"/>
          <w:sz w:val="30"/>
          <w:szCs w:val="30"/>
          <w:highlight w:val="none"/>
        </w:rPr>
        <w:t>2）景观绿化工程：包含沿西江引水渠南北侧及广清高速东西侧的防护绿地、西区沿流溪河黄金围生态湿地以及鸦岗涌、牛路涌两侧景观绿化。总面积约43万平方米。</w:t>
      </w:r>
    </w:p>
    <w:p>
      <w:pPr>
        <w:numPr>
          <w:ilvl w:val="255"/>
          <w:numId w:val="0"/>
        </w:numPr>
        <w:adjustRightInd w:val="0"/>
        <w:snapToGrid w:val="0"/>
        <w:spacing w:line="360" w:lineRule="auto"/>
        <w:ind w:firstLine="0" w:firstLineChars="0"/>
        <w:rPr>
          <w:rFonts w:eastAsia="仿宋"/>
          <w:color w:val="auto"/>
          <w:sz w:val="30"/>
          <w:szCs w:val="30"/>
          <w:highlight w:val="none"/>
        </w:rPr>
      </w:pPr>
      <w:r>
        <w:rPr>
          <w:rFonts w:hint="eastAsia" w:ascii="Times New Roman" w:hAnsi="Times New Roman" w:eastAsia="仿宋" w:cs="Times New Roman"/>
          <w:color w:val="auto"/>
          <w:sz w:val="30"/>
          <w:szCs w:val="30"/>
          <w:highlight w:val="none"/>
        </w:rPr>
        <w:t>（</w:t>
      </w:r>
      <w:r>
        <w:rPr>
          <w:rFonts w:ascii="Times New Roman" w:hAnsi="Times New Roman" w:eastAsia="仿宋" w:cs="Times New Roman"/>
          <w:color w:val="auto"/>
          <w:sz w:val="30"/>
          <w:szCs w:val="30"/>
          <w:highlight w:val="none"/>
        </w:rPr>
        <w:t>3）水系整治工程：包含整治鸦岗涌长580米、整治牛路涌长380米以及新建上滘排涝站。</w:t>
      </w:r>
      <w:r>
        <w:rPr>
          <w:rFonts w:hint="eastAsia" w:eastAsia="仿宋"/>
          <w:bCs w:val="0"/>
          <w:color w:val="auto"/>
          <w:sz w:val="30"/>
          <w:szCs w:val="30"/>
          <w:highlight w:val="none"/>
        </w:rPr>
        <w:t>（具体以审批的施工图纸和工程量清单为准）</w:t>
      </w:r>
      <w:r>
        <w:rPr>
          <w:rFonts w:eastAsia="仿宋"/>
          <w:color w:val="auto"/>
          <w:sz w:val="30"/>
          <w:szCs w:val="30"/>
          <w:highlight w:val="none"/>
        </w:rPr>
        <w:t>等。</w:t>
      </w:r>
    </w:p>
    <w:p>
      <w:pPr>
        <w:numPr>
          <w:ilvl w:val="0"/>
          <w:numId w:val="1"/>
        </w:num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工程检测监测范围</w:t>
      </w:r>
      <w:r>
        <w:rPr>
          <w:rFonts w:hint="eastAsia" w:eastAsia="仿宋"/>
          <w:color w:val="auto"/>
          <w:sz w:val="30"/>
          <w:szCs w:val="30"/>
          <w:highlight w:val="none"/>
        </w:rPr>
        <w:t>（除联新东街范围道路）</w:t>
      </w:r>
      <w:r>
        <w:rPr>
          <w:rFonts w:eastAsia="仿宋"/>
          <w:color w:val="auto"/>
          <w:sz w:val="30"/>
          <w:szCs w:val="30"/>
          <w:highlight w:val="none"/>
        </w:rPr>
        <w:t>：</w:t>
      </w:r>
      <w:r>
        <w:rPr>
          <w:rFonts w:hint="eastAsia" w:ascii="Times New Roman" w:hAnsi="Times New Roman" w:eastAsia="仿宋" w:cs="Times New Roman"/>
          <w:color w:val="auto"/>
          <w:sz w:val="30"/>
          <w:szCs w:val="30"/>
          <w:highlight w:val="none"/>
        </w:rPr>
        <w:t>八方物流园范围道路；西区区属道路、景观绿化和水系整治；跨武广高铁、跨广清高速和广州汽车集团客车有限公司地块范围道路及景观绿化所涉及的所有第三方检测和监测服务</w:t>
      </w:r>
      <w:r>
        <w:rPr>
          <w:rFonts w:eastAsia="仿宋"/>
          <w:color w:val="auto"/>
          <w:sz w:val="30"/>
          <w:szCs w:val="30"/>
          <w:highlight w:val="none"/>
        </w:rPr>
        <w:t>。</w:t>
      </w:r>
    </w:p>
    <w:p>
      <w:pPr>
        <w:numPr>
          <w:ilvl w:val="0"/>
          <w:numId w:val="1"/>
        </w:num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检测监测服务期：以满足施工进度和验收为原则，总检测监测服务期约定</w:t>
      </w:r>
      <w:r>
        <w:rPr>
          <w:rFonts w:hint="eastAsia" w:eastAsia="仿宋"/>
          <w:color w:val="auto"/>
          <w:sz w:val="30"/>
          <w:szCs w:val="30"/>
          <w:highlight w:val="none"/>
        </w:rPr>
        <w:t>从本项目除联新东街范围道路施工开工日期到竣工验收日期，具体以项目实际开竣工日期为准</w:t>
      </w:r>
      <w:r>
        <w:rPr>
          <w:rFonts w:eastAsia="仿宋"/>
          <w:color w:val="auto"/>
          <w:sz w:val="30"/>
          <w:szCs w:val="30"/>
          <w:highlight w:val="none"/>
        </w:rPr>
        <w:t>；单项检测监测服务期约定：从甲方发出进场通知之日起且现场具备检测监测条件，乙方应于24小时内进场开展检测监测工作，检测监测工作完成后的3日内提供检测监测结果，并在分部验收前递交正式检测监测成果报告给甲方，不能影响工程的正式交工竣工验收。</w:t>
      </w:r>
    </w:p>
    <w:p>
      <w:pPr>
        <w:pStyle w:val="4"/>
        <w:spacing w:line="360" w:lineRule="auto"/>
        <w:rPr>
          <w:rFonts w:ascii="黑体" w:hAnsi="黑体" w:eastAsia="黑体"/>
          <w:color w:val="auto"/>
          <w:sz w:val="32"/>
          <w:highlight w:val="none"/>
        </w:rPr>
      </w:pPr>
      <w:bookmarkStart w:id="52" w:name="_Toc23686138"/>
      <w:bookmarkStart w:id="53" w:name="_Toc7164_WPSOffice_Level2"/>
      <w:bookmarkStart w:id="54" w:name="_Toc4444208"/>
      <w:bookmarkStart w:id="55" w:name="_Toc25102"/>
      <w:bookmarkStart w:id="56" w:name="_Toc25859"/>
      <w:bookmarkStart w:id="57" w:name="_Toc28129419"/>
      <w:bookmarkStart w:id="58" w:name="_Toc4661"/>
      <w:bookmarkStart w:id="59" w:name="_Toc16781"/>
      <w:bookmarkStart w:id="60" w:name="_Toc23685144"/>
      <w:bookmarkStart w:id="61" w:name="_Toc6847130"/>
      <w:r>
        <w:rPr>
          <w:rFonts w:ascii="黑体" w:hAnsi="黑体" w:eastAsia="黑体"/>
          <w:color w:val="auto"/>
          <w:sz w:val="32"/>
          <w:highlight w:val="none"/>
        </w:rPr>
        <w:t>二、词语限定</w:t>
      </w:r>
      <w:bookmarkEnd w:id="52"/>
      <w:bookmarkEnd w:id="53"/>
      <w:bookmarkEnd w:id="54"/>
      <w:bookmarkEnd w:id="55"/>
      <w:bookmarkEnd w:id="56"/>
      <w:bookmarkEnd w:id="57"/>
      <w:bookmarkEnd w:id="58"/>
      <w:bookmarkEnd w:id="59"/>
      <w:bookmarkEnd w:id="60"/>
      <w:bookmarkEnd w:id="61"/>
    </w:p>
    <w:p>
      <w:pPr>
        <w:adjustRightInd w:val="0"/>
        <w:snapToGrid w:val="0"/>
        <w:spacing w:line="360" w:lineRule="auto"/>
        <w:ind w:firstLine="599" w:firstLineChars="198"/>
        <w:rPr>
          <w:rFonts w:eastAsia="仿宋"/>
          <w:color w:val="auto"/>
          <w:sz w:val="30"/>
          <w:szCs w:val="30"/>
          <w:highlight w:val="none"/>
        </w:rPr>
      </w:pPr>
      <w:r>
        <w:rPr>
          <w:rFonts w:eastAsia="仿宋"/>
          <w:color w:val="auto"/>
          <w:sz w:val="30"/>
          <w:szCs w:val="30"/>
          <w:highlight w:val="none"/>
        </w:rPr>
        <w:t>协议书中相关词语的含义与通用条件中的定义与解释相同。</w:t>
      </w:r>
    </w:p>
    <w:p>
      <w:pPr>
        <w:pStyle w:val="4"/>
        <w:spacing w:line="360" w:lineRule="auto"/>
        <w:rPr>
          <w:rFonts w:ascii="黑体" w:hAnsi="黑体" w:eastAsia="黑体"/>
          <w:color w:val="auto"/>
          <w:sz w:val="32"/>
          <w:highlight w:val="none"/>
        </w:rPr>
      </w:pPr>
      <w:bookmarkStart w:id="62" w:name="_Toc28129420"/>
      <w:bookmarkStart w:id="63" w:name="_Toc14626"/>
      <w:bookmarkStart w:id="64" w:name="_Toc4738"/>
      <w:bookmarkStart w:id="65" w:name="_Toc4444210"/>
      <w:bookmarkStart w:id="66" w:name="_Toc23685146"/>
      <w:bookmarkStart w:id="67" w:name="_Toc6847132"/>
      <w:bookmarkStart w:id="68" w:name="_Toc23686140"/>
      <w:bookmarkStart w:id="69" w:name="_Toc27684"/>
      <w:bookmarkStart w:id="70" w:name="_Toc7282_WPSOffice_Level2"/>
      <w:bookmarkStart w:id="71" w:name="_Toc12647"/>
      <w:r>
        <w:rPr>
          <w:rFonts w:ascii="黑体" w:hAnsi="黑体" w:eastAsia="黑体"/>
          <w:color w:val="auto"/>
          <w:sz w:val="32"/>
          <w:highlight w:val="none"/>
        </w:rPr>
        <w:t>三 、质量要求</w:t>
      </w:r>
      <w:bookmarkEnd w:id="62"/>
      <w:bookmarkEnd w:id="63"/>
      <w:bookmarkEnd w:id="64"/>
      <w:bookmarkEnd w:id="65"/>
      <w:bookmarkEnd w:id="66"/>
      <w:bookmarkEnd w:id="67"/>
      <w:bookmarkEnd w:id="68"/>
      <w:bookmarkEnd w:id="69"/>
      <w:bookmarkEnd w:id="70"/>
      <w:bookmarkEnd w:id="71"/>
    </w:p>
    <w:p>
      <w:pPr>
        <w:adjustRightInd w:val="0"/>
        <w:snapToGrid w:val="0"/>
        <w:spacing w:line="360" w:lineRule="auto"/>
        <w:ind w:firstLine="599" w:firstLineChars="198"/>
        <w:rPr>
          <w:rFonts w:eastAsia="仿宋"/>
          <w:color w:val="auto"/>
          <w:sz w:val="30"/>
          <w:szCs w:val="30"/>
          <w:highlight w:val="none"/>
        </w:rPr>
      </w:pPr>
      <w:r>
        <w:rPr>
          <w:rFonts w:eastAsia="仿宋"/>
          <w:color w:val="auto"/>
          <w:sz w:val="30"/>
          <w:szCs w:val="30"/>
          <w:highlight w:val="none"/>
        </w:rPr>
        <w:t>质量要求：</w:t>
      </w:r>
      <w:r>
        <w:rPr>
          <w:rFonts w:eastAsia="仿宋"/>
          <w:color w:val="auto"/>
          <w:sz w:val="30"/>
          <w:szCs w:val="30"/>
          <w:highlight w:val="none"/>
          <w:u w:val="single"/>
        </w:rPr>
        <w:t>按国家、</w:t>
      </w:r>
      <w:r>
        <w:rPr>
          <w:rFonts w:hint="eastAsia" w:eastAsia="仿宋"/>
          <w:color w:val="auto"/>
          <w:sz w:val="30"/>
          <w:szCs w:val="30"/>
          <w:highlight w:val="none"/>
          <w:u w:val="single"/>
        </w:rPr>
        <w:t>广东</w:t>
      </w:r>
      <w:r>
        <w:rPr>
          <w:rFonts w:eastAsia="仿宋"/>
          <w:color w:val="auto"/>
          <w:sz w:val="30"/>
          <w:szCs w:val="30"/>
          <w:highlight w:val="none"/>
          <w:u w:val="single"/>
        </w:rPr>
        <w:t>省、</w:t>
      </w:r>
      <w:r>
        <w:rPr>
          <w:rFonts w:hint="eastAsia" w:eastAsia="仿宋"/>
          <w:color w:val="auto"/>
          <w:sz w:val="30"/>
          <w:szCs w:val="30"/>
          <w:highlight w:val="none"/>
          <w:u w:val="single"/>
        </w:rPr>
        <w:t>广州</w:t>
      </w:r>
      <w:r>
        <w:rPr>
          <w:rFonts w:eastAsia="仿宋"/>
          <w:color w:val="auto"/>
          <w:sz w:val="30"/>
          <w:szCs w:val="30"/>
          <w:highlight w:val="none"/>
          <w:u w:val="single"/>
        </w:rPr>
        <w:t>市现行规范、标准和委托单位的</w:t>
      </w:r>
      <w:r>
        <w:rPr>
          <w:rFonts w:hint="eastAsia" w:eastAsia="仿宋"/>
          <w:color w:val="auto"/>
          <w:sz w:val="30"/>
          <w:szCs w:val="30"/>
          <w:highlight w:val="none"/>
          <w:u w:val="single"/>
        </w:rPr>
        <w:t>工作</w:t>
      </w:r>
      <w:r>
        <w:rPr>
          <w:rFonts w:eastAsia="仿宋"/>
          <w:color w:val="auto"/>
          <w:sz w:val="30"/>
          <w:szCs w:val="30"/>
          <w:highlight w:val="none"/>
          <w:u w:val="single"/>
        </w:rPr>
        <w:t>内容、完成时间进行</w:t>
      </w:r>
      <w:r>
        <w:rPr>
          <w:rFonts w:hint="eastAsia" w:eastAsia="仿宋"/>
          <w:color w:val="auto"/>
          <w:sz w:val="30"/>
          <w:szCs w:val="30"/>
          <w:highlight w:val="none"/>
          <w:u w:val="single"/>
        </w:rPr>
        <w:t>检测监测</w:t>
      </w:r>
      <w:r>
        <w:rPr>
          <w:rFonts w:eastAsia="仿宋"/>
          <w:color w:val="auto"/>
          <w:sz w:val="30"/>
          <w:szCs w:val="30"/>
          <w:highlight w:val="none"/>
          <w:u w:val="single"/>
        </w:rPr>
        <w:t>，严格按《建设工程质量检测管理办法》规定执行，对甲方委托的项目进行客观公正检测，做到检测数据完整、准确、真实、清楚</w:t>
      </w:r>
      <w:r>
        <w:rPr>
          <w:rFonts w:eastAsia="仿宋"/>
          <w:color w:val="auto"/>
          <w:sz w:val="30"/>
          <w:szCs w:val="30"/>
          <w:highlight w:val="none"/>
        </w:rPr>
        <w:t>。</w:t>
      </w:r>
    </w:p>
    <w:p>
      <w:pPr>
        <w:pStyle w:val="37"/>
        <w:numPr>
          <w:ilvl w:val="0"/>
          <w:numId w:val="2"/>
        </w:numPr>
        <w:rPr>
          <w:rFonts w:ascii="黑体" w:hAnsi="黑体" w:eastAsia="黑体" w:cstheme="majorBidi"/>
          <w:b/>
          <w:bCs/>
          <w:color w:val="auto"/>
          <w:sz w:val="32"/>
          <w:szCs w:val="32"/>
          <w:highlight w:val="none"/>
        </w:rPr>
      </w:pPr>
      <w:bookmarkStart w:id="72" w:name="_Toc26849_WPSOffice_Level2"/>
      <w:r>
        <w:rPr>
          <w:rFonts w:ascii="黑体" w:hAnsi="黑体" w:eastAsia="黑体" w:cstheme="majorBidi"/>
          <w:b/>
          <w:bCs/>
          <w:color w:val="auto"/>
          <w:sz w:val="32"/>
          <w:szCs w:val="32"/>
          <w:highlight w:val="none"/>
        </w:rPr>
        <w:t>工作</w:t>
      </w:r>
      <w:r>
        <w:rPr>
          <w:rFonts w:hint="eastAsia" w:ascii="黑体" w:hAnsi="黑体" w:eastAsia="黑体" w:cstheme="majorBidi"/>
          <w:b/>
          <w:bCs/>
          <w:color w:val="auto"/>
          <w:sz w:val="32"/>
          <w:szCs w:val="32"/>
          <w:highlight w:val="none"/>
        </w:rPr>
        <w:t>内容</w:t>
      </w:r>
      <w:bookmarkEnd w:id="72"/>
    </w:p>
    <w:p>
      <w:pPr>
        <w:pStyle w:val="26"/>
        <w:widowControl w:val="0"/>
        <w:numPr>
          <w:ilvl w:val="0"/>
          <w:numId w:val="3"/>
        </w:numPr>
        <w:autoSpaceDE w:val="0"/>
        <w:autoSpaceDN w:val="0"/>
        <w:adjustRightInd w:val="0"/>
        <w:snapToGrid w:val="0"/>
        <w:spacing w:before="0" w:beforeAutospacing="0" w:after="0" w:afterAutospacing="0" w:line="360" w:lineRule="auto"/>
        <w:ind w:firstLine="606" w:firstLineChars="200"/>
        <w:rPr>
          <w:rFonts w:ascii="Times New Roman" w:hAnsi="Times New Roman" w:eastAsia="仿宋"/>
          <w:color w:val="auto"/>
          <w:kern w:val="2"/>
          <w:sz w:val="30"/>
          <w:szCs w:val="30"/>
          <w:highlight w:val="none"/>
          <w:u w:val="single"/>
        </w:rPr>
      </w:pPr>
      <w:r>
        <w:rPr>
          <w:rFonts w:ascii="Times New Roman" w:hAnsi="Times New Roman" w:eastAsia="仿宋"/>
          <w:color w:val="auto"/>
          <w:kern w:val="2"/>
          <w:sz w:val="30"/>
          <w:szCs w:val="30"/>
          <w:highlight w:val="none"/>
          <w:u w:val="single"/>
        </w:rPr>
        <w:t>检测的工作</w:t>
      </w:r>
      <w:r>
        <w:rPr>
          <w:rFonts w:hint="eastAsia" w:ascii="Times New Roman" w:hAnsi="Times New Roman" w:eastAsia="仿宋"/>
          <w:color w:val="auto"/>
          <w:kern w:val="2"/>
          <w:sz w:val="30"/>
          <w:szCs w:val="30"/>
          <w:highlight w:val="none"/>
          <w:u w:val="single"/>
        </w:rPr>
        <w:t>内容</w:t>
      </w:r>
      <w:r>
        <w:rPr>
          <w:rFonts w:ascii="Times New Roman" w:hAnsi="Times New Roman" w:eastAsia="仿宋"/>
          <w:color w:val="auto"/>
          <w:kern w:val="2"/>
          <w:sz w:val="30"/>
          <w:szCs w:val="30"/>
          <w:highlight w:val="none"/>
          <w:u w:val="single"/>
        </w:rPr>
        <w:t>：地基基础工程检测、道路工程检测、主体结构工程现场检测、给排水工程检测、</w:t>
      </w:r>
      <w:r>
        <w:rPr>
          <w:rFonts w:hint="eastAsia" w:ascii="Times New Roman" w:hAnsi="Times New Roman" w:eastAsia="仿宋"/>
          <w:color w:val="auto"/>
          <w:kern w:val="2"/>
          <w:sz w:val="30"/>
          <w:szCs w:val="30"/>
          <w:highlight w:val="none"/>
          <w:u w:val="single"/>
        </w:rPr>
        <w:t>桥梁工程实体、钢结构实体、绿化工程实体、</w:t>
      </w:r>
      <w:r>
        <w:rPr>
          <w:rFonts w:ascii="Times New Roman" w:hAnsi="Times New Roman" w:eastAsia="仿宋"/>
          <w:color w:val="auto"/>
          <w:kern w:val="2"/>
          <w:sz w:val="30"/>
          <w:szCs w:val="30"/>
          <w:highlight w:val="none"/>
          <w:u w:val="single"/>
        </w:rPr>
        <w:t>交通照明工程检测、见证取样检测</w:t>
      </w:r>
      <w:r>
        <w:rPr>
          <w:rFonts w:hint="eastAsia" w:ascii="Times New Roman" w:hAnsi="Times New Roman" w:eastAsia="仿宋"/>
          <w:color w:val="auto"/>
          <w:kern w:val="2"/>
          <w:sz w:val="30"/>
          <w:szCs w:val="30"/>
          <w:highlight w:val="none"/>
          <w:u w:val="single"/>
        </w:rPr>
        <w:t>、软基处理监测、管坑基坑监测</w:t>
      </w:r>
      <w:r>
        <w:rPr>
          <w:rFonts w:ascii="Times New Roman" w:hAnsi="Times New Roman" w:eastAsia="仿宋"/>
          <w:color w:val="auto"/>
          <w:kern w:val="2"/>
          <w:sz w:val="30"/>
          <w:szCs w:val="30"/>
          <w:highlight w:val="none"/>
          <w:u w:val="single"/>
        </w:rPr>
        <w:t>等，以及为工程验收提供依据的检测项目（详见图纸和工程量清单）</w:t>
      </w:r>
      <w:r>
        <w:rPr>
          <w:rFonts w:hint="eastAsia" w:ascii="Times New Roman" w:hAnsi="Times New Roman" w:eastAsia="仿宋"/>
          <w:color w:val="auto"/>
          <w:kern w:val="2"/>
          <w:sz w:val="30"/>
          <w:szCs w:val="30"/>
          <w:highlight w:val="none"/>
          <w:u w:val="single"/>
        </w:rPr>
        <w:t>。</w:t>
      </w:r>
      <w:r>
        <w:rPr>
          <w:rFonts w:ascii="Times New Roman" w:hAnsi="Times New Roman" w:eastAsia="仿宋"/>
          <w:color w:val="auto"/>
          <w:kern w:val="2"/>
          <w:sz w:val="30"/>
          <w:szCs w:val="30"/>
          <w:highlight w:val="none"/>
          <w:u w:val="single"/>
        </w:rPr>
        <w:t>乙方的检测工作必须满足国家、广东省、广州市相关检测规范、强制性标准。</w:t>
      </w:r>
    </w:p>
    <w:p>
      <w:pPr>
        <w:pStyle w:val="26"/>
        <w:widowControl w:val="0"/>
        <w:numPr>
          <w:ilvl w:val="0"/>
          <w:numId w:val="3"/>
        </w:numPr>
        <w:autoSpaceDE w:val="0"/>
        <w:autoSpaceDN w:val="0"/>
        <w:adjustRightInd w:val="0"/>
        <w:snapToGrid w:val="0"/>
        <w:spacing w:before="0" w:beforeAutospacing="0" w:after="0" w:afterAutospacing="0" w:line="360" w:lineRule="auto"/>
        <w:ind w:firstLine="606" w:firstLineChars="200"/>
        <w:rPr>
          <w:rFonts w:eastAsia="仿宋"/>
          <w:color w:val="auto"/>
          <w:sz w:val="30"/>
          <w:szCs w:val="30"/>
          <w:highlight w:val="none"/>
          <w:u w:val="single"/>
        </w:rPr>
      </w:pPr>
      <w:r>
        <w:rPr>
          <w:rFonts w:ascii="Times New Roman" w:hAnsi="Times New Roman" w:eastAsia="仿宋"/>
          <w:color w:val="auto"/>
          <w:kern w:val="2"/>
          <w:sz w:val="30"/>
          <w:szCs w:val="30"/>
          <w:highlight w:val="none"/>
          <w:u w:val="single"/>
        </w:rPr>
        <w:t>检测设备要求</w:t>
      </w:r>
      <w:r>
        <w:rPr>
          <w:rFonts w:hint="eastAsia" w:ascii="Times New Roman" w:hAnsi="Times New Roman" w:eastAsia="仿宋"/>
          <w:color w:val="auto"/>
          <w:kern w:val="2"/>
          <w:sz w:val="30"/>
          <w:szCs w:val="30"/>
          <w:highlight w:val="none"/>
          <w:u w:val="single"/>
        </w:rPr>
        <w:t>：</w:t>
      </w:r>
      <w:r>
        <w:rPr>
          <w:rFonts w:ascii="Times New Roman" w:hAnsi="Times New Roman" w:eastAsia="仿宋"/>
          <w:color w:val="auto"/>
          <w:kern w:val="2"/>
          <w:sz w:val="30"/>
          <w:szCs w:val="30"/>
          <w:highlight w:val="none"/>
          <w:u w:val="single"/>
        </w:rPr>
        <w:t>用于完成本项目检测的仪器、设备和材料由</w:t>
      </w:r>
      <w:r>
        <w:rPr>
          <w:rFonts w:hint="eastAsia" w:eastAsia="仿宋"/>
          <w:color w:val="auto"/>
          <w:kern w:val="2"/>
          <w:sz w:val="30"/>
          <w:szCs w:val="30"/>
          <w:highlight w:val="none"/>
          <w:u w:val="single"/>
        </w:rPr>
        <w:t>乙方</w:t>
      </w:r>
      <w:r>
        <w:rPr>
          <w:rFonts w:ascii="Times New Roman" w:hAnsi="Times New Roman" w:eastAsia="仿宋"/>
          <w:color w:val="auto"/>
          <w:kern w:val="2"/>
          <w:sz w:val="30"/>
          <w:szCs w:val="30"/>
          <w:highlight w:val="none"/>
          <w:u w:val="single"/>
        </w:rPr>
        <w:t>自行运输</w:t>
      </w:r>
      <w:r>
        <w:rPr>
          <w:rFonts w:hint="eastAsia" w:ascii="Times New Roman" w:hAnsi="Times New Roman" w:eastAsia="仿宋"/>
          <w:color w:val="auto"/>
          <w:kern w:val="2"/>
          <w:sz w:val="30"/>
          <w:szCs w:val="30"/>
          <w:highlight w:val="none"/>
          <w:u w:val="single"/>
        </w:rPr>
        <w:t>、</w:t>
      </w:r>
      <w:r>
        <w:rPr>
          <w:rFonts w:ascii="Times New Roman" w:hAnsi="Times New Roman" w:eastAsia="仿宋"/>
          <w:color w:val="auto"/>
          <w:kern w:val="2"/>
          <w:sz w:val="30"/>
          <w:szCs w:val="30"/>
          <w:highlight w:val="none"/>
          <w:u w:val="single"/>
        </w:rPr>
        <w:t>存管。仪器、设备和材料应有产品出厂合格证，检定/校准证书，同时符合相关技术标准和检定要求。</w:t>
      </w:r>
    </w:p>
    <w:p>
      <w:pPr>
        <w:pStyle w:val="26"/>
        <w:widowControl w:val="0"/>
        <w:numPr>
          <w:ilvl w:val="0"/>
          <w:numId w:val="3"/>
        </w:numPr>
        <w:autoSpaceDE w:val="0"/>
        <w:autoSpaceDN w:val="0"/>
        <w:adjustRightInd w:val="0"/>
        <w:snapToGrid w:val="0"/>
        <w:spacing w:line="360" w:lineRule="auto"/>
        <w:ind w:firstLine="606" w:firstLineChars="200"/>
        <w:rPr>
          <w:rFonts w:ascii="Times New Roman" w:hAnsi="Times New Roman" w:eastAsia="仿宋"/>
          <w:color w:val="auto"/>
          <w:kern w:val="2"/>
          <w:sz w:val="30"/>
          <w:szCs w:val="30"/>
          <w:highlight w:val="none"/>
          <w:u w:val="single"/>
        </w:rPr>
      </w:pPr>
      <w:r>
        <w:rPr>
          <w:rFonts w:ascii="Times New Roman" w:hAnsi="Times New Roman" w:eastAsia="仿宋"/>
          <w:color w:val="auto"/>
          <w:kern w:val="2"/>
          <w:sz w:val="30"/>
          <w:szCs w:val="30"/>
          <w:highlight w:val="none"/>
          <w:u w:val="single"/>
        </w:rPr>
        <w:t>检测方案编制要求</w:t>
      </w:r>
      <w:r>
        <w:rPr>
          <w:rFonts w:hint="eastAsia" w:eastAsia="仿宋"/>
          <w:color w:val="auto"/>
          <w:kern w:val="2"/>
          <w:sz w:val="30"/>
          <w:szCs w:val="30"/>
          <w:highlight w:val="none"/>
          <w:u w:val="single"/>
        </w:rPr>
        <w:t>乙方</w:t>
      </w:r>
      <w:r>
        <w:rPr>
          <w:rFonts w:ascii="Times New Roman" w:hAnsi="Times New Roman" w:eastAsia="仿宋"/>
          <w:color w:val="auto"/>
          <w:kern w:val="2"/>
          <w:sz w:val="30"/>
          <w:szCs w:val="30"/>
          <w:highlight w:val="none"/>
          <w:u w:val="single"/>
        </w:rPr>
        <w:t>在进场检测前，需根据施工图纸及现场实际情况编制检测方案，并报监理工程师、</w:t>
      </w:r>
      <w:r>
        <w:rPr>
          <w:rFonts w:hint="eastAsia" w:eastAsia="仿宋"/>
          <w:color w:val="auto"/>
          <w:kern w:val="2"/>
          <w:sz w:val="30"/>
          <w:szCs w:val="30"/>
          <w:highlight w:val="none"/>
          <w:u w:val="single"/>
        </w:rPr>
        <w:t>甲方及</w:t>
      </w:r>
      <w:r>
        <w:rPr>
          <w:rFonts w:ascii="Times New Roman" w:hAnsi="Times New Roman" w:eastAsia="仿宋"/>
          <w:color w:val="auto"/>
          <w:kern w:val="2"/>
          <w:sz w:val="30"/>
          <w:szCs w:val="30"/>
          <w:highlight w:val="none"/>
          <w:u w:val="single"/>
        </w:rPr>
        <w:t>项目所在行政区域的相关建设行政主管部门和监督部门等审批同意后实施。检测方案必须满足设计文件以及国家、广东省及广州市监督部门现行技术规范的要求。</w:t>
      </w:r>
    </w:p>
    <w:p>
      <w:pPr>
        <w:pStyle w:val="26"/>
        <w:widowControl w:val="0"/>
        <w:numPr>
          <w:ilvl w:val="0"/>
          <w:numId w:val="3"/>
        </w:numPr>
        <w:autoSpaceDE w:val="0"/>
        <w:autoSpaceDN w:val="0"/>
        <w:adjustRightInd w:val="0"/>
        <w:snapToGrid w:val="0"/>
        <w:spacing w:line="360" w:lineRule="auto"/>
        <w:ind w:firstLine="606" w:firstLineChars="200"/>
        <w:rPr>
          <w:rFonts w:ascii="Times New Roman" w:hAnsi="Times New Roman" w:eastAsia="仿宋"/>
          <w:color w:val="auto"/>
          <w:kern w:val="2"/>
          <w:sz w:val="30"/>
          <w:szCs w:val="30"/>
          <w:highlight w:val="none"/>
          <w:u w:val="single"/>
        </w:rPr>
      </w:pPr>
      <w:r>
        <w:rPr>
          <w:rFonts w:ascii="Times New Roman" w:hAnsi="Times New Roman" w:eastAsia="仿宋"/>
          <w:color w:val="auto"/>
          <w:kern w:val="2"/>
          <w:sz w:val="30"/>
          <w:szCs w:val="30"/>
          <w:highlight w:val="none"/>
          <w:u w:val="single"/>
        </w:rPr>
        <w:t>监测及观测工作</w:t>
      </w:r>
      <w:r>
        <w:rPr>
          <w:rFonts w:hint="eastAsia" w:ascii="Times New Roman" w:eastAsia="仿宋"/>
          <w:color w:val="auto"/>
          <w:kern w:val="2"/>
          <w:sz w:val="30"/>
          <w:szCs w:val="30"/>
          <w:highlight w:val="none"/>
          <w:u w:val="single"/>
        </w:rPr>
        <w:t>内容：</w:t>
      </w:r>
      <w:r>
        <w:rPr>
          <w:rFonts w:hint="eastAsia" w:eastAsia="仿宋"/>
          <w:color w:val="auto"/>
          <w:kern w:val="2"/>
          <w:sz w:val="30"/>
          <w:szCs w:val="30"/>
          <w:highlight w:val="none"/>
          <w:u w:val="single"/>
        </w:rPr>
        <w:t>软基工程监测、基坑监测等</w:t>
      </w:r>
      <w:r>
        <w:rPr>
          <w:rFonts w:hint="eastAsia" w:ascii="Times New Roman" w:hAnsi="Times New Roman" w:eastAsia="仿宋"/>
          <w:color w:val="auto"/>
          <w:kern w:val="2"/>
          <w:sz w:val="30"/>
          <w:szCs w:val="30"/>
          <w:highlight w:val="none"/>
          <w:u w:val="single"/>
        </w:rPr>
        <w:t>为工程验收提供依据的监测项目（详见图纸和工程量清单）。</w:t>
      </w:r>
      <w:r>
        <w:rPr>
          <w:rFonts w:hint="eastAsia" w:ascii="Times New Roman" w:eastAsia="仿宋"/>
          <w:color w:val="auto"/>
          <w:kern w:val="2"/>
          <w:sz w:val="30"/>
          <w:szCs w:val="30"/>
          <w:highlight w:val="none"/>
          <w:u w:val="single"/>
        </w:rPr>
        <w:t>乙方</w:t>
      </w:r>
      <w:r>
        <w:rPr>
          <w:rFonts w:ascii="Times New Roman" w:hAnsi="Times New Roman" w:eastAsia="仿宋"/>
          <w:color w:val="auto"/>
          <w:kern w:val="2"/>
          <w:sz w:val="30"/>
          <w:szCs w:val="30"/>
          <w:highlight w:val="none"/>
          <w:u w:val="single"/>
        </w:rPr>
        <w:t>的监测及观测工作必须满足国家、广东省、广州市相关监测规范、强制性标准。</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u w:val="single"/>
        </w:rPr>
        <w:t>乙方除按要求完成本次招标范围内的检测</w:t>
      </w:r>
      <w:r>
        <w:rPr>
          <w:rFonts w:hint="eastAsia" w:eastAsia="仿宋"/>
          <w:color w:val="auto"/>
          <w:sz w:val="30"/>
          <w:szCs w:val="30"/>
          <w:highlight w:val="none"/>
          <w:u w:val="single"/>
        </w:rPr>
        <w:t>监测</w:t>
      </w:r>
      <w:r>
        <w:rPr>
          <w:rFonts w:eastAsia="仿宋"/>
          <w:color w:val="auto"/>
          <w:sz w:val="30"/>
          <w:szCs w:val="30"/>
          <w:highlight w:val="none"/>
          <w:u w:val="single"/>
        </w:rPr>
        <w:t>工作外，还应完成以下工作：</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u w:val="single"/>
        </w:rPr>
        <w:t>（1）与工程所在行政区域的相关建设行政主管部门和监督部门进行检测</w:t>
      </w:r>
      <w:r>
        <w:rPr>
          <w:rFonts w:hint="eastAsia" w:eastAsia="仿宋"/>
          <w:color w:val="auto"/>
          <w:sz w:val="30"/>
          <w:szCs w:val="30"/>
          <w:highlight w:val="none"/>
          <w:u w:val="single"/>
        </w:rPr>
        <w:t>监测</w:t>
      </w:r>
      <w:r>
        <w:rPr>
          <w:rFonts w:eastAsia="仿宋"/>
          <w:color w:val="auto"/>
          <w:sz w:val="30"/>
          <w:szCs w:val="30"/>
          <w:highlight w:val="none"/>
          <w:u w:val="single"/>
        </w:rPr>
        <w:t>工作的协调，申报检测技术成果的审批，保证技术成果能够通过相关部门认可，确保不因检测工作影响本工程项目的建设进度和竣工验收</w:t>
      </w:r>
      <w:r>
        <w:rPr>
          <w:rFonts w:hint="eastAsia" w:eastAsia="仿宋"/>
          <w:color w:val="auto"/>
          <w:sz w:val="30"/>
          <w:szCs w:val="30"/>
          <w:highlight w:val="none"/>
          <w:u w:val="single"/>
        </w:rPr>
        <w:t>；</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u w:val="single"/>
        </w:rPr>
        <w:t>（2）在进行检测</w:t>
      </w:r>
      <w:r>
        <w:rPr>
          <w:rFonts w:hint="eastAsia" w:eastAsia="仿宋"/>
          <w:color w:val="auto"/>
          <w:sz w:val="30"/>
          <w:szCs w:val="30"/>
          <w:highlight w:val="none"/>
          <w:u w:val="single"/>
        </w:rPr>
        <w:t>监测</w:t>
      </w:r>
      <w:r>
        <w:rPr>
          <w:rFonts w:eastAsia="仿宋"/>
          <w:color w:val="auto"/>
          <w:sz w:val="30"/>
          <w:szCs w:val="30"/>
          <w:highlight w:val="none"/>
          <w:u w:val="single"/>
        </w:rPr>
        <w:t>任务的过程中与该工程相关的项目管理单位、施工单位、监理单位、设计单位、建设主管部门等相关单位的协调工作</w:t>
      </w:r>
      <w:r>
        <w:rPr>
          <w:rFonts w:hint="eastAsia" w:eastAsia="仿宋"/>
          <w:color w:val="auto"/>
          <w:sz w:val="30"/>
          <w:szCs w:val="30"/>
          <w:highlight w:val="none"/>
          <w:u w:val="single"/>
        </w:rPr>
        <w:t>；</w:t>
      </w:r>
    </w:p>
    <w:p>
      <w:pPr>
        <w:pStyle w:val="37"/>
        <w:ind w:firstLine="606" w:firstLineChars="200"/>
        <w:rPr>
          <w:rFonts w:eastAsia="仿宋"/>
          <w:color w:val="auto"/>
          <w:sz w:val="30"/>
          <w:szCs w:val="30"/>
          <w:highlight w:val="none"/>
          <w:u w:val="single"/>
        </w:rPr>
      </w:pPr>
      <w:r>
        <w:rPr>
          <w:rFonts w:eastAsia="仿宋"/>
          <w:color w:val="auto"/>
          <w:sz w:val="30"/>
          <w:szCs w:val="30"/>
          <w:highlight w:val="none"/>
          <w:u w:val="single"/>
        </w:rPr>
        <w:t>（3）检测（监测）数据的有关信息通过广州市建设工程质量检测监管平台报送，乙方需在合同中综合考虑该项协调工作费用</w:t>
      </w:r>
      <w:r>
        <w:rPr>
          <w:rFonts w:hint="eastAsia" w:eastAsia="仿宋"/>
          <w:color w:val="auto"/>
          <w:sz w:val="30"/>
          <w:szCs w:val="30"/>
          <w:highlight w:val="none"/>
          <w:u w:val="single"/>
        </w:rPr>
        <w:t>；</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u w:val="single"/>
        </w:rPr>
        <w:t>（4）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r>
        <w:rPr>
          <w:rFonts w:hint="eastAsia" w:eastAsia="仿宋"/>
          <w:color w:val="auto"/>
          <w:sz w:val="30"/>
          <w:szCs w:val="30"/>
          <w:highlight w:val="none"/>
          <w:u w:val="single"/>
        </w:rPr>
        <w:t>；</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u w:val="single"/>
        </w:rPr>
        <w:t>（</w:t>
      </w:r>
      <w:r>
        <w:rPr>
          <w:rFonts w:hint="eastAsia" w:eastAsia="仿宋"/>
          <w:color w:val="auto"/>
          <w:sz w:val="30"/>
          <w:szCs w:val="30"/>
          <w:highlight w:val="none"/>
          <w:u w:val="single"/>
        </w:rPr>
        <w:t>5</w:t>
      </w:r>
      <w:r>
        <w:rPr>
          <w:rFonts w:eastAsia="仿宋"/>
          <w:color w:val="auto"/>
          <w:sz w:val="30"/>
          <w:szCs w:val="30"/>
          <w:highlight w:val="none"/>
          <w:u w:val="single"/>
        </w:rPr>
        <w:t>）本项目实施期间，如果因本项目验收需要，按规范和经批准的检测方案，经甲方确认需增加《工程量清单》中没有的项目，且乙方也具备相应资质，则乙方不得以任何原因拒绝为甲方提供检测，并按要求出具符合验收要求的检测报告。乙方检测资质不能涵盖的项目由乙方委托有资质的相应单位实施，并取得相应管理部门的确认</w:t>
      </w:r>
      <w:r>
        <w:rPr>
          <w:rFonts w:hint="eastAsia" w:eastAsia="仿宋"/>
          <w:color w:val="auto"/>
          <w:sz w:val="30"/>
          <w:szCs w:val="30"/>
          <w:highlight w:val="none"/>
          <w:u w:val="single"/>
        </w:rPr>
        <w:t>，由此产生的费用以结算方式中约定的方法进行计算；</w:t>
      </w:r>
    </w:p>
    <w:p>
      <w:pPr>
        <w:adjustRightInd w:val="0"/>
        <w:snapToGrid w:val="0"/>
        <w:spacing w:line="360" w:lineRule="auto"/>
        <w:ind w:firstLine="606" w:firstLineChars="200"/>
        <w:jc w:val="left"/>
        <w:rPr>
          <w:rFonts w:eastAsia="仿宋"/>
          <w:color w:val="auto"/>
          <w:sz w:val="30"/>
          <w:szCs w:val="30"/>
          <w:highlight w:val="none"/>
          <w:u w:val="single"/>
        </w:rPr>
      </w:pPr>
      <w:r>
        <w:rPr>
          <w:rFonts w:eastAsia="仿宋"/>
          <w:color w:val="auto"/>
          <w:sz w:val="30"/>
          <w:szCs w:val="30"/>
          <w:highlight w:val="none"/>
          <w:u w:val="single"/>
        </w:rPr>
        <w:t>（</w:t>
      </w:r>
      <w:r>
        <w:rPr>
          <w:rFonts w:hint="eastAsia" w:eastAsia="仿宋"/>
          <w:color w:val="auto"/>
          <w:sz w:val="30"/>
          <w:szCs w:val="30"/>
          <w:highlight w:val="none"/>
          <w:u w:val="single"/>
        </w:rPr>
        <w:t>6</w:t>
      </w:r>
      <w:r>
        <w:rPr>
          <w:rFonts w:eastAsia="仿宋"/>
          <w:color w:val="auto"/>
          <w:sz w:val="30"/>
          <w:szCs w:val="30"/>
          <w:highlight w:val="none"/>
          <w:u w:val="single"/>
        </w:rPr>
        <w:t>）在进行服务过程中，与该工程相关的施工、监理、设计、咨询等相关单位及建设协调行政主管部门和监督部门协调，</w:t>
      </w:r>
      <w:r>
        <w:rPr>
          <w:rFonts w:hint="eastAsia" w:eastAsia="仿宋"/>
          <w:color w:val="auto"/>
          <w:sz w:val="30"/>
          <w:szCs w:val="30"/>
          <w:highlight w:val="none"/>
          <w:u w:val="single"/>
        </w:rPr>
        <w:t>费用已包含在单价中，甲方不再支付；</w:t>
      </w:r>
    </w:p>
    <w:p>
      <w:pPr>
        <w:adjustRightInd w:val="0"/>
        <w:snapToGrid w:val="0"/>
        <w:spacing w:line="360" w:lineRule="auto"/>
        <w:ind w:firstLine="606" w:firstLineChars="200"/>
        <w:jc w:val="left"/>
        <w:rPr>
          <w:rFonts w:eastAsia="仿宋"/>
          <w:color w:val="auto"/>
          <w:sz w:val="30"/>
          <w:szCs w:val="30"/>
          <w:highlight w:val="none"/>
          <w:u w:val="single"/>
        </w:rPr>
      </w:pPr>
      <w:r>
        <w:rPr>
          <w:rFonts w:hint="eastAsia" w:eastAsia="仿宋"/>
          <w:color w:val="auto"/>
          <w:sz w:val="30"/>
          <w:szCs w:val="30"/>
          <w:highlight w:val="none"/>
          <w:u w:val="single"/>
        </w:rPr>
        <w:t>（7）清单中已包含监督抽检的工程量，监督抽检按建设行政主管部门要求实施，甲方不再额外支付该项费用。</w:t>
      </w:r>
    </w:p>
    <w:p>
      <w:pPr>
        <w:pStyle w:val="37"/>
        <w:rPr>
          <w:color w:val="auto"/>
          <w:highlight w:val="none"/>
        </w:rPr>
      </w:pPr>
    </w:p>
    <w:p>
      <w:pPr>
        <w:pStyle w:val="4"/>
        <w:rPr>
          <w:rFonts w:ascii="黑体" w:hAnsi="黑体" w:eastAsia="黑体"/>
          <w:color w:val="auto"/>
          <w:sz w:val="32"/>
          <w:highlight w:val="none"/>
        </w:rPr>
      </w:pPr>
      <w:bookmarkStart w:id="73" w:name="_Toc4444212"/>
      <w:bookmarkStart w:id="74" w:name="_Toc23686142"/>
      <w:bookmarkStart w:id="75" w:name="_Toc23685148"/>
      <w:bookmarkStart w:id="76" w:name="_Toc6847134"/>
      <w:bookmarkStart w:id="77" w:name="_Toc7315"/>
      <w:bookmarkStart w:id="78" w:name="_Toc32715"/>
      <w:bookmarkStart w:id="79" w:name="_Toc17102_WPSOffice_Level2"/>
      <w:bookmarkStart w:id="80" w:name="_Toc25088"/>
      <w:bookmarkStart w:id="81" w:name="_Toc31250"/>
      <w:bookmarkStart w:id="82" w:name="_Toc28129421"/>
      <w:r>
        <w:rPr>
          <w:rFonts w:hint="eastAsia" w:ascii="黑体" w:hAnsi="黑体" w:eastAsia="黑体"/>
          <w:color w:val="auto"/>
          <w:sz w:val="32"/>
          <w:highlight w:val="none"/>
        </w:rPr>
        <w:t>五</w:t>
      </w:r>
      <w:r>
        <w:rPr>
          <w:rFonts w:ascii="黑体" w:hAnsi="黑体" w:eastAsia="黑体"/>
          <w:color w:val="auto"/>
          <w:sz w:val="32"/>
          <w:highlight w:val="none"/>
        </w:rPr>
        <w:t>、合同价</w:t>
      </w:r>
      <w:bookmarkEnd w:id="73"/>
      <w:bookmarkEnd w:id="74"/>
      <w:bookmarkEnd w:id="75"/>
      <w:bookmarkEnd w:id="76"/>
      <w:r>
        <w:rPr>
          <w:rFonts w:ascii="黑体" w:hAnsi="黑体" w:eastAsia="黑体"/>
          <w:color w:val="auto"/>
          <w:sz w:val="32"/>
          <w:highlight w:val="none"/>
        </w:rPr>
        <w:t>款</w:t>
      </w:r>
      <w:bookmarkEnd w:id="77"/>
      <w:bookmarkEnd w:id="78"/>
      <w:bookmarkEnd w:id="79"/>
      <w:bookmarkEnd w:id="80"/>
      <w:bookmarkEnd w:id="81"/>
      <w:bookmarkEnd w:id="82"/>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本合同价税合计</w:t>
      </w:r>
      <w:r>
        <w:rPr>
          <w:rFonts w:hint="eastAsia" w:eastAsia="仿宋"/>
          <w:color w:val="auto"/>
          <w:sz w:val="30"/>
          <w:szCs w:val="30"/>
          <w:highlight w:val="none"/>
        </w:rPr>
        <w:t>暂定</w:t>
      </w:r>
      <w:r>
        <w:rPr>
          <w:rFonts w:eastAsia="仿宋"/>
          <w:color w:val="auto"/>
          <w:sz w:val="30"/>
          <w:szCs w:val="30"/>
          <w:highlight w:val="none"/>
        </w:rPr>
        <w:t>价为人民币</w:t>
      </w:r>
      <w:r>
        <w:rPr>
          <w:rFonts w:hint="eastAsia" w:eastAsia="仿宋"/>
          <w:color w:val="auto"/>
          <w:sz w:val="30"/>
          <w:szCs w:val="30"/>
          <w:highlight w:val="none"/>
          <w:u w:val="single"/>
        </w:rPr>
        <w:t xml:space="preserve">             </w:t>
      </w:r>
      <w:r>
        <w:rPr>
          <w:rFonts w:eastAsia="仿宋"/>
          <w:color w:val="auto"/>
          <w:sz w:val="30"/>
          <w:szCs w:val="30"/>
          <w:highlight w:val="none"/>
        </w:rPr>
        <w:t>元（大写：</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元）。</w:t>
      </w:r>
    </w:p>
    <w:p>
      <w:pPr>
        <w:pStyle w:val="37"/>
        <w:rPr>
          <w:rFonts w:eastAsia="仿宋"/>
          <w:color w:val="auto"/>
          <w:sz w:val="30"/>
          <w:szCs w:val="30"/>
          <w:highlight w:val="none"/>
        </w:rPr>
      </w:pPr>
      <w:r>
        <w:rPr>
          <w:rFonts w:hint="eastAsia" w:eastAsia="仿宋"/>
          <w:color w:val="auto"/>
          <w:sz w:val="30"/>
          <w:szCs w:val="30"/>
          <w:highlight w:val="none"/>
        </w:rPr>
        <w:t>其中检测费不含税暂定价为人民币</w:t>
      </w:r>
      <w:r>
        <w:rPr>
          <w:rFonts w:hint="eastAsia" w:eastAsia="仿宋"/>
          <w:color w:val="auto"/>
          <w:sz w:val="30"/>
          <w:szCs w:val="30"/>
          <w:highlight w:val="none"/>
          <w:u w:val="single"/>
        </w:rPr>
        <w:t xml:space="preserve">             </w:t>
      </w:r>
      <w:r>
        <w:rPr>
          <w:rFonts w:hint="eastAsia" w:eastAsia="仿宋"/>
          <w:color w:val="auto"/>
          <w:sz w:val="30"/>
          <w:szCs w:val="30"/>
          <w:highlight w:val="none"/>
        </w:rPr>
        <w:t>元（大写：</w:t>
      </w:r>
      <w:r>
        <w:rPr>
          <w:rFonts w:hint="eastAsia" w:eastAsia="仿宋"/>
          <w:color w:val="auto"/>
          <w:sz w:val="30"/>
          <w:szCs w:val="30"/>
          <w:highlight w:val="none"/>
          <w:u w:val="single"/>
        </w:rPr>
        <w:t xml:space="preserve">            元</w:t>
      </w:r>
      <w:r>
        <w:rPr>
          <w:rFonts w:hint="eastAsia" w:eastAsia="仿宋"/>
          <w:color w:val="auto"/>
          <w:sz w:val="30"/>
          <w:szCs w:val="30"/>
          <w:highlight w:val="none"/>
        </w:rPr>
        <w:t>），增值税税金为人民币</w:t>
      </w:r>
      <w:r>
        <w:rPr>
          <w:rFonts w:hint="eastAsia" w:eastAsia="仿宋"/>
          <w:color w:val="auto"/>
          <w:sz w:val="30"/>
          <w:szCs w:val="30"/>
          <w:highlight w:val="none"/>
          <w:u w:val="single"/>
        </w:rPr>
        <w:t xml:space="preserve">            </w:t>
      </w:r>
      <w:r>
        <w:rPr>
          <w:rFonts w:hint="eastAsia" w:eastAsia="仿宋"/>
          <w:color w:val="auto"/>
          <w:sz w:val="30"/>
          <w:szCs w:val="30"/>
          <w:highlight w:val="none"/>
        </w:rPr>
        <w:t>元（大写：</w:t>
      </w:r>
      <w:r>
        <w:rPr>
          <w:rFonts w:hint="eastAsia" w:eastAsia="仿宋"/>
          <w:color w:val="auto"/>
          <w:sz w:val="30"/>
          <w:szCs w:val="30"/>
          <w:highlight w:val="none"/>
          <w:u w:val="single"/>
        </w:rPr>
        <w:t xml:space="preserve">             元</w:t>
      </w:r>
      <w:r>
        <w:rPr>
          <w:rFonts w:hint="eastAsia" w:eastAsia="仿宋"/>
          <w:color w:val="auto"/>
          <w:sz w:val="30"/>
          <w:szCs w:val="30"/>
          <w:highlight w:val="none"/>
        </w:rPr>
        <w:t>），增值税税率为</w:t>
      </w:r>
      <w:r>
        <w:rPr>
          <w:rFonts w:hint="eastAsia" w:eastAsia="仿宋"/>
          <w:color w:val="auto"/>
          <w:sz w:val="30"/>
          <w:szCs w:val="30"/>
          <w:highlight w:val="none"/>
          <w:u w:val="single"/>
        </w:rPr>
        <w:t xml:space="preserve">   </w:t>
      </w:r>
      <w:r>
        <w:rPr>
          <w:rFonts w:hint="eastAsia" w:eastAsia="仿宋"/>
          <w:color w:val="auto"/>
          <w:sz w:val="30"/>
          <w:szCs w:val="30"/>
          <w:highlight w:val="none"/>
        </w:rPr>
        <w:t>%，价税合计暂定价为人民币</w:t>
      </w:r>
      <w:r>
        <w:rPr>
          <w:rFonts w:hint="eastAsia" w:eastAsia="仿宋"/>
          <w:color w:val="auto"/>
          <w:sz w:val="30"/>
          <w:szCs w:val="30"/>
          <w:highlight w:val="none"/>
          <w:u w:val="single"/>
        </w:rPr>
        <w:t xml:space="preserve">             </w:t>
      </w:r>
      <w:r>
        <w:rPr>
          <w:rFonts w:hint="eastAsia" w:eastAsia="仿宋"/>
          <w:color w:val="auto"/>
          <w:sz w:val="30"/>
          <w:szCs w:val="30"/>
          <w:highlight w:val="none"/>
        </w:rPr>
        <w:t>元（大写：</w:t>
      </w:r>
      <w:r>
        <w:rPr>
          <w:rFonts w:hint="eastAsia" w:eastAsia="仿宋"/>
          <w:color w:val="auto"/>
          <w:sz w:val="30"/>
          <w:szCs w:val="30"/>
          <w:highlight w:val="none"/>
          <w:u w:val="single"/>
        </w:rPr>
        <w:t xml:space="preserve">            </w:t>
      </w:r>
      <w:r>
        <w:rPr>
          <w:rFonts w:hint="eastAsia" w:eastAsia="仿宋"/>
          <w:color w:val="auto"/>
          <w:sz w:val="30"/>
          <w:szCs w:val="30"/>
          <w:highlight w:val="none"/>
        </w:rPr>
        <w:t>元）；</w:t>
      </w:r>
    </w:p>
    <w:p>
      <w:pPr>
        <w:pStyle w:val="37"/>
        <w:rPr>
          <w:rFonts w:eastAsia="仿宋"/>
          <w:color w:val="auto"/>
          <w:sz w:val="30"/>
          <w:szCs w:val="30"/>
          <w:highlight w:val="none"/>
        </w:rPr>
      </w:pPr>
      <w:r>
        <w:rPr>
          <w:rFonts w:hint="eastAsia" w:eastAsia="仿宋"/>
          <w:color w:val="auto"/>
          <w:sz w:val="30"/>
          <w:szCs w:val="30"/>
          <w:highlight w:val="none"/>
        </w:rPr>
        <w:t>监测费不含税暂定价为人民币</w:t>
      </w:r>
      <w:r>
        <w:rPr>
          <w:rFonts w:hint="eastAsia" w:eastAsia="仿宋"/>
          <w:color w:val="auto"/>
          <w:sz w:val="30"/>
          <w:szCs w:val="30"/>
          <w:highlight w:val="none"/>
          <w:u w:val="single"/>
        </w:rPr>
        <w:t xml:space="preserve">            </w:t>
      </w:r>
      <w:r>
        <w:rPr>
          <w:rFonts w:hint="eastAsia" w:eastAsia="仿宋"/>
          <w:color w:val="auto"/>
          <w:sz w:val="30"/>
          <w:szCs w:val="30"/>
          <w:highlight w:val="none"/>
        </w:rPr>
        <w:t>元（大写：</w:t>
      </w:r>
      <w:r>
        <w:rPr>
          <w:rFonts w:hint="eastAsia" w:eastAsia="仿宋"/>
          <w:color w:val="auto"/>
          <w:sz w:val="30"/>
          <w:szCs w:val="30"/>
          <w:highlight w:val="none"/>
          <w:u w:val="single"/>
        </w:rPr>
        <w:t xml:space="preserve">            元</w:t>
      </w:r>
      <w:r>
        <w:rPr>
          <w:rFonts w:hint="eastAsia" w:eastAsia="仿宋"/>
          <w:color w:val="auto"/>
          <w:sz w:val="30"/>
          <w:szCs w:val="30"/>
          <w:highlight w:val="none"/>
        </w:rPr>
        <w:t>），增值税税金为人民币</w:t>
      </w:r>
      <w:r>
        <w:rPr>
          <w:rFonts w:hint="eastAsia" w:eastAsia="仿宋"/>
          <w:color w:val="auto"/>
          <w:sz w:val="30"/>
          <w:szCs w:val="30"/>
          <w:highlight w:val="none"/>
          <w:u w:val="single"/>
        </w:rPr>
        <w:t xml:space="preserve">             </w:t>
      </w:r>
      <w:r>
        <w:rPr>
          <w:rFonts w:hint="eastAsia" w:eastAsia="仿宋"/>
          <w:color w:val="auto"/>
          <w:sz w:val="30"/>
          <w:szCs w:val="30"/>
          <w:highlight w:val="none"/>
        </w:rPr>
        <w:t>元（大写：</w:t>
      </w:r>
      <w:r>
        <w:rPr>
          <w:rFonts w:hint="eastAsia" w:eastAsia="仿宋"/>
          <w:color w:val="auto"/>
          <w:sz w:val="30"/>
          <w:szCs w:val="30"/>
          <w:highlight w:val="none"/>
          <w:u w:val="single"/>
        </w:rPr>
        <w:t xml:space="preserve">             </w:t>
      </w:r>
      <w:r>
        <w:rPr>
          <w:rFonts w:hint="eastAsia" w:eastAsia="仿宋"/>
          <w:color w:val="auto"/>
          <w:sz w:val="30"/>
          <w:szCs w:val="30"/>
          <w:highlight w:val="none"/>
        </w:rPr>
        <w:t>元），增值税税率为</w:t>
      </w:r>
      <w:r>
        <w:rPr>
          <w:rFonts w:hint="eastAsia" w:eastAsia="仿宋"/>
          <w:color w:val="auto"/>
          <w:sz w:val="30"/>
          <w:szCs w:val="30"/>
          <w:highlight w:val="none"/>
          <w:u w:val="single"/>
        </w:rPr>
        <w:t xml:space="preserve">   </w:t>
      </w:r>
      <w:r>
        <w:rPr>
          <w:rFonts w:hint="eastAsia" w:eastAsia="仿宋"/>
          <w:color w:val="auto"/>
          <w:sz w:val="30"/>
          <w:szCs w:val="30"/>
          <w:highlight w:val="none"/>
        </w:rPr>
        <w:t>%，价税合计暂定价为人民币</w:t>
      </w:r>
      <w:r>
        <w:rPr>
          <w:rFonts w:hint="eastAsia" w:eastAsia="仿宋"/>
          <w:color w:val="auto"/>
          <w:sz w:val="30"/>
          <w:szCs w:val="30"/>
          <w:highlight w:val="none"/>
          <w:u w:val="single"/>
        </w:rPr>
        <w:t xml:space="preserve">             </w:t>
      </w:r>
      <w:r>
        <w:rPr>
          <w:rFonts w:hint="eastAsia" w:eastAsia="仿宋"/>
          <w:color w:val="auto"/>
          <w:sz w:val="30"/>
          <w:szCs w:val="30"/>
          <w:highlight w:val="none"/>
        </w:rPr>
        <w:t>元（大写：</w:t>
      </w:r>
      <w:r>
        <w:rPr>
          <w:rFonts w:hint="eastAsia" w:eastAsia="仿宋"/>
          <w:color w:val="auto"/>
          <w:sz w:val="30"/>
          <w:szCs w:val="30"/>
          <w:highlight w:val="none"/>
          <w:u w:val="single"/>
        </w:rPr>
        <w:t xml:space="preserve">             </w:t>
      </w:r>
      <w:r>
        <w:rPr>
          <w:rFonts w:hint="eastAsia" w:eastAsia="仿宋"/>
          <w:color w:val="auto"/>
          <w:sz w:val="30"/>
          <w:szCs w:val="30"/>
          <w:highlight w:val="none"/>
        </w:rPr>
        <w:t>元）。</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合同价款里的各检测</w:t>
      </w:r>
      <w:r>
        <w:rPr>
          <w:rFonts w:hint="eastAsia" w:eastAsia="仿宋"/>
          <w:color w:val="auto"/>
          <w:sz w:val="30"/>
          <w:szCs w:val="30"/>
          <w:highlight w:val="none"/>
        </w:rPr>
        <w:t>与监测</w:t>
      </w:r>
      <w:r>
        <w:rPr>
          <w:rFonts w:eastAsia="仿宋"/>
          <w:color w:val="auto"/>
          <w:sz w:val="30"/>
          <w:szCs w:val="30"/>
          <w:highlight w:val="none"/>
        </w:rPr>
        <w:t>项目综合单价包括人工费、材料费、设备使用费、设备进出场费、措施费、水电费、检测试验费、报告编写、管理费及所有因工程质量检测应交纳的政府规费、利润、税金、保险费等，包括完成对应检测</w:t>
      </w:r>
      <w:r>
        <w:rPr>
          <w:rFonts w:hint="eastAsia" w:eastAsia="仿宋"/>
          <w:color w:val="auto"/>
          <w:sz w:val="30"/>
          <w:szCs w:val="30"/>
          <w:highlight w:val="none"/>
        </w:rPr>
        <w:t>与监测</w:t>
      </w:r>
      <w:r>
        <w:rPr>
          <w:rFonts w:eastAsia="仿宋"/>
          <w:color w:val="auto"/>
          <w:sz w:val="30"/>
          <w:szCs w:val="30"/>
          <w:highlight w:val="none"/>
        </w:rPr>
        <w:t xml:space="preserve">项目所需发生的全部费用、合同明示或暗示的所有一切风险、责任和义务。乙方应自行解决现场项目组的办公和生活用房、设施、配套水电，以及交通、通讯费等，由此发生的费用已包含在合同价中。 </w:t>
      </w:r>
    </w:p>
    <w:p>
      <w:pPr>
        <w:adjustRightInd w:val="0"/>
        <w:snapToGrid w:val="0"/>
        <w:spacing w:line="360" w:lineRule="auto"/>
        <w:ind w:firstLine="606" w:firstLineChars="200"/>
        <w:jc w:val="left"/>
        <w:rPr>
          <w:rFonts w:eastAsia="仿宋"/>
          <w:color w:val="auto"/>
          <w:sz w:val="30"/>
          <w:szCs w:val="30"/>
          <w:highlight w:val="none"/>
          <w:u w:val="single"/>
        </w:rPr>
      </w:pPr>
      <w:r>
        <w:rPr>
          <w:rFonts w:eastAsia="仿宋"/>
          <w:color w:val="auto"/>
          <w:sz w:val="30"/>
          <w:szCs w:val="30"/>
          <w:highlight w:val="none"/>
        </w:rPr>
        <w:t>1．结算单价</w:t>
      </w:r>
      <w:r>
        <w:rPr>
          <w:rFonts w:eastAsia="仿宋"/>
          <w:color w:val="auto"/>
          <w:sz w:val="30"/>
          <w:szCs w:val="30"/>
          <w:highlight w:val="none"/>
          <w:u w:val="none"/>
        </w:rPr>
        <w:t>：</w:t>
      </w:r>
      <w:r>
        <w:rPr>
          <w:rFonts w:hint="eastAsia" w:eastAsia="仿宋"/>
          <w:color w:val="auto"/>
          <w:sz w:val="30"/>
          <w:szCs w:val="30"/>
          <w:highlight w:val="none"/>
          <w:u w:val="none"/>
        </w:rPr>
        <w:t>结算单价</w:t>
      </w:r>
      <w:r>
        <w:rPr>
          <w:rFonts w:eastAsia="仿宋"/>
          <w:color w:val="auto"/>
          <w:sz w:val="30"/>
          <w:szCs w:val="30"/>
          <w:highlight w:val="none"/>
          <w:u w:val="none"/>
        </w:rPr>
        <w:t>详见附件1</w:t>
      </w:r>
      <w:r>
        <w:rPr>
          <w:rFonts w:hint="eastAsia" w:eastAsia="仿宋"/>
          <w:color w:val="auto"/>
          <w:sz w:val="30"/>
          <w:szCs w:val="30"/>
          <w:highlight w:val="none"/>
          <w:u w:val="none"/>
        </w:rPr>
        <w:t>；</w:t>
      </w:r>
      <w:r>
        <w:rPr>
          <w:rFonts w:eastAsia="仿宋"/>
          <w:color w:val="auto"/>
          <w:sz w:val="30"/>
          <w:szCs w:val="30"/>
          <w:highlight w:val="none"/>
          <w:u w:val="none"/>
        </w:rPr>
        <w:t>未</w:t>
      </w:r>
      <w:r>
        <w:rPr>
          <w:rFonts w:hint="eastAsia" w:eastAsia="仿宋"/>
          <w:color w:val="auto"/>
          <w:sz w:val="30"/>
          <w:szCs w:val="30"/>
          <w:highlight w:val="none"/>
          <w:u w:val="none"/>
        </w:rPr>
        <w:t>列</w:t>
      </w:r>
      <w:r>
        <w:rPr>
          <w:rFonts w:eastAsia="仿宋"/>
          <w:color w:val="auto"/>
          <w:sz w:val="30"/>
          <w:szCs w:val="30"/>
          <w:highlight w:val="none"/>
          <w:u w:val="none"/>
        </w:rPr>
        <w:t>项</w:t>
      </w:r>
      <w:r>
        <w:rPr>
          <w:rFonts w:hint="eastAsia" w:eastAsia="仿宋"/>
          <w:color w:val="auto"/>
          <w:sz w:val="30"/>
          <w:szCs w:val="30"/>
          <w:highlight w:val="none"/>
          <w:u w:val="none"/>
        </w:rPr>
        <w:t>考虑</w:t>
      </w:r>
      <w:r>
        <w:rPr>
          <w:rFonts w:eastAsia="仿宋"/>
          <w:color w:val="auto"/>
          <w:sz w:val="30"/>
          <w:szCs w:val="30"/>
          <w:highlight w:val="none"/>
          <w:u w:val="none"/>
        </w:rPr>
        <w:t>的检测</w:t>
      </w:r>
      <w:r>
        <w:rPr>
          <w:rFonts w:hint="eastAsia" w:eastAsia="仿宋"/>
          <w:color w:val="auto"/>
          <w:sz w:val="30"/>
          <w:szCs w:val="30"/>
          <w:highlight w:val="none"/>
          <w:u w:val="none"/>
        </w:rPr>
        <w:t>监测项目</w:t>
      </w:r>
      <w:r>
        <w:rPr>
          <w:rFonts w:eastAsia="仿宋"/>
          <w:color w:val="auto"/>
          <w:sz w:val="30"/>
          <w:szCs w:val="30"/>
          <w:highlight w:val="none"/>
          <w:u w:val="none"/>
        </w:rPr>
        <w:t>结算单价</w:t>
      </w:r>
      <w:r>
        <w:rPr>
          <w:rFonts w:hint="eastAsia" w:eastAsia="仿宋"/>
          <w:color w:val="auto"/>
          <w:sz w:val="30"/>
          <w:szCs w:val="30"/>
          <w:highlight w:val="none"/>
          <w:u w:val="none"/>
        </w:rPr>
        <w:t>按新增清单综合单价计取，按以下优先顺序参照《广东省房屋建筑和市政工程工程质量安全检测收费指导价（第一批）》（粤建检协【2015】8号）、《关于建筑工程质量检测收费问题的复函》（粤价函〔2004〕428号）、粤价函〔2012〕1490号文件、勘察设计收费标准〔2002〕10号文件等执行并下浮20%计算单价，上述计费文件均没有的单价，按由甲乙双方参照市场价格协商确定，工程量按经甲方核定的实际发生且相关验收规范要求必须做的量计取。</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2．具体检测内容及抽检数量：</w:t>
      </w:r>
      <w:r>
        <w:rPr>
          <w:rFonts w:eastAsia="仿宋"/>
          <w:color w:val="auto"/>
          <w:sz w:val="30"/>
          <w:szCs w:val="30"/>
          <w:highlight w:val="none"/>
          <w:u w:val="single"/>
        </w:rPr>
        <w:t xml:space="preserve">  见附件1 </w:t>
      </w:r>
      <w:r>
        <w:rPr>
          <w:rFonts w:eastAsia="仿宋"/>
          <w:color w:val="auto"/>
          <w:sz w:val="30"/>
          <w:szCs w:val="30"/>
          <w:highlight w:val="none"/>
        </w:rPr>
        <w:t>。</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3．合同价格</w:t>
      </w:r>
      <w:r>
        <w:rPr>
          <w:rFonts w:hint="eastAsia" w:eastAsia="仿宋"/>
          <w:color w:val="auto"/>
          <w:sz w:val="30"/>
          <w:szCs w:val="30"/>
          <w:highlight w:val="none"/>
        </w:rPr>
        <w:t>结算</w:t>
      </w:r>
      <w:r>
        <w:rPr>
          <w:rFonts w:eastAsia="仿宋"/>
          <w:color w:val="auto"/>
          <w:sz w:val="30"/>
          <w:szCs w:val="30"/>
          <w:highlight w:val="none"/>
        </w:rPr>
        <w:t>形式为：</w:t>
      </w:r>
    </w:p>
    <w:p>
      <w:pPr>
        <w:adjustRightInd w:val="0"/>
        <w:snapToGrid w:val="0"/>
        <w:spacing w:line="360" w:lineRule="auto"/>
        <w:ind w:firstLine="606" w:firstLineChars="200"/>
        <w:rPr>
          <w:rFonts w:eastAsia="仿宋"/>
          <w:color w:val="auto"/>
          <w:sz w:val="30"/>
          <w:szCs w:val="30"/>
          <w:highlight w:val="none"/>
          <w:u w:val="single"/>
        </w:rPr>
      </w:pPr>
      <w:r>
        <w:rPr>
          <w:rFonts w:hint="eastAsia" w:eastAsia="仿宋"/>
          <w:color w:val="auto"/>
          <w:sz w:val="30"/>
          <w:szCs w:val="30"/>
          <w:highlight w:val="none"/>
        </w:rPr>
        <w:t>（1）</w:t>
      </w:r>
      <w:r>
        <w:rPr>
          <w:rFonts w:eastAsia="仿宋"/>
          <w:color w:val="auto"/>
          <w:sz w:val="30"/>
          <w:szCs w:val="30"/>
          <w:highlight w:val="none"/>
        </w:rPr>
        <w:t>合同结算总价=本项目实际检测项目的实际工程量×结算单价</w:t>
      </w:r>
      <w:r>
        <w:rPr>
          <w:rFonts w:hint="eastAsia" w:eastAsia="仿宋"/>
          <w:color w:val="auto"/>
          <w:sz w:val="30"/>
          <w:szCs w:val="30"/>
          <w:highlight w:val="none"/>
        </w:rPr>
        <w:t>；</w:t>
      </w:r>
    </w:p>
    <w:p>
      <w:pPr>
        <w:pStyle w:val="28"/>
        <w:ind w:firstLine="606" w:firstLineChars="200"/>
        <w:rPr>
          <w:rFonts w:eastAsia="仿宋"/>
          <w:color w:val="auto"/>
          <w:highlight w:val="none"/>
        </w:rPr>
      </w:pPr>
      <w:r>
        <w:rPr>
          <w:rFonts w:hint="eastAsia" w:ascii="Times New Roman" w:hAnsi="Times New Roman" w:eastAsia="仿宋"/>
          <w:color w:val="auto"/>
          <w:sz w:val="30"/>
          <w:szCs w:val="30"/>
          <w:highlight w:val="none"/>
        </w:rPr>
        <w:t>（2）未列项考虑的检测监测项目结算单价计算方式以第1点结算单价中约定为准。</w:t>
      </w:r>
    </w:p>
    <w:p>
      <w:pPr>
        <w:spacing w:line="360" w:lineRule="auto"/>
        <w:ind w:firstLine="599" w:firstLineChars="198"/>
        <w:outlineLvl w:val="0"/>
        <w:rPr>
          <w:rFonts w:eastAsia="仿宋"/>
          <w:color w:val="auto"/>
          <w:sz w:val="30"/>
          <w:szCs w:val="30"/>
          <w:highlight w:val="none"/>
          <w:u w:val="single"/>
        </w:rPr>
      </w:pPr>
      <w:bookmarkStart w:id="83" w:name="_Toc5384"/>
      <w:bookmarkStart w:id="84" w:name="_Toc32374"/>
      <w:bookmarkStart w:id="85" w:name="_Toc30665"/>
      <w:bookmarkStart w:id="86" w:name="_Toc9696"/>
      <w:bookmarkStart w:id="87" w:name="_Toc28129145"/>
      <w:bookmarkStart w:id="88" w:name="_Toc28129422"/>
      <w:r>
        <w:rPr>
          <w:rFonts w:eastAsia="仿宋"/>
          <w:color w:val="auto"/>
          <w:sz w:val="30"/>
          <w:szCs w:val="30"/>
          <w:highlight w:val="none"/>
          <w:u w:val="single"/>
        </w:rPr>
        <w:t>检测</w:t>
      </w:r>
      <w:r>
        <w:rPr>
          <w:rFonts w:hint="eastAsia" w:eastAsia="仿宋"/>
          <w:color w:val="auto"/>
          <w:sz w:val="30"/>
          <w:szCs w:val="30"/>
          <w:highlight w:val="none"/>
          <w:u w:val="single"/>
        </w:rPr>
        <w:t>监测</w:t>
      </w:r>
      <w:r>
        <w:rPr>
          <w:rFonts w:eastAsia="仿宋"/>
          <w:color w:val="auto"/>
          <w:sz w:val="30"/>
          <w:szCs w:val="30"/>
          <w:highlight w:val="none"/>
          <w:u w:val="single"/>
        </w:rPr>
        <w:t>暂定工程量</w:t>
      </w:r>
      <w:r>
        <w:rPr>
          <w:rFonts w:hint="eastAsia" w:eastAsia="仿宋"/>
          <w:color w:val="auto"/>
          <w:sz w:val="30"/>
          <w:szCs w:val="30"/>
          <w:highlight w:val="none"/>
          <w:u w:val="single"/>
        </w:rPr>
        <w:t>和结算单价</w:t>
      </w:r>
      <w:r>
        <w:rPr>
          <w:rFonts w:eastAsia="仿宋"/>
          <w:color w:val="auto"/>
          <w:sz w:val="30"/>
          <w:szCs w:val="30"/>
          <w:highlight w:val="none"/>
          <w:u w:val="single"/>
        </w:rPr>
        <w:t>见附件1。在检测实施之前，乙方应制定详细的检测方案，核定总检测工程量和预计结算总价。原则上</w:t>
      </w:r>
      <w:r>
        <w:rPr>
          <w:rFonts w:hint="eastAsia" w:eastAsia="仿宋"/>
          <w:color w:val="auto"/>
          <w:sz w:val="30"/>
          <w:szCs w:val="30"/>
          <w:highlight w:val="none"/>
          <w:u w:val="single"/>
        </w:rPr>
        <w:t>结算单价不变、且</w:t>
      </w:r>
      <w:r>
        <w:rPr>
          <w:rFonts w:eastAsia="仿宋"/>
          <w:color w:val="auto"/>
          <w:sz w:val="30"/>
          <w:szCs w:val="30"/>
          <w:highlight w:val="none"/>
          <w:u w:val="single"/>
        </w:rPr>
        <w:t>总工程量不超过暂定工程量，如总工程量或结算单价有变化的，须经甲方审批并书面同意方可实施。</w:t>
      </w:r>
      <w:bookmarkEnd w:id="83"/>
      <w:bookmarkEnd w:id="84"/>
      <w:bookmarkEnd w:id="85"/>
      <w:bookmarkEnd w:id="86"/>
    </w:p>
    <w:p>
      <w:pPr>
        <w:spacing w:line="360" w:lineRule="auto"/>
        <w:ind w:firstLine="599" w:firstLineChars="198"/>
        <w:outlineLvl w:val="0"/>
        <w:rPr>
          <w:rFonts w:eastAsia="仿宋"/>
          <w:color w:val="auto"/>
          <w:sz w:val="30"/>
          <w:szCs w:val="30"/>
          <w:highlight w:val="none"/>
        </w:rPr>
      </w:pPr>
      <w:bookmarkStart w:id="89" w:name="_Toc28495"/>
      <w:bookmarkStart w:id="90" w:name="_Toc24142"/>
      <w:bookmarkStart w:id="91" w:name="_Toc26138"/>
      <w:bookmarkStart w:id="92" w:name="_Toc8027"/>
      <w:r>
        <w:rPr>
          <w:rFonts w:eastAsia="仿宋"/>
          <w:color w:val="auto"/>
          <w:sz w:val="30"/>
          <w:szCs w:val="30"/>
          <w:highlight w:val="none"/>
          <w:u w:val="single"/>
        </w:rPr>
        <w:t>最终结算总价不得超过政府有权审批部门最终批复结算</w:t>
      </w:r>
      <w:r>
        <w:rPr>
          <w:rFonts w:hint="eastAsia" w:eastAsia="仿宋"/>
          <w:color w:val="auto"/>
          <w:sz w:val="30"/>
          <w:szCs w:val="30"/>
          <w:highlight w:val="none"/>
          <w:u w:val="single"/>
        </w:rPr>
        <w:t>后</w:t>
      </w:r>
      <w:r>
        <w:rPr>
          <w:rFonts w:eastAsia="仿宋"/>
          <w:color w:val="auto"/>
          <w:sz w:val="30"/>
          <w:szCs w:val="30"/>
          <w:highlight w:val="none"/>
          <w:u w:val="single"/>
        </w:rPr>
        <w:t>的第三方检测</w:t>
      </w:r>
      <w:r>
        <w:rPr>
          <w:rFonts w:hint="eastAsia" w:eastAsia="仿宋"/>
          <w:color w:val="auto"/>
          <w:sz w:val="30"/>
          <w:szCs w:val="30"/>
          <w:highlight w:val="none"/>
          <w:u w:val="single"/>
        </w:rPr>
        <w:t>监测</w:t>
      </w:r>
      <w:r>
        <w:rPr>
          <w:rFonts w:eastAsia="仿宋"/>
          <w:color w:val="auto"/>
          <w:sz w:val="30"/>
          <w:szCs w:val="30"/>
          <w:highlight w:val="none"/>
          <w:u w:val="single"/>
        </w:rPr>
        <w:t>费用，超过此部分的费用甲方不给予支付。</w:t>
      </w:r>
      <w:bookmarkEnd w:id="87"/>
      <w:bookmarkEnd w:id="88"/>
      <w:bookmarkEnd w:id="89"/>
      <w:bookmarkEnd w:id="90"/>
      <w:bookmarkEnd w:id="91"/>
      <w:bookmarkEnd w:id="92"/>
      <w:bookmarkStart w:id="93" w:name="_Toc4444213"/>
      <w:bookmarkStart w:id="94" w:name="_Toc23686144"/>
      <w:bookmarkStart w:id="95" w:name="_Toc23685150"/>
      <w:bookmarkStart w:id="96" w:name="_Toc6847135"/>
    </w:p>
    <w:p>
      <w:pPr>
        <w:pStyle w:val="4"/>
        <w:rPr>
          <w:rFonts w:ascii="黑体" w:hAnsi="黑体" w:eastAsia="黑体"/>
          <w:color w:val="auto"/>
          <w:sz w:val="32"/>
          <w:highlight w:val="none"/>
        </w:rPr>
      </w:pPr>
      <w:bookmarkStart w:id="97" w:name="_Toc19768"/>
      <w:bookmarkStart w:id="98" w:name="_Toc28129423"/>
      <w:bookmarkStart w:id="99" w:name="_Toc15693_WPSOffice_Level2"/>
      <w:bookmarkStart w:id="100" w:name="_Toc24553"/>
      <w:bookmarkStart w:id="101" w:name="_Toc7981"/>
      <w:bookmarkStart w:id="102" w:name="_Toc15949"/>
      <w:r>
        <w:rPr>
          <w:rFonts w:hint="eastAsia" w:ascii="黑体" w:hAnsi="黑体" w:eastAsia="黑体"/>
          <w:color w:val="auto"/>
          <w:sz w:val="32"/>
          <w:highlight w:val="none"/>
        </w:rPr>
        <w:t>六</w:t>
      </w:r>
      <w:r>
        <w:rPr>
          <w:rFonts w:ascii="黑体" w:hAnsi="黑体" w:eastAsia="黑体"/>
          <w:color w:val="auto"/>
          <w:sz w:val="32"/>
          <w:highlight w:val="none"/>
        </w:rPr>
        <w:t>、双方承诺</w:t>
      </w:r>
      <w:bookmarkEnd w:id="93"/>
      <w:bookmarkEnd w:id="94"/>
      <w:bookmarkEnd w:id="95"/>
      <w:bookmarkEnd w:id="96"/>
      <w:bookmarkEnd w:id="97"/>
      <w:bookmarkEnd w:id="98"/>
      <w:bookmarkEnd w:id="99"/>
      <w:bookmarkEnd w:id="100"/>
      <w:bookmarkEnd w:id="101"/>
      <w:bookmarkEnd w:id="102"/>
    </w:p>
    <w:p>
      <w:pPr>
        <w:spacing w:line="360" w:lineRule="auto"/>
        <w:ind w:firstLine="599" w:firstLineChars="198"/>
        <w:rPr>
          <w:rFonts w:eastAsia="仿宋"/>
          <w:color w:val="auto"/>
          <w:sz w:val="30"/>
          <w:szCs w:val="30"/>
          <w:highlight w:val="none"/>
        </w:rPr>
      </w:pPr>
      <w:r>
        <w:rPr>
          <w:rFonts w:eastAsia="仿宋"/>
          <w:color w:val="auto"/>
          <w:sz w:val="30"/>
          <w:szCs w:val="30"/>
          <w:highlight w:val="none"/>
        </w:rPr>
        <w:t>1. 甲方向乙方承诺，按照本合同约定为乙方开展工程质量检测</w:t>
      </w:r>
      <w:r>
        <w:rPr>
          <w:rFonts w:hint="eastAsia" w:eastAsia="仿宋"/>
          <w:color w:val="auto"/>
          <w:sz w:val="30"/>
          <w:szCs w:val="30"/>
          <w:highlight w:val="none"/>
        </w:rPr>
        <w:t>监测</w:t>
      </w:r>
      <w:r>
        <w:rPr>
          <w:rFonts w:eastAsia="仿宋"/>
          <w:color w:val="auto"/>
          <w:sz w:val="30"/>
          <w:szCs w:val="30"/>
          <w:highlight w:val="none"/>
        </w:rPr>
        <w:t xml:space="preserve">提供条件，并按本合同约定支付合同价款。 </w:t>
      </w:r>
    </w:p>
    <w:p>
      <w:pPr>
        <w:spacing w:line="360" w:lineRule="auto"/>
        <w:ind w:firstLine="599" w:firstLineChars="198"/>
        <w:rPr>
          <w:rFonts w:eastAsia="仿宋"/>
          <w:color w:val="auto"/>
          <w:sz w:val="30"/>
          <w:szCs w:val="30"/>
          <w:highlight w:val="none"/>
        </w:rPr>
      </w:pPr>
      <w:r>
        <w:rPr>
          <w:rFonts w:eastAsia="仿宋"/>
          <w:color w:val="auto"/>
          <w:sz w:val="30"/>
          <w:szCs w:val="30"/>
          <w:highlight w:val="none"/>
        </w:rPr>
        <w:t>2. 乙方向甲方承诺：</w:t>
      </w:r>
    </w:p>
    <w:p>
      <w:pPr>
        <w:spacing w:line="360" w:lineRule="auto"/>
        <w:ind w:firstLine="599" w:firstLineChars="198"/>
        <w:rPr>
          <w:rFonts w:eastAsia="仿宋"/>
          <w:b/>
          <w:color w:val="auto"/>
          <w:sz w:val="30"/>
          <w:szCs w:val="30"/>
          <w:highlight w:val="none"/>
        </w:rPr>
      </w:pPr>
      <w:r>
        <w:rPr>
          <w:rFonts w:eastAsia="仿宋"/>
          <w:color w:val="auto"/>
          <w:sz w:val="30"/>
          <w:szCs w:val="30"/>
          <w:highlight w:val="none"/>
        </w:rPr>
        <w:t>（1）按照本合同约定</w:t>
      </w:r>
      <w:r>
        <w:rPr>
          <w:rFonts w:eastAsia="仿宋"/>
          <w:color w:val="auto"/>
          <w:kern w:val="0"/>
          <w:sz w:val="30"/>
          <w:szCs w:val="30"/>
          <w:highlight w:val="none"/>
        </w:rPr>
        <w:t>提供</w:t>
      </w:r>
      <w:r>
        <w:rPr>
          <w:rFonts w:eastAsia="仿宋"/>
          <w:color w:val="auto"/>
          <w:sz w:val="30"/>
          <w:szCs w:val="30"/>
          <w:highlight w:val="none"/>
        </w:rPr>
        <w:t>工程质量检测</w:t>
      </w:r>
      <w:r>
        <w:rPr>
          <w:rFonts w:hint="eastAsia" w:eastAsia="仿宋"/>
          <w:color w:val="auto"/>
          <w:sz w:val="30"/>
          <w:szCs w:val="30"/>
          <w:highlight w:val="none"/>
        </w:rPr>
        <w:t>监测</w:t>
      </w:r>
      <w:r>
        <w:rPr>
          <w:rFonts w:eastAsia="仿宋"/>
          <w:color w:val="auto"/>
          <w:sz w:val="30"/>
          <w:szCs w:val="30"/>
          <w:highlight w:val="none"/>
        </w:rPr>
        <w:t>报告与相关服务。</w:t>
      </w:r>
    </w:p>
    <w:p>
      <w:pPr>
        <w:spacing w:line="360" w:lineRule="auto"/>
        <w:ind w:firstLine="599" w:firstLineChars="198"/>
        <w:rPr>
          <w:rFonts w:eastAsia="仿宋"/>
          <w:color w:val="auto"/>
          <w:highlight w:val="none"/>
        </w:rPr>
      </w:pPr>
      <w:r>
        <w:rPr>
          <w:rFonts w:eastAsia="仿宋"/>
          <w:color w:val="auto"/>
          <w:sz w:val="30"/>
          <w:szCs w:val="30"/>
          <w:highlight w:val="none"/>
        </w:rPr>
        <w:t>（2）按照法律规定及合同约定组织完成工程检测</w:t>
      </w:r>
      <w:r>
        <w:rPr>
          <w:rFonts w:hint="eastAsia" w:eastAsia="仿宋"/>
          <w:color w:val="auto"/>
          <w:sz w:val="30"/>
          <w:szCs w:val="30"/>
          <w:highlight w:val="none"/>
        </w:rPr>
        <w:t>监测</w:t>
      </w:r>
      <w:r>
        <w:rPr>
          <w:rFonts w:eastAsia="仿宋"/>
          <w:color w:val="auto"/>
          <w:sz w:val="30"/>
          <w:szCs w:val="30"/>
          <w:highlight w:val="none"/>
        </w:rPr>
        <w:t>工作，不转包或违法分包。</w:t>
      </w:r>
    </w:p>
    <w:p>
      <w:pPr>
        <w:spacing w:line="360" w:lineRule="auto"/>
        <w:ind w:firstLine="599" w:firstLineChars="198"/>
        <w:rPr>
          <w:rFonts w:eastAsia="仿宋"/>
          <w:color w:val="auto"/>
          <w:sz w:val="30"/>
          <w:szCs w:val="30"/>
          <w:highlight w:val="none"/>
        </w:rPr>
      </w:pPr>
      <w:r>
        <w:rPr>
          <w:rFonts w:eastAsia="仿宋"/>
          <w:color w:val="auto"/>
          <w:sz w:val="30"/>
          <w:szCs w:val="30"/>
          <w:highlight w:val="none"/>
        </w:rPr>
        <w:t>（</w:t>
      </w:r>
      <w:r>
        <w:rPr>
          <w:rFonts w:hint="eastAsia" w:eastAsia="仿宋"/>
          <w:color w:val="auto"/>
          <w:sz w:val="30"/>
          <w:szCs w:val="30"/>
          <w:highlight w:val="none"/>
        </w:rPr>
        <w:t>3</w:t>
      </w:r>
      <w:r>
        <w:rPr>
          <w:rFonts w:eastAsia="仿宋"/>
          <w:color w:val="auto"/>
          <w:sz w:val="30"/>
          <w:szCs w:val="30"/>
          <w:highlight w:val="none"/>
        </w:rPr>
        <w:t>）甲方支付合同价款前，乙方向甲方提供符合甲方要求、合法、有效、足额的增值税发票。</w:t>
      </w:r>
    </w:p>
    <w:p>
      <w:pPr>
        <w:pStyle w:val="4"/>
        <w:rPr>
          <w:rFonts w:ascii="黑体" w:hAnsi="黑体" w:eastAsia="黑体"/>
          <w:color w:val="auto"/>
          <w:sz w:val="32"/>
          <w:highlight w:val="none"/>
        </w:rPr>
      </w:pPr>
      <w:bookmarkStart w:id="103" w:name="_Toc9006_WPSOffice_Level2"/>
      <w:bookmarkStart w:id="104" w:name="_Toc11241"/>
      <w:bookmarkStart w:id="105" w:name="_Toc28453"/>
      <w:bookmarkStart w:id="106" w:name="_Toc26505"/>
      <w:bookmarkStart w:id="107" w:name="_Toc1291"/>
      <w:bookmarkStart w:id="108" w:name="_Toc28129424"/>
      <w:r>
        <w:rPr>
          <w:rFonts w:hint="eastAsia" w:ascii="黑体" w:hAnsi="黑体" w:eastAsia="黑体"/>
          <w:color w:val="auto"/>
          <w:sz w:val="32"/>
          <w:highlight w:val="none"/>
        </w:rPr>
        <w:t>七</w:t>
      </w:r>
      <w:r>
        <w:rPr>
          <w:rFonts w:ascii="黑体" w:hAnsi="黑体" w:eastAsia="黑体"/>
          <w:color w:val="auto"/>
          <w:sz w:val="32"/>
          <w:highlight w:val="none"/>
        </w:rPr>
        <w:t>、合同生效</w:t>
      </w:r>
      <w:bookmarkEnd w:id="103"/>
      <w:bookmarkEnd w:id="104"/>
      <w:bookmarkEnd w:id="105"/>
      <w:bookmarkEnd w:id="106"/>
      <w:bookmarkEnd w:id="107"/>
      <w:bookmarkEnd w:id="108"/>
    </w:p>
    <w:p>
      <w:pPr>
        <w:numPr>
          <w:ilvl w:val="255"/>
          <w:numId w:val="0"/>
        </w:numPr>
        <w:spacing w:line="360" w:lineRule="auto"/>
        <w:ind w:firstLine="606" w:firstLineChars="200"/>
        <w:rPr>
          <w:rFonts w:eastAsia="仿宋"/>
          <w:color w:val="auto"/>
          <w:sz w:val="30"/>
          <w:szCs w:val="30"/>
          <w:highlight w:val="none"/>
        </w:rPr>
      </w:pPr>
      <w:r>
        <w:rPr>
          <w:rFonts w:eastAsia="仿宋"/>
          <w:color w:val="auto"/>
          <w:sz w:val="30"/>
          <w:szCs w:val="30"/>
          <w:highlight w:val="none"/>
        </w:rPr>
        <w:t>本合同自双方法定代表人或委托代理人签字并加盖公章之日起生效。</w:t>
      </w:r>
    </w:p>
    <w:p>
      <w:pPr>
        <w:pStyle w:val="4"/>
        <w:spacing w:before="0" w:line="360" w:lineRule="auto"/>
        <w:rPr>
          <w:rFonts w:hAnsi="宋体" w:cs="宋体"/>
          <w:color w:val="auto"/>
          <w:sz w:val="24"/>
          <w:szCs w:val="24"/>
          <w:highlight w:val="none"/>
        </w:rPr>
      </w:pPr>
      <w:bookmarkStart w:id="109" w:name="_Toc29028"/>
      <w:bookmarkStart w:id="110" w:name="_Toc26335_WPSOffice_Level2"/>
      <w:bookmarkStart w:id="111" w:name="_Toc7490"/>
      <w:bookmarkStart w:id="112" w:name="_Toc15599"/>
      <w:bookmarkStart w:id="113" w:name="_Toc26510"/>
      <w:bookmarkStart w:id="114" w:name="_Toc28129425"/>
      <w:r>
        <w:rPr>
          <w:rFonts w:hint="eastAsia" w:ascii="黑体" w:hAnsi="黑体"/>
          <w:color w:val="auto"/>
          <w:sz w:val="32"/>
          <w:highlight w:val="none"/>
        </w:rPr>
        <w:t>八</w:t>
      </w:r>
      <w:r>
        <w:rPr>
          <w:rFonts w:ascii="黑体" w:hAnsi="黑体" w:eastAsia="黑体"/>
          <w:color w:val="auto"/>
          <w:sz w:val="32"/>
          <w:highlight w:val="none"/>
        </w:rPr>
        <w:t>、</w:t>
      </w:r>
      <w:bookmarkStart w:id="115" w:name="_Toc19614776"/>
      <w:bookmarkStart w:id="116" w:name="_Toc19631773"/>
      <w:r>
        <w:rPr>
          <w:rFonts w:ascii="黑体" w:hAnsi="黑体" w:eastAsia="黑体"/>
          <w:color w:val="auto"/>
          <w:sz w:val="32"/>
          <w:highlight w:val="none"/>
        </w:rPr>
        <w:t>争议解决</w:t>
      </w:r>
      <w:bookmarkEnd w:id="109"/>
      <w:bookmarkEnd w:id="110"/>
      <w:bookmarkEnd w:id="111"/>
      <w:bookmarkEnd w:id="112"/>
      <w:bookmarkEnd w:id="113"/>
      <w:bookmarkEnd w:id="115"/>
      <w:bookmarkEnd w:id="116"/>
    </w:p>
    <w:p>
      <w:pPr>
        <w:spacing w:line="360" w:lineRule="auto"/>
        <w:ind w:firstLine="599" w:firstLineChars="198"/>
        <w:jc w:val="left"/>
        <w:rPr>
          <w:rFonts w:ascii="Times New Roman" w:hAnsi="Times New Roman" w:eastAsia="仿宋"/>
          <w:color w:val="auto"/>
          <w:sz w:val="30"/>
          <w:szCs w:val="30"/>
          <w:highlight w:val="none"/>
        </w:rPr>
      </w:pPr>
      <w:r>
        <w:rPr>
          <w:rFonts w:hint="eastAsia" w:ascii="Times New Roman" w:hAnsi="Times New Roman" w:eastAsia="仿宋"/>
          <w:color w:val="auto"/>
          <w:sz w:val="30"/>
          <w:szCs w:val="30"/>
          <w:highlight w:val="none"/>
        </w:rPr>
        <w:t>本合同履行过程中，如发生争议，双方当事人应本着诚实信用原则协商解决</w:t>
      </w:r>
      <w:r>
        <w:rPr>
          <w:rFonts w:ascii="Times New Roman" w:hAnsi="Times New Roman" w:eastAsia="仿宋"/>
          <w:color w:val="auto"/>
          <w:sz w:val="30"/>
          <w:szCs w:val="30"/>
          <w:highlight w:val="none"/>
        </w:rPr>
        <w:t>，也可由当地建设行政主管部门调解，协商或调解不成时，双方</w:t>
      </w:r>
      <w:r>
        <w:rPr>
          <w:rFonts w:hint="eastAsia" w:ascii="Times New Roman" w:hAnsi="Times New Roman" w:eastAsia="仿宋"/>
          <w:color w:val="auto"/>
          <w:sz w:val="30"/>
          <w:szCs w:val="30"/>
          <w:highlight w:val="none"/>
        </w:rPr>
        <w:t>同意</w:t>
      </w:r>
      <w:r>
        <w:rPr>
          <w:rFonts w:ascii="Times New Roman" w:hAnsi="Times New Roman" w:eastAsia="仿宋"/>
          <w:color w:val="auto"/>
          <w:sz w:val="30"/>
          <w:szCs w:val="30"/>
          <w:highlight w:val="none"/>
        </w:rPr>
        <w:t>向</w:t>
      </w:r>
      <w:r>
        <w:rPr>
          <w:rFonts w:hint="eastAsia" w:ascii="Times New Roman" w:hAnsi="Times New Roman" w:eastAsia="仿宋"/>
          <w:color w:val="auto"/>
          <w:sz w:val="30"/>
          <w:szCs w:val="30"/>
          <w:highlight w:val="none"/>
        </w:rPr>
        <w:t>广州仲裁委员会提起仲裁。</w:t>
      </w:r>
    </w:p>
    <w:bookmarkEnd w:id="114"/>
    <w:p>
      <w:pPr>
        <w:pStyle w:val="5"/>
        <w:rPr>
          <w:rFonts w:ascii="黑体" w:hAnsi="黑体" w:cstheme="majorBidi"/>
          <w:color w:val="auto"/>
          <w:sz w:val="32"/>
          <w:highlight w:val="none"/>
        </w:rPr>
      </w:pPr>
      <w:bookmarkStart w:id="117" w:name="_Toc31046"/>
      <w:bookmarkStart w:id="118" w:name="_Toc25404"/>
      <w:bookmarkStart w:id="119" w:name="_Toc21486"/>
      <w:bookmarkStart w:id="120" w:name="_Toc7039_WPSOffice_Level2"/>
      <w:bookmarkStart w:id="121" w:name="_Toc28670"/>
      <w:r>
        <w:rPr>
          <w:rFonts w:hint="eastAsia" w:ascii="黑体" w:hAnsi="黑体" w:cstheme="majorBidi"/>
          <w:color w:val="auto"/>
          <w:sz w:val="32"/>
          <w:highlight w:val="none"/>
        </w:rPr>
        <w:t>九、</w:t>
      </w:r>
      <w:r>
        <w:rPr>
          <w:rFonts w:ascii="黑体" w:hAnsi="黑体" w:cstheme="majorBidi"/>
          <w:color w:val="auto"/>
          <w:sz w:val="32"/>
          <w:highlight w:val="none"/>
        </w:rPr>
        <w:t>通知与送达</w:t>
      </w:r>
      <w:bookmarkEnd w:id="117"/>
      <w:bookmarkEnd w:id="118"/>
      <w:bookmarkEnd w:id="119"/>
      <w:bookmarkEnd w:id="120"/>
      <w:bookmarkEnd w:id="121"/>
    </w:p>
    <w:p>
      <w:pPr>
        <w:spacing w:line="360" w:lineRule="auto"/>
        <w:ind w:firstLine="599" w:firstLineChars="198"/>
        <w:jc w:val="left"/>
        <w:rPr>
          <w:rFonts w:eastAsia="仿宋"/>
          <w:color w:val="auto"/>
          <w:sz w:val="30"/>
          <w:szCs w:val="30"/>
          <w:highlight w:val="none"/>
        </w:rPr>
      </w:pPr>
      <w:r>
        <w:rPr>
          <w:rFonts w:eastAsia="仿宋"/>
          <w:color w:val="auto"/>
          <w:sz w:val="30"/>
          <w:szCs w:val="30"/>
          <w:highlight w:val="none"/>
        </w:rPr>
        <w:t>任何一方与合同有关的通知、指示、要求、决定等，均应在 3 天内送达对方指定的接收人和送达地点。</w:t>
      </w:r>
    </w:p>
    <w:p>
      <w:pPr>
        <w:ind w:firstLine="599" w:firstLineChars="198"/>
        <w:rPr>
          <w:rFonts w:eastAsia="仿宋"/>
          <w:color w:val="auto"/>
          <w:sz w:val="30"/>
          <w:szCs w:val="30"/>
          <w:highlight w:val="none"/>
        </w:rPr>
      </w:pPr>
      <w:r>
        <w:rPr>
          <w:rFonts w:eastAsia="仿宋"/>
          <w:color w:val="auto"/>
          <w:sz w:val="30"/>
          <w:szCs w:val="30"/>
          <w:highlight w:val="none"/>
        </w:rPr>
        <w:t>甲方指定的送达接收人：</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，送达地点：</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，电子邮箱：</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 xml:space="preserve"> 。</w:t>
      </w:r>
    </w:p>
    <w:p>
      <w:pPr>
        <w:spacing w:line="360" w:lineRule="auto"/>
        <w:ind w:left="183" w:leftChars="86" w:firstLine="599" w:firstLineChars="198"/>
        <w:rPr>
          <w:rFonts w:eastAsia="仿宋"/>
          <w:color w:val="auto"/>
          <w:sz w:val="30"/>
          <w:szCs w:val="30"/>
          <w:highlight w:val="none"/>
        </w:rPr>
      </w:pPr>
      <w:r>
        <w:rPr>
          <w:rFonts w:hint="eastAsia" w:eastAsia="仿宋"/>
          <w:color w:val="auto"/>
          <w:sz w:val="30"/>
          <w:szCs w:val="30"/>
          <w:highlight w:val="none"/>
        </w:rPr>
        <w:t>乙</w:t>
      </w:r>
      <w:r>
        <w:rPr>
          <w:rFonts w:eastAsia="仿宋"/>
          <w:color w:val="auto"/>
          <w:sz w:val="30"/>
          <w:szCs w:val="30"/>
          <w:highlight w:val="none"/>
        </w:rPr>
        <w:t>方指定的送达接收人：</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，送达地点：</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，电子邮箱：</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rPr>
        <w:t xml:space="preserve"> 。</w:t>
      </w:r>
    </w:p>
    <w:p>
      <w:pPr>
        <w:spacing w:line="360" w:lineRule="auto"/>
        <w:jc w:val="left"/>
        <w:rPr>
          <w:rFonts w:ascii="黑体" w:hAnsi="黑体" w:eastAsia="黑体" w:cstheme="majorBidi"/>
          <w:b/>
          <w:bCs/>
          <w:color w:val="auto"/>
          <w:sz w:val="32"/>
          <w:szCs w:val="32"/>
          <w:highlight w:val="none"/>
        </w:rPr>
      </w:pPr>
      <w:bookmarkStart w:id="122" w:name="_Toc8052_WPSOffice_Level2"/>
      <w:r>
        <w:rPr>
          <w:rFonts w:hint="eastAsia" w:ascii="黑体" w:hAnsi="黑体" w:eastAsia="黑体" w:cstheme="majorBidi"/>
          <w:b/>
          <w:bCs/>
          <w:color w:val="auto"/>
          <w:sz w:val="32"/>
          <w:szCs w:val="32"/>
          <w:highlight w:val="none"/>
        </w:rPr>
        <w:t>十、合同份数</w:t>
      </w:r>
      <w:bookmarkEnd w:id="122"/>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本合同一式</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rPr>
        <w:t>份，均具有同等法律效力，</w:t>
      </w:r>
      <w:r>
        <w:rPr>
          <w:rFonts w:hint="eastAsia" w:eastAsia="仿宋"/>
          <w:color w:val="auto"/>
          <w:sz w:val="30"/>
          <w:szCs w:val="30"/>
          <w:highlight w:val="none"/>
        </w:rPr>
        <w:t>各</w:t>
      </w:r>
      <w:r>
        <w:rPr>
          <w:rFonts w:eastAsia="仿宋"/>
          <w:color w:val="auto"/>
          <w:sz w:val="30"/>
          <w:szCs w:val="30"/>
          <w:highlight w:val="none"/>
        </w:rPr>
        <w:t>方各执</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份。</w:t>
      </w:r>
    </w:p>
    <w:p>
      <w:pPr>
        <w:adjustRightInd w:val="0"/>
        <w:snapToGrid w:val="0"/>
        <w:spacing w:line="360" w:lineRule="auto"/>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pStyle w:val="2"/>
        <w:rPr>
          <w:rFonts w:eastAsia="仿宋"/>
          <w:color w:val="auto"/>
          <w:sz w:val="30"/>
          <w:szCs w:val="30"/>
          <w:highlight w:val="none"/>
        </w:rPr>
      </w:pPr>
    </w:p>
    <w:p>
      <w:pPr>
        <w:adjustRightInd w:val="0"/>
        <w:snapToGrid w:val="0"/>
        <w:spacing w:line="360" w:lineRule="auto"/>
        <w:ind w:firstLine="606" w:firstLineChars="200"/>
        <w:rPr>
          <w:rFonts w:eastAsia="仿宋"/>
          <w:color w:val="auto"/>
          <w:sz w:val="30"/>
          <w:szCs w:val="30"/>
          <w:highlight w:val="none"/>
        </w:rPr>
      </w:pPr>
      <w:r>
        <w:rPr>
          <w:rFonts w:hint="eastAsia" w:eastAsia="仿宋"/>
          <w:color w:val="auto"/>
          <w:sz w:val="30"/>
          <w:szCs w:val="30"/>
          <w:highlight w:val="none"/>
        </w:rPr>
        <w:t>以下无正文</w:t>
      </w:r>
    </w:p>
    <w:p>
      <w:pPr>
        <w:pStyle w:val="37"/>
        <w:rPr>
          <w:rFonts w:eastAsia="仿宋"/>
          <w:color w:val="auto"/>
          <w:sz w:val="30"/>
          <w:szCs w:val="30"/>
          <w:highlight w:val="none"/>
        </w:rPr>
      </w:pPr>
    </w:p>
    <w:p>
      <w:pPr>
        <w:pStyle w:val="37"/>
        <w:rPr>
          <w:rFonts w:eastAsia="仿宋"/>
          <w:color w:val="auto"/>
          <w:sz w:val="30"/>
          <w:szCs w:val="30"/>
          <w:highlight w:val="none"/>
        </w:rPr>
      </w:pP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 xml:space="preserve">甲方：（盖章）       </w:t>
      </w: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 xml:space="preserve">                    </w:t>
      </w: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 xml:space="preserve">法定代表人或委托代理人： </w:t>
      </w:r>
    </w:p>
    <w:p>
      <w:pPr>
        <w:adjustRightInd w:val="0"/>
        <w:snapToGrid w:val="0"/>
        <w:ind w:firstLine="606" w:firstLineChars="200"/>
        <w:rPr>
          <w:rFonts w:eastAsia="仿宋"/>
          <w:color w:val="auto"/>
          <w:sz w:val="30"/>
          <w:szCs w:val="30"/>
          <w:highlight w:val="none"/>
        </w:rPr>
      </w:pP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 xml:space="preserve">                 </w:t>
      </w: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乙方：（盖章）</w:t>
      </w:r>
    </w:p>
    <w:p>
      <w:pPr>
        <w:pStyle w:val="28"/>
        <w:ind w:firstLine="213"/>
        <w:rPr>
          <w:color w:val="auto"/>
          <w:highlight w:val="none"/>
        </w:rPr>
      </w:pPr>
    </w:p>
    <w:p>
      <w:pPr>
        <w:pStyle w:val="28"/>
        <w:ind w:firstLine="606" w:firstLineChars="200"/>
        <w:rPr>
          <w:rFonts w:eastAsia="仿宋"/>
          <w:color w:val="auto"/>
          <w:sz w:val="30"/>
          <w:szCs w:val="30"/>
          <w:highlight w:val="none"/>
        </w:rPr>
      </w:pPr>
      <w:r>
        <w:rPr>
          <w:rFonts w:eastAsia="仿宋"/>
          <w:color w:val="auto"/>
          <w:sz w:val="30"/>
          <w:szCs w:val="30"/>
          <w:highlight w:val="none"/>
        </w:rPr>
        <w:t>法定代表人或委托代理人：</w:t>
      </w:r>
    </w:p>
    <w:p>
      <w:pPr>
        <w:pStyle w:val="28"/>
        <w:ind w:firstLine="606" w:firstLineChars="200"/>
        <w:rPr>
          <w:rFonts w:eastAsia="仿宋"/>
          <w:color w:val="auto"/>
          <w:sz w:val="30"/>
          <w:szCs w:val="30"/>
          <w:highlight w:val="none"/>
        </w:rPr>
      </w:pPr>
    </w:p>
    <w:p>
      <w:pPr>
        <w:pStyle w:val="28"/>
        <w:ind w:firstLine="606" w:firstLineChars="200"/>
        <w:rPr>
          <w:rFonts w:eastAsia="仿宋"/>
          <w:color w:val="auto"/>
          <w:sz w:val="30"/>
          <w:szCs w:val="30"/>
          <w:highlight w:val="none"/>
        </w:rPr>
      </w:pP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 xml:space="preserve">签约日期:  年   月   日    </w:t>
      </w: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 xml:space="preserve">     </w:t>
      </w:r>
    </w:p>
    <w:p>
      <w:pPr>
        <w:adjustRightInd w:val="0"/>
        <w:snapToGrid w:val="0"/>
        <w:ind w:firstLine="606" w:firstLineChars="200"/>
        <w:rPr>
          <w:rFonts w:eastAsia="仿宋"/>
          <w:color w:val="auto"/>
          <w:sz w:val="30"/>
          <w:szCs w:val="30"/>
          <w:highlight w:val="none"/>
        </w:rPr>
      </w:pPr>
      <w:r>
        <w:rPr>
          <w:rFonts w:eastAsia="仿宋"/>
          <w:color w:val="auto"/>
          <w:sz w:val="30"/>
          <w:szCs w:val="30"/>
          <w:highlight w:val="none"/>
        </w:rPr>
        <w:t>签约地点：</w:t>
      </w:r>
      <w:bookmarkStart w:id="123" w:name="_Toc28129426"/>
    </w:p>
    <w:p>
      <w:pPr>
        <w:pStyle w:val="3"/>
        <w:spacing w:line="480" w:lineRule="exact"/>
        <w:jc w:val="center"/>
        <w:rPr>
          <w:rFonts w:ascii="华文中宋" w:hAnsi="华文中宋" w:eastAsia="华文中宋"/>
          <w:color w:val="auto"/>
          <w:sz w:val="44"/>
          <w:highlight w:val="none"/>
        </w:rPr>
      </w:pPr>
      <w:bookmarkStart w:id="124" w:name="_Toc9231"/>
      <w:bookmarkStart w:id="125" w:name="_Toc21001"/>
      <w:bookmarkStart w:id="126" w:name="_Toc19319"/>
      <w:bookmarkStart w:id="127" w:name="_Toc16654"/>
      <w:bookmarkStart w:id="128" w:name="_Toc9871_WPSOffice_Level1"/>
      <w:bookmarkStart w:id="129" w:name="_Toc6125_WPSOffice_Level1"/>
    </w:p>
    <w:p>
      <w:pPr>
        <w:pStyle w:val="3"/>
        <w:spacing w:line="480" w:lineRule="exact"/>
        <w:jc w:val="center"/>
        <w:rPr>
          <w:rFonts w:ascii="华文中宋" w:hAnsi="华文中宋" w:eastAsia="华文中宋"/>
          <w:color w:val="auto"/>
          <w:sz w:val="44"/>
          <w:highlight w:val="none"/>
        </w:rPr>
      </w:pPr>
    </w:p>
    <w:p>
      <w:pPr>
        <w:rPr>
          <w:rFonts w:ascii="华文中宋" w:hAnsi="华文中宋" w:eastAsia="华文中宋"/>
          <w:color w:val="auto"/>
          <w:sz w:val="44"/>
          <w:highlight w:val="none"/>
        </w:rPr>
      </w:pPr>
    </w:p>
    <w:p>
      <w:pPr>
        <w:pStyle w:val="2"/>
        <w:rPr>
          <w:rFonts w:ascii="华文中宋" w:hAnsi="华文中宋" w:eastAsia="华文中宋"/>
          <w:color w:val="auto"/>
          <w:sz w:val="44"/>
          <w:highlight w:val="none"/>
        </w:rPr>
      </w:pPr>
    </w:p>
    <w:p>
      <w:pPr>
        <w:pStyle w:val="2"/>
        <w:rPr>
          <w:rFonts w:ascii="华文中宋" w:hAnsi="华文中宋" w:eastAsia="华文中宋"/>
          <w:color w:val="auto"/>
          <w:sz w:val="44"/>
          <w:highlight w:val="none"/>
        </w:rPr>
      </w:pPr>
    </w:p>
    <w:p>
      <w:pPr>
        <w:pStyle w:val="2"/>
        <w:rPr>
          <w:rFonts w:ascii="华文中宋" w:hAnsi="华文中宋" w:eastAsia="华文中宋"/>
          <w:color w:val="auto"/>
          <w:sz w:val="44"/>
          <w:highlight w:val="none"/>
        </w:rPr>
      </w:pPr>
    </w:p>
    <w:p>
      <w:pPr>
        <w:pStyle w:val="2"/>
        <w:rPr>
          <w:rFonts w:ascii="华文中宋" w:hAnsi="华文中宋" w:eastAsia="华文中宋"/>
          <w:color w:val="auto"/>
          <w:sz w:val="44"/>
          <w:highlight w:val="none"/>
        </w:rPr>
      </w:pPr>
    </w:p>
    <w:p>
      <w:pPr>
        <w:pStyle w:val="3"/>
        <w:spacing w:line="480" w:lineRule="exact"/>
        <w:jc w:val="center"/>
        <w:rPr>
          <w:rFonts w:ascii="华文中宋" w:hAnsi="华文中宋" w:eastAsia="华文中宋"/>
          <w:color w:val="auto"/>
          <w:sz w:val="44"/>
          <w:highlight w:val="none"/>
        </w:rPr>
      </w:pPr>
      <w:r>
        <w:rPr>
          <w:rFonts w:ascii="华文中宋" w:hAnsi="华文中宋" w:eastAsia="华文中宋"/>
          <w:color w:val="auto"/>
          <w:sz w:val="44"/>
          <w:highlight w:val="none"/>
        </w:rPr>
        <w:t>第二部分  通用合同条款</w:t>
      </w:r>
      <w:bookmarkEnd w:id="123"/>
      <w:bookmarkEnd w:id="124"/>
      <w:bookmarkEnd w:id="125"/>
      <w:bookmarkEnd w:id="126"/>
      <w:bookmarkEnd w:id="127"/>
      <w:bookmarkEnd w:id="128"/>
      <w:bookmarkEnd w:id="129"/>
    </w:p>
    <w:p>
      <w:pPr>
        <w:pStyle w:val="4"/>
        <w:spacing w:before="0" w:after="0" w:line="480" w:lineRule="exact"/>
        <w:rPr>
          <w:rFonts w:ascii="黑体" w:hAnsi="黑体" w:eastAsia="黑体"/>
          <w:color w:val="auto"/>
          <w:sz w:val="32"/>
          <w:highlight w:val="none"/>
        </w:rPr>
      </w:pPr>
      <w:bookmarkStart w:id="130" w:name="_Toc2887_WPSOffice_Level2"/>
      <w:bookmarkStart w:id="131" w:name="_Toc29104"/>
      <w:bookmarkStart w:id="132" w:name="_Toc18631"/>
      <w:bookmarkStart w:id="133" w:name="_Toc24536"/>
      <w:bookmarkStart w:id="134" w:name="_Toc23685152"/>
      <w:bookmarkStart w:id="135" w:name="_Toc6847137"/>
      <w:bookmarkStart w:id="136" w:name="_Toc23686146"/>
      <w:bookmarkStart w:id="137" w:name="_Toc28129427"/>
      <w:bookmarkStart w:id="138" w:name="_Toc4444215"/>
      <w:bookmarkStart w:id="139" w:name="_Toc22292"/>
      <w:r>
        <w:rPr>
          <w:rFonts w:ascii="Times New Roman" w:hAnsi="Times New Roman" w:eastAsia="黑体" w:cs="Times New Roman"/>
          <w:color w:val="auto"/>
          <w:sz w:val="32"/>
          <w:highlight w:val="none"/>
        </w:rPr>
        <w:t>1.</w:t>
      </w:r>
      <w:r>
        <w:rPr>
          <w:rFonts w:ascii="黑体" w:hAnsi="黑体" w:eastAsia="黑体"/>
          <w:color w:val="auto"/>
          <w:sz w:val="32"/>
          <w:highlight w:val="none"/>
        </w:rPr>
        <w:t>定义与解释</w:t>
      </w:r>
      <w:bookmarkEnd w:id="130"/>
      <w:bookmarkEnd w:id="131"/>
      <w:bookmarkEnd w:id="132"/>
      <w:bookmarkEnd w:id="133"/>
      <w:bookmarkEnd w:id="134"/>
      <w:bookmarkEnd w:id="135"/>
      <w:bookmarkEnd w:id="136"/>
      <w:bookmarkEnd w:id="137"/>
      <w:bookmarkEnd w:id="138"/>
      <w:bookmarkEnd w:id="139"/>
    </w:p>
    <w:p>
      <w:pPr>
        <w:spacing w:line="480" w:lineRule="exact"/>
        <w:outlineLvl w:val="0"/>
        <w:rPr>
          <w:rFonts w:eastAsia="仿宋"/>
          <w:bCs/>
          <w:color w:val="auto"/>
          <w:sz w:val="30"/>
          <w:szCs w:val="30"/>
          <w:highlight w:val="none"/>
        </w:rPr>
      </w:pPr>
      <w:r>
        <w:rPr>
          <w:rFonts w:eastAsia="仿宋"/>
          <w:b/>
          <w:color w:val="auto"/>
          <w:sz w:val="30"/>
          <w:szCs w:val="30"/>
          <w:highlight w:val="none"/>
        </w:rPr>
        <w:t xml:space="preserve">    </w:t>
      </w:r>
      <w:bookmarkStart w:id="140" w:name="_Toc28129428"/>
      <w:bookmarkStart w:id="141" w:name="_Toc14416"/>
      <w:bookmarkStart w:id="142" w:name="_Toc28129151"/>
      <w:bookmarkStart w:id="143" w:name="_Toc5984"/>
      <w:bookmarkStart w:id="144" w:name="_Toc16239"/>
      <w:bookmarkStart w:id="145" w:name="_Toc7035"/>
      <w:r>
        <w:rPr>
          <w:rFonts w:eastAsia="仿宋"/>
          <w:color w:val="auto"/>
          <w:sz w:val="30"/>
          <w:szCs w:val="30"/>
          <w:highlight w:val="none"/>
        </w:rPr>
        <w:t xml:space="preserve">1.1 </w:t>
      </w:r>
      <w:r>
        <w:rPr>
          <w:rFonts w:eastAsia="仿宋"/>
          <w:bCs/>
          <w:color w:val="auto"/>
          <w:sz w:val="30"/>
          <w:szCs w:val="30"/>
          <w:highlight w:val="none"/>
        </w:rPr>
        <w:t>定义</w:t>
      </w:r>
      <w:bookmarkEnd w:id="140"/>
      <w:bookmarkEnd w:id="141"/>
      <w:bookmarkEnd w:id="142"/>
      <w:bookmarkEnd w:id="143"/>
      <w:bookmarkEnd w:id="144"/>
      <w:bookmarkEnd w:id="145"/>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除根据上下文另有其意义外，组成本合同的全部文件中的下列名词和用语应具有本款所赋予的含义：</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1.1.1 “工程”是指按照本合同约定实施工程质量检测与相关服务的建设工程。</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1.1.2 “工程质量检测”是指建设工程质量检测机构接受委托，依照国家有关法律、法规、规章和技术标准，对建设工程及其所使用的建筑材料、中间产品、设备、构配件的质量安全、使用功能等进行测试的活动。</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1.1.3 “相关服务”是指工程质量检测机构受甲方的委托，按照本合同约定，在勘察、设计、建造、保修、使用等阶段提供的服务活动。</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1.1.4 “正常工作”指本合同订立时通用合同条款和专用合同条款中约定的乙方的工作。</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1.1.5 “附加工作”是指本合同约定的正常工作以外乙方的工作。</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1.1.6 “项目负责人”是指代表工程质量检测机构，全面负责履行本合同、主持项目工程质量检测工作的检测人员。</w:t>
      </w:r>
    </w:p>
    <w:p>
      <w:pPr>
        <w:adjustRightInd w:val="0"/>
        <w:snapToGrid w:val="0"/>
        <w:spacing w:line="480" w:lineRule="exact"/>
        <w:ind w:firstLine="599" w:firstLineChars="198"/>
        <w:rPr>
          <w:rFonts w:eastAsia="仿宋"/>
          <w:color w:val="auto"/>
          <w:sz w:val="30"/>
          <w:szCs w:val="30"/>
          <w:highlight w:val="none"/>
        </w:rPr>
      </w:pPr>
      <w:r>
        <w:rPr>
          <w:rFonts w:eastAsia="仿宋"/>
          <w:color w:val="auto"/>
          <w:sz w:val="30"/>
          <w:szCs w:val="30"/>
          <w:highlight w:val="none"/>
        </w:rPr>
        <w:t>1.1.7 “酬金”是指乙方履行本合同义务，甲方按照本合同约定给付乙方的金额。</w:t>
      </w:r>
    </w:p>
    <w:p>
      <w:pPr>
        <w:adjustRightInd w:val="0"/>
        <w:snapToGrid w:val="0"/>
        <w:spacing w:line="480" w:lineRule="exact"/>
        <w:ind w:firstLine="599" w:firstLineChars="198"/>
        <w:rPr>
          <w:rFonts w:eastAsia="仿宋"/>
          <w:color w:val="auto"/>
          <w:sz w:val="30"/>
          <w:szCs w:val="30"/>
          <w:highlight w:val="none"/>
        </w:rPr>
      </w:pPr>
      <w:r>
        <w:rPr>
          <w:rFonts w:eastAsia="仿宋"/>
          <w:color w:val="auto"/>
          <w:sz w:val="30"/>
          <w:szCs w:val="30"/>
          <w:highlight w:val="none"/>
        </w:rPr>
        <w:t>1.1.8 “正常工作</w:t>
      </w:r>
      <w:r>
        <w:rPr>
          <w:rFonts w:eastAsia="仿宋"/>
          <w:color w:val="auto"/>
          <w:kern w:val="0"/>
          <w:sz w:val="30"/>
          <w:szCs w:val="30"/>
          <w:highlight w:val="none"/>
        </w:rPr>
        <w:t>酬金”</w:t>
      </w:r>
      <w:r>
        <w:rPr>
          <w:rFonts w:eastAsia="仿宋"/>
          <w:color w:val="auto"/>
          <w:sz w:val="30"/>
          <w:szCs w:val="30"/>
          <w:highlight w:val="none"/>
        </w:rPr>
        <w:t>是指乙方完成正常工作，甲方应给付乙方并在协议书中载明的签约</w:t>
      </w:r>
      <w:r>
        <w:rPr>
          <w:rFonts w:eastAsia="仿宋"/>
          <w:color w:val="auto"/>
          <w:kern w:val="0"/>
          <w:sz w:val="30"/>
          <w:szCs w:val="30"/>
          <w:highlight w:val="none"/>
        </w:rPr>
        <w:t>酬金额</w:t>
      </w:r>
      <w:r>
        <w:rPr>
          <w:rFonts w:eastAsia="仿宋"/>
          <w:color w:val="auto"/>
          <w:sz w:val="30"/>
          <w:szCs w:val="30"/>
          <w:highlight w:val="none"/>
        </w:rPr>
        <w:t>。</w:t>
      </w:r>
    </w:p>
    <w:p>
      <w:pPr>
        <w:adjustRightInd w:val="0"/>
        <w:snapToGrid w:val="0"/>
        <w:spacing w:line="480" w:lineRule="exact"/>
        <w:ind w:firstLine="599" w:firstLineChars="198"/>
        <w:rPr>
          <w:rFonts w:eastAsia="仿宋"/>
          <w:color w:val="auto"/>
          <w:sz w:val="30"/>
          <w:szCs w:val="30"/>
          <w:highlight w:val="none"/>
        </w:rPr>
      </w:pPr>
      <w:r>
        <w:rPr>
          <w:rFonts w:eastAsia="仿宋"/>
          <w:color w:val="auto"/>
          <w:sz w:val="30"/>
          <w:szCs w:val="30"/>
          <w:highlight w:val="none"/>
        </w:rPr>
        <w:t>1.1.9 “附加工作酬金”是指乙方完成并经甲方书面确认的附加工作，甲方应给付乙方的金额。</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1.1.10 “一方”是指甲方或乙方；“双方”是指甲方和乙方；“第三方”是指除甲方和乙方以外的有关方。</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1.1.11 “书面形式”是指合同书、信件和数据电文（包括电报、电传、传真、电子数据交换和电子邮件）等可以有形地表现所载内容的形式。</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1.1.12 “天”是指公历日。</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1.1.13“月”是指按公历从一个月中任何一天开始的一个公历月时间。</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1.1.14 “不可抗力”是指甲方和乙方在订立本合同时不可预见，在工程检测过程中不可避免发生并不能克服的自然灾害和社会性突发事件，如地震、海啸、瘟疫、水灾、骚乱、暴动、战争和专用合同条款约定的其他情形。</w:t>
      </w:r>
    </w:p>
    <w:p>
      <w:pPr>
        <w:adjustRightInd w:val="0"/>
        <w:snapToGrid w:val="0"/>
        <w:spacing w:line="480" w:lineRule="exact"/>
        <w:ind w:firstLine="606" w:firstLineChars="200"/>
        <w:rPr>
          <w:rFonts w:eastAsia="仿宋"/>
          <w:color w:val="auto"/>
          <w:sz w:val="30"/>
          <w:szCs w:val="30"/>
          <w:highlight w:val="none"/>
        </w:rPr>
      </w:pPr>
      <w:r>
        <w:rPr>
          <w:rFonts w:eastAsia="仿宋"/>
          <w:bCs/>
          <w:color w:val="auto"/>
          <w:sz w:val="30"/>
          <w:szCs w:val="30"/>
          <w:highlight w:val="none"/>
        </w:rPr>
        <w:t xml:space="preserve">1.2 </w:t>
      </w:r>
      <w:r>
        <w:rPr>
          <w:rFonts w:eastAsia="仿宋"/>
          <w:color w:val="auto"/>
          <w:sz w:val="30"/>
          <w:szCs w:val="30"/>
          <w:highlight w:val="none"/>
        </w:rPr>
        <w:t>解释</w:t>
      </w:r>
    </w:p>
    <w:p>
      <w:pPr>
        <w:tabs>
          <w:tab w:val="left" w:pos="6140"/>
        </w:tabs>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1.2.1本合同使用中文书写、解释和说明。如专用合同条款约定使用两种及以上语言文字时，应以中文为准。</w:t>
      </w:r>
    </w:p>
    <w:p>
      <w:pPr>
        <w:widowControl/>
        <w:tabs>
          <w:tab w:val="left" w:pos="6140"/>
        </w:tabs>
        <w:snapToGrid w:val="0"/>
        <w:spacing w:line="480" w:lineRule="exact"/>
        <w:ind w:firstLine="606" w:firstLineChars="200"/>
        <w:rPr>
          <w:rFonts w:eastAsia="仿宋"/>
          <w:color w:val="auto"/>
          <w:kern w:val="0"/>
          <w:sz w:val="30"/>
          <w:szCs w:val="30"/>
          <w:highlight w:val="none"/>
          <w:lang w:bidi="ar"/>
        </w:rPr>
      </w:pPr>
      <w:r>
        <w:rPr>
          <w:rFonts w:eastAsia="仿宋"/>
          <w:color w:val="auto"/>
          <w:sz w:val="30"/>
          <w:szCs w:val="30"/>
          <w:highlight w:val="none"/>
        </w:rPr>
        <w:t xml:space="preserve">1.2.2 </w:t>
      </w:r>
      <w:r>
        <w:rPr>
          <w:rFonts w:eastAsia="仿宋"/>
          <w:color w:val="auto"/>
          <w:kern w:val="0"/>
          <w:sz w:val="30"/>
          <w:szCs w:val="30"/>
          <w:highlight w:val="none"/>
          <w:lang w:bidi="ar"/>
        </w:rPr>
        <w:t>下列文件是合同组成部分，作为合同有效内容予以遵守和执行。</w:t>
      </w:r>
      <w:r>
        <w:rPr>
          <w:rFonts w:eastAsia="仿宋"/>
          <w:color w:val="auto"/>
          <w:kern w:val="0"/>
          <w:sz w:val="30"/>
          <w:szCs w:val="30"/>
          <w:highlight w:val="none"/>
          <w:lang w:bidi="ar"/>
        </w:rPr>
        <w:br w:type="textWrapping"/>
      </w:r>
      <w:r>
        <w:rPr>
          <w:rFonts w:eastAsia="仿宋"/>
          <w:color w:val="auto"/>
          <w:kern w:val="0"/>
          <w:sz w:val="30"/>
          <w:szCs w:val="30"/>
          <w:highlight w:val="none"/>
          <w:lang w:bidi="ar"/>
        </w:rPr>
        <w:t xml:space="preserve">    (1)合同实施期间双方签订的补充协议；</w:t>
      </w:r>
    </w:p>
    <w:p>
      <w:pPr>
        <w:widowControl/>
        <w:tabs>
          <w:tab w:val="left" w:pos="6140"/>
        </w:tabs>
        <w:snapToGrid w:val="0"/>
        <w:spacing w:line="480" w:lineRule="exact"/>
        <w:ind w:firstLine="606" w:firstLineChars="200"/>
        <w:rPr>
          <w:rFonts w:eastAsia="仿宋"/>
          <w:color w:val="auto"/>
          <w:kern w:val="0"/>
          <w:sz w:val="30"/>
          <w:szCs w:val="30"/>
          <w:highlight w:val="none"/>
          <w:lang w:bidi="ar"/>
        </w:rPr>
      </w:pPr>
      <w:r>
        <w:rPr>
          <w:rFonts w:eastAsia="仿宋"/>
          <w:color w:val="auto"/>
          <w:kern w:val="0"/>
          <w:sz w:val="30"/>
          <w:szCs w:val="30"/>
          <w:highlight w:val="none"/>
          <w:lang w:bidi="ar"/>
        </w:rPr>
        <w:t>(2)本合同条款及其附件；</w:t>
      </w:r>
    </w:p>
    <w:p>
      <w:pPr>
        <w:widowControl/>
        <w:tabs>
          <w:tab w:val="left" w:pos="6140"/>
        </w:tabs>
        <w:snapToGrid w:val="0"/>
        <w:spacing w:line="480" w:lineRule="exact"/>
        <w:ind w:left="566" w:leftChars="266"/>
        <w:rPr>
          <w:rFonts w:eastAsia="仿宋"/>
          <w:color w:val="auto"/>
          <w:sz w:val="30"/>
          <w:szCs w:val="30"/>
          <w:highlight w:val="none"/>
          <w:lang w:bidi="ar"/>
        </w:rPr>
      </w:pPr>
      <w:r>
        <w:rPr>
          <w:rFonts w:eastAsia="仿宋"/>
          <w:color w:val="auto"/>
          <w:kern w:val="0"/>
          <w:sz w:val="30"/>
          <w:szCs w:val="30"/>
          <w:highlight w:val="none"/>
          <w:lang w:bidi="ar"/>
        </w:rPr>
        <w:t>(3)中标通知书；</w:t>
      </w:r>
      <w:r>
        <w:rPr>
          <w:rFonts w:eastAsia="仿宋"/>
          <w:color w:val="auto"/>
          <w:kern w:val="0"/>
          <w:sz w:val="30"/>
          <w:szCs w:val="30"/>
          <w:highlight w:val="none"/>
          <w:lang w:bidi="ar"/>
        </w:rPr>
        <w:br w:type="textWrapping"/>
      </w:r>
      <w:r>
        <w:rPr>
          <w:rFonts w:eastAsia="仿宋"/>
          <w:color w:val="auto"/>
          <w:sz w:val="30"/>
          <w:szCs w:val="30"/>
          <w:highlight w:val="none"/>
          <w:lang w:bidi="ar"/>
        </w:rPr>
        <w:t>(4)招标文件（包括补充、修改、澄清文件、答疑纪要等）；</w:t>
      </w:r>
      <w:r>
        <w:rPr>
          <w:rFonts w:eastAsia="仿宋"/>
          <w:color w:val="auto"/>
          <w:sz w:val="30"/>
          <w:szCs w:val="30"/>
          <w:highlight w:val="none"/>
          <w:lang w:bidi="ar"/>
        </w:rPr>
        <w:br w:type="textWrapping"/>
      </w:r>
      <w:r>
        <w:rPr>
          <w:rFonts w:eastAsia="仿宋"/>
          <w:color w:val="auto"/>
          <w:sz w:val="30"/>
          <w:szCs w:val="30"/>
          <w:highlight w:val="none"/>
          <w:lang w:bidi="ar"/>
        </w:rPr>
        <w:t>(5)投标文件及其附件；</w:t>
      </w:r>
      <w:r>
        <w:rPr>
          <w:rFonts w:eastAsia="仿宋"/>
          <w:color w:val="auto"/>
          <w:sz w:val="30"/>
          <w:szCs w:val="30"/>
          <w:highlight w:val="none"/>
          <w:lang w:bidi="ar"/>
        </w:rPr>
        <w:br w:type="textWrapping"/>
      </w:r>
      <w:r>
        <w:rPr>
          <w:rFonts w:eastAsia="仿宋"/>
          <w:color w:val="auto"/>
          <w:sz w:val="30"/>
          <w:szCs w:val="30"/>
          <w:highlight w:val="none"/>
          <w:lang w:bidi="ar"/>
        </w:rPr>
        <w:t>(6)标准规范及有关技术文件、图纸；</w:t>
      </w:r>
      <w:r>
        <w:rPr>
          <w:rFonts w:eastAsia="仿宋"/>
          <w:color w:val="auto"/>
          <w:sz w:val="30"/>
          <w:szCs w:val="30"/>
          <w:highlight w:val="none"/>
          <w:lang w:bidi="ar"/>
        </w:rPr>
        <w:br w:type="textWrapping"/>
      </w:r>
      <w:r>
        <w:rPr>
          <w:rFonts w:eastAsia="仿宋"/>
          <w:color w:val="auto"/>
          <w:sz w:val="30"/>
          <w:szCs w:val="30"/>
          <w:highlight w:val="none"/>
          <w:lang w:bidi="ar"/>
        </w:rPr>
        <w:t>(7)法律、法规及相关管理规定；</w:t>
      </w:r>
      <w:r>
        <w:rPr>
          <w:rFonts w:eastAsia="仿宋"/>
          <w:color w:val="auto"/>
          <w:sz w:val="30"/>
          <w:szCs w:val="30"/>
          <w:highlight w:val="none"/>
          <w:lang w:bidi="ar"/>
        </w:rPr>
        <w:br w:type="textWrapping"/>
      </w:r>
      <w:r>
        <w:rPr>
          <w:rFonts w:eastAsia="仿宋"/>
          <w:color w:val="auto"/>
          <w:sz w:val="30"/>
          <w:szCs w:val="30"/>
          <w:highlight w:val="none"/>
          <w:lang w:bidi="ar"/>
        </w:rPr>
        <w:t>(8)经双方认可的来往传真、电报、会议纪要等其它文字资料。</w:t>
      </w:r>
    </w:p>
    <w:p>
      <w:pPr>
        <w:widowControl/>
        <w:tabs>
          <w:tab w:val="left" w:pos="6140"/>
        </w:tabs>
        <w:adjustRightInd w:val="0"/>
        <w:snapToGrid w:val="0"/>
        <w:spacing w:line="480" w:lineRule="exact"/>
        <w:ind w:firstLine="606" w:firstLineChars="200"/>
        <w:rPr>
          <w:rFonts w:eastAsia="仿宋"/>
          <w:color w:val="auto"/>
          <w:kern w:val="0"/>
          <w:sz w:val="30"/>
          <w:szCs w:val="30"/>
          <w:highlight w:val="none"/>
          <w:lang w:bidi="ar"/>
        </w:rPr>
      </w:pPr>
      <w:r>
        <w:rPr>
          <w:rFonts w:eastAsia="仿宋"/>
          <w:color w:val="auto"/>
          <w:kern w:val="0"/>
          <w:sz w:val="30"/>
          <w:szCs w:val="30"/>
          <w:highlight w:val="none"/>
          <w:lang w:bidi="ar"/>
        </w:rPr>
        <w:t>除非专用合同条款另有说明，上述文件互相补充和解释，如有不明确或不一致之处，以上述约定次序在先者为准。通过上述顺序解释仍无法明确或存在争议的事项，双方协商解决；如协商不成，由甲方按照公平合理和有利于本合同目的之实现的原则作出决定。</w:t>
      </w:r>
    </w:p>
    <w:p>
      <w:pPr>
        <w:pStyle w:val="4"/>
        <w:spacing w:before="0" w:after="0" w:line="480" w:lineRule="exact"/>
        <w:rPr>
          <w:rFonts w:ascii="Times New Roman" w:hAnsi="Times New Roman" w:eastAsia="黑体" w:cs="Times New Roman"/>
          <w:color w:val="auto"/>
          <w:sz w:val="32"/>
          <w:highlight w:val="none"/>
        </w:rPr>
      </w:pPr>
      <w:bookmarkStart w:id="146" w:name="_Toc2351_WPSOffice_Level2"/>
      <w:bookmarkStart w:id="147" w:name="_Toc23686147"/>
      <w:bookmarkStart w:id="148" w:name="_Toc30402"/>
      <w:bookmarkStart w:id="149" w:name="_Toc6847138"/>
      <w:bookmarkStart w:id="150" w:name="_Toc8251"/>
      <w:bookmarkStart w:id="151" w:name="_Toc12653"/>
      <w:bookmarkStart w:id="152" w:name="_Toc28129429"/>
      <w:bookmarkStart w:id="153" w:name="_Toc4444216"/>
      <w:bookmarkStart w:id="154" w:name="_Toc21880"/>
      <w:bookmarkStart w:id="155" w:name="_Toc23685153"/>
      <w:r>
        <w:rPr>
          <w:rFonts w:ascii="Times New Roman" w:hAnsi="Times New Roman" w:eastAsia="黑体" w:cs="Times New Roman"/>
          <w:color w:val="auto"/>
          <w:sz w:val="32"/>
          <w:highlight w:val="none"/>
        </w:rPr>
        <w:t>2. 乙方义务</w:t>
      </w:r>
      <w:bookmarkEnd w:id="146"/>
      <w:bookmarkEnd w:id="147"/>
      <w:bookmarkEnd w:id="148"/>
      <w:bookmarkEnd w:id="149"/>
      <w:bookmarkEnd w:id="150"/>
      <w:bookmarkEnd w:id="151"/>
      <w:bookmarkEnd w:id="152"/>
      <w:bookmarkEnd w:id="153"/>
      <w:bookmarkEnd w:id="154"/>
      <w:bookmarkEnd w:id="155"/>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2.1 乙方的工作范围内容</w:t>
      </w:r>
      <w:r>
        <w:rPr>
          <w:rFonts w:hint="eastAsia" w:eastAsia="仿宋"/>
          <w:color w:val="auto"/>
          <w:sz w:val="30"/>
          <w:szCs w:val="30"/>
          <w:highlight w:val="none"/>
        </w:rPr>
        <w:t>及工作要求</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 xml:space="preserve">2.1.1 乙方工作范围和内容在专用合同条款中约定。 </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2.1.2</w:t>
      </w:r>
      <w:r>
        <w:rPr>
          <w:rFonts w:hint="eastAsia" w:eastAsia="仿宋"/>
          <w:color w:val="auto"/>
          <w:sz w:val="30"/>
          <w:szCs w:val="30"/>
          <w:highlight w:val="none"/>
        </w:rPr>
        <w:t>乙方</w:t>
      </w:r>
      <w:r>
        <w:rPr>
          <w:rFonts w:eastAsia="仿宋"/>
          <w:color w:val="auto"/>
          <w:sz w:val="30"/>
          <w:szCs w:val="30"/>
          <w:highlight w:val="none"/>
        </w:rPr>
        <w:t>工作要求</w:t>
      </w:r>
      <w:r>
        <w:rPr>
          <w:rFonts w:hint="eastAsia" w:eastAsia="仿宋"/>
          <w:color w:val="auto"/>
          <w:sz w:val="30"/>
          <w:szCs w:val="30"/>
          <w:highlight w:val="none"/>
        </w:rPr>
        <w:t>在</w:t>
      </w:r>
      <w:r>
        <w:rPr>
          <w:rFonts w:eastAsia="仿宋"/>
          <w:color w:val="auto"/>
          <w:sz w:val="30"/>
          <w:szCs w:val="30"/>
          <w:highlight w:val="none"/>
        </w:rPr>
        <w:t>专用合同条款中约定。</w:t>
      </w:r>
    </w:p>
    <w:p>
      <w:pPr>
        <w:adjustRightInd w:val="0"/>
        <w:snapToGrid w:val="0"/>
        <w:spacing w:line="480" w:lineRule="exact"/>
        <w:ind w:firstLine="606" w:firstLineChars="200"/>
        <w:rPr>
          <w:rFonts w:eastAsia="仿宋"/>
          <w:bCs/>
          <w:color w:val="auto"/>
          <w:sz w:val="30"/>
          <w:szCs w:val="30"/>
          <w:highlight w:val="none"/>
        </w:rPr>
      </w:pPr>
      <w:bookmarkStart w:id="156" w:name="_Toc6847139"/>
      <w:bookmarkStart w:id="157" w:name="_Toc4444217"/>
      <w:bookmarkStart w:id="158" w:name="_Toc23686148"/>
      <w:bookmarkStart w:id="159" w:name="_Toc23685154"/>
      <w:r>
        <w:rPr>
          <w:rFonts w:eastAsia="仿宋"/>
          <w:color w:val="auto"/>
          <w:sz w:val="30"/>
          <w:szCs w:val="30"/>
          <w:highlight w:val="none"/>
        </w:rPr>
        <w:t>2.2 工程质量检测与相关服务依据</w:t>
      </w:r>
      <w:bookmarkEnd w:id="156"/>
      <w:bookmarkEnd w:id="157"/>
      <w:bookmarkEnd w:id="158"/>
      <w:bookmarkEnd w:id="159"/>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2.2.1</w:t>
      </w:r>
      <w:r>
        <w:rPr>
          <w:rFonts w:eastAsia="仿宋"/>
          <w:bCs/>
          <w:color w:val="auto"/>
          <w:sz w:val="30"/>
          <w:szCs w:val="30"/>
          <w:highlight w:val="none"/>
        </w:rPr>
        <w:t>工程质量检测</w:t>
      </w:r>
      <w:r>
        <w:rPr>
          <w:rFonts w:eastAsia="仿宋"/>
          <w:color w:val="auto"/>
          <w:sz w:val="30"/>
          <w:szCs w:val="30"/>
          <w:highlight w:val="none"/>
        </w:rPr>
        <w:t>依据包括：</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（1）适用的法律、行政法规及部门规章；</w:t>
      </w:r>
    </w:p>
    <w:p>
      <w:pPr>
        <w:adjustRightInd w:val="0"/>
        <w:snapToGrid w:val="0"/>
        <w:spacing w:line="480" w:lineRule="exact"/>
        <w:ind w:firstLine="757" w:firstLineChars="250"/>
        <w:rPr>
          <w:rFonts w:eastAsia="仿宋"/>
          <w:color w:val="auto"/>
          <w:sz w:val="30"/>
          <w:szCs w:val="30"/>
          <w:highlight w:val="none"/>
        </w:rPr>
      </w:pPr>
      <w:r>
        <w:rPr>
          <w:rFonts w:eastAsia="仿宋"/>
          <w:color w:val="auto"/>
          <w:sz w:val="30"/>
          <w:szCs w:val="30"/>
          <w:highlight w:val="none"/>
        </w:rPr>
        <w:t>（2）与工程有关的标准；</w:t>
      </w:r>
    </w:p>
    <w:p>
      <w:pPr>
        <w:adjustRightInd w:val="0"/>
        <w:snapToGrid w:val="0"/>
        <w:spacing w:line="480" w:lineRule="exact"/>
        <w:ind w:firstLine="757" w:firstLineChars="250"/>
        <w:rPr>
          <w:rFonts w:eastAsia="仿宋"/>
          <w:color w:val="auto"/>
          <w:sz w:val="30"/>
          <w:szCs w:val="30"/>
          <w:highlight w:val="none"/>
        </w:rPr>
      </w:pPr>
      <w:r>
        <w:rPr>
          <w:rFonts w:eastAsia="仿宋"/>
          <w:color w:val="auto"/>
          <w:sz w:val="30"/>
          <w:szCs w:val="30"/>
          <w:highlight w:val="none"/>
        </w:rPr>
        <w:t>（3）工程设计及有关文件；</w:t>
      </w:r>
    </w:p>
    <w:p>
      <w:pPr>
        <w:adjustRightInd w:val="0"/>
        <w:snapToGrid w:val="0"/>
        <w:spacing w:line="480" w:lineRule="exact"/>
        <w:ind w:firstLine="757" w:firstLineChars="250"/>
        <w:rPr>
          <w:rFonts w:eastAsia="仿宋"/>
          <w:color w:val="auto"/>
          <w:sz w:val="30"/>
          <w:szCs w:val="30"/>
          <w:highlight w:val="none"/>
        </w:rPr>
      </w:pPr>
      <w:r>
        <w:rPr>
          <w:rFonts w:eastAsia="仿宋"/>
          <w:color w:val="auto"/>
          <w:sz w:val="30"/>
          <w:szCs w:val="30"/>
          <w:highlight w:val="none"/>
        </w:rPr>
        <w:t>（4）本合同及甲方与第三方签订的与实施工程有关的其他合同。</w:t>
      </w:r>
    </w:p>
    <w:p>
      <w:pPr>
        <w:spacing w:line="480" w:lineRule="exact"/>
        <w:ind w:left="213" w:leftChars="100" w:firstLine="606" w:firstLineChars="200"/>
        <w:rPr>
          <w:rFonts w:eastAsia="仿宋"/>
          <w:bCs/>
          <w:color w:val="auto"/>
          <w:sz w:val="30"/>
          <w:szCs w:val="30"/>
          <w:highlight w:val="none"/>
        </w:rPr>
      </w:pPr>
      <w:r>
        <w:rPr>
          <w:rFonts w:eastAsia="仿宋"/>
          <w:bCs/>
          <w:color w:val="auto"/>
          <w:sz w:val="30"/>
          <w:szCs w:val="30"/>
          <w:highlight w:val="none"/>
        </w:rPr>
        <w:t>双方根据工程的行业和地域特点，在专用合同条款中具体约定工程质量检测依据。</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2.2.2 相关服务依据在专用合同条款中约定。</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2.3 项目组成员</w:t>
      </w:r>
    </w:p>
    <w:p>
      <w:pPr>
        <w:adjustRightInd w:val="0"/>
        <w:snapToGrid w:val="0"/>
        <w:spacing w:line="480" w:lineRule="exact"/>
        <w:ind w:firstLine="757" w:firstLineChars="250"/>
        <w:rPr>
          <w:rFonts w:eastAsia="仿宋"/>
          <w:color w:val="auto"/>
          <w:sz w:val="30"/>
          <w:szCs w:val="30"/>
          <w:highlight w:val="none"/>
        </w:rPr>
      </w:pPr>
      <w:r>
        <w:rPr>
          <w:rFonts w:eastAsia="仿宋"/>
          <w:color w:val="auto"/>
          <w:kern w:val="0"/>
          <w:sz w:val="30"/>
          <w:szCs w:val="30"/>
          <w:highlight w:val="none"/>
        </w:rPr>
        <w:t>2.3.1</w:t>
      </w:r>
      <w:r>
        <w:rPr>
          <w:rFonts w:ascii="Times New Roman" w:hAnsi="Times New Roman" w:eastAsia="仿宋"/>
          <w:color w:val="auto"/>
          <w:kern w:val="0"/>
          <w:sz w:val="30"/>
          <w:szCs w:val="30"/>
          <w:highlight w:val="none"/>
        </w:rPr>
        <w:t>乙方应组建满足工作需要的项目组，配备必要的检测设备。项目组的主要人员应具有相应的资格条件。</w:t>
      </w:r>
    </w:p>
    <w:p>
      <w:pPr>
        <w:adjustRightInd w:val="0"/>
        <w:snapToGrid w:val="0"/>
        <w:spacing w:line="480" w:lineRule="exact"/>
        <w:ind w:firstLine="645"/>
        <w:rPr>
          <w:rFonts w:eastAsia="仿宋"/>
          <w:color w:val="auto"/>
          <w:kern w:val="0"/>
          <w:sz w:val="30"/>
          <w:szCs w:val="30"/>
          <w:highlight w:val="none"/>
        </w:rPr>
      </w:pPr>
      <w:r>
        <w:rPr>
          <w:rFonts w:eastAsia="仿宋"/>
          <w:color w:val="auto"/>
          <w:kern w:val="0"/>
          <w:sz w:val="30"/>
          <w:szCs w:val="30"/>
          <w:highlight w:val="none"/>
        </w:rPr>
        <w:t>2.3.</w:t>
      </w:r>
      <w:r>
        <w:rPr>
          <w:rFonts w:hint="eastAsia" w:eastAsia="仿宋"/>
          <w:color w:val="auto"/>
          <w:kern w:val="0"/>
          <w:sz w:val="30"/>
          <w:szCs w:val="30"/>
          <w:highlight w:val="none"/>
        </w:rPr>
        <w:t>2</w:t>
      </w:r>
      <w:r>
        <w:rPr>
          <w:rFonts w:eastAsia="仿宋"/>
          <w:color w:val="auto"/>
          <w:kern w:val="0"/>
          <w:sz w:val="30"/>
          <w:szCs w:val="30"/>
          <w:highlight w:val="none"/>
        </w:rPr>
        <w:t>本合同履行过程中，项目负责人及重要岗位检测人员应保持相对稳定，以保证工程质量检测工作正常进行。</w:t>
      </w:r>
    </w:p>
    <w:p>
      <w:pPr>
        <w:adjustRightInd w:val="0"/>
        <w:snapToGrid w:val="0"/>
        <w:spacing w:line="480" w:lineRule="exact"/>
        <w:ind w:firstLine="645"/>
        <w:rPr>
          <w:rFonts w:eastAsia="仿宋"/>
          <w:color w:val="auto"/>
          <w:kern w:val="0"/>
          <w:sz w:val="30"/>
          <w:szCs w:val="30"/>
          <w:highlight w:val="none"/>
        </w:rPr>
      </w:pPr>
      <w:r>
        <w:rPr>
          <w:rFonts w:eastAsia="仿宋"/>
          <w:color w:val="auto"/>
          <w:kern w:val="0"/>
          <w:sz w:val="30"/>
          <w:szCs w:val="30"/>
          <w:highlight w:val="none"/>
        </w:rPr>
        <w:t>2.3.</w:t>
      </w:r>
      <w:r>
        <w:rPr>
          <w:rFonts w:hint="eastAsia" w:eastAsia="仿宋"/>
          <w:color w:val="auto"/>
          <w:kern w:val="0"/>
          <w:sz w:val="30"/>
          <w:szCs w:val="30"/>
          <w:highlight w:val="none"/>
        </w:rPr>
        <w:t>3</w:t>
      </w:r>
      <w:r>
        <w:rPr>
          <w:rFonts w:eastAsia="仿宋"/>
          <w:color w:val="auto"/>
          <w:kern w:val="0"/>
          <w:sz w:val="30"/>
          <w:szCs w:val="30"/>
          <w:highlight w:val="none"/>
        </w:rPr>
        <w:t>乙方可根据工程进展和工作需要调整项目组人员。乙方更换项目组人员时，应以相当资格与能力的人员替换，乙方更换项目组其他检测人员，并通知甲方。</w:t>
      </w:r>
    </w:p>
    <w:p>
      <w:pPr>
        <w:adjustRightInd w:val="0"/>
        <w:snapToGrid w:val="0"/>
        <w:spacing w:line="480" w:lineRule="exact"/>
        <w:ind w:firstLine="645"/>
        <w:rPr>
          <w:rFonts w:eastAsia="仿宋"/>
          <w:color w:val="auto"/>
          <w:kern w:val="0"/>
          <w:sz w:val="30"/>
          <w:szCs w:val="30"/>
          <w:highlight w:val="none"/>
        </w:rPr>
      </w:pPr>
      <w:r>
        <w:rPr>
          <w:rFonts w:eastAsia="仿宋"/>
          <w:color w:val="auto"/>
          <w:kern w:val="0"/>
          <w:sz w:val="30"/>
          <w:szCs w:val="30"/>
          <w:highlight w:val="none"/>
        </w:rPr>
        <w:t>2.3.</w:t>
      </w:r>
      <w:r>
        <w:rPr>
          <w:rFonts w:hint="eastAsia" w:eastAsia="仿宋"/>
          <w:color w:val="auto"/>
          <w:kern w:val="0"/>
          <w:sz w:val="30"/>
          <w:szCs w:val="30"/>
          <w:highlight w:val="none"/>
        </w:rPr>
        <w:t>4</w:t>
      </w:r>
      <w:r>
        <w:rPr>
          <w:rFonts w:eastAsia="仿宋"/>
          <w:color w:val="auto"/>
          <w:kern w:val="0"/>
          <w:sz w:val="30"/>
          <w:szCs w:val="30"/>
          <w:highlight w:val="none"/>
        </w:rPr>
        <w:t>乙方应及时更换有下列情形之一的检测人员：</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（1）严重过失行为的；</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（2）有违法行为不能履行职责的；</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（3）涉嫌犯罪的；</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（4）不能胜任岗位职责的；</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（5）严重违反职业道德的；</w:t>
      </w:r>
    </w:p>
    <w:p>
      <w:pPr>
        <w:tabs>
          <w:tab w:val="left" w:pos="420"/>
        </w:tabs>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（6）专用合同条款约定的其他情形。</w:t>
      </w:r>
    </w:p>
    <w:p>
      <w:pPr>
        <w:tabs>
          <w:tab w:val="left" w:pos="420"/>
        </w:tabs>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2.3.</w:t>
      </w:r>
      <w:r>
        <w:rPr>
          <w:rFonts w:hint="eastAsia" w:eastAsia="仿宋"/>
          <w:color w:val="auto"/>
          <w:kern w:val="0"/>
          <w:sz w:val="30"/>
          <w:szCs w:val="30"/>
          <w:highlight w:val="none"/>
        </w:rPr>
        <w:t>5</w:t>
      </w:r>
      <w:r>
        <w:rPr>
          <w:rFonts w:eastAsia="仿宋"/>
          <w:color w:val="auto"/>
          <w:kern w:val="0"/>
          <w:sz w:val="30"/>
          <w:szCs w:val="30"/>
          <w:highlight w:val="none"/>
        </w:rPr>
        <w:t xml:space="preserve"> 甲方可要求乙方更换不能胜任本职工作的项目组工程质量检测人员。</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2.</w:t>
      </w:r>
      <w:r>
        <w:rPr>
          <w:rFonts w:hint="eastAsia" w:eastAsia="仿宋"/>
          <w:color w:val="auto"/>
          <w:kern w:val="0"/>
          <w:sz w:val="30"/>
          <w:szCs w:val="30"/>
          <w:highlight w:val="none"/>
        </w:rPr>
        <w:t>4</w:t>
      </w:r>
      <w:r>
        <w:rPr>
          <w:rFonts w:eastAsia="仿宋"/>
          <w:color w:val="auto"/>
          <w:kern w:val="0"/>
          <w:sz w:val="30"/>
          <w:szCs w:val="30"/>
          <w:highlight w:val="none"/>
        </w:rPr>
        <w:t xml:space="preserve"> 履行职责</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乙方应遵循职业道德准则和行为规范，严格按照法律法规、工程建设有关标准及本合同履行职责。在工程质量检测与相关服务范围内，甲方提出的意见和要求，乙方应及时提出处置意见。</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单项检测服务期约定：从甲方发出进场通知之日起且现场具备检测条件，乙方应于24小时内进场开展检测工作，检测工作完成后的3日内提供检测结果，并在分部验收前递交正式检测成果报告给</w:t>
      </w:r>
      <w:r>
        <w:rPr>
          <w:rFonts w:hint="eastAsia" w:eastAsia="仿宋"/>
          <w:color w:val="auto"/>
          <w:sz w:val="30"/>
          <w:szCs w:val="30"/>
          <w:highlight w:val="none"/>
        </w:rPr>
        <w:t>甲方</w:t>
      </w:r>
      <w:r>
        <w:rPr>
          <w:rFonts w:eastAsia="仿宋"/>
          <w:color w:val="auto"/>
          <w:sz w:val="30"/>
          <w:szCs w:val="30"/>
          <w:highlight w:val="none"/>
        </w:rPr>
        <w:t>，不能影响工程的正式交工竣工验收。</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2.</w:t>
      </w:r>
      <w:r>
        <w:rPr>
          <w:rFonts w:hint="eastAsia" w:eastAsia="仿宋"/>
          <w:color w:val="auto"/>
          <w:kern w:val="0"/>
          <w:sz w:val="30"/>
          <w:szCs w:val="30"/>
          <w:highlight w:val="none"/>
        </w:rPr>
        <w:t>5</w:t>
      </w:r>
      <w:r>
        <w:rPr>
          <w:rFonts w:eastAsia="仿宋"/>
          <w:color w:val="auto"/>
          <w:kern w:val="0"/>
          <w:sz w:val="30"/>
          <w:szCs w:val="30"/>
          <w:highlight w:val="none"/>
        </w:rPr>
        <w:t xml:space="preserve"> 提交报告</w:t>
      </w:r>
    </w:p>
    <w:p>
      <w:pPr>
        <w:spacing w:line="480" w:lineRule="exact"/>
        <w:ind w:firstLine="606" w:firstLineChars="200"/>
        <w:rPr>
          <w:rFonts w:eastAsia="仿宋"/>
          <w:color w:val="auto"/>
          <w:sz w:val="30"/>
          <w:szCs w:val="30"/>
          <w:highlight w:val="none"/>
        </w:rPr>
      </w:pPr>
      <w:r>
        <w:rPr>
          <w:rFonts w:eastAsia="仿宋"/>
          <w:color w:val="auto"/>
          <w:sz w:val="30"/>
          <w:szCs w:val="30"/>
          <w:highlight w:val="none"/>
        </w:rPr>
        <w:t>乙方应按专用合同条款约定的种类、时间和份数向甲方提交工程质量检测与相关服务的报告。</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2.</w:t>
      </w:r>
      <w:r>
        <w:rPr>
          <w:rFonts w:hint="eastAsia" w:eastAsia="仿宋"/>
          <w:color w:val="auto"/>
          <w:kern w:val="0"/>
          <w:sz w:val="30"/>
          <w:szCs w:val="30"/>
          <w:highlight w:val="none"/>
        </w:rPr>
        <w:t>6</w:t>
      </w:r>
      <w:r>
        <w:rPr>
          <w:rFonts w:eastAsia="仿宋"/>
          <w:color w:val="auto"/>
          <w:kern w:val="0"/>
          <w:sz w:val="30"/>
          <w:szCs w:val="30"/>
          <w:highlight w:val="none"/>
        </w:rPr>
        <w:t xml:space="preserve"> 文件资料</w:t>
      </w:r>
    </w:p>
    <w:p>
      <w:pPr>
        <w:spacing w:line="480" w:lineRule="exact"/>
        <w:ind w:firstLine="606" w:firstLineChars="200"/>
        <w:rPr>
          <w:rFonts w:eastAsia="仿宋"/>
          <w:color w:val="auto"/>
          <w:sz w:val="30"/>
          <w:szCs w:val="30"/>
          <w:highlight w:val="none"/>
        </w:rPr>
      </w:pPr>
      <w:r>
        <w:rPr>
          <w:rFonts w:eastAsia="仿宋"/>
          <w:color w:val="auto"/>
          <w:kern w:val="0"/>
          <w:sz w:val="30"/>
          <w:szCs w:val="30"/>
          <w:highlight w:val="none"/>
        </w:rPr>
        <w:t>在本合同履行期内，</w:t>
      </w:r>
      <w:r>
        <w:rPr>
          <w:rFonts w:hint="eastAsia" w:eastAsia="仿宋"/>
          <w:color w:val="auto"/>
          <w:kern w:val="0"/>
          <w:sz w:val="30"/>
          <w:szCs w:val="30"/>
          <w:highlight w:val="none"/>
        </w:rPr>
        <w:t>乙</w:t>
      </w:r>
      <w:r>
        <w:rPr>
          <w:rFonts w:eastAsia="仿宋"/>
          <w:color w:val="auto"/>
          <w:kern w:val="0"/>
          <w:sz w:val="30"/>
          <w:szCs w:val="30"/>
          <w:highlight w:val="none"/>
        </w:rPr>
        <w:t>方应保留工作所用的图纸、报告及记录等</w:t>
      </w:r>
      <w:r>
        <w:rPr>
          <w:rFonts w:eastAsia="仿宋"/>
          <w:color w:val="auto"/>
          <w:sz w:val="30"/>
          <w:szCs w:val="30"/>
          <w:highlight w:val="none"/>
        </w:rPr>
        <w:t>相关文件。工程竣工后，应当按照档案管理规定将工程质量检测有关文件</w:t>
      </w:r>
      <w:r>
        <w:rPr>
          <w:rFonts w:hint="eastAsia" w:eastAsia="仿宋"/>
          <w:color w:val="auto"/>
          <w:sz w:val="30"/>
          <w:szCs w:val="30"/>
          <w:highlight w:val="none"/>
        </w:rPr>
        <w:t>移交甲方</w:t>
      </w:r>
      <w:r>
        <w:rPr>
          <w:rFonts w:eastAsia="仿宋"/>
          <w:color w:val="auto"/>
          <w:sz w:val="30"/>
          <w:szCs w:val="30"/>
          <w:highlight w:val="none"/>
        </w:rPr>
        <w:t>归档。</w:t>
      </w:r>
    </w:p>
    <w:p>
      <w:pPr>
        <w:spacing w:line="480" w:lineRule="exact"/>
        <w:ind w:left="0" w:leftChars="0" w:firstLine="606" w:firstLineChars="200"/>
        <w:rPr>
          <w:rFonts w:eastAsia="仿宋"/>
          <w:color w:val="auto"/>
          <w:kern w:val="0"/>
          <w:sz w:val="30"/>
          <w:szCs w:val="30"/>
          <w:highlight w:val="none"/>
        </w:rPr>
      </w:pPr>
      <w:r>
        <w:rPr>
          <w:rFonts w:eastAsia="仿宋"/>
          <w:color w:val="auto"/>
          <w:kern w:val="0"/>
          <w:sz w:val="30"/>
          <w:szCs w:val="30"/>
          <w:highlight w:val="none"/>
        </w:rPr>
        <w:t>2.</w:t>
      </w:r>
      <w:r>
        <w:rPr>
          <w:rFonts w:hint="eastAsia" w:eastAsia="仿宋"/>
          <w:color w:val="auto"/>
          <w:kern w:val="0"/>
          <w:sz w:val="30"/>
          <w:szCs w:val="30"/>
          <w:highlight w:val="none"/>
        </w:rPr>
        <w:t>7</w:t>
      </w:r>
      <w:r>
        <w:rPr>
          <w:rFonts w:eastAsia="仿宋"/>
          <w:color w:val="auto"/>
          <w:kern w:val="0"/>
          <w:sz w:val="30"/>
          <w:szCs w:val="30"/>
          <w:highlight w:val="none"/>
        </w:rPr>
        <w:t>使用</w:t>
      </w:r>
      <w:r>
        <w:rPr>
          <w:rFonts w:hint="eastAsia" w:eastAsia="仿宋"/>
          <w:color w:val="auto"/>
          <w:kern w:val="0"/>
          <w:sz w:val="30"/>
          <w:szCs w:val="30"/>
          <w:highlight w:val="none"/>
        </w:rPr>
        <w:t>甲方</w:t>
      </w:r>
      <w:r>
        <w:rPr>
          <w:rFonts w:eastAsia="仿宋"/>
          <w:color w:val="auto"/>
          <w:kern w:val="0"/>
          <w:sz w:val="30"/>
          <w:szCs w:val="30"/>
          <w:highlight w:val="none"/>
        </w:rPr>
        <w:t>的财产</w:t>
      </w:r>
    </w:p>
    <w:p>
      <w:pPr>
        <w:spacing w:line="480" w:lineRule="exact"/>
        <w:ind w:firstLine="606" w:firstLineChars="200"/>
        <w:rPr>
          <w:rFonts w:eastAsia="仿宋"/>
          <w:color w:val="auto"/>
          <w:sz w:val="30"/>
          <w:szCs w:val="30"/>
          <w:highlight w:val="none"/>
        </w:rPr>
      </w:pPr>
      <w:r>
        <w:rPr>
          <w:rFonts w:eastAsia="仿宋"/>
          <w:color w:val="auto"/>
          <w:sz w:val="30"/>
          <w:szCs w:val="30"/>
          <w:highlight w:val="none"/>
        </w:rPr>
        <w:t>乙方无偿使用由甲方派遣的人员和提供的房屋、场地、资料、设备。除专用合同条款另有约定外，甲方提供的房屋、设备属于甲方的财产，乙方应妥善使用和保管，在本合同终止时将这些房屋、设备的清单提交甲方，并按专用合同条款约定的时间和方式移交。</w:t>
      </w:r>
    </w:p>
    <w:p>
      <w:pPr>
        <w:spacing w:line="480" w:lineRule="exact"/>
        <w:ind w:firstLine="606" w:firstLineChars="200"/>
        <w:rPr>
          <w:rFonts w:eastAsia="仿宋"/>
          <w:color w:val="auto"/>
          <w:sz w:val="30"/>
          <w:szCs w:val="30"/>
          <w:highlight w:val="none"/>
        </w:rPr>
      </w:pPr>
      <w:r>
        <w:rPr>
          <w:rFonts w:eastAsia="仿宋"/>
          <w:color w:val="auto"/>
          <w:sz w:val="30"/>
          <w:szCs w:val="30"/>
          <w:highlight w:val="none"/>
        </w:rPr>
        <w:t>2.</w:t>
      </w:r>
      <w:r>
        <w:rPr>
          <w:rFonts w:hint="eastAsia" w:eastAsia="仿宋"/>
          <w:color w:val="auto"/>
          <w:sz w:val="30"/>
          <w:szCs w:val="30"/>
          <w:highlight w:val="none"/>
        </w:rPr>
        <w:t>8</w:t>
      </w:r>
      <w:r>
        <w:rPr>
          <w:rFonts w:eastAsia="仿宋"/>
          <w:color w:val="auto"/>
          <w:sz w:val="30"/>
          <w:szCs w:val="30"/>
          <w:highlight w:val="none"/>
        </w:rPr>
        <w:t xml:space="preserve"> 乙方的安全职责</w:t>
      </w:r>
    </w:p>
    <w:p>
      <w:pPr>
        <w:spacing w:line="480" w:lineRule="exact"/>
        <w:ind w:firstLine="606" w:firstLineChars="200"/>
        <w:rPr>
          <w:rFonts w:eastAsia="仿宋"/>
          <w:color w:val="auto"/>
          <w:sz w:val="30"/>
          <w:szCs w:val="30"/>
          <w:highlight w:val="none"/>
        </w:rPr>
      </w:pPr>
      <w:r>
        <w:rPr>
          <w:rFonts w:eastAsia="仿宋"/>
          <w:color w:val="auto"/>
          <w:sz w:val="30"/>
          <w:szCs w:val="30"/>
          <w:highlight w:val="none"/>
        </w:rPr>
        <w:t>乙方应按照法律规定保障现场施工人员的劳动安全，提供劳动保护,并应按国家有关劳动保护的规定，采取有效的防止粉尘、降低噪声、控制有害气体和保障高温、高寒、高空作业安全等劳动保护措施。乙方人员在施工中受到伤害的，乙方应立即采取有效措施进行抢救和治疗。</w:t>
      </w:r>
    </w:p>
    <w:p>
      <w:pPr>
        <w:spacing w:line="480" w:lineRule="exact"/>
        <w:ind w:firstLine="432"/>
        <w:rPr>
          <w:rFonts w:eastAsia="仿宋"/>
          <w:color w:val="auto"/>
          <w:sz w:val="30"/>
          <w:szCs w:val="30"/>
          <w:highlight w:val="none"/>
        </w:rPr>
      </w:pPr>
      <w:r>
        <w:rPr>
          <w:rFonts w:eastAsia="仿宋"/>
          <w:color w:val="auto"/>
          <w:sz w:val="30"/>
          <w:szCs w:val="30"/>
          <w:highlight w:val="none"/>
        </w:rPr>
        <w:t>乙方应为其施工现场的全部人员办理意外伤害保险并支付保险费，包括乙方人员及为履行合同聘请的第三方的人员。此外，乙方应为其施工设备等办理财产保险。</w:t>
      </w:r>
    </w:p>
    <w:p>
      <w:pPr>
        <w:pStyle w:val="4"/>
        <w:spacing w:before="0" w:after="0" w:line="480" w:lineRule="exact"/>
        <w:rPr>
          <w:rFonts w:ascii="Times New Roman" w:hAnsi="Times New Roman" w:eastAsia="黑体" w:cs="Times New Roman"/>
          <w:color w:val="auto"/>
          <w:sz w:val="32"/>
          <w:highlight w:val="none"/>
        </w:rPr>
      </w:pPr>
      <w:bookmarkStart w:id="160" w:name="_Toc23686149"/>
      <w:bookmarkStart w:id="161" w:name="_Toc23685155"/>
      <w:bookmarkStart w:id="162" w:name="_Toc4608_WPSOffice_Level2"/>
      <w:bookmarkStart w:id="163" w:name="_Toc4444218"/>
      <w:bookmarkStart w:id="164" w:name="_Toc6847140"/>
      <w:bookmarkStart w:id="165" w:name="_Toc17816"/>
      <w:bookmarkStart w:id="166" w:name="_Toc30667"/>
      <w:bookmarkStart w:id="167" w:name="_Toc28129430"/>
      <w:bookmarkStart w:id="168" w:name="_Toc1387"/>
      <w:bookmarkStart w:id="169" w:name="_Toc5614"/>
      <w:r>
        <w:rPr>
          <w:rFonts w:ascii="Times New Roman" w:hAnsi="Times New Roman" w:eastAsia="黑体" w:cs="Times New Roman"/>
          <w:color w:val="auto"/>
          <w:sz w:val="32"/>
          <w:highlight w:val="none"/>
        </w:rPr>
        <w:t>3．甲方的义务</w:t>
      </w:r>
      <w:bookmarkEnd w:id="160"/>
      <w:bookmarkEnd w:id="161"/>
      <w:bookmarkEnd w:id="162"/>
      <w:bookmarkEnd w:id="163"/>
      <w:bookmarkEnd w:id="164"/>
      <w:bookmarkEnd w:id="165"/>
      <w:bookmarkEnd w:id="166"/>
      <w:bookmarkEnd w:id="167"/>
      <w:bookmarkEnd w:id="168"/>
      <w:bookmarkEnd w:id="169"/>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3.1 提供资料</w:t>
      </w:r>
    </w:p>
    <w:p>
      <w:pPr>
        <w:adjustRightInd w:val="0"/>
        <w:snapToGrid w:val="0"/>
        <w:spacing w:line="480" w:lineRule="exact"/>
        <w:ind w:firstLine="606" w:firstLineChars="200"/>
        <w:rPr>
          <w:rFonts w:eastAsia="仿宋"/>
          <w:color w:val="auto"/>
          <w:sz w:val="30"/>
          <w:szCs w:val="30"/>
          <w:highlight w:val="none"/>
        </w:rPr>
      </w:pPr>
      <w:r>
        <w:rPr>
          <w:rFonts w:eastAsia="仿宋"/>
          <w:color w:val="auto"/>
          <w:kern w:val="0"/>
          <w:sz w:val="30"/>
          <w:szCs w:val="30"/>
          <w:highlight w:val="none"/>
        </w:rPr>
        <w:t>甲方应按照相关约定，无偿向乙方提供工程有关的资料。</w:t>
      </w:r>
      <w:r>
        <w:rPr>
          <w:rFonts w:eastAsia="仿宋"/>
          <w:color w:val="auto"/>
          <w:sz w:val="30"/>
          <w:szCs w:val="30"/>
          <w:highlight w:val="none"/>
        </w:rPr>
        <w:t>在本合同履行过程中，甲方应及时向乙方提供最新的与工程有关的资料。</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3.2 提供工作条件</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甲方不提供。</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3.3 甲方代表</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甲方应授权一名熟悉工程情况的代表，负责与乙方联系。甲方应在双方签订本合同后7天内，将甲方代表的姓名和职责书面告知乙方。当甲方更换甲方代表时，应及时通知乙方。</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3.4答复</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甲方应在专用合同条款约定的时间内，对乙方以书面形式提交并要求作出决定的事宜，给予书面答复。</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3.5 支付</w:t>
      </w:r>
    </w:p>
    <w:p>
      <w:pPr>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甲方应按本合同约定，向乙方支付酬金。</w:t>
      </w:r>
    </w:p>
    <w:p>
      <w:pPr>
        <w:pStyle w:val="4"/>
        <w:spacing w:before="0" w:after="0" w:line="480" w:lineRule="exact"/>
        <w:rPr>
          <w:rFonts w:ascii="Times New Roman" w:hAnsi="Times New Roman" w:eastAsia="黑体" w:cs="Times New Roman"/>
          <w:color w:val="auto"/>
          <w:sz w:val="32"/>
          <w:highlight w:val="none"/>
        </w:rPr>
      </w:pPr>
      <w:bookmarkStart w:id="170" w:name="_Toc23517_WPSOffice_Level2"/>
      <w:bookmarkStart w:id="171" w:name="_Toc16347"/>
      <w:bookmarkStart w:id="172" w:name="_Toc17348"/>
      <w:bookmarkStart w:id="173" w:name="_Toc18940"/>
      <w:bookmarkStart w:id="174" w:name="_Toc28129431"/>
      <w:bookmarkStart w:id="175" w:name="_Toc18420"/>
      <w:r>
        <w:rPr>
          <w:rFonts w:ascii="Times New Roman" w:hAnsi="Times New Roman" w:eastAsia="黑体" w:cs="Times New Roman"/>
          <w:color w:val="auto"/>
          <w:sz w:val="32"/>
          <w:highlight w:val="none"/>
        </w:rPr>
        <w:t>4. 违约责任</w:t>
      </w:r>
      <w:bookmarkEnd w:id="170"/>
      <w:bookmarkEnd w:id="171"/>
      <w:bookmarkEnd w:id="172"/>
      <w:bookmarkEnd w:id="173"/>
      <w:bookmarkEnd w:id="174"/>
      <w:bookmarkEnd w:id="175"/>
    </w:p>
    <w:p>
      <w:pPr>
        <w:spacing w:line="480" w:lineRule="exact"/>
        <w:ind w:firstLine="606" w:firstLineChars="200"/>
        <w:outlineLvl w:val="0"/>
        <w:rPr>
          <w:rFonts w:eastAsia="仿宋"/>
          <w:color w:val="auto"/>
          <w:kern w:val="0"/>
          <w:sz w:val="30"/>
          <w:szCs w:val="30"/>
          <w:highlight w:val="none"/>
        </w:rPr>
      </w:pPr>
      <w:bookmarkStart w:id="176" w:name="_Toc19673"/>
      <w:bookmarkStart w:id="177" w:name="_Toc4444219"/>
      <w:bookmarkStart w:id="178" w:name="_Toc6847141"/>
      <w:bookmarkStart w:id="179" w:name="_Toc5649"/>
      <w:bookmarkStart w:id="180" w:name="_Toc5633"/>
      <w:bookmarkStart w:id="181" w:name="_Toc23685156"/>
      <w:bookmarkStart w:id="182" w:name="_Toc28129432"/>
      <w:bookmarkStart w:id="183" w:name="_Toc23686150"/>
      <w:bookmarkStart w:id="184" w:name="_Toc28129155"/>
      <w:bookmarkStart w:id="185" w:name="_Toc7048"/>
      <w:r>
        <w:rPr>
          <w:rFonts w:eastAsia="仿宋"/>
          <w:color w:val="auto"/>
          <w:kern w:val="0"/>
          <w:sz w:val="30"/>
          <w:szCs w:val="30"/>
          <w:highlight w:val="none"/>
        </w:rPr>
        <w:t>4.1 乙方的违约责任</w:t>
      </w:r>
      <w:bookmarkEnd w:id="176"/>
      <w:bookmarkEnd w:id="177"/>
      <w:bookmarkEnd w:id="178"/>
      <w:bookmarkEnd w:id="179"/>
      <w:bookmarkEnd w:id="180"/>
      <w:bookmarkEnd w:id="181"/>
      <w:bookmarkEnd w:id="182"/>
      <w:bookmarkEnd w:id="183"/>
      <w:bookmarkEnd w:id="184"/>
      <w:bookmarkEnd w:id="185"/>
    </w:p>
    <w:p>
      <w:pPr>
        <w:spacing w:line="480" w:lineRule="exact"/>
        <w:ind w:firstLine="606" w:firstLineChars="200"/>
        <w:rPr>
          <w:rFonts w:eastAsia="仿宋"/>
          <w:color w:val="auto"/>
          <w:sz w:val="30"/>
          <w:szCs w:val="30"/>
          <w:highlight w:val="none"/>
        </w:rPr>
      </w:pPr>
      <w:r>
        <w:rPr>
          <w:rFonts w:eastAsia="仿宋"/>
          <w:color w:val="auto"/>
          <w:kern w:val="0"/>
          <w:sz w:val="30"/>
          <w:szCs w:val="30"/>
          <w:highlight w:val="none"/>
        </w:rPr>
        <w:t>乙方未履行本合同义务的，应承担相应的责任。</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4.1.1 因乙方违反本合同约定</w:t>
      </w:r>
      <w:r>
        <w:rPr>
          <w:rFonts w:eastAsia="仿宋"/>
          <w:color w:val="auto"/>
          <w:sz w:val="30"/>
          <w:szCs w:val="30"/>
          <w:highlight w:val="none"/>
        </w:rPr>
        <w:t>给甲方造成损失的，乙方应当赔偿甲方损失</w:t>
      </w:r>
      <w:r>
        <w:rPr>
          <w:rFonts w:eastAsia="仿宋"/>
          <w:color w:val="auto"/>
          <w:kern w:val="0"/>
          <w:sz w:val="30"/>
          <w:szCs w:val="30"/>
          <w:highlight w:val="none"/>
        </w:rPr>
        <w:t>。赔偿金额的确定方法在专用合同条款中约定。乙方承担部分赔偿责任的，其承担赔偿金额由双方协商确定。</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4.1.2 乙方向甲方的索赔不成立时，乙方应赔偿甲方由此发生的费用。</w:t>
      </w:r>
    </w:p>
    <w:p>
      <w:pPr>
        <w:spacing w:line="480" w:lineRule="exact"/>
        <w:ind w:firstLine="606" w:firstLineChars="200"/>
        <w:outlineLvl w:val="0"/>
        <w:rPr>
          <w:rFonts w:eastAsia="仿宋"/>
          <w:color w:val="auto"/>
          <w:kern w:val="0"/>
          <w:sz w:val="30"/>
          <w:szCs w:val="30"/>
          <w:highlight w:val="none"/>
        </w:rPr>
      </w:pPr>
      <w:bookmarkStart w:id="186" w:name="_Toc16906"/>
      <w:bookmarkStart w:id="187" w:name="_Toc23685157"/>
      <w:bookmarkStart w:id="188" w:name="_Toc24444"/>
      <w:bookmarkStart w:id="189" w:name="_Toc6847142"/>
      <w:bookmarkStart w:id="190" w:name="_Toc14161"/>
      <w:bookmarkStart w:id="191" w:name="_Toc28129433"/>
      <w:bookmarkStart w:id="192" w:name="_Toc23686151"/>
      <w:bookmarkStart w:id="193" w:name="_Toc9822"/>
      <w:bookmarkStart w:id="194" w:name="_Toc28129156"/>
      <w:bookmarkStart w:id="195" w:name="_Toc4444220"/>
      <w:r>
        <w:rPr>
          <w:rFonts w:eastAsia="仿宋"/>
          <w:color w:val="auto"/>
          <w:kern w:val="0"/>
          <w:sz w:val="30"/>
          <w:szCs w:val="30"/>
          <w:highlight w:val="none"/>
        </w:rPr>
        <w:t>4.2 甲方的违约责任</w:t>
      </w:r>
      <w:bookmarkEnd w:id="186"/>
      <w:bookmarkEnd w:id="187"/>
      <w:bookmarkEnd w:id="188"/>
      <w:bookmarkEnd w:id="189"/>
      <w:bookmarkEnd w:id="190"/>
      <w:bookmarkEnd w:id="191"/>
      <w:bookmarkEnd w:id="192"/>
      <w:bookmarkEnd w:id="193"/>
      <w:bookmarkEnd w:id="194"/>
      <w:bookmarkEnd w:id="195"/>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甲方未履行本合同义务的，应承担相应的责任。</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4.2.1 甲方违反本合同约定造成乙方损失的，甲方应予以赔偿。</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4.2.2 甲方向乙方的索赔不成立时，甲方应赔偿乙方由此产生的费用。</w:t>
      </w:r>
    </w:p>
    <w:p>
      <w:pPr>
        <w:spacing w:line="480" w:lineRule="exact"/>
        <w:ind w:firstLine="606" w:firstLineChars="200"/>
        <w:rPr>
          <w:rFonts w:eastAsia="仿宋"/>
          <w:color w:val="auto"/>
          <w:kern w:val="0"/>
          <w:sz w:val="30"/>
          <w:szCs w:val="30"/>
          <w:highlight w:val="none"/>
        </w:rPr>
      </w:pPr>
      <w:r>
        <w:rPr>
          <w:rFonts w:eastAsia="仿宋"/>
          <w:color w:val="auto"/>
          <w:sz w:val="30"/>
          <w:szCs w:val="30"/>
          <w:highlight w:val="none"/>
        </w:rPr>
        <w:t>4.2.3</w:t>
      </w:r>
      <w:r>
        <w:rPr>
          <w:rFonts w:eastAsia="仿宋"/>
          <w:color w:val="auto"/>
          <w:kern w:val="0"/>
          <w:sz w:val="30"/>
          <w:szCs w:val="30"/>
          <w:highlight w:val="none"/>
        </w:rPr>
        <w:t>甲方未能按期支付</w:t>
      </w:r>
      <w:r>
        <w:rPr>
          <w:rFonts w:eastAsia="仿宋"/>
          <w:color w:val="auto"/>
          <w:sz w:val="30"/>
          <w:szCs w:val="30"/>
          <w:highlight w:val="none"/>
        </w:rPr>
        <w:t>酬金</w:t>
      </w:r>
      <w:r>
        <w:rPr>
          <w:rFonts w:eastAsia="仿宋"/>
          <w:color w:val="auto"/>
          <w:kern w:val="0"/>
          <w:sz w:val="30"/>
          <w:szCs w:val="30"/>
          <w:highlight w:val="none"/>
        </w:rPr>
        <w:t>超过28天，应按专用合同条款约定支付逾期付款利息。</w:t>
      </w:r>
    </w:p>
    <w:p>
      <w:pPr>
        <w:spacing w:line="480" w:lineRule="exact"/>
        <w:ind w:firstLine="606" w:firstLineChars="200"/>
        <w:outlineLvl w:val="0"/>
        <w:rPr>
          <w:rFonts w:eastAsia="仿宋"/>
          <w:color w:val="auto"/>
          <w:kern w:val="0"/>
          <w:sz w:val="30"/>
          <w:szCs w:val="30"/>
          <w:highlight w:val="none"/>
        </w:rPr>
      </w:pPr>
      <w:bookmarkStart w:id="196" w:name="_Toc16362"/>
      <w:bookmarkStart w:id="197" w:name="_Toc29351"/>
      <w:bookmarkStart w:id="198" w:name="_Toc13293"/>
      <w:bookmarkStart w:id="199" w:name="_Toc6847143"/>
      <w:bookmarkStart w:id="200" w:name="_Toc28129157"/>
      <w:bookmarkStart w:id="201" w:name="_Toc4444221"/>
      <w:bookmarkStart w:id="202" w:name="_Toc23686152"/>
      <w:bookmarkStart w:id="203" w:name="_Toc2986"/>
      <w:bookmarkStart w:id="204" w:name="_Toc28129434"/>
      <w:bookmarkStart w:id="205" w:name="_Toc23685158"/>
      <w:r>
        <w:rPr>
          <w:rFonts w:eastAsia="仿宋"/>
          <w:color w:val="auto"/>
          <w:kern w:val="0"/>
          <w:sz w:val="30"/>
          <w:szCs w:val="30"/>
          <w:highlight w:val="none"/>
        </w:rPr>
        <w:t>4.3 除外责任</w:t>
      </w:r>
      <w:bookmarkEnd w:id="196"/>
      <w:bookmarkEnd w:id="197"/>
      <w:bookmarkEnd w:id="198"/>
      <w:bookmarkEnd w:id="199"/>
      <w:bookmarkEnd w:id="200"/>
      <w:bookmarkEnd w:id="201"/>
      <w:bookmarkEnd w:id="202"/>
      <w:bookmarkEnd w:id="203"/>
      <w:bookmarkEnd w:id="204"/>
      <w:bookmarkEnd w:id="205"/>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因非乙方的原因发生工程质量事故、安全事故、工期延误等造成的损失，乙方不承担赔偿责任。</w:t>
      </w:r>
    </w:p>
    <w:p>
      <w:pPr>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因不可抗力导致本合同全部或部分不能履行时，双方各自承担其因此而造成的损失、损害。</w:t>
      </w:r>
    </w:p>
    <w:p>
      <w:pPr>
        <w:pStyle w:val="4"/>
        <w:spacing w:before="0" w:after="0" w:line="480" w:lineRule="exact"/>
        <w:rPr>
          <w:rFonts w:ascii="Times New Roman" w:hAnsi="Times New Roman" w:eastAsia="黑体" w:cs="Times New Roman"/>
          <w:color w:val="auto"/>
          <w:sz w:val="32"/>
          <w:highlight w:val="none"/>
        </w:rPr>
      </w:pPr>
      <w:bookmarkStart w:id="206" w:name="_Toc6847144"/>
      <w:bookmarkStart w:id="207" w:name="_Toc4444222"/>
      <w:bookmarkStart w:id="208" w:name="_Toc13266"/>
      <w:bookmarkStart w:id="209" w:name="_Toc9724"/>
      <w:bookmarkStart w:id="210" w:name="_Toc5550"/>
      <w:bookmarkStart w:id="211" w:name="_Toc23686153"/>
      <w:bookmarkStart w:id="212" w:name="_Toc21412"/>
      <w:bookmarkStart w:id="213" w:name="_Toc19842_WPSOffice_Level2"/>
      <w:bookmarkStart w:id="214" w:name="_Toc23685159"/>
      <w:bookmarkStart w:id="215" w:name="_Toc28129435"/>
      <w:r>
        <w:rPr>
          <w:rFonts w:ascii="Times New Roman" w:hAnsi="Times New Roman" w:eastAsia="黑体" w:cs="Times New Roman"/>
          <w:color w:val="auto"/>
          <w:sz w:val="32"/>
          <w:highlight w:val="none"/>
        </w:rPr>
        <w:t>5. 支付</w:t>
      </w:r>
      <w:bookmarkEnd w:id="206"/>
      <w:bookmarkEnd w:id="207"/>
      <w:bookmarkEnd w:id="208"/>
      <w:bookmarkEnd w:id="209"/>
      <w:bookmarkEnd w:id="210"/>
      <w:bookmarkEnd w:id="211"/>
      <w:bookmarkEnd w:id="212"/>
      <w:bookmarkEnd w:id="213"/>
      <w:bookmarkEnd w:id="214"/>
      <w:bookmarkEnd w:id="215"/>
    </w:p>
    <w:p>
      <w:pPr>
        <w:adjustRightInd w:val="0"/>
        <w:snapToGrid w:val="0"/>
        <w:spacing w:line="480" w:lineRule="exact"/>
        <w:ind w:firstLine="606" w:firstLineChars="200"/>
        <w:rPr>
          <w:rFonts w:eastAsia="仿宋"/>
          <w:bCs/>
          <w:color w:val="auto"/>
          <w:sz w:val="30"/>
          <w:szCs w:val="30"/>
          <w:highlight w:val="none"/>
        </w:rPr>
      </w:pPr>
      <w:r>
        <w:rPr>
          <w:rFonts w:eastAsia="仿宋"/>
          <w:color w:val="auto"/>
          <w:sz w:val="30"/>
          <w:szCs w:val="30"/>
          <w:highlight w:val="none"/>
        </w:rPr>
        <w:t xml:space="preserve">5.1 </w:t>
      </w:r>
      <w:r>
        <w:rPr>
          <w:rFonts w:eastAsia="仿宋"/>
          <w:bCs/>
          <w:color w:val="auto"/>
          <w:sz w:val="30"/>
          <w:szCs w:val="30"/>
          <w:highlight w:val="none"/>
        </w:rPr>
        <w:t>支付货币</w:t>
      </w:r>
    </w:p>
    <w:p>
      <w:pPr>
        <w:adjustRightInd w:val="0"/>
        <w:snapToGrid w:val="0"/>
        <w:spacing w:line="480" w:lineRule="exact"/>
        <w:ind w:firstLine="606" w:firstLineChars="200"/>
        <w:rPr>
          <w:rFonts w:eastAsia="仿宋"/>
          <w:bCs/>
          <w:color w:val="auto"/>
          <w:sz w:val="30"/>
          <w:szCs w:val="30"/>
          <w:highlight w:val="none"/>
        </w:rPr>
      </w:pPr>
      <w:r>
        <w:rPr>
          <w:rFonts w:eastAsia="仿宋"/>
          <w:color w:val="auto"/>
          <w:sz w:val="30"/>
          <w:szCs w:val="30"/>
          <w:highlight w:val="none"/>
        </w:rPr>
        <w:t>除专用合同条款另有约定外，酬金均以人民币支付。涉及外币支付的，所采用的货币种类、比例和汇率在专用合同条款中约定。</w:t>
      </w:r>
    </w:p>
    <w:p>
      <w:pPr>
        <w:adjustRightInd w:val="0"/>
        <w:snapToGrid w:val="0"/>
        <w:spacing w:line="480" w:lineRule="exact"/>
        <w:ind w:firstLine="606" w:firstLineChars="200"/>
        <w:rPr>
          <w:rFonts w:eastAsia="仿宋"/>
          <w:bCs/>
          <w:color w:val="auto"/>
          <w:sz w:val="30"/>
          <w:szCs w:val="30"/>
          <w:highlight w:val="none"/>
        </w:rPr>
      </w:pPr>
      <w:r>
        <w:rPr>
          <w:rFonts w:eastAsia="仿宋"/>
          <w:color w:val="auto"/>
          <w:sz w:val="30"/>
          <w:szCs w:val="30"/>
          <w:highlight w:val="none"/>
        </w:rPr>
        <w:t>5.2 支付申请</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乙方应在本合同约定的每次应付款时间的7天前，向甲方提交支付申请书。支付申请书应当说明当期应付款总额，并列出当期应支付的款项及其金额。</w:t>
      </w:r>
    </w:p>
    <w:p>
      <w:pPr>
        <w:adjustRightInd w:val="0"/>
        <w:snapToGrid w:val="0"/>
        <w:spacing w:line="480" w:lineRule="exact"/>
        <w:ind w:firstLine="606" w:firstLineChars="200"/>
        <w:outlineLvl w:val="0"/>
        <w:rPr>
          <w:rFonts w:eastAsia="仿宋"/>
          <w:color w:val="auto"/>
          <w:sz w:val="30"/>
          <w:szCs w:val="30"/>
          <w:highlight w:val="none"/>
        </w:rPr>
      </w:pPr>
      <w:bookmarkStart w:id="216" w:name="_Toc4777"/>
      <w:bookmarkStart w:id="217" w:name="_Toc2660"/>
      <w:bookmarkStart w:id="218" w:name="_Toc6847145"/>
      <w:bookmarkStart w:id="219" w:name="_Toc28129159"/>
      <w:bookmarkStart w:id="220" w:name="_Toc4444223"/>
      <w:bookmarkStart w:id="221" w:name="_Toc23685160"/>
      <w:bookmarkStart w:id="222" w:name="_Toc1116"/>
      <w:bookmarkStart w:id="223" w:name="_Toc23686154"/>
      <w:bookmarkStart w:id="224" w:name="_Toc28129436"/>
      <w:bookmarkStart w:id="225" w:name="_Toc26337"/>
      <w:r>
        <w:rPr>
          <w:rFonts w:eastAsia="仿宋"/>
          <w:color w:val="auto"/>
          <w:sz w:val="30"/>
          <w:szCs w:val="30"/>
          <w:highlight w:val="none"/>
        </w:rPr>
        <w:t>5.3 支付酬金</w:t>
      </w:r>
      <w:bookmarkEnd w:id="216"/>
      <w:bookmarkEnd w:id="217"/>
      <w:bookmarkEnd w:id="218"/>
      <w:bookmarkEnd w:id="219"/>
      <w:bookmarkEnd w:id="220"/>
      <w:bookmarkEnd w:id="221"/>
      <w:bookmarkEnd w:id="222"/>
      <w:bookmarkEnd w:id="223"/>
      <w:bookmarkEnd w:id="224"/>
      <w:bookmarkEnd w:id="225"/>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支付的酬金包括正常工作酬金、附加工作酬金。进度款支付、银行账号等在专用合同条款中约定。</w:t>
      </w:r>
    </w:p>
    <w:p>
      <w:pPr>
        <w:adjustRightInd w:val="0"/>
        <w:snapToGrid w:val="0"/>
        <w:spacing w:line="480" w:lineRule="exact"/>
        <w:ind w:firstLine="606" w:firstLineChars="200"/>
        <w:rPr>
          <w:rFonts w:eastAsia="仿宋"/>
          <w:bCs/>
          <w:color w:val="auto"/>
          <w:sz w:val="30"/>
          <w:szCs w:val="30"/>
          <w:highlight w:val="none"/>
        </w:rPr>
      </w:pPr>
      <w:r>
        <w:rPr>
          <w:rFonts w:eastAsia="仿宋"/>
          <w:color w:val="auto"/>
          <w:sz w:val="30"/>
          <w:szCs w:val="30"/>
          <w:highlight w:val="none"/>
        </w:rPr>
        <w:t xml:space="preserve">5.4 </w:t>
      </w:r>
      <w:r>
        <w:rPr>
          <w:rFonts w:eastAsia="仿宋"/>
          <w:bCs/>
          <w:color w:val="auto"/>
          <w:sz w:val="30"/>
          <w:szCs w:val="30"/>
          <w:highlight w:val="none"/>
        </w:rPr>
        <w:t>有争议部分的付款</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甲方对乙方提交的支付申请书有异议时，应当在收到</w:t>
      </w:r>
      <w:r>
        <w:rPr>
          <w:rFonts w:hint="eastAsia" w:eastAsia="仿宋"/>
          <w:color w:val="auto"/>
          <w:sz w:val="30"/>
          <w:szCs w:val="30"/>
          <w:highlight w:val="none"/>
        </w:rPr>
        <w:t>乙</w:t>
      </w:r>
      <w:r>
        <w:rPr>
          <w:rFonts w:eastAsia="仿宋"/>
          <w:color w:val="auto"/>
          <w:sz w:val="30"/>
          <w:szCs w:val="30"/>
          <w:highlight w:val="none"/>
        </w:rPr>
        <w:t>方提交的支付申请书后7天内，以书面形式向乙方发出异议通知。无异议部分的款项应按期支付，有异议部分的款项按通用合同条款第7条约定办理。</w:t>
      </w:r>
    </w:p>
    <w:p>
      <w:pPr>
        <w:pStyle w:val="4"/>
        <w:spacing w:before="0" w:after="0" w:line="480" w:lineRule="exact"/>
        <w:rPr>
          <w:rFonts w:ascii="Times New Roman" w:hAnsi="Times New Roman" w:eastAsia="黑体" w:cs="Times New Roman"/>
          <w:color w:val="auto"/>
          <w:sz w:val="32"/>
          <w:highlight w:val="none"/>
        </w:rPr>
      </w:pPr>
      <w:bookmarkStart w:id="226" w:name="_Toc899"/>
      <w:bookmarkStart w:id="227" w:name="_Toc22095_WPSOffice_Level2"/>
      <w:bookmarkStart w:id="228" w:name="_Toc21502"/>
      <w:bookmarkStart w:id="229" w:name="_Toc6847146"/>
      <w:bookmarkStart w:id="230" w:name="_Toc28129437"/>
      <w:bookmarkStart w:id="231" w:name="_Toc23686155"/>
      <w:bookmarkStart w:id="232" w:name="_Toc23685161"/>
      <w:bookmarkStart w:id="233" w:name="_Toc7806"/>
      <w:bookmarkStart w:id="234" w:name="_Toc31257"/>
      <w:bookmarkStart w:id="235" w:name="_Toc4444224"/>
      <w:r>
        <w:rPr>
          <w:rFonts w:ascii="Times New Roman" w:hAnsi="Times New Roman" w:eastAsia="黑体" w:cs="Times New Roman"/>
          <w:color w:val="auto"/>
          <w:sz w:val="32"/>
          <w:highlight w:val="none"/>
        </w:rPr>
        <w:t>6. 合同生效、变更、暂停、解除</w:t>
      </w:r>
      <w:bookmarkEnd w:id="226"/>
      <w:bookmarkEnd w:id="227"/>
      <w:bookmarkEnd w:id="228"/>
      <w:bookmarkEnd w:id="229"/>
      <w:bookmarkEnd w:id="230"/>
      <w:bookmarkEnd w:id="231"/>
      <w:bookmarkEnd w:id="232"/>
      <w:bookmarkEnd w:id="233"/>
      <w:bookmarkEnd w:id="234"/>
      <w:bookmarkEnd w:id="235"/>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6.1生效</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除法律另有规定或者专用合同条款另有约定外，甲方和乙方的法定代表人或其授权代理人在协议书上签字并盖公章后本合同生效。</w:t>
      </w:r>
    </w:p>
    <w:p>
      <w:pPr>
        <w:adjustRightInd w:val="0"/>
        <w:snapToGrid w:val="0"/>
        <w:spacing w:line="480" w:lineRule="exact"/>
        <w:ind w:firstLine="606" w:firstLineChars="200"/>
        <w:rPr>
          <w:rFonts w:eastAsia="仿宋"/>
          <w:bCs/>
          <w:color w:val="auto"/>
          <w:sz w:val="30"/>
          <w:szCs w:val="30"/>
          <w:highlight w:val="none"/>
        </w:rPr>
      </w:pPr>
      <w:r>
        <w:rPr>
          <w:rFonts w:eastAsia="仿宋"/>
          <w:color w:val="auto"/>
          <w:sz w:val="30"/>
          <w:szCs w:val="30"/>
          <w:highlight w:val="none"/>
        </w:rPr>
        <w:t>6.2</w:t>
      </w:r>
      <w:r>
        <w:rPr>
          <w:rFonts w:eastAsia="仿宋"/>
          <w:bCs/>
          <w:color w:val="auto"/>
          <w:sz w:val="30"/>
          <w:szCs w:val="30"/>
          <w:highlight w:val="none"/>
        </w:rPr>
        <w:t>变更</w:t>
      </w:r>
    </w:p>
    <w:p>
      <w:pPr>
        <w:adjustRightInd w:val="0"/>
        <w:snapToGrid w:val="0"/>
        <w:spacing w:line="480" w:lineRule="exact"/>
        <w:ind w:firstLine="606" w:firstLineChars="200"/>
        <w:outlineLvl w:val="0"/>
        <w:rPr>
          <w:rFonts w:eastAsia="仿宋"/>
          <w:color w:val="auto"/>
          <w:sz w:val="30"/>
          <w:szCs w:val="30"/>
          <w:highlight w:val="none"/>
        </w:rPr>
      </w:pPr>
      <w:bookmarkStart w:id="236" w:name="_Toc10205"/>
      <w:bookmarkStart w:id="237" w:name="_Toc8885"/>
      <w:bookmarkStart w:id="238" w:name="_Toc28129438"/>
      <w:bookmarkStart w:id="239" w:name="_Toc20326"/>
      <w:bookmarkStart w:id="240" w:name="_Toc23686156"/>
      <w:bookmarkStart w:id="241" w:name="_Toc4444225"/>
      <w:bookmarkStart w:id="242" w:name="_Toc23685162"/>
      <w:bookmarkStart w:id="243" w:name="_Toc6847147"/>
      <w:bookmarkStart w:id="244" w:name="_Toc28129161"/>
      <w:bookmarkStart w:id="245" w:name="_Toc23127"/>
      <w:r>
        <w:rPr>
          <w:rFonts w:eastAsia="仿宋"/>
          <w:color w:val="auto"/>
          <w:sz w:val="30"/>
          <w:szCs w:val="30"/>
          <w:highlight w:val="none"/>
        </w:rPr>
        <w:t>6.2.1任何一方提出变更请求时，双方经协商一致后可进行变更。</w:t>
      </w:r>
      <w:bookmarkEnd w:id="236"/>
      <w:bookmarkEnd w:id="237"/>
      <w:bookmarkEnd w:id="238"/>
      <w:bookmarkEnd w:id="239"/>
      <w:bookmarkEnd w:id="240"/>
      <w:bookmarkEnd w:id="241"/>
      <w:bookmarkEnd w:id="242"/>
      <w:bookmarkEnd w:id="243"/>
      <w:bookmarkEnd w:id="244"/>
      <w:bookmarkEnd w:id="245"/>
    </w:p>
    <w:p>
      <w:pPr>
        <w:autoSpaceDE w:val="0"/>
        <w:autoSpaceDN w:val="0"/>
        <w:adjustRightInd w:val="0"/>
        <w:snapToGrid w:val="0"/>
        <w:spacing w:line="480" w:lineRule="exact"/>
        <w:ind w:firstLine="606" w:firstLineChars="200"/>
        <w:rPr>
          <w:rFonts w:eastAsia="仿宋"/>
          <w:color w:val="auto"/>
          <w:kern w:val="0"/>
          <w:sz w:val="30"/>
          <w:szCs w:val="30"/>
          <w:highlight w:val="none"/>
        </w:rPr>
      </w:pPr>
      <w:r>
        <w:rPr>
          <w:rFonts w:eastAsia="仿宋"/>
          <w:color w:val="auto"/>
          <w:sz w:val="30"/>
          <w:szCs w:val="30"/>
          <w:highlight w:val="none"/>
        </w:rPr>
        <w:t>6.2.2</w:t>
      </w:r>
      <w:r>
        <w:rPr>
          <w:rFonts w:eastAsia="仿宋"/>
          <w:color w:val="auto"/>
          <w:kern w:val="0"/>
          <w:sz w:val="30"/>
          <w:szCs w:val="30"/>
          <w:highlight w:val="none"/>
        </w:rPr>
        <w:t>变更估价原则</w:t>
      </w:r>
    </w:p>
    <w:p>
      <w:pPr>
        <w:autoSpaceDE w:val="0"/>
        <w:autoSpaceDN w:val="0"/>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除专用合同条款条款另有约定外，变更估价按照本款约定处理：</w:t>
      </w:r>
    </w:p>
    <w:p>
      <w:pPr>
        <w:autoSpaceDE w:val="0"/>
        <w:autoSpaceDN w:val="0"/>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（1）已标价工程量清单或预算书有相同项目的，按照相同项目单价认定；</w:t>
      </w:r>
    </w:p>
    <w:p>
      <w:pPr>
        <w:autoSpaceDE w:val="0"/>
        <w:autoSpaceDN w:val="0"/>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（2）已标价工程量清单或预算书中无相同项目，但有类似项目的，参照类似项目的单价认定。</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6.2.3除不可抗力外，因非乙方原因导致乙方履行合同期限延长、内容增加时，乙方应当将此情况与可能产生的影响及时通知甲方。增加的检测工作时间、工作内容应视为附加工作。附加工作酬金的确定方法由双方协商确定。</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6.2.4合同生效后，如果实际情况发生变化使得乙方不能完成全部或部分工作时，乙方应立即通知甲方。除不可抗力外，其善后工作以及恢复服务的准备工作应为附加工作，附加工作酬金的确定方法由双方协商确定。乙方用于恢复服务的准备时间不应超过28天。</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6.2.5合同签订后，遇有与工程相关的法律法规、标准颁布或修订的，双方应遵照执行。由此引起检测与相关服务的数量、范围、时间、酬金变化的，双方应通过协商进行相应调整。</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6.2.6 因非乙方原因造成工程概算投资额或建筑安装工程费、工程量增加时，正常工作酬金应作相应调整。调整方法由双方协商确定。</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6.2.7因工程规模、检测范围的变化导致乙方的正常工作量减少时，正常工作酬金应作相应调整。调整方法由双方协商确定。</w:t>
      </w:r>
    </w:p>
    <w:p>
      <w:pPr>
        <w:adjustRightInd w:val="0"/>
        <w:snapToGrid w:val="0"/>
        <w:spacing w:line="480" w:lineRule="exact"/>
        <w:ind w:firstLine="606" w:firstLineChars="200"/>
        <w:outlineLvl w:val="0"/>
        <w:rPr>
          <w:rFonts w:eastAsia="仿宋"/>
          <w:bCs/>
          <w:color w:val="auto"/>
          <w:sz w:val="30"/>
          <w:szCs w:val="30"/>
          <w:highlight w:val="none"/>
        </w:rPr>
      </w:pPr>
      <w:bookmarkStart w:id="246" w:name="_Toc4444226"/>
      <w:bookmarkStart w:id="247" w:name="_Toc11917"/>
      <w:bookmarkStart w:id="248" w:name="_Toc23685163"/>
      <w:bookmarkStart w:id="249" w:name="_Toc8418"/>
      <w:bookmarkStart w:id="250" w:name="_Toc6847148"/>
      <w:bookmarkStart w:id="251" w:name="_Toc23686157"/>
      <w:bookmarkStart w:id="252" w:name="_Toc14765"/>
      <w:bookmarkStart w:id="253" w:name="_Toc28129439"/>
      <w:bookmarkStart w:id="254" w:name="_Toc28129162"/>
      <w:bookmarkStart w:id="255" w:name="_Toc1833"/>
      <w:r>
        <w:rPr>
          <w:rFonts w:eastAsia="仿宋"/>
          <w:color w:val="auto"/>
          <w:sz w:val="30"/>
          <w:szCs w:val="30"/>
          <w:highlight w:val="none"/>
        </w:rPr>
        <w:t>6.3 暂停与</w:t>
      </w:r>
      <w:r>
        <w:rPr>
          <w:rFonts w:eastAsia="仿宋"/>
          <w:bCs/>
          <w:color w:val="auto"/>
          <w:sz w:val="30"/>
          <w:szCs w:val="30"/>
          <w:highlight w:val="none"/>
        </w:rPr>
        <w:t>解除</w:t>
      </w:r>
      <w:bookmarkEnd w:id="246"/>
      <w:bookmarkEnd w:id="247"/>
      <w:bookmarkEnd w:id="248"/>
      <w:bookmarkEnd w:id="249"/>
      <w:bookmarkEnd w:id="250"/>
      <w:bookmarkEnd w:id="251"/>
      <w:bookmarkEnd w:id="252"/>
      <w:bookmarkEnd w:id="253"/>
      <w:bookmarkEnd w:id="254"/>
      <w:bookmarkEnd w:id="255"/>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6.3.1 在本合同有效期内，因不可抗力本合同全部或部分无法继续履行或继续履行已无意义，经双方协商一致，可以解除本合同或减免受影响方的部分义务。在解除之前，受影响方应作出合理安排，使开支减至最小。</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因解除本合同或减免受影响方部分义务导致受影响方遭受损失，除依法可以免除责任的情况外，应由另一方予以补偿，补偿金额由双方协商确定。</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解除本合同的协议必须采取书面形式，协议未达成之前，本合同仍然有效。</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6.3.2 当乙方未履行本合同约定的义务时，甲方应通知乙方限期改正。若甲方在乙方接到通知后的7天内未收到乙方书面形式的合理解释，则可在7天后发出解除本合同的通知，自通知到达乙方时本合同解除。甲方应将检测与相关服务</w:t>
      </w:r>
      <w:r>
        <w:rPr>
          <w:rFonts w:eastAsia="仿宋"/>
          <w:color w:val="auto"/>
          <w:kern w:val="0"/>
          <w:sz w:val="30"/>
          <w:szCs w:val="30"/>
          <w:highlight w:val="none"/>
        </w:rPr>
        <w:t>的</w:t>
      </w:r>
      <w:r>
        <w:rPr>
          <w:rFonts w:eastAsia="仿宋"/>
          <w:color w:val="auto"/>
          <w:sz w:val="30"/>
          <w:szCs w:val="30"/>
          <w:highlight w:val="none"/>
        </w:rPr>
        <w:t>酬金支付至</w:t>
      </w:r>
      <w:r>
        <w:rPr>
          <w:rFonts w:eastAsia="仿宋"/>
          <w:color w:val="auto"/>
          <w:kern w:val="0"/>
          <w:sz w:val="30"/>
          <w:szCs w:val="30"/>
          <w:highlight w:val="none"/>
        </w:rPr>
        <w:t>限期改正通知到达乙方之日</w:t>
      </w:r>
      <w:r>
        <w:rPr>
          <w:rFonts w:eastAsia="仿宋"/>
          <w:color w:val="auto"/>
          <w:sz w:val="30"/>
          <w:szCs w:val="30"/>
          <w:highlight w:val="none"/>
        </w:rPr>
        <w:t>，但乙方应承担第4.1款约定的责任。</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6.3.3 乙方在专用合同条款5.3中约定的支付之日起28天后仍未收到甲方按本合同约定应付的款项，可向甲方发出催付通知。甲方接到通知14天后仍未支付或未提出乙方可以接受的延期支付安排，乙方可向甲方发出暂停工作的通知并可自行暂停全部或部分工作。暂停工作后14天内乙方仍未获得甲方应付酬金或甲方的合理答复，乙方可向甲方发出解除本合同的通知，自通知到达甲方时本合同解除。甲方应承担第4.2.3款约定的责任。</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sz w:val="30"/>
          <w:szCs w:val="30"/>
          <w:highlight w:val="none"/>
        </w:rPr>
        <w:t>6.3.4 因不可抗力致使本合同部分或全部不能履行时，一方应立即通知另一方，可暂停或解除本合同。</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6.3.5 本合同解除后，本合同约定的有关结算、清理、争议解决方式的条件仍然有效。</w:t>
      </w:r>
    </w:p>
    <w:p>
      <w:pPr>
        <w:pStyle w:val="4"/>
        <w:spacing w:before="0" w:after="0" w:line="480" w:lineRule="exact"/>
        <w:rPr>
          <w:rFonts w:ascii="Times New Roman" w:hAnsi="Times New Roman" w:eastAsia="黑体" w:cs="Times New Roman"/>
          <w:color w:val="auto"/>
          <w:sz w:val="32"/>
          <w:highlight w:val="none"/>
        </w:rPr>
      </w:pPr>
      <w:bookmarkStart w:id="256" w:name="_Toc6847149"/>
      <w:bookmarkStart w:id="257" w:name="_Toc22467"/>
      <w:bookmarkStart w:id="258" w:name="_Toc26448"/>
      <w:bookmarkStart w:id="259" w:name="_Toc23685164"/>
      <w:bookmarkStart w:id="260" w:name="_Toc23686158"/>
      <w:bookmarkStart w:id="261" w:name="_Toc22173"/>
      <w:bookmarkStart w:id="262" w:name="_Toc28129440"/>
      <w:bookmarkStart w:id="263" w:name="_Toc102_WPSOffice_Level2"/>
      <w:bookmarkStart w:id="264" w:name="_Toc4444227"/>
      <w:bookmarkStart w:id="265" w:name="_Toc6746"/>
      <w:r>
        <w:rPr>
          <w:rFonts w:ascii="Times New Roman" w:hAnsi="Times New Roman" w:eastAsia="黑体" w:cs="Times New Roman"/>
          <w:color w:val="auto"/>
          <w:sz w:val="32"/>
          <w:highlight w:val="none"/>
        </w:rPr>
        <w:t>7. 争议解决</w:t>
      </w:r>
      <w:bookmarkEnd w:id="256"/>
      <w:bookmarkEnd w:id="257"/>
      <w:bookmarkEnd w:id="258"/>
      <w:bookmarkEnd w:id="259"/>
      <w:bookmarkEnd w:id="260"/>
      <w:bookmarkEnd w:id="261"/>
      <w:bookmarkEnd w:id="262"/>
      <w:bookmarkEnd w:id="263"/>
      <w:bookmarkEnd w:id="264"/>
      <w:bookmarkEnd w:id="265"/>
    </w:p>
    <w:p>
      <w:pPr>
        <w:adjustRightInd w:val="0"/>
        <w:snapToGrid w:val="0"/>
        <w:spacing w:line="360" w:lineRule="auto"/>
        <w:ind w:firstLine="606" w:firstLineChars="200"/>
        <w:rPr>
          <w:rFonts w:eastAsia="仿宋"/>
          <w:b w:val="0"/>
          <w:bCs w:val="0"/>
          <w:color w:val="auto"/>
          <w:sz w:val="30"/>
          <w:szCs w:val="30"/>
          <w:highlight w:val="none"/>
        </w:rPr>
      </w:pPr>
      <w:r>
        <w:rPr>
          <w:rFonts w:ascii="Times New Roman" w:hAnsi="Times New Roman" w:eastAsia="仿宋"/>
          <w:color w:val="auto"/>
          <w:sz w:val="30"/>
          <w:szCs w:val="30"/>
          <w:highlight w:val="none"/>
        </w:rPr>
        <w:t>双方应本着诚信原则协商解决争议，协商不成，双方</w:t>
      </w:r>
      <w:r>
        <w:rPr>
          <w:rFonts w:hint="eastAsia" w:ascii="Times New Roman" w:hAnsi="Times New Roman" w:eastAsia="仿宋"/>
          <w:color w:val="auto"/>
          <w:sz w:val="30"/>
          <w:szCs w:val="30"/>
          <w:highlight w:val="none"/>
        </w:rPr>
        <w:t>按</w:t>
      </w:r>
      <w:r>
        <w:rPr>
          <w:rFonts w:ascii="Times New Roman" w:hAnsi="Times New Roman" w:eastAsia="仿宋"/>
          <w:color w:val="auto"/>
          <w:sz w:val="30"/>
          <w:szCs w:val="30"/>
          <w:highlight w:val="none"/>
        </w:rPr>
        <w:t>专用合同条款约定的</w:t>
      </w:r>
      <w:r>
        <w:rPr>
          <w:rFonts w:hint="eastAsia" w:ascii="Times New Roman" w:hAnsi="Times New Roman" w:eastAsia="仿宋"/>
          <w:color w:val="auto"/>
          <w:sz w:val="30"/>
          <w:szCs w:val="30"/>
          <w:highlight w:val="none"/>
        </w:rPr>
        <w:t>方式解决</w:t>
      </w:r>
      <w:r>
        <w:rPr>
          <w:rFonts w:ascii="Times New Roman" w:hAnsi="Times New Roman" w:eastAsia="仿宋"/>
          <w:color w:val="auto"/>
          <w:sz w:val="30"/>
          <w:szCs w:val="30"/>
          <w:highlight w:val="none"/>
        </w:rPr>
        <w:t>。</w:t>
      </w:r>
    </w:p>
    <w:p>
      <w:pPr>
        <w:pStyle w:val="4"/>
        <w:spacing w:before="0" w:after="0" w:line="480" w:lineRule="exact"/>
        <w:rPr>
          <w:rFonts w:ascii="Times New Roman" w:hAnsi="Times New Roman" w:eastAsia="黑体" w:cs="Times New Roman"/>
          <w:color w:val="auto"/>
          <w:sz w:val="32"/>
          <w:highlight w:val="none"/>
        </w:rPr>
      </w:pPr>
      <w:bookmarkStart w:id="266" w:name="_Toc7107"/>
      <w:bookmarkStart w:id="267" w:name="_Toc23686159"/>
      <w:bookmarkStart w:id="268" w:name="_Toc29500"/>
      <w:bookmarkStart w:id="269" w:name="_Toc25465"/>
      <w:bookmarkStart w:id="270" w:name="_Toc23685165"/>
      <w:bookmarkStart w:id="271" w:name="_Toc15049"/>
      <w:bookmarkStart w:id="272" w:name="_Toc23450_WPSOffice_Level2"/>
      <w:bookmarkStart w:id="273" w:name="_Toc4444228"/>
      <w:bookmarkStart w:id="274" w:name="_Toc6847150"/>
      <w:bookmarkStart w:id="275" w:name="_Toc28129441"/>
      <w:r>
        <w:rPr>
          <w:rFonts w:ascii="Times New Roman" w:hAnsi="Times New Roman" w:eastAsia="黑体" w:cs="Times New Roman"/>
          <w:color w:val="auto"/>
          <w:sz w:val="32"/>
          <w:highlight w:val="none"/>
        </w:rPr>
        <w:t>8. 其他</w:t>
      </w:r>
      <w:bookmarkEnd w:id="266"/>
      <w:bookmarkEnd w:id="267"/>
      <w:bookmarkEnd w:id="268"/>
      <w:bookmarkEnd w:id="269"/>
      <w:bookmarkEnd w:id="270"/>
      <w:bookmarkEnd w:id="271"/>
      <w:bookmarkEnd w:id="272"/>
      <w:bookmarkEnd w:id="273"/>
      <w:bookmarkEnd w:id="274"/>
      <w:bookmarkEnd w:id="275"/>
    </w:p>
    <w:p>
      <w:pPr>
        <w:spacing w:line="480" w:lineRule="exact"/>
        <w:ind w:firstLine="606" w:firstLineChars="200"/>
        <w:outlineLvl w:val="0"/>
        <w:rPr>
          <w:rFonts w:eastAsia="仿宋"/>
          <w:bCs/>
          <w:color w:val="auto"/>
          <w:sz w:val="30"/>
          <w:szCs w:val="30"/>
          <w:highlight w:val="none"/>
        </w:rPr>
      </w:pPr>
      <w:bookmarkStart w:id="276" w:name="_Toc16462"/>
      <w:bookmarkStart w:id="277" w:name="_Toc28129165"/>
      <w:bookmarkStart w:id="278" w:name="_Toc11953"/>
      <w:bookmarkStart w:id="279" w:name="_Toc6847151"/>
      <w:bookmarkStart w:id="280" w:name="_Toc20991"/>
      <w:bookmarkStart w:id="281" w:name="_Toc14470"/>
      <w:bookmarkStart w:id="282" w:name="_Toc23686160"/>
      <w:bookmarkStart w:id="283" w:name="_Toc23685166"/>
      <w:bookmarkStart w:id="284" w:name="_Toc4444229"/>
      <w:bookmarkStart w:id="285" w:name="_Toc28129442"/>
      <w:r>
        <w:rPr>
          <w:rFonts w:eastAsia="仿宋"/>
          <w:color w:val="auto"/>
          <w:sz w:val="30"/>
          <w:szCs w:val="30"/>
          <w:highlight w:val="none"/>
        </w:rPr>
        <w:t xml:space="preserve">8.1 </w:t>
      </w:r>
      <w:r>
        <w:rPr>
          <w:rFonts w:eastAsia="仿宋"/>
          <w:bCs/>
          <w:color w:val="auto"/>
          <w:sz w:val="30"/>
          <w:szCs w:val="30"/>
          <w:highlight w:val="none"/>
        </w:rPr>
        <w:t>外出考察费用</w:t>
      </w:r>
      <w:bookmarkEnd w:id="276"/>
      <w:bookmarkEnd w:id="277"/>
      <w:bookmarkEnd w:id="278"/>
      <w:bookmarkEnd w:id="279"/>
      <w:bookmarkEnd w:id="280"/>
      <w:bookmarkEnd w:id="281"/>
      <w:bookmarkEnd w:id="282"/>
      <w:bookmarkEnd w:id="283"/>
      <w:bookmarkEnd w:id="284"/>
      <w:bookmarkEnd w:id="285"/>
    </w:p>
    <w:p>
      <w:pPr>
        <w:spacing w:line="480" w:lineRule="exact"/>
        <w:ind w:firstLine="606" w:firstLineChars="200"/>
        <w:rPr>
          <w:rFonts w:eastAsia="仿宋"/>
          <w:bCs/>
          <w:color w:val="auto"/>
          <w:sz w:val="30"/>
          <w:szCs w:val="30"/>
          <w:highlight w:val="none"/>
        </w:rPr>
      </w:pPr>
      <w:r>
        <w:rPr>
          <w:rFonts w:eastAsia="仿宋"/>
          <w:color w:val="auto"/>
          <w:sz w:val="30"/>
          <w:szCs w:val="30"/>
          <w:highlight w:val="none"/>
        </w:rPr>
        <w:t>乙方承担。</w:t>
      </w:r>
    </w:p>
    <w:p>
      <w:pPr>
        <w:spacing w:line="480" w:lineRule="exact"/>
        <w:ind w:firstLine="606" w:firstLineChars="200"/>
        <w:rPr>
          <w:rFonts w:eastAsia="仿宋"/>
          <w:bCs/>
          <w:color w:val="auto"/>
          <w:sz w:val="30"/>
          <w:szCs w:val="30"/>
          <w:highlight w:val="none"/>
        </w:rPr>
      </w:pPr>
      <w:r>
        <w:rPr>
          <w:rFonts w:eastAsia="仿宋"/>
          <w:color w:val="auto"/>
          <w:sz w:val="30"/>
          <w:szCs w:val="30"/>
          <w:highlight w:val="none"/>
        </w:rPr>
        <w:t>8.2</w:t>
      </w:r>
      <w:r>
        <w:rPr>
          <w:rFonts w:eastAsia="仿宋"/>
          <w:bCs/>
          <w:color w:val="auto"/>
          <w:sz w:val="30"/>
          <w:szCs w:val="30"/>
          <w:highlight w:val="none"/>
        </w:rPr>
        <w:t>咨询费用</w:t>
      </w:r>
    </w:p>
    <w:p>
      <w:pPr>
        <w:spacing w:line="480" w:lineRule="exact"/>
        <w:ind w:firstLine="606" w:firstLineChars="200"/>
        <w:outlineLvl w:val="0"/>
        <w:rPr>
          <w:rFonts w:eastAsia="仿宋"/>
          <w:color w:val="auto"/>
          <w:sz w:val="30"/>
          <w:szCs w:val="30"/>
          <w:highlight w:val="none"/>
        </w:rPr>
      </w:pPr>
      <w:bookmarkStart w:id="286" w:name="_Toc28129443"/>
      <w:bookmarkStart w:id="287" w:name="_Toc28129166"/>
      <w:bookmarkStart w:id="288" w:name="_Toc13365"/>
      <w:bookmarkStart w:id="289" w:name="_Toc6439"/>
      <w:bookmarkStart w:id="290" w:name="_Toc80"/>
      <w:bookmarkStart w:id="291" w:name="_Toc28382"/>
      <w:bookmarkStart w:id="292" w:name="_Toc4444230"/>
      <w:bookmarkStart w:id="293" w:name="_Toc6847152"/>
      <w:bookmarkStart w:id="294" w:name="_Toc23685167"/>
      <w:bookmarkStart w:id="295" w:name="_Toc23686161"/>
      <w:r>
        <w:rPr>
          <w:rFonts w:eastAsia="仿宋"/>
          <w:color w:val="auto"/>
          <w:sz w:val="30"/>
          <w:szCs w:val="30"/>
          <w:highlight w:val="none"/>
        </w:rPr>
        <w:t>乙方承担。</w:t>
      </w:r>
      <w:bookmarkEnd w:id="286"/>
      <w:bookmarkEnd w:id="287"/>
      <w:bookmarkEnd w:id="288"/>
      <w:bookmarkEnd w:id="289"/>
      <w:bookmarkEnd w:id="290"/>
      <w:bookmarkEnd w:id="291"/>
    </w:p>
    <w:p>
      <w:pPr>
        <w:spacing w:line="480" w:lineRule="exact"/>
        <w:ind w:firstLine="606" w:firstLineChars="200"/>
        <w:outlineLvl w:val="0"/>
        <w:rPr>
          <w:rFonts w:eastAsia="仿宋"/>
          <w:bCs/>
          <w:color w:val="auto"/>
          <w:sz w:val="30"/>
          <w:szCs w:val="30"/>
          <w:highlight w:val="none"/>
        </w:rPr>
      </w:pPr>
      <w:bookmarkStart w:id="296" w:name="_Toc7546"/>
      <w:bookmarkStart w:id="297" w:name="_Toc28129444"/>
      <w:bookmarkStart w:id="298" w:name="_Toc5918"/>
      <w:bookmarkStart w:id="299" w:name="_Toc28129167"/>
      <w:bookmarkStart w:id="300" w:name="_Toc32004"/>
      <w:bookmarkStart w:id="301" w:name="_Toc28666"/>
      <w:r>
        <w:rPr>
          <w:rFonts w:eastAsia="仿宋"/>
          <w:color w:val="auto"/>
          <w:sz w:val="30"/>
          <w:szCs w:val="30"/>
          <w:highlight w:val="none"/>
        </w:rPr>
        <w:t xml:space="preserve">8.3 </w:t>
      </w:r>
      <w:r>
        <w:rPr>
          <w:rFonts w:eastAsia="仿宋"/>
          <w:bCs/>
          <w:color w:val="auto"/>
          <w:sz w:val="30"/>
          <w:szCs w:val="30"/>
          <w:highlight w:val="none"/>
        </w:rPr>
        <w:t>守法诚信</w:t>
      </w:r>
      <w:bookmarkEnd w:id="292"/>
      <w:bookmarkEnd w:id="293"/>
      <w:bookmarkEnd w:id="294"/>
      <w:bookmarkEnd w:id="295"/>
      <w:bookmarkEnd w:id="296"/>
      <w:bookmarkEnd w:id="297"/>
      <w:bookmarkEnd w:id="298"/>
      <w:bookmarkEnd w:id="299"/>
      <w:bookmarkEnd w:id="300"/>
      <w:bookmarkEnd w:id="301"/>
    </w:p>
    <w:p>
      <w:pPr>
        <w:spacing w:line="480" w:lineRule="exact"/>
        <w:ind w:firstLine="606" w:firstLineChars="200"/>
        <w:rPr>
          <w:rFonts w:eastAsia="仿宋"/>
          <w:bCs/>
          <w:color w:val="auto"/>
          <w:sz w:val="30"/>
          <w:szCs w:val="30"/>
          <w:highlight w:val="none"/>
        </w:rPr>
      </w:pPr>
      <w:r>
        <w:rPr>
          <w:rFonts w:eastAsia="仿宋"/>
          <w:color w:val="auto"/>
          <w:sz w:val="30"/>
          <w:szCs w:val="30"/>
          <w:highlight w:val="none"/>
        </w:rPr>
        <w:t>乙方及乙方人员不得从与实施工程有关的第三方处获得任何经济利益。</w:t>
      </w:r>
    </w:p>
    <w:p>
      <w:pPr>
        <w:spacing w:line="480" w:lineRule="exact"/>
        <w:ind w:firstLine="606" w:firstLineChars="200"/>
        <w:rPr>
          <w:rFonts w:eastAsia="仿宋"/>
          <w:bCs/>
          <w:color w:val="auto"/>
          <w:sz w:val="30"/>
          <w:szCs w:val="30"/>
          <w:highlight w:val="none"/>
        </w:rPr>
      </w:pPr>
      <w:r>
        <w:rPr>
          <w:rFonts w:eastAsia="仿宋"/>
          <w:color w:val="auto"/>
          <w:sz w:val="30"/>
          <w:szCs w:val="30"/>
          <w:highlight w:val="none"/>
        </w:rPr>
        <w:t xml:space="preserve">8.5 </w:t>
      </w:r>
      <w:r>
        <w:rPr>
          <w:rFonts w:eastAsia="仿宋"/>
          <w:bCs/>
          <w:color w:val="auto"/>
          <w:sz w:val="30"/>
          <w:szCs w:val="30"/>
          <w:highlight w:val="none"/>
        </w:rPr>
        <w:t>通知</w:t>
      </w:r>
    </w:p>
    <w:p>
      <w:pPr>
        <w:spacing w:line="480" w:lineRule="exact"/>
        <w:ind w:firstLine="606" w:firstLineChars="200"/>
        <w:rPr>
          <w:rFonts w:eastAsia="仿宋"/>
          <w:color w:val="auto"/>
          <w:sz w:val="30"/>
          <w:szCs w:val="30"/>
          <w:highlight w:val="none"/>
        </w:rPr>
      </w:pPr>
      <w:r>
        <w:rPr>
          <w:rFonts w:eastAsia="仿宋"/>
          <w:color w:val="auto"/>
          <w:sz w:val="30"/>
          <w:szCs w:val="30"/>
          <w:highlight w:val="none"/>
        </w:rPr>
        <w:t>本合同涉及的通知均应当采用书面形式，并在送达对方时生效，收件人应书面签收。</w:t>
      </w:r>
    </w:p>
    <w:p>
      <w:pPr>
        <w:spacing w:line="480" w:lineRule="exact"/>
        <w:ind w:firstLine="606" w:firstLineChars="200"/>
        <w:rPr>
          <w:rFonts w:eastAsia="仿宋"/>
          <w:color w:val="auto"/>
          <w:sz w:val="30"/>
          <w:szCs w:val="30"/>
          <w:highlight w:val="none"/>
        </w:rPr>
      </w:pPr>
      <w:r>
        <w:rPr>
          <w:rFonts w:eastAsia="仿宋"/>
          <w:color w:val="auto"/>
          <w:sz w:val="30"/>
          <w:szCs w:val="30"/>
          <w:highlight w:val="none"/>
        </w:rPr>
        <w:t>8.6知识产权及保密</w:t>
      </w:r>
    </w:p>
    <w:p>
      <w:pPr>
        <w:autoSpaceDE w:val="0"/>
        <w:autoSpaceDN w:val="0"/>
        <w:adjustRightInd w:val="0"/>
        <w:snapToGrid w:val="0"/>
        <w:spacing w:line="480" w:lineRule="exact"/>
        <w:ind w:firstLine="606" w:firstLineChars="200"/>
        <w:rPr>
          <w:rFonts w:eastAsia="仿宋"/>
          <w:color w:val="auto"/>
          <w:kern w:val="0"/>
          <w:sz w:val="30"/>
          <w:szCs w:val="30"/>
          <w:highlight w:val="none"/>
          <w:lang w:bidi="ar"/>
        </w:rPr>
      </w:pPr>
      <w:r>
        <w:rPr>
          <w:rFonts w:eastAsia="仿宋"/>
          <w:color w:val="auto"/>
          <w:kern w:val="0"/>
          <w:sz w:val="30"/>
          <w:szCs w:val="30"/>
          <w:highlight w:val="none"/>
          <w:lang w:bidi="ar"/>
        </w:rPr>
        <w:t>本合同各方均应保护其他方的商业秘密，未经其他方同意，任何一方均不得擅自修改、复制或向他人转让其他方的资料及文件，如发生以上情况，应承担由此引起的一切后果并承担赔偿责任。</w:t>
      </w:r>
      <w:r>
        <w:rPr>
          <w:rFonts w:eastAsia="仿宋"/>
          <w:color w:val="auto"/>
          <w:kern w:val="0"/>
          <w:sz w:val="30"/>
          <w:szCs w:val="30"/>
          <w:highlight w:val="none"/>
          <w:lang w:bidi="ar"/>
        </w:rPr>
        <w:br w:type="textWrapping"/>
      </w:r>
      <w:r>
        <w:rPr>
          <w:rFonts w:eastAsia="仿宋"/>
          <w:color w:val="auto"/>
          <w:kern w:val="0"/>
          <w:sz w:val="30"/>
          <w:szCs w:val="30"/>
          <w:highlight w:val="none"/>
          <w:lang w:bidi="ar"/>
        </w:rPr>
        <w:t xml:space="preserve">    本合同项下的项目成果（包括过程性成果及所有相关图片文件资料）的署名权归乙方所有，</w:t>
      </w:r>
      <w:r>
        <w:rPr>
          <w:rFonts w:eastAsia="仿宋"/>
          <w:color w:val="auto"/>
          <w:kern w:val="0"/>
          <w:sz w:val="30"/>
          <w:szCs w:val="30"/>
          <w:highlight w:val="none"/>
        </w:rPr>
        <w:t>乙方可为实现本合同目的复制、使用，但不能用于与本合同无关的其他事项。</w:t>
      </w:r>
      <w:r>
        <w:rPr>
          <w:rFonts w:eastAsia="仿宋"/>
          <w:color w:val="auto"/>
          <w:kern w:val="0"/>
          <w:sz w:val="30"/>
          <w:szCs w:val="30"/>
          <w:highlight w:val="none"/>
          <w:lang w:bidi="ar"/>
        </w:rPr>
        <w:t>署名权以外的其他权利（包括但不限于发表、修改、转让、网络传播等）归甲方所有。</w:t>
      </w:r>
      <w:r>
        <w:rPr>
          <w:rFonts w:eastAsia="仿宋"/>
          <w:color w:val="auto"/>
          <w:kern w:val="0"/>
          <w:sz w:val="30"/>
          <w:szCs w:val="30"/>
          <w:highlight w:val="none"/>
          <w:lang w:bidi="ar"/>
        </w:rPr>
        <w:br w:type="textWrapping"/>
      </w:r>
      <w:r>
        <w:rPr>
          <w:rFonts w:eastAsia="仿宋"/>
          <w:color w:val="auto"/>
          <w:kern w:val="0"/>
          <w:sz w:val="30"/>
          <w:szCs w:val="30"/>
          <w:highlight w:val="none"/>
          <w:lang w:bidi="ar"/>
        </w:rPr>
        <w:t xml:space="preserve">    </w:t>
      </w:r>
      <w:r>
        <w:rPr>
          <w:rFonts w:eastAsia="仿宋"/>
          <w:color w:val="auto"/>
          <w:kern w:val="0"/>
          <w:sz w:val="30"/>
          <w:szCs w:val="30"/>
          <w:highlight w:val="none"/>
        </w:rPr>
        <w:t>乙方在合同签订前和签订时已确定采用的知识产权所有费用已包含在合同价款中，并</w:t>
      </w:r>
      <w:r>
        <w:rPr>
          <w:rFonts w:eastAsia="仿宋"/>
          <w:color w:val="auto"/>
          <w:kern w:val="0"/>
          <w:sz w:val="30"/>
          <w:szCs w:val="30"/>
          <w:highlight w:val="none"/>
          <w:lang w:bidi="ar"/>
        </w:rPr>
        <w:t>保证合同履行未侵犯第三方知识产权，否则承担由此而引起的全部法律责任。</w:t>
      </w:r>
    </w:p>
    <w:p>
      <w:pPr>
        <w:autoSpaceDE w:val="0"/>
        <w:autoSpaceDN w:val="0"/>
        <w:adjustRightInd w:val="0"/>
        <w:snapToGrid w:val="0"/>
        <w:spacing w:line="480" w:lineRule="exact"/>
        <w:ind w:firstLine="606" w:firstLineChars="200"/>
        <w:rPr>
          <w:rFonts w:eastAsia="仿宋"/>
          <w:color w:val="auto"/>
          <w:kern w:val="0"/>
          <w:sz w:val="30"/>
          <w:szCs w:val="30"/>
          <w:highlight w:val="none"/>
          <w:lang w:bidi="ar"/>
        </w:rPr>
      </w:pPr>
      <w:r>
        <w:rPr>
          <w:rFonts w:eastAsia="仿宋"/>
          <w:color w:val="auto"/>
          <w:kern w:val="0"/>
          <w:sz w:val="30"/>
          <w:szCs w:val="30"/>
          <w:highlight w:val="none"/>
        </w:rPr>
        <w:t>在不损害对方利益和保密约定的前提下，甲乙双方有权在申报奖项、制作宣传印刷品及出版物时使用有关项目的文字和图片材料。</w:t>
      </w:r>
      <w:r>
        <w:rPr>
          <w:rFonts w:eastAsia="仿宋"/>
          <w:color w:val="auto"/>
          <w:kern w:val="0"/>
          <w:sz w:val="30"/>
          <w:szCs w:val="30"/>
          <w:highlight w:val="none"/>
          <w:lang w:bidi="ar"/>
        </w:rPr>
        <w:br w:type="textWrapping"/>
      </w:r>
      <w:r>
        <w:rPr>
          <w:rFonts w:eastAsia="仿宋"/>
          <w:color w:val="auto"/>
          <w:kern w:val="0"/>
          <w:sz w:val="30"/>
          <w:szCs w:val="30"/>
          <w:highlight w:val="none"/>
          <w:lang w:bidi="ar"/>
        </w:rPr>
        <w:t xml:space="preserve">    甲方有权利将项目成果用于甲方其他项目。</w:t>
      </w:r>
    </w:p>
    <w:p>
      <w:pPr>
        <w:autoSpaceDE w:val="0"/>
        <w:autoSpaceDN w:val="0"/>
        <w:adjustRightInd w:val="0"/>
        <w:snapToGrid w:val="0"/>
        <w:spacing w:line="480" w:lineRule="exact"/>
        <w:ind w:firstLine="606" w:firstLineChars="200"/>
        <w:rPr>
          <w:rFonts w:eastAsia="仿宋"/>
          <w:color w:val="auto"/>
          <w:kern w:val="0"/>
          <w:sz w:val="30"/>
          <w:szCs w:val="30"/>
          <w:highlight w:val="none"/>
          <w:lang w:bidi="ar"/>
        </w:rPr>
      </w:pPr>
      <w:r>
        <w:rPr>
          <w:rFonts w:eastAsia="仿宋"/>
          <w:color w:val="auto"/>
          <w:kern w:val="0"/>
          <w:sz w:val="30"/>
          <w:szCs w:val="30"/>
          <w:highlight w:val="none"/>
          <w:lang w:bidi="ar"/>
        </w:rPr>
        <w:t>8.7不可抗力</w:t>
      </w:r>
    </w:p>
    <w:p>
      <w:pPr>
        <w:tabs>
          <w:tab w:val="left" w:pos="720"/>
          <w:tab w:val="left" w:pos="1260"/>
        </w:tabs>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不可抗力是在订立合同时不可合理预见，在履行合同中不可避免的发生且不能克服的自然灾害和社会突发事件，如地震、海啸、瘟疫、洪水、骚乱、暴动、战争以及专用条款约定的其他自然灾害和社会突发事件。</w:t>
      </w:r>
    </w:p>
    <w:p>
      <w:pPr>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不可抗力发生后，合同当事人应立即通知对方，双方应共同采取措施减少损失。如因一方未及时通知或未及时采取有效措施导致损失范围扩大，应承担扩大损失的全部责任。</w:t>
      </w:r>
    </w:p>
    <w:p>
      <w:pPr>
        <w:tabs>
          <w:tab w:val="left" w:pos="1260"/>
        </w:tabs>
        <w:adjustRightInd w:val="0"/>
        <w:snapToGrid w:val="0"/>
        <w:spacing w:line="480" w:lineRule="exact"/>
        <w:rPr>
          <w:rFonts w:eastAsia="仿宋"/>
          <w:color w:val="auto"/>
          <w:kern w:val="0"/>
          <w:sz w:val="30"/>
          <w:szCs w:val="30"/>
          <w:highlight w:val="none"/>
        </w:rPr>
      </w:pPr>
      <w:r>
        <w:rPr>
          <w:rFonts w:eastAsia="仿宋"/>
          <w:color w:val="auto"/>
          <w:kern w:val="0"/>
          <w:sz w:val="30"/>
          <w:szCs w:val="30"/>
          <w:highlight w:val="none"/>
        </w:rPr>
        <w:t>.   因不可抗力造成的损失由合同当事人各自承担。</w:t>
      </w:r>
    </w:p>
    <w:p>
      <w:pPr>
        <w:tabs>
          <w:tab w:val="left" w:pos="1260"/>
        </w:tabs>
        <w:adjustRightInd w:val="0"/>
        <w:snapToGrid w:val="0"/>
        <w:spacing w:line="480" w:lineRule="exact"/>
        <w:ind w:firstLine="606" w:firstLineChars="200"/>
        <w:rPr>
          <w:rFonts w:eastAsia="仿宋"/>
          <w:color w:val="auto"/>
          <w:kern w:val="0"/>
          <w:sz w:val="30"/>
          <w:szCs w:val="30"/>
          <w:highlight w:val="none"/>
        </w:rPr>
      </w:pPr>
      <w:r>
        <w:rPr>
          <w:rFonts w:eastAsia="仿宋"/>
          <w:color w:val="auto"/>
          <w:kern w:val="0"/>
          <w:sz w:val="30"/>
          <w:szCs w:val="30"/>
          <w:highlight w:val="none"/>
        </w:rPr>
        <w:t>因合同一方迟延履行合同后发生不可抗力的，不能免除迟延履行方的责任。</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8.8  履约保函</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履约保函可以银行保函、现金、工程担保或保证保险等形式，具体在专用条款中约定。如采用银行保函形式，约定如下：</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8.8.1履约保函应于合同签订之日起10日内提供，格式如附件8所附；</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8.8.2履约保函原则上应由在中国注册的全国性股份制商业银行且营业地点在项目所在地行政辖区内的商业银行开具；</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8.8.3履约保函金额为合同总价的10%；</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8.8.4履约保函应满足独立、无条件且不可撤销、见索即付的担保形式，保函内容格式详见附件，保函需经甲方认可；</w:t>
      </w:r>
    </w:p>
    <w:p>
      <w:pPr>
        <w:adjustRightInd w:val="0"/>
        <w:snapToGrid w:val="0"/>
        <w:spacing w:line="480" w:lineRule="exact"/>
        <w:ind w:firstLine="606" w:firstLineChars="200"/>
        <w:rPr>
          <w:rFonts w:eastAsia="仿宋"/>
          <w:color w:val="auto"/>
          <w:sz w:val="30"/>
          <w:szCs w:val="30"/>
          <w:highlight w:val="none"/>
        </w:rPr>
      </w:pPr>
      <w:r>
        <w:rPr>
          <w:rFonts w:eastAsia="仿宋"/>
          <w:color w:val="auto"/>
          <w:sz w:val="30"/>
          <w:szCs w:val="30"/>
          <w:highlight w:val="none"/>
        </w:rPr>
        <w:t>8.8.5乙方未按合同要求提供履约保函的，甲方有权从应支付给乙方的款项中直接扣除相应金额。</w:t>
      </w:r>
    </w:p>
    <w:p>
      <w:pPr>
        <w:pStyle w:val="28"/>
        <w:ind w:firstLine="213"/>
        <w:rPr>
          <w:color w:val="auto"/>
          <w:highlight w:val="none"/>
        </w:rPr>
      </w:pPr>
      <w:bookmarkStart w:id="302" w:name="_Toc28129445"/>
    </w:p>
    <w:p>
      <w:pPr>
        <w:pStyle w:val="3"/>
        <w:spacing w:line="360" w:lineRule="auto"/>
        <w:jc w:val="center"/>
        <w:rPr>
          <w:rFonts w:ascii="华文中宋" w:hAnsi="华文中宋" w:eastAsia="华文中宋"/>
          <w:color w:val="auto"/>
          <w:sz w:val="44"/>
          <w:highlight w:val="none"/>
        </w:rPr>
      </w:pPr>
      <w:bookmarkStart w:id="303" w:name="_Toc30166_WPSOffice_Level1"/>
      <w:bookmarkStart w:id="304" w:name="_Toc28346"/>
      <w:bookmarkStart w:id="305" w:name="_Toc6576"/>
      <w:bookmarkStart w:id="306" w:name="_Toc8911"/>
      <w:bookmarkStart w:id="307" w:name="_Toc19552"/>
      <w:bookmarkStart w:id="308" w:name="_Toc5735_WPSOffice_Level1"/>
      <w:r>
        <w:rPr>
          <w:rFonts w:ascii="华文中宋" w:hAnsi="华文中宋" w:eastAsia="华文中宋"/>
          <w:color w:val="auto"/>
          <w:sz w:val="44"/>
          <w:highlight w:val="none"/>
        </w:rPr>
        <w:t>第三部分  专用合同条款</w:t>
      </w:r>
      <w:bookmarkEnd w:id="302"/>
      <w:bookmarkEnd w:id="303"/>
      <w:bookmarkEnd w:id="304"/>
      <w:bookmarkEnd w:id="305"/>
      <w:bookmarkEnd w:id="306"/>
      <w:bookmarkEnd w:id="307"/>
      <w:bookmarkEnd w:id="308"/>
    </w:p>
    <w:p>
      <w:pPr>
        <w:pStyle w:val="4"/>
        <w:spacing w:before="0" w:after="0" w:line="360" w:lineRule="auto"/>
        <w:rPr>
          <w:rFonts w:ascii="Times New Roman" w:hAnsi="Times New Roman" w:eastAsia="黑体" w:cs="Times New Roman"/>
          <w:color w:val="auto"/>
          <w:sz w:val="32"/>
          <w:highlight w:val="none"/>
        </w:rPr>
      </w:pPr>
      <w:bookmarkStart w:id="309" w:name="_Toc4785"/>
      <w:bookmarkStart w:id="310" w:name="_Toc19987"/>
      <w:bookmarkStart w:id="311" w:name="_Toc2243_WPSOffice_Level2"/>
      <w:bookmarkStart w:id="312" w:name="_Toc28129446"/>
      <w:bookmarkStart w:id="313" w:name="_Toc13970"/>
      <w:bookmarkStart w:id="314" w:name="_Toc8258"/>
      <w:r>
        <w:rPr>
          <w:rFonts w:ascii="Times New Roman" w:hAnsi="Times New Roman" w:eastAsia="黑体" w:cs="Times New Roman"/>
          <w:color w:val="auto"/>
          <w:sz w:val="32"/>
          <w:highlight w:val="none"/>
        </w:rPr>
        <w:t>1. 定义与解释</w:t>
      </w:r>
      <w:bookmarkEnd w:id="309"/>
      <w:bookmarkEnd w:id="310"/>
      <w:bookmarkEnd w:id="311"/>
      <w:bookmarkEnd w:id="312"/>
      <w:bookmarkEnd w:id="313"/>
      <w:bookmarkEnd w:id="314"/>
    </w:p>
    <w:p>
      <w:pPr>
        <w:adjustRightInd w:val="0"/>
        <w:snapToGrid w:val="0"/>
        <w:spacing w:line="360" w:lineRule="auto"/>
        <w:ind w:firstLine="606" w:firstLineChars="200"/>
        <w:outlineLvl w:val="0"/>
        <w:rPr>
          <w:rFonts w:eastAsia="仿宋"/>
          <w:color w:val="auto"/>
          <w:sz w:val="30"/>
          <w:szCs w:val="30"/>
          <w:highlight w:val="none"/>
        </w:rPr>
      </w:pPr>
      <w:bookmarkStart w:id="315" w:name="_Toc16367"/>
      <w:bookmarkStart w:id="316" w:name="_Toc28129170"/>
      <w:bookmarkStart w:id="317" w:name="_Toc28129447"/>
      <w:bookmarkStart w:id="318" w:name="_Toc21535"/>
      <w:bookmarkStart w:id="319" w:name="_Toc675"/>
      <w:bookmarkStart w:id="320" w:name="_Toc23686162"/>
      <w:bookmarkStart w:id="321" w:name="_Toc23685168"/>
      <w:bookmarkStart w:id="322" w:name="_Toc9793"/>
      <w:r>
        <w:rPr>
          <w:rFonts w:eastAsia="仿宋"/>
          <w:color w:val="auto"/>
          <w:sz w:val="30"/>
          <w:szCs w:val="30"/>
          <w:highlight w:val="none"/>
        </w:rPr>
        <w:t>1.2  解释</w:t>
      </w:r>
      <w:bookmarkEnd w:id="315"/>
      <w:bookmarkEnd w:id="316"/>
      <w:bookmarkEnd w:id="317"/>
      <w:bookmarkEnd w:id="318"/>
      <w:bookmarkEnd w:id="319"/>
      <w:bookmarkEnd w:id="320"/>
      <w:bookmarkEnd w:id="321"/>
      <w:bookmarkEnd w:id="322"/>
    </w:p>
    <w:p>
      <w:pPr>
        <w:adjustRightInd w:val="0"/>
        <w:snapToGrid w:val="0"/>
        <w:spacing w:line="360" w:lineRule="auto"/>
        <w:ind w:firstLine="606" w:firstLineChars="200"/>
        <w:rPr>
          <w:rFonts w:eastAsia="仿宋"/>
          <w:i/>
          <w:iCs/>
          <w:color w:val="auto"/>
          <w:sz w:val="30"/>
          <w:szCs w:val="30"/>
          <w:highlight w:val="none"/>
        </w:rPr>
      </w:pPr>
      <w:r>
        <w:rPr>
          <w:rFonts w:eastAsia="仿宋"/>
          <w:color w:val="auto"/>
          <w:sz w:val="30"/>
          <w:szCs w:val="30"/>
          <w:highlight w:val="none"/>
        </w:rPr>
        <w:t>1.2.1 本合同文件除使用中文外，还可用</w:t>
      </w:r>
      <w:r>
        <w:rPr>
          <w:rFonts w:eastAsia="仿宋"/>
          <w:color w:val="auto"/>
          <w:sz w:val="30"/>
          <w:szCs w:val="30"/>
          <w:highlight w:val="none"/>
          <w:u w:val="single"/>
        </w:rPr>
        <w:t xml:space="preserve">   /  </w:t>
      </w:r>
      <w:r>
        <w:rPr>
          <w:rFonts w:eastAsia="仿宋"/>
          <w:color w:val="auto"/>
          <w:sz w:val="30"/>
          <w:szCs w:val="30"/>
          <w:highlight w:val="none"/>
        </w:rPr>
        <w:t>。</w:t>
      </w:r>
    </w:p>
    <w:p>
      <w:pPr>
        <w:pStyle w:val="4"/>
        <w:spacing w:before="0" w:after="0" w:line="360" w:lineRule="auto"/>
        <w:rPr>
          <w:rFonts w:ascii="Times New Roman" w:hAnsi="Times New Roman" w:eastAsia="黑体" w:cs="Times New Roman"/>
          <w:color w:val="auto"/>
          <w:sz w:val="32"/>
          <w:highlight w:val="none"/>
        </w:rPr>
      </w:pPr>
      <w:bookmarkStart w:id="323" w:name="_Toc28129448"/>
      <w:bookmarkStart w:id="324" w:name="_Toc23686163"/>
      <w:bookmarkStart w:id="325" w:name="_Toc23798"/>
      <w:bookmarkStart w:id="326" w:name="_Toc23685169"/>
      <w:bookmarkStart w:id="327" w:name="_Toc14699"/>
      <w:bookmarkStart w:id="328" w:name="_Toc27231"/>
      <w:bookmarkStart w:id="329" w:name="_Toc9065_WPSOffice_Level2"/>
      <w:bookmarkStart w:id="330" w:name="_Toc14744"/>
      <w:r>
        <w:rPr>
          <w:rFonts w:ascii="Times New Roman" w:hAnsi="Times New Roman" w:eastAsia="黑体" w:cs="Times New Roman"/>
          <w:color w:val="auto"/>
          <w:sz w:val="32"/>
          <w:highlight w:val="none"/>
        </w:rPr>
        <w:t>2. 乙方义务</w:t>
      </w:r>
      <w:bookmarkEnd w:id="323"/>
      <w:bookmarkEnd w:id="324"/>
      <w:bookmarkEnd w:id="325"/>
      <w:bookmarkEnd w:id="326"/>
      <w:bookmarkEnd w:id="327"/>
      <w:bookmarkEnd w:id="328"/>
      <w:bookmarkEnd w:id="329"/>
      <w:bookmarkEnd w:id="330"/>
    </w:p>
    <w:p>
      <w:pPr>
        <w:adjustRightInd w:val="0"/>
        <w:snapToGrid w:val="0"/>
        <w:spacing w:line="360" w:lineRule="auto"/>
        <w:ind w:firstLine="606" w:firstLineChars="200"/>
        <w:outlineLvl w:val="0"/>
        <w:rPr>
          <w:rFonts w:eastAsia="仿宋"/>
          <w:color w:val="auto"/>
          <w:sz w:val="30"/>
          <w:szCs w:val="30"/>
          <w:highlight w:val="none"/>
        </w:rPr>
      </w:pPr>
      <w:bookmarkStart w:id="331" w:name="_Toc28129449"/>
      <w:bookmarkStart w:id="332" w:name="_Toc23685170"/>
      <w:bookmarkStart w:id="333" w:name="_Toc28129172"/>
      <w:bookmarkStart w:id="334" w:name="_Toc23686164"/>
      <w:bookmarkStart w:id="335" w:name="_Toc8268"/>
      <w:bookmarkStart w:id="336" w:name="_Toc29099"/>
      <w:bookmarkStart w:id="337" w:name="_Toc24163"/>
      <w:bookmarkStart w:id="338" w:name="_Toc4338"/>
      <w:r>
        <w:rPr>
          <w:rFonts w:eastAsia="仿宋"/>
          <w:color w:val="auto"/>
          <w:sz w:val="30"/>
          <w:szCs w:val="30"/>
          <w:highlight w:val="none"/>
        </w:rPr>
        <w:t>2.1 工程质量检测</w:t>
      </w:r>
      <w:r>
        <w:rPr>
          <w:rFonts w:hint="eastAsia" w:eastAsia="仿宋"/>
          <w:color w:val="auto"/>
          <w:sz w:val="30"/>
          <w:szCs w:val="30"/>
          <w:highlight w:val="none"/>
        </w:rPr>
        <w:t>监测</w:t>
      </w:r>
      <w:r>
        <w:rPr>
          <w:rFonts w:eastAsia="仿宋"/>
          <w:color w:val="auto"/>
          <w:sz w:val="30"/>
          <w:szCs w:val="30"/>
          <w:highlight w:val="none"/>
        </w:rPr>
        <w:t>的范围</w:t>
      </w:r>
      <w:r>
        <w:rPr>
          <w:rFonts w:eastAsia="仿宋"/>
          <w:bCs/>
          <w:color w:val="auto"/>
          <w:sz w:val="30"/>
          <w:szCs w:val="30"/>
          <w:highlight w:val="none"/>
        </w:rPr>
        <w:t>内容</w:t>
      </w:r>
      <w:bookmarkEnd w:id="331"/>
      <w:bookmarkEnd w:id="332"/>
      <w:bookmarkEnd w:id="333"/>
      <w:bookmarkEnd w:id="334"/>
      <w:r>
        <w:rPr>
          <w:rFonts w:hint="eastAsia" w:eastAsia="仿宋"/>
          <w:bCs/>
          <w:color w:val="auto"/>
          <w:sz w:val="30"/>
          <w:szCs w:val="30"/>
          <w:highlight w:val="none"/>
        </w:rPr>
        <w:t>及工作要求</w:t>
      </w:r>
      <w:bookmarkEnd w:id="335"/>
      <w:bookmarkEnd w:id="336"/>
      <w:bookmarkEnd w:id="337"/>
      <w:bookmarkEnd w:id="338"/>
    </w:p>
    <w:p>
      <w:pPr>
        <w:adjustRightInd w:val="0"/>
        <w:snapToGrid w:val="0"/>
        <w:spacing w:line="360" w:lineRule="auto"/>
        <w:ind w:firstLine="606" w:firstLineChars="200"/>
        <w:jc w:val="left"/>
        <w:rPr>
          <w:rFonts w:eastAsia="仿宋"/>
          <w:color w:val="auto"/>
          <w:sz w:val="30"/>
          <w:szCs w:val="30"/>
          <w:highlight w:val="none"/>
        </w:rPr>
      </w:pPr>
      <w:r>
        <w:rPr>
          <w:rFonts w:eastAsia="仿宋"/>
          <w:color w:val="auto"/>
          <w:sz w:val="30"/>
          <w:szCs w:val="30"/>
          <w:highlight w:val="none"/>
        </w:rPr>
        <w:t>2.1.1 工程质量</w:t>
      </w:r>
      <w:r>
        <w:rPr>
          <w:rFonts w:hint="eastAsia" w:eastAsia="仿宋"/>
          <w:color w:val="auto"/>
          <w:sz w:val="30"/>
          <w:szCs w:val="30"/>
          <w:highlight w:val="none"/>
        </w:rPr>
        <w:t>检测监测</w:t>
      </w:r>
      <w:r>
        <w:rPr>
          <w:rFonts w:eastAsia="仿宋"/>
          <w:color w:val="auto"/>
          <w:sz w:val="30"/>
          <w:szCs w:val="30"/>
          <w:highlight w:val="none"/>
        </w:rPr>
        <w:t>范围如下第</w:t>
      </w:r>
      <w:r>
        <w:rPr>
          <w:rFonts w:hint="eastAsia" w:eastAsia="仿宋"/>
          <w:color w:val="auto"/>
          <w:sz w:val="30"/>
          <w:szCs w:val="30"/>
          <w:highlight w:val="none"/>
          <w:u w:val="single"/>
        </w:rPr>
        <w:t>（1）</w:t>
      </w:r>
      <w:r>
        <w:rPr>
          <w:rFonts w:eastAsia="仿宋"/>
          <w:color w:val="auto"/>
          <w:sz w:val="30"/>
          <w:szCs w:val="30"/>
          <w:highlight w:val="none"/>
          <w:u w:val="single"/>
        </w:rPr>
        <w:t>至</w:t>
      </w:r>
      <w:r>
        <w:rPr>
          <w:rFonts w:hint="eastAsia" w:eastAsia="仿宋"/>
          <w:color w:val="auto"/>
          <w:sz w:val="30"/>
          <w:szCs w:val="30"/>
          <w:highlight w:val="none"/>
          <w:u w:val="single"/>
        </w:rPr>
        <w:t>（4）</w:t>
      </w:r>
      <w:r>
        <w:rPr>
          <w:rFonts w:eastAsia="仿宋"/>
          <w:color w:val="auto"/>
          <w:sz w:val="30"/>
          <w:szCs w:val="30"/>
          <w:highlight w:val="none"/>
        </w:rPr>
        <w:t>项所述：</w:t>
      </w:r>
    </w:p>
    <w:p>
      <w:pPr>
        <w:adjustRightInd w:val="0"/>
        <w:snapToGrid w:val="0"/>
        <w:spacing w:line="360" w:lineRule="auto"/>
        <w:ind w:firstLine="606" w:firstLineChars="200"/>
        <w:outlineLvl w:val="0"/>
        <w:rPr>
          <w:rFonts w:eastAsia="仿宋"/>
          <w:color w:val="auto"/>
          <w:sz w:val="30"/>
          <w:szCs w:val="30"/>
          <w:highlight w:val="none"/>
        </w:rPr>
      </w:pPr>
      <w:bookmarkStart w:id="339" w:name="_Toc28129174"/>
      <w:bookmarkStart w:id="340" w:name="_Toc4132"/>
      <w:bookmarkStart w:id="341" w:name="_Toc28129451"/>
      <w:bookmarkStart w:id="342" w:name="_Toc29270"/>
      <w:bookmarkStart w:id="343" w:name="_Toc4444234"/>
      <w:bookmarkStart w:id="344" w:name="_Toc23685171"/>
      <w:bookmarkStart w:id="345" w:name="_Toc32668"/>
      <w:bookmarkStart w:id="346" w:name="_Toc13935"/>
      <w:bookmarkStart w:id="347" w:name="_Toc23686165"/>
      <w:bookmarkStart w:id="348" w:name="_Toc6847156"/>
      <w:r>
        <w:rPr>
          <w:rFonts w:eastAsia="仿宋"/>
          <w:color w:val="auto"/>
          <w:sz w:val="30"/>
          <w:szCs w:val="30"/>
          <w:highlight w:val="none"/>
        </w:rPr>
        <w:t>（1）</w:t>
      </w:r>
      <w:r>
        <w:rPr>
          <w:rFonts w:hint="eastAsia" w:eastAsia="仿宋"/>
          <w:color w:val="auto"/>
          <w:sz w:val="30"/>
          <w:szCs w:val="30"/>
          <w:highlight w:val="none"/>
        </w:rPr>
        <w:t>材料</w:t>
      </w:r>
      <w:r>
        <w:rPr>
          <w:rFonts w:eastAsia="仿宋"/>
          <w:color w:val="auto"/>
          <w:sz w:val="30"/>
          <w:szCs w:val="30"/>
          <w:highlight w:val="none"/>
        </w:rPr>
        <w:t>检测</w:t>
      </w:r>
      <w:bookmarkEnd w:id="339"/>
      <w:bookmarkEnd w:id="340"/>
      <w:bookmarkEnd w:id="341"/>
      <w:bookmarkEnd w:id="342"/>
      <w:bookmarkEnd w:id="343"/>
      <w:bookmarkEnd w:id="344"/>
      <w:bookmarkEnd w:id="345"/>
      <w:bookmarkEnd w:id="346"/>
      <w:bookmarkEnd w:id="347"/>
      <w:bookmarkEnd w:id="348"/>
    </w:p>
    <w:p>
      <w:pPr>
        <w:adjustRightInd w:val="0"/>
        <w:snapToGrid w:val="0"/>
        <w:spacing w:line="360" w:lineRule="auto"/>
        <w:ind w:firstLine="606" w:firstLineChars="200"/>
        <w:rPr>
          <w:rFonts w:eastAsia="仿宋"/>
          <w:color w:val="auto"/>
          <w:sz w:val="30"/>
          <w:szCs w:val="30"/>
          <w:highlight w:val="none"/>
        </w:rPr>
      </w:pPr>
      <w:r>
        <w:rPr>
          <w:rFonts w:hint="eastAsia" w:eastAsia="仿宋"/>
          <w:color w:val="auto"/>
          <w:sz w:val="30"/>
          <w:szCs w:val="30"/>
          <w:highlight w:val="none"/>
        </w:rPr>
        <w:t>水泥物理力学性能检验，</w:t>
      </w:r>
      <w:r>
        <w:rPr>
          <w:rFonts w:eastAsia="仿宋"/>
          <w:color w:val="auto"/>
          <w:sz w:val="30"/>
          <w:szCs w:val="30"/>
          <w:highlight w:val="none"/>
        </w:rPr>
        <w:t>钢筋（含焊接与机械连接）力学性能检验</w:t>
      </w:r>
      <w:r>
        <w:rPr>
          <w:rFonts w:hint="eastAsia" w:eastAsia="仿宋"/>
          <w:color w:val="auto"/>
          <w:sz w:val="30"/>
          <w:szCs w:val="30"/>
          <w:highlight w:val="none"/>
        </w:rPr>
        <w:t>，</w:t>
      </w:r>
      <w:r>
        <w:rPr>
          <w:rFonts w:eastAsia="仿宋"/>
          <w:color w:val="auto"/>
          <w:sz w:val="30"/>
          <w:szCs w:val="30"/>
          <w:highlight w:val="none"/>
        </w:rPr>
        <w:t>砂、石常规检验</w:t>
      </w:r>
      <w:r>
        <w:rPr>
          <w:rFonts w:hint="eastAsia" w:eastAsia="仿宋"/>
          <w:color w:val="auto"/>
          <w:sz w:val="30"/>
          <w:szCs w:val="30"/>
          <w:highlight w:val="none"/>
        </w:rPr>
        <w:t>，</w:t>
      </w:r>
      <w:r>
        <w:rPr>
          <w:rFonts w:eastAsia="仿宋"/>
          <w:color w:val="auto"/>
          <w:sz w:val="30"/>
          <w:szCs w:val="30"/>
          <w:highlight w:val="none"/>
        </w:rPr>
        <w:t>混凝土检验</w:t>
      </w:r>
      <w:r>
        <w:rPr>
          <w:rFonts w:hint="eastAsia" w:eastAsia="仿宋"/>
          <w:color w:val="auto"/>
          <w:sz w:val="30"/>
          <w:szCs w:val="30"/>
          <w:highlight w:val="none"/>
        </w:rPr>
        <w:t>，</w:t>
      </w:r>
      <w:r>
        <w:rPr>
          <w:rFonts w:eastAsia="仿宋"/>
          <w:color w:val="auto"/>
          <w:sz w:val="30"/>
          <w:szCs w:val="30"/>
          <w:highlight w:val="none"/>
        </w:rPr>
        <w:t>砂浆检验</w:t>
      </w:r>
      <w:r>
        <w:rPr>
          <w:rFonts w:hint="eastAsia" w:eastAsia="仿宋"/>
          <w:color w:val="auto"/>
          <w:sz w:val="30"/>
          <w:szCs w:val="30"/>
          <w:highlight w:val="none"/>
        </w:rPr>
        <w:t>，</w:t>
      </w:r>
      <w:r>
        <w:rPr>
          <w:rFonts w:eastAsia="仿宋"/>
          <w:color w:val="auto"/>
          <w:sz w:val="30"/>
          <w:szCs w:val="30"/>
          <w:highlight w:val="none"/>
        </w:rPr>
        <w:t>简易土工检验</w:t>
      </w:r>
      <w:r>
        <w:rPr>
          <w:rFonts w:hint="eastAsia" w:eastAsia="仿宋"/>
          <w:color w:val="auto"/>
          <w:sz w:val="30"/>
          <w:szCs w:val="30"/>
          <w:highlight w:val="none"/>
        </w:rPr>
        <w:t>，</w:t>
      </w:r>
      <w:r>
        <w:rPr>
          <w:rFonts w:eastAsia="仿宋"/>
          <w:color w:val="auto"/>
          <w:sz w:val="30"/>
          <w:szCs w:val="30"/>
          <w:highlight w:val="none"/>
        </w:rPr>
        <w:t>混凝土掺加剂检验</w:t>
      </w:r>
      <w:r>
        <w:rPr>
          <w:rFonts w:hint="eastAsia" w:eastAsia="仿宋"/>
          <w:color w:val="auto"/>
          <w:sz w:val="30"/>
          <w:szCs w:val="30"/>
          <w:highlight w:val="none"/>
        </w:rPr>
        <w:t>，</w:t>
      </w:r>
      <w:r>
        <w:rPr>
          <w:rFonts w:eastAsia="仿宋"/>
          <w:color w:val="auto"/>
          <w:sz w:val="30"/>
          <w:szCs w:val="30"/>
          <w:highlight w:val="none"/>
        </w:rPr>
        <w:t>防水卷材检验</w:t>
      </w:r>
      <w:r>
        <w:rPr>
          <w:rFonts w:hint="eastAsia" w:eastAsia="仿宋"/>
          <w:color w:val="auto"/>
          <w:sz w:val="30"/>
          <w:szCs w:val="30"/>
          <w:highlight w:val="none"/>
        </w:rPr>
        <w:t>，</w:t>
      </w:r>
      <w:r>
        <w:rPr>
          <w:rFonts w:eastAsia="仿宋"/>
          <w:color w:val="auto"/>
          <w:sz w:val="30"/>
          <w:szCs w:val="30"/>
          <w:highlight w:val="none"/>
        </w:rPr>
        <w:t>预应力钢绞线</w:t>
      </w:r>
      <w:r>
        <w:rPr>
          <w:rFonts w:hint="eastAsia" w:eastAsia="仿宋"/>
          <w:color w:val="auto"/>
          <w:sz w:val="30"/>
          <w:szCs w:val="30"/>
          <w:highlight w:val="none"/>
        </w:rPr>
        <w:t>，</w:t>
      </w:r>
      <w:r>
        <w:rPr>
          <w:rFonts w:eastAsia="仿宋"/>
          <w:color w:val="auto"/>
          <w:sz w:val="30"/>
          <w:szCs w:val="30"/>
          <w:highlight w:val="none"/>
        </w:rPr>
        <w:t>锚夹具及组合件检验</w:t>
      </w:r>
      <w:r>
        <w:rPr>
          <w:rFonts w:hint="eastAsia" w:eastAsia="仿宋"/>
          <w:color w:val="auto"/>
          <w:sz w:val="30"/>
          <w:szCs w:val="30"/>
          <w:highlight w:val="none"/>
        </w:rPr>
        <w:t>，</w:t>
      </w:r>
      <w:r>
        <w:rPr>
          <w:rFonts w:eastAsia="仿宋"/>
          <w:color w:val="auto"/>
          <w:sz w:val="30"/>
          <w:szCs w:val="30"/>
          <w:highlight w:val="none"/>
        </w:rPr>
        <w:t>沥青及沥青混合料</w:t>
      </w:r>
      <w:r>
        <w:rPr>
          <w:rFonts w:hint="eastAsia" w:eastAsia="仿宋"/>
          <w:color w:val="auto"/>
          <w:sz w:val="30"/>
          <w:szCs w:val="30"/>
          <w:highlight w:val="none"/>
        </w:rPr>
        <w:t>原材料、配合比检验，水稳层配合比设计、无侧限抗压强度检验，给排水工程混凝土管、回填材料击实试验，水篦、井盖承载能力和残余变形检验，钢纤维砼、水泥稳定层、沥青稳定层配合比设计，沥青混合料相关试验，桥梁支座检验，波纹管检验，土工布、土工膜、土工格栅检验，交通工程标线涂料抗压强度、色度性能、耐磨性、耐水性、耐碱性、不粘胎时间检验，钢管尺寸、拉伸、弯曲检验，防腐涂料性能检验，石材弯曲强度、吸水率、体积密度检验，路面砖抗压（抗折）强度、吸水率检验，路缘石</w:t>
      </w:r>
      <w:r>
        <w:rPr>
          <w:rFonts w:eastAsia="仿宋"/>
          <w:color w:val="auto"/>
          <w:sz w:val="30"/>
          <w:szCs w:val="30"/>
          <w:highlight w:val="none"/>
        </w:rPr>
        <w:t>抗压强度、抗折强度、吸水率</w:t>
      </w:r>
      <w:r>
        <w:rPr>
          <w:rFonts w:hint="eastAsia" w:eastAsia="仿宋"/>
          <w:color w:val="auto"/>
          <w:sz w:val="30"/>
          <w:szCs w:val="30"/>
          <w:highlight w:val="none"/>
        </w:rPr>
        <w:t>检验，透水砖抗压强度、抗折强度、防滑性、透水系数、耐磨性检验，铝板涂膜厚度、型材壁厚、硬度检验，混凝土实心砖及灰砂砖抗压强度、抗折强度检验，球墨铸铁管管材及管件外观、尺寸、布氏硬度检验，PVC排水管材外观、尺寸、纵向回缩率、维卡软化温度、拉伸性能、落锤冲击试验检验，玻璃纤维增强塑料电缆导管外观、尺寸、环刚度、巴氏硬度、落锤冲击试验、氧指数检验，电线电缆标志、尺寸、绝缘老化前机械性能、导体电阻、绝缘电阻、电压试验检验，镀锌线管标志、弯曲试验、抗压性能、电气性能检验，HDPE管外观、尺寸、落锤冲击、扁平试验、环刚度、拉伸屈服强度、纵向回缩率检验，给水水质检验，阀门、安全帽、漏电开关检验，种植土及有机肥成分检验等</w:t>
      </w:r>
      <w:r>
        <w:rPr>
          <w:rFonts w:eastAsia="仿宋"/>
          <w:color w:val="auto"/>
          <w:sz w:val="30"/>
          <w:szCs w:val="30"/>
          <w:highlight w:val="none"/>
        </w:rPr>
        <w:t>检测项目。</w:t>
      </w:r>
    </w:p>
    <w:p>
      <w:pPr>
        <w:adjustRightInd w:val="0"/>
        <w:snapToGrid w:val="0"/>
        <w:spacing w:line="360" w:lineRule="auto"/>
        <w:ind w:firstLine="606" w:firstLineChars="200"/>
        <w:outlineLvl w:val="0"/>
        <w:rPr>
          <w:rFonts w:eastAsia="仿宋"/>
          <w:color w:val="auto"/>
          <w:sz w:val="30"/>
          <w:szCs w:val="30"/>
          <w:highlight w:val="none"/>
        </w:rPr>
      </w:pPr>
      <w:bookmarkStart w:id="349" w:name="_Toc28129452"/>
      <w:bookmarkStart w:id="350" w:name="_Toc23686166"/>
      <w:bookmarkStart w:id="351" w:name="_Toc6847157"/>
      <w:bookmarkStart w:id="352" w:name="_Toc26470"/>
      <w:bookmarkStart w:id="353" w:name="_Toc4444235"/>
      <w:bookmarkStart w:id="354" w:name="_Toc15048"/>
      <w:bookmarkStart w:id="355" w:name="_Toc23685172"/>
      <w:bookmarkStart w:id="356" w:name="_Toc18874"/>
      <w:bookmarkStart w:id="357" w:name="_Toc9785"/>
      <w:bookmarkStart w:id="358" w:name="_Toc28129175"/>
      <w:r>
        <w:rPr>
          <w:rFonts w:eastAsia="仿宋"/>
          <w:color w:val="auto"/>
          <w:sz w:val="30"/>
          <w:szCs w:val="30"/>
          <w:highlight w:val="none"/>
        </w:rPr>
        <w:t>（2）</w:t>
      </w:r>
      <w:r>
        <w:rPr>
          <w:rFonts w:hint="eastAsia" w:eastAsia="仿宋"/>
          <w:color w:val="auto"/>
          <w:sz w:val="30"/>
          <w:szCs w:val="30"/>
          <w:highlight w:val="none"/>
        </w:rPr>
        <w:t>实体</w:t>
      </w:r>
      <w:r>
        <w:rPr>
          <w:rFonts w:eastAsia="仿宋"/>
          <w:color w:val="auto"/>
          <w:sz w:val="30"/>
          <w:szCs w:val="30"/>
          <w:highlight w:val="none"/>
        </w:rPr>
        <w:t>检测</w:t>
      </w:r>
      <w:bookmarkEnd w:id="349"/>
      <w:bookmarkEnd w:id="350"/>
      <w:bookmarkEnd w:id="351"/>
      <w:bookmarkEnd w:id="352"/>
      <w:bookmarkEnd w:id="353"/>
      <w:bookmarkEnd w:id="354"/>
      <w:bookmarkEnd w:id="355"/>
      <w:bookmarkEnd w:id="356"/>
      <w:bookmarkEnd w:id="357"/>
      <w:bookmarkEnd w:id="358"/>
    </w:p>
    <w:p>
      <w:pPr>
        <w:adjustRightInd w:val="0"/>
        <w:snapToGrid w:val="0"/>
        <w:spacing w:line="360" w:lineRule="auto"/>
        <w:ind w:firstLine="606" w:firstLineChars="200"/>
        <w:rPr>
          <w:rFonts w:eastAsia="仿宋"/>
          <w:color w:val="auto"/>
          <w:sz w:val="30"/>
          <w:szCs w:val="30"/>
          <w:highlight w:val="none"/>
        </w:rPr>
      </w:pPr>
      <w:r>
        <w:rPr>
          <w:rFonts w:hint="eastAsia" w:eastAsia="仿宋"/>
          <w:color w:val="auto"/>
          <w:sz w:val="30"/>
          <w:szCs w:val="30"/>
          <w:highlight w:val="none"/>
        </w:rPr>
        <w:t>水泥搅拌桩复合地基单桩竖向抗压静载试验、单桩复合地基平板检测、钻芯法检测，处理土地基触探试验，排水工程、给水工程、通信工程、电力工程基础轻型触探检测，道路工程芯样厚度、芯样压实度、摩擦系数、抗滑性能、构造深度、平整度、宽度、纵断面高程、横坡、中线偏位、弯沉检验，给排水工程管道回填压实度、雨污管道功能性检测、管道沟槽轻型动力触探、给水管水压试验检验，电力管沟混凝土强度、钢筋保护层厚度检验，桥梁工程桩基检测、上部结构动静载检测、混凝土强度、保护层检测、形体检测等，钢结构对接焊缝超声波探伤、接口涂层厚度、钢箱梁桥射线探伤、磁粉探伤检测等，交通工程标线逆反射亮度系数、尺寸检验，乔木和地被病虫害检验，电气工程接地电阻检测，给水管过路套管焊缝检验，道路照明工程照度、照明功率密度、照度均匀度、亮度等相关指标检验。</w:t>
      </w:r>
    </w:p>
    <w:p>
      <w:pPr>
        <w:adjustRightInd w:val="0"/>
        <w:snapToGrid w:val="0"/>
        <w:spacing w:line="360" w:lineRule="auto"/>
        <w:ind w:firstLine="606" w:firstLineChars="200"/>
        <w:outlineLvl w:val="0"/>
        <w:rPr>
          <w:rFonts w:eastAsia="仿宋"/>
          <w:color w:val="auto"/>
          <w:sz w:val="30"/>
          <w:szCs w:val="30"/>
          <w:highlight w:val="none"/>
        </w:rPr>
      </w:pPr>
      <w:bookmarkStart w:id="359" w:name="_Toc28129176"/>
      <w:bookmarkStart w:id="360" w:name="_Toc28129453"/>
      <w:bookmarkStart w:id="361" w:name="_Toc6847158"/>
      <w:bookmarkStart w:id="362" w:name="_Toc4444236"/>
      <w:bookmarkStart w:id="363" w:name="_Toc23686167"/>
      <w:bookmarkStart w:id="364" w:name="_Toc23685173"/>
      <w:bookmarkStart w:id="365" w:name="_Toc19967"/>
      <w:bookmarkStart w:id="366" w:name="_Toc24042"/>
      <w:bookmarkStart w:id="367" w:name="_Toc22999"/>
      <w:bookmarkStart w:id="368" w:name="_Toc5945"/>
      <w:r>
        <w:rPr>
          <w:rFonts w:eastAsia="仿宋"/>
          <w:color w:val="auto"/>
          <w:sz w:val="30"/>
          <w:szCs w:val="30"/>
          <w:highlight w:val="none"/>
        </w:rPr>
        <w:t>（3）</w:t>
      </w:r>
      <w:bookmarkEnd w:id="359"/>
      <w:bookmarkEnd w:id="360"/>
      <w:bookmarkEnd w:id="361"/>
      <w:bookmarkEnd w:id="362"/>
      <w:bookmarkEnd w:id="363"/>
      <w:bookmarkEnd w:id="364"/>
      <w:r>
        <w:rPr>
          <w:rFonts w:hint="eastAsia" w:eastAsia="仿宋"/>
          <w:color w:val="auto"/>
          <w:sz w:val="30"/>
          <w:szCs w:val="30"/>
          <w:highlight w:val="none"/>
        </w:rPr>
        <w:t>软基处理监测</w:t>
      </w:r>
      <w:bookmarkEnd w:id="365"/>
      <w:bookmarkEnd w:id="366"/>
      <w:bookmarkEnd w:id="367"/>
      <w:bookmarkEnd w:id="368"/>
    </w:p>
    <w:p>
      <w:pPr>
        <w:adjustRightInd w:val="0"/>
        <w:snapToGrid w:val="0"/>
        <w:spacing w:line="360" w:lineRule="auto"/>
        <w:ind w:firstLine="606" w:firstLineChars="200"/>
        <w:rPr>
          <w:rFonts w:eastAsia="仿宋"/>
          <w:color w:val="auto"/>
          <w:sz w:val="30"/>
          <w:szCs w:val="30"/>
          <w:highlight w:val="none"/>
        </w:rPr>
      </w:pPr>
      <w:r>
        <w:rPr>
          <w:rFonts w:hint="eastAsia" w:eastAsia="仿宋"/>
          <w:color w:val="auto"/>
          <w:sz w:val="30"/>
          <w:szCs w:val="30"/>
          <w:highlight w:val="none"/>
        </w:rPr>
        <w:t>路基沉降观测监测。</w:t>
      </w:r>
    </w:p>
    <w:p>
      <w:pPr>
        <w:adjustRightInd w:val="0"/>
        <w:snapToGrid w:val="0"/>
        <w:spacing w:line="360" w:lineRule="auto"/>
        <w:ind w:firstLine="606" w:firstLineChars="200"/>
        <w:rPr>
          <w:rFonts w:eastAsia="仿宋"/>
          <w:color w:val="auto"/>
          <w:sz w:val="30"/>
          <w:szCs w:val="30"/>
          <w:highlight w:val="none"/>
        </w:rPr>
      </w:pPr>
      <w:r>
        <w:rPr>
          <w:rFonts w:hint="eastAsia" w:eastAsia="仿宋"/>
          <w:color w:val="auto"/>
          <w:sz w:val="30"/>
          <w:szCs w:val="30"/>
          <w:highlight w:val="none"/>
        </w:rPr>
        <w:t>（4）基坑监测</w:t>
      </w:r>
    </w:p>
    <w:p>
      <w:pPr>
        <w:adjustRightInd w:val="0"/>
        <w:snapToGrid w:val="0"/>
        <w:spacing w:line="360" w:lineRule="auto"/>
        <w:ind w:firstLine="606" w:firstLineChars="200"/>
        <w:rPr>
          <w:rFonts w:eastAsia="仿宋"/>
          <w:color w:val="auto"/>
          <w:sz w:val="30"/>
          <w:szCs w:val="30"/>
          <w:highlight w:val="none"/>
        </w:rPr>
      </w:pPr>
      <w:r>
        <w:rPr>
          <w:rFonts w:hint="eastAsia" w:eastAsia="仿宋"/>
          <w:color w:val="auto"/>
          <w:sz w:val="30"/>
          <w:szCs w:val="30"/>
          <w:highlight w:val="none"/>
        </w:rPr>
        <w:t>工程基坑坑顶水平位移观测、坑顶竖向位移观测、周边地面沉降观测、深层水平位移监测、支撑内力监测项目。</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2.1.</w:t>
      </w:r>
      <w:r>
        <w:rPr>
          <w:rFonts w:hint="eastAsia" w:eastAsia="仿宋"/>
          <w:color w:val="auto"/>
          <w:sz w:val="30"/>
          <w:szCs w:val="30"/>
          <w:highlight w:val="none"/>
        </w:rPr>
        <w:t>1.1</w:t>
      </w:r>
      <w:r>
        <w:rPr>
          <w:rFonts w:eastAsia="仿宋"/>
          <w:color w:val="auto"/>
          <w:sz w:val="30"/>
          <w:szCs w:val="30"/>
          <w:highlight w:val="none"/>
        </w:rPr>
        <w:t xml:space="preserve"> 工程质量</w:t>
      </w:r>
      <w:r>
        <w:rPr>
          <w:rFonts w:hint="eastAsia" w:eastAsia="仿宋"/>
          <w:color w:val="auto"/>
          <w:sz w:val="30"/>
          <w:szCs w:val="30"/>
          <w:highlight w:val="none"/>
        </w:rPr>
        <w:t>检测</w:t>
      </w:r>
      <w:r>
        <w:rPr>
          <w:rFonts w:eastAsia="仿宋"/>
          <w:color w:val="auto"/>
          <w:sz w:val="30"/>
          <w:szCs w:val="30"/>
          <w:highlight w:val="none"/>
        </w:rPr>
        <w:t>工作内容还包括：</w:t>
      </w:r>
      <w:r>
        <w:rPr>
          <w:rFonts w:eastAsia="仿宋"/>
          <w:color w:val="auto"/>
          <w:sz w:val="30"/>
          <w:szCs w:val="30"/>
          <w:highlight w:val="none"/>
          <w:u w:val="single"/>
        </w:rPr>
        <w:t>道路综合检测、</w:t>
      </w:r>
      <w:r>
        <w:rPr>
          <w:rFonts w:hint="eastAsia" w:eastAsia="仿宋"/>
          <w:color w:val="auto"/>
          <w:sz w:val="30"/>
          <w:szCs w:val="30"/>
          <w:highlight w:val="none"/>
          <w:u w:val="single"/>
        </w:rPr>
        <w:t>材料</w:t>
      </w:r>
      <w:r>
        <w:rPr>
          <w:rFonts w:eastAsia="仿宋"/>
          <w:color w:val="auto"/>
          <w:sz w:val="30"/>
          <w:szCs w:val="30"/>
          <w:highlight w:val="none"/>
          <w:u w:val="single"/>
        </w:rPr>
        <w:t>见证取样检测、路基路面质量检测、桥梁检测</w:t>
      </w:r>
      <w:r>
        <w:rPr>
          <w:rFonts w:hint="eastAsia" w:eastAsia="仿宋"/>
          <w:color w:val="auto"/>
          <w:sz w:val="30"/>
          <w:szCs w:val="30"/>
          <w:highlight w:val="none"/>
          <w:u w:val="single"/>
        </w:rPr>
        <w:t>、给排水工程检测、交通工程检测、照明工程检测、电力通信工程、绿化工程检测，软基处理监测，管坑基坑监测</w:t>
      </w:r>
      <w:r>
        <w:rPr>
          <w:rFonts w:eastAsia="仿宋"/>
          <w:color w:val="auto"/>
          <w:sz w:val="30"/>
          <w:szCs w:val="30"/>
          <w:highlight w:val="none"/>
          <w:u w:val="single"/>
        </w:rPr>
        <w:t>等本项目建设全过程中国家及地方法律、法规规定必须实行见证取样、送检的所有检测内容</w:t>
      </w:r>
      <w:r>
        <w:rPr>
          <w:rFonts w:eastAsia="仿宋"/>
          <w:color w:val="auto"/>
          <w:sz w:val="30"/>
          <w:szCs w:val="30"/>
          <w:highlight w:val="none"/>
        </w:rPr>
        <w:t xml:space="preserve">。 </w:t>
      </w:r>
    </w:p>
    <w:p>
      <w:pPr>
        <w:pStyle w:val="28"/>
        <w:ind w:firstLine="606" w:firstLineChars="200"/>
        <w:rPr>
          <w:rFonts w:eastAsia="仿宋"/>
          <w:color w:val="auto"/>
          <w:sz w:val="30"/>
          <w:szCs w:val="30"/>
          <w:highlight w:val="none"/>
        </w:rPr>
      </w:pPr>
      <w:r>
        <w:rPr>
          <w:rFonts w:hint="eastAsia" w:eastAsia="仿宋"/>
          <w:color w:val="auto"/>
          <w:sz w:val="30"/>
          <w:szCs w:val="30"/>
          <w:highlight w:val="none"/>
        </w:rPr>
        <w:t>2.1.1.2 工程监测工作内容还包括：建设工程主管部门、监督部门要求公开招标选定的具有质量监控作用的基坑监测、软土监测、沉降监测等主要内容，以及为工程验收提供依据的所需监测项目服务。</w:t>
      </w:r>
    </w:p>
    <w:p>
      <w:pPr>
        <w:pStyle w:val="28"/>
        <w:ind w:firstLine="303"/>
        <w:rPr>
          <w:rFonts w:eastAsia="仿宋"/>
          <w:color w:val="auto"/>
          <w:sz w:val="30"/>
          <w:szCs w:val="30"/>
          <w:highlight w:val="none"/>
        </w:rPr>
      </w:pPr>
      <w:r>
        <w:rPr>
          <w:rFonts w:hint="eastAsia" w:eastAsia="仿宋"/>
          <w:color w:val="auto"/>
          <w:sz w:val="30"/>
          <w:szCs w:val="30"/>
          <w:highlight w:val="none"/>
        </w:rPr>
        <w:t>2.1.2检测监测的工作要求</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 乙方</w:t>
      </w:r>
      <w:r>
        <w:rPr>
          <w:rFonts w:hint="eastAsia" w:eastAsia="仿宋"/>
          <w:color w:val="auto"/>
          <w:sz w:val="30"/>
          <w:szCs w:val="30"/>
          <w:highlight w:val="none"/>
        </w:rPr>
        <w:t>在开展工作前</w:t>
      </w:r>
      <w:r>
        <w:rPr>
          <w:rFonts w:eastAsia="仿宋"/>
          <w:color w:val="auto"/>
          <w:sz w:val="30"/>
          <w:szCs w:val="30"/>
          <w:highlight w:val="none"/>
        </w:rPr>
        <w:t xml:space="preserve"> 5 个工作日内向甲方提交本合同约定项目的《检测监测实施方案》，并报监理工程师、</w:t>
      </w:r>
      <w:r>
        <w:rPr>
          <w:rFonts w:hint="eastAsia" w:eastAsia="仿宋"/>
          <w:color w:val="auto"/>
          <w:sz w:val="30"/>
          <w:szCs w:val="30"/>
          <w:highlight w:val="none"/>
        </w:rPr>
        <w:t>甲方及</w:t>
      </w:r>
      <w:r>
        <w:rPr>
          <w:rFonts w:eastAsia="仿宋"/>
          <w:color w:val="auto"/>
          <w:sz w:val="30"/>
          <w:szCs w:val="30"/>
          <w:highlight w:val="none"/>
        </w:rPr>
        <w:t>项目所在行政区域的相关建设行政主管部门和监督部门等审批同意后实施。如</w:t>
      </w:r>
      <w:r>
        <w:rPr>
          <w:rFonts w:hint="eastAsia" w:eastAsia="仿宋"/>
          <w:color w:val="auto"/>
          <w:sz w:val="30"/>
          <w:szCs w:val="30"/>
          <w:highlight w:val="none"/>
        </w:rPr>
        <w:t>相关部门</w:t>
      </w:r>
      <w:r>
        <w:rPr>
          <w:rFonts w:eastAsia="仿宋"/>
          <w:color w:val="auto"/>
          <w:sz w:val="30"/>
          <w:szCs w:val="30"/>
          <w:highlight w:val="none"/>
        </w:rPr>
        <w:t>要求乙方对《检测监测实施方案》等进行合理修改调整，乙方必须在收到修改调整意见之日起</w:t>
      </w:r>
      <w:r>
        <w:rPr>
          <w:rFonts w:eastAsia="仿宋"/>
          <w:color w:val="auto"/>
          <w:sz w:val="30"/>
          <w:szCs w:val="30"/>
          <w:highlight w:val="none"/>
          <w:u w:val="single"/>
        </w:rPr>
        <w:t xml:space="preserve"> 5 </w:t>
      </w:r>
      <w:r>
        <w:rPr>
          <w:rFonts w:eastAsia="仿宋"/>
          <w:color w:val="auto"/>
          <w:sz w:val="30"/>
          <w:szCs w:val="30"/>
          <w:highlight w:val="none"/>
        </w:rPr>
        <w:t>个工作日内，按要求完成修改调整并报甲方审核，并按照有关规定送</w:t>
      </w:r>
      <w:r>
        <w:rPr>
          <w:rFonts w:hint="eastAsia" w:eastAsia="仿宋"/>
          <w:color w:val="auto"/>
          <w:sz w:val="30"/>
          <w:szCs w:val="30"/>
          <w:highlight w:val="none"/>
        </w:rPr>
        <w:t>相关建设行政主管部门和</w:t>
      </w:r>
      <w:r>
        <w:rPr>
          <w:rFonts w:eastAsia="仿宋"/>
          <w:color w:val="auto"/>
          <w:sz w:val="30"/>
          <w:szCs w:val="30"/>
          <w:highlight w:val="none"/>
        </w:rPr>
        <w:t>监督部门</w:t>
      </w:r>
      <w:r>
        <w:rPr>
          <w:rFonts w:hint="eastAsia" w:eastAsia="仿宋"/>
          <w:color w:val="auto"/>
          <w:sz w:val="30"/>
          <w:szCs w:val="30"/>
          <w:highlight w:val="none"/>
        </w:rPr>
        <w:t>审批</w:t>
      </w:r>
      <w:r>
        <w:rPr>
          <w:rFonts w:eastAsia="仿宋"/>
          <w:color w:val="auto"/>
          <w:sz w:val="30"/>
          <w:szCs w:val="30"/>
          <w:highlight w:val="none"/>
        </w:rPr>
        <w:t>备案，甲方以此具体考核乙方的检测监测工作。</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(2) 乙方必须在甲方发出进场通知之日起24小时内，按甲方具体的要求进场，并立即开始履行本合同约定的义务。乙方必须按照其《检测监测实施方案》的承诺，足额、按时派出检测监测人员和投入设备。当甲方的现场配合条件不能满足检测监测要求时，乙方可向甲方书面提出推迟进场申请，经甲方书面同意后方可推迟进场。</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(3) 乙方应自行完成本合同约定项目的检测监测工作（除本合同另有约定外），不得转包和分包。</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(4) 乙方应认真、勤奋地工作，按时提交各阶段的检测监测报告并对检测监测报告数据的真实性、可靠性负责。对检测监测报告中出现的遗漏或错误负责无偿修改或补充。</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 检测监测过程中，发现施工单位违反有关法律、法规、规范和工程建设强制性标准的行为，应及时向甲方报告。</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(6) 乙方对本方检测监测人员及专项试验室经常进行检查、指导、管理。</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(7) 乙方协调甲方、施工单位、监理单位以及设计单位的工作关系并组织本项目的检测监测工作，安排检测监测人员常驻现场，了解工程进度情况，及时通知施工与监理单位开展相关检测监测工作。</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(8) 乙方应自行解决现场项目组的办公和生活用房、设施、配套水电，以及检测监测人员交通、通讯费等，由此发生的费用已包含在综合单价中</w:t>
      </w:r>
      <w:r>
        <w:rPr>
          <w:rFonts w:hint="eastAsia" w:eastAsia="仿宋"/>
          <w:color w:val="auto"/>
          <w:sz w:val="30"/>
          <w:szCs w:val="30"/>
          <w:highlight w:val="none"/>
        </w:rPr>
        <w:t>，甲方不另行支付</w:t>
      </w:r>
      <w:r>
        <w:rPr>
          <w:rFonts w:eastAsia="仿宋"/>
          <w:color w:val="auto"/>
          <w:sz w:val="30"/>
          <w:szCs w:val="30"/>
          <w:highlight w:val="none"/>
        </w:rPr>
        <w:t>。</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(9) 乙方应当配合工程设计和施工的需要提供相应的检测监测服务，并应按甲方要求，采取有效措施及时提供中间资料，以满足施工进度的需要。</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(10) 检测监测过程中，如因场地条件、设计方案的变更，需增减检测监测工程量或改变检测监测手段的，乙方均应及时向甲方报告，并在甲方批准后方可实施。</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(11) 检测监测后，检测监测数据报警或由于其他客观情况需要，甲方要求乙方进行复检时，乙方应无条件配合复检，由此产生的相关费用由责任方承担。</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(12) 对于甲方书面提交并要求作出决定的事宜，乙方应在收到之日起3个工作日内作出书面答复；对影响施工现场进度的事项应在24小时内作出具有明确处理意见的书面答复。</w:t>
      </w:r>
    </w:p>
    <w:p>
      <w:pPr>
        <w:adjustRightInd w:val="0"/>
        <w:snapToGrid w:val="0"/>
        <w:spacing w:line="360" w:lineRule="auto"/>
        <w:ind w:firstLine="303" w:firstLineChars="100"/>
        <w:rPr>
          <w:rFonts w:eastAsia="仿宋"/>
          <w:color w:val="auto"/>
          <w:sz w:val="30"/>
          <w:szCs w:val="30"/>
          <w:highlight w:val="none"/>
        </w:rPr>
      </w:pPr>
      <w:r>
        <w:rPr>
          <w:rFonts w:eastAsia="仿宋"/>
          <w:color w:val="auto"/>
          <w:sz w:val="30"/>
          <w:szCs w:val="30"/>
          <w:highlight w:val="none"/>
        </w:rPr>
        <w:t>（13）按时进行现场试验取样、提交检测监测报告，负责资料、报告的打印、复印、装订、装箱等工作。</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(14) 向甲方提供非驻场式的技术咨询、支持服务，包括参加本项目相关会议、安排技术人员到现场解决相关问题。</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(15) 应随时接受甲方、监理单位及质量安全监督部门的监督，为确保检测监测结果的正确，任何人不得干预检测监测结果。</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(16) 保证检测监测人员具备检测监测资格，保证持有的检测监测资质满足地方管理要求。</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(17) 提供检测监测仪器设备，负责仪器设备安装及场内中转、进退场。保证检测监测计量器具在计量检定有效周期内。</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(18) 不向任何第三方泄露本项目的检测监测结果。</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(19) 与工程所在行政区域的相关建设行政主管部门和监督部门进行检测工作的协调，申报检测监测技术成果的审批。保证技术成果能够通过相关部门认可，确保不因检测监测工作影响本工程项目的建设进度和竣工验收。</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(20) 对检测过程中发现存在的质量问题，提出具体的处理意见和建议。</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2.2 工程质量</w:t>
      </w:r>
      <w:r>
        <w:rPr>
          <w:rFonts w:hint="eastAsia" w:eastAsia="仿宋"/>
          <w:color w:val="auto"/>
          <w:sz w:val="30"/>
          <w:szCs w:val="30"/>
          <w:highlight w:val="none"/>
        </w:rPr>
        <w:t>检测</w:t>
      </w:r>
      <w:r>
        <w:rPr>
          <w:rFonts w:eastAsia="仿宋"/>
          <w:color w:val="auto"/>
          <w:sz w:val="30"/>
          <w:szCs w:val="30"/>
          <w:highlight w:val="none"/>
        </w:rPr>
        <w:t>与相关服务依据</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2.2.1 工程质量</w:t>
      </w:r>
      <w:r>
        <w:rPr>
          <w:rFonts w:hint="eastAsia" w:eastAsia="仿宋"/>
          <w:color w:val="auto"/>
          <w:sz w:val="30"/>
          <w:szCs w:val="30"/>
          <w:highlight w:val="none"/>
        </w:rPr>
        <w:t>检测</w:t>
      </w:r>
      <w:r>
        <w:rPr>
          <w:rFonts w:eastAsia="仿宋"/>
          <w:color w:val="auto"/>
          <w:sz w:val="30"/>
          <w:szCs w:val="30"/>
          <w:highlight w:val="none"/>
        </w:rPr>
        <w:t>依据包括：</w:t>
      </w:r>
      <w:r>
        <w:rPr>
          <w:rFonts w:eastAsia="仿宋"/>
          <w:color w:val="auto"/>
          <w:sz w:val="30"/>
          <w:szCs w:val="30"/>
          <w:highlight w:val="none"/>
          <w:u w:val="single"/>
        </w:rPr>
        <w:t>根据设计图纸要求、施工过程相关资料和现行有效的国家或地区有关标准规范规定等。详见附件3。</w:t>
      </w:r>
    </w:p>
    <w:p>
      <w:pPr>
        <w:adjustRightInd w:val="0"/>
        <w:snapToGrid w:val="0"/>
        <w:spacing w:line="360" w:lineRule="auto"/>
        <w:ind w:firstLine="606" w:firstLineChars="200"/>
        <w:rPr>
          <w:rFonts w:eastAsia="仿宋"/>
          <w:dstrike/>
          <w:color w:val="auto"/>
          <w:sz w:val="30"/>
          <w:szCs w:val="30"/>
          <w:highlight w:val="none"/>
        </w:rPr>
      </w:pPr>
      <w:r>
        <w:rPr>
          <w:rFonts w:eastAsia="仿宋"/>
          <w:color w:val="auto"/>
          <w:sz w:val="30"/>
          <w:szCs w:val="30"/>
          <w:highlight w:val="none"/>
        </w:rPr>
        <w:t>2.2.2 相关服务依据包括：</w:t>
      </w:r>
      <w:r>
        <w:rPr>
          <w:rFonts w:eastAsia="仿宋"/>
          <w:color w:val="auto"/>
          <w:sz w:val="30"/>
          <w:szCs w:val="30"/>
          <w:highlight w:val="none"/>
          <w:u w:val="single"/>
        </w:rPr>
        <w:t>项目实际情况所适用的现行有效的</w:t>
      </w:r>
      <w:r>
        <w:rPr>
          <w:rFonts w:hint="eastAsia" w:eastAsia="仿宋"/>
          <w:color w:val="auto"/>
          <w:sz w:val="30"/>
          <w:szCs w:val="30"/>
          <w:highlight w:val="none"/>
          <w:u w:val="single"/>
        </w:rPr>
        <w:t>检测</w:t>
      </w:r>
      <w:r>
        <w:rPr>
          <w:rFonts w:eastAsia="仿宋"/>
          <w:color w:val="auto"/>
          <w:sz w:val="30"/>
          <w:szCs w:val="30"/>
          <w:highlight w:val="none"/>
          <w:u w:val="single"/>
        </w:rPr>
        <w:t>标准、规范，</w:t>
      </w:r>
      <w:r>
        <w:rPr>
          <w:rFonts w:eastAsia="仿宋"/>
          <w:color w:val="auto"/>
          <w:kern w:val="0"/>
          <w:sz w:val="30"/>
          <w:szCs w:val="30"/>
          <w:highlight w:val="none"/>
          <w:u w:val="single"/>
        </w:rPr>
        <w:t>满足</w:t>
      </w:r>
      <w:r>
        <w:rPr>
          <w:rFonts w:hint="eastAsia" w:eastAsia="仿宋"/>
          <w:color w:val="auto"/>
          <w:kern w:val="0"/>
          <w:sz w:val="30"/>
          <w:szCs w:val="30"/>
          <w:highlight w:val="none"/>
          <w:u w:val="single"/>
        </w:rPr>
        <w:t>工程所在地</w:t>
      </w:r>
      <w:r>
        <w:rPr>
          <w:rFonts w:eastAsia="仿宋"/>
          <w:color w:val="auto"/>
          <w:kern w:val="0"/>
          <w:sz w:val="30"/>
          <w:szCs w:val="30"/>
          <w:highlight w:val="none"/>
          <w:u w:val="single"/>
        </w:rPr>
        <w:t>地方规定以及现行国家法律法规规定所有</w:t>
      </w:r>
      <w:r>
        <w:rPr>
          <w:rFonts w:hint="eastAsia" w:eastAsia="仿宋"/>
          <w:color w:val="auto"/>
          <w:kern w:val="0"/>
          <w:sz w:val="30"/>
          <w:szCs w:val="30"/>
          <w:highlight w:val="none"/>
          <w:u w:val="single"/>
        </w:rPr>
        <w:t>检测</w:t>
      </w:r>
      <w:r>
        <w:rPr>
          <w:rFonts w:eastAsia="仿宋"/>
          <w:color w:val="auto"/>
          <w:kern w:val="0"/>
          <w:sz w:val="30"/>
          <w:szCs w:val="30"/>
          <w:highlight w:val="none"/>
          <w:u w:val="single"/>
        </w:rPr>
        <w:t>项的规范要求。</w:t>
      </w:r>
    </w:p>
    <w:p>
      <w:pPr>
        <w:adjustRightInd w:val="0"/>
        <w:snapToGrid w:val="0"/>
        <w:spacing w:line="360" w:lineRule="auto"/>
        <w:ind w:firstLine="606" w:firstLineChars="200"/>
        <w:rPr>
          <w:rFonts w:eastAsia="仿宋"/>
          <w:color w:val="auto"/>
          <w:kern w:val="0"/>
          <w:sz w:val="30"/>
          <w:szCs w:val="30"/>
          <w:highlight w:val="none"/>
        </w:rPr>
      </w:pPr>
      <w:r>
        <w:rPr>
          <w:rFonts w:eastAsia="仿宋"/>
          <w:color w:val="auto"/>
          <w:sz w:val="30"/>
          <w:szCs w:val="30"/>
          <w:highlight w:val="none"/>
        </w:rPr>
        <w:t>2.3</w:t>
      </w:r>
      <w:r>
        <w:rPr>
          <w:rFonts w:hint="eastAsia" w:eastAsia="仿宋"/>
          <w:color w:val="auto"/>
          <w:sz w:val="30"/>
          <w:szCs w:val="30"/>
          <w:highlight w:val="none"/>
        </w:rPr>
        <w:t>检测</w:t>
      </w:r>
      <w:r>
        <w:rPr>
          <w:rFonts w:eastAsia="仿宋"/>
          <w:color w:val="auto"/>
          <w:kern w:val="0"/>
          <w:sz w:val="30"/>
          <w:szCs w:val="30"/>
          <w:highlight w:val="none"/>
        </w:rPr>
        <w:t>项目负责人</w:t>
      </w:r>
    </w:p>
    <w:p>
      <w:pPr>
        <w:spacing w:line="360" w:lineRule="auto"/>
        <w:ind w:left="302" w:leftChars="142" w:firstLine="151" w:firstLineChars="50"/>
        <w:rPr>
          <w:rFonts w:eastAsia="仿宋"/>
          <w:color w:val="auto"/>
          <w:sz w:val="30"/>
          <w:szCs w:val="30"/>
          <w:highlight w:val="none"/>
          <w:u w:val="single"/>
        </w:rPr>
      </w:pPr>
      <w:r>
        <w:rPr>
          <w:rFonts w:eastAsia="仿宋"/>
          <w:color w:val="auto"/>
          <w:kern w:val="0"/>
          <w:sz w:val="30"/>
          <w:szCs w:val="30"/>
          <w:highlight w:val="none"/>
        </w:rPr>
        <w:t xml:space="preserve"> </w:t>
      </w:r>
      <w:r>
        <w:rPr>
          <w:rFonts w:eastAsia="仿宋"/>
          <w:color w:val="auto"/>
          <w:sz w:val="30"/>
          <w:szCs w:val="30"/>
          <w:highlight w:val="none"/>
        </w:rPr>
        <w:t>2.3.1 乙方</w:t>
      </w:r>
      <w:r>
        <w:rPr>
          <w:rFonts w:hint="eastAsia" w:eastAsia="仿宋"/>
          <w:color w:val="auto"/>
          <w:sz w:val="30"/>
          <w:szCs w:val="30"/>
          <w:highlight w:val="none"/>
        </w:rPr>
        <w:t>检测</w:t>
      </w:r>
      <w:r>
        <w:rPr>
          <w:rFonts w:eastAsia="仿宋"/>
          <w:color w:val="auto"/>
          <w:sz w:val="30"/>
          <w:szCs w:val="30"/>
          <w:highlight w:val="none"/>
        </w:rPr>
        <w:t>总负责人：</w:t>
      </w:r>
      <w:r>
        <w:rPr>
          <w:rFonts w:eastAsia="仿宋"/>
          <w:color w:val="auto"/>
          <w:sz w:val="30"/>
          <w:szCs w:val="30"/>
          <w:highlight w:val="none"/>
          <w:u w:val="single"/>
        </w:rPr>
        <w:t xml:space="preserve"> 姓名</w:t>
      </w:r>
      <w:r>
        <w:rPr>
          <w:rFonts w:hint="eastAsia" w:eastAsia="仿宋"/>
          <w:color w:val="auto"/>
          <w:sz w:val="30"/>
          <w:szCs w:val="30"/>
          <w:highlight w:val="none"/>
          <w:u w:val="single"/>
        </w:rPr>
        <w:t>：       ；</w:t>
      </w:r>
      <w:r>
        <w:rPr>
          <w:rFonts w:eastAsia="仿宋"/>
          <w:color w:val="auto"/>
          <w:sz w:val="30"/>
          <w:szCs w:val="30"/>
          <w:highlight w:val="none"/>
          <w:u w:val="single"/>
        </w:rPr>
        <w:t>职务</w:t>
      </w:r>
      <w:r>
        <w:rPr>
          <w:rFonts w:hint="eastAsia" w:eastAsia="仿宋"/>
          <w:color w:val="auto"/>
          <w:sz w:val="30"/>
          <w:szCs w:val="30"/>
          <w:highlight w:val="none"/>
          <w:u w:val="single"/>
        </w:rPr>
        <w:t>：   ；</w:t>
      </w:r>
      <w:r>
        <w:rPr>
          <w:rFonts w:eastAsia="仿宋"/>
          <w:color w:val="auto"/>
          <w:sz w:val="30"/>
          <w:szCs w:val="30"/>
          <w:highlight w:val="none"/>
          <w:u w:val="single"/>
        </w:rPr>
        <w:t>资质</w:t>
      </w:r>
      <w:r>
        <w:rPr>
          <w:rFonts w:hint="eastAsia" w:eastAsia="仿宋"/>
          <w:color w:val="auto"/>
          <w:sz w:val="30"/>
          <w:szCs w:val="30"/>
          <w:highlight w:val="none"/>
          <w:u w:val="single"/>
        </w:rPr>
        <w:t>：    ；</w:t>
      </w:r>
      <w:r>
        <w:rPr>
          <w:rFonts w:eastAsia="仿宋"/>
          <w:color w:val="auto"/>
          <w:sz w:val="30"/>
          <w:szCs w:val="30"/>
          <w:highlight w:val="none"/>
          <w:u w:val="single"/>
        </w:rPr>
        <w:t>联系电话</w:t>
      </w:r>
      <w:r>
        <w:rPr>
          <w:rFonts w:hint="eastAsia" w:eastAsia="仿宋"/>
          <w:color w:val="auto"/>
          <w:sz w:val="30"/>
          <w:szCs w:val="30"/>
          <w:highlight w:val="none"/>
          <w:u w:val="single"/>
        </w:rPr>
        <w:t>：    ；</w:t>
      </w:r>
      <w:r>
        <w:rPr>
          <w:rFonts w:eastAsia="仿宋"/>
          <w:color w:val="auto"/>
          <w:sz w:val="30"/>
          <w:szCs w:val="30"/>
          <w:highlight w:val="none"/>
          <w:u w:val="single"/>
        </w:rPr>
        <w:t>邮箱</w:t>
      </w:r>
      <w:r>
        <w:rPr>
          <w:rFonts w:hint="eastAsia" w:eastAsia="仿宋"/>
          <w:color w:val="auto"/>
          <w:sz w:val="30"/>
          <w:szCs w:val="30"/>
          <w:highlight w:val="none"/>
          <w:u w:val="single"/>
        </w:rPr>
        <w:t xml:space="preserve">：     </w:t>
      </w:r>
    </w:p>
    <w:p>
      <w:pPr>
        <w:adjustRightInd w:val="0"/>
        <w:snapToGrid w:val="0"/>
        <w:spacing w:line="360" w:lineRule="auto"/>
        <w:rPr>
          <w:rFonts w:eastAsia="仿宋"/>
          <w:color w:val="auto"/>
          <w:sz w:val="30"/>
          <w:szCs w:val="30"/>
          <w:highlight w:val="none"/>
          <w:u w:val="single"/>
        </w:rPr>
      </w:pPr>
      <w:r>
        <w:rPr>
          <w:rFonts w:eastAsia="仿宋"/>
          <w:color w:val="auto"/>
          <w:sz w:val="30"/>
          <w:szCs w:val="30"/>
          <w:highlight w:val="none"/>
        </w:rPr>
        <w:t>乙方</w:t>
      </w:r>
      <w:r>
        <w:rPr>
          <w:rFonts w:hint="eastAsia" w:eastAsia="仿宋"/>
          <w:color w:val="auto"/>
          <w:sz w:val="30"/>
          <w:szCs w:val="30"/>
          <w:highlight w:val="none"/>
        </w:rPr>
        <w:t>检测</w:t>
      </w:r>
      <w:r>
        <w:rPr>
          <w:rFonts w:eastAsia="仿宋"/>
          <w:color w:val="auto"/>
          <w:sz w:val="30"/>
          <w:szCs w:val="30"/>
          <w:highlight w:val="none"/>
        </w:rPr>
        <w:t>项目技术负责人：</w:t>
      </w:r>
      <w:r>
        <w:rPr>
          <w:rFonts w:eastAsia="仿宋"/>
          <w:color w:val="auto"/>
          <w:sz w:val="30"/>
          <w:szCs w:val="30"/>
          <w:highlight w:val="none"/>
          <w:u w:val="single"/>
        </w:rPr>
        <w:t>姓名</w:t>
      </w:r>
      <w:r>
        <w:rPr>
          <w:rFonts w:hint="eastAsia" w:eastAsia="仿宋"/>
          <w:color w:val="auto"/>
          <w:sz w:val="30"/>
          <w:szCs w:val="30"/>
          <w:highlight w:val="none"/>
          <w:u w:val="single"/>
        </w:rPr>
        <w:t>：       ；</w:t>
      </w:r>
      <w:r>
        <w:rPr>
          <w:rFonts w:eastAsia="仿宋"/>
          <w:color w:val="auto"/>
          <w:sz w:val="30"/>
          <w:szCs w:val="30"/>
          <w:highlight w:val="none"/>
          <w:u w:val="single"/>
        </w:rPr>
        <w:t>职务</w:t>
      </w:r>
      <w:r>
        <w:rPr>
          <w:rFonts w:hint="eastAsia" w:eastAsia="仿宋"/>
          <w:color w:val="auto"/>
          <w:sz w:val="30"/>
          <w:szCs w:val="30"/>
          <w:highlight w:val="none"/>
          <w:u w:val="single"/>
        </w:rPr>
        <w:t>：   ；</w:t>
      </w:r>
      <w:r>
        <w:rPr>
          <w:rFonts w:eastAsia="仿宋"/>
          <w:color w:val="auto"/>
          <w:sz w:val="30"/>
          <w:szCs w:val="30"/>
          <w:highlight w:val="none"/>
          <w:u w:val="single"/>
        </w:rPr>
        <w:t>资质</w:t>
      </w:r>
      <w:r>
        <w:rPr>
          <w:rFonts w:hint="eastAsia" w:eastAsia="仿宋"/>
          <w:color w:val="auto"/>
          <w:sz w:val="30"/>
          <w:szCs w:val="30"/>
          <w:highlight w:val="none"/>
          <w:u w:val="single"/>
        </w:rPr>
        <w:t>：    ；</w:t>
      </w:r>
      <w:r>
        <w:rPr>
          <w:rFonts w:eastAsia="仿宋"/>
          <w:color w:val="auto"/>
          <w:sz w:val="30"/>
          <w:szCs w:val="30"/>
          <w:highlight w:val="none"/>
          <w:u w:val="single"/>
        </w:rPr>
        <w:t>联系电话</w:t>
      </w:r>
      <w:r>
        <w:rPr>
          <w:rFonts w:hint="eastAsia" w:eastAsia="仿宋"/>
          <w:color w:val="auto"/>
          <w:sz w:val="30"/>
          <w:szCs w:val="30"/>
          <w:highlight w:val="none"/>
          <w:u w:val="single"/>
        </w:rPr>
        <w:t>：    ；</w:t>
      </w:r>
      <w:r>
        <w:rPr>
          <w:rFonts w:eastAsia="仿宋"/>
          <w:color w:val="auto"/>
          <w:sz w:val="30"/>
          <w:szCs w:val="30"/>
          <w:highlight w:val="none"/>
          <w:u w:val="single"/>
        </w:rPr>
        <w:t>邮箱</w:t>
      </w:r>
      <w:r>
        <w:rPr>
          <w:rFonts w:hint="eastAsia" w:eastAsia="仿宋"/>
          <w:color w:val="auto"/>
          <w:sz w:val="30"/>
          <w:szCs w:val="30"/>
          <w:highlight w:val="none"/>
          <w:u w:val="single"/>
        </w:rPr>
        <w:t xml:space="preserve">：     </w:t>
      </w:r>
    </w:p>
    <w:p>
      <w:pPr>
        <w:adjustRightInd w:val="0"/>
        <w:snapToGrid w:val="0"/>
        <w:spacing w:line="360" w:lineRule="auto"/>
        <w:rPr>
          <w:rFonts w:eastAsia="仿宋"/>
          <w:color w:val="auto"/>
          <w:sz w:val="30"/>
          <w:szCs w:val="30"/>
          <w:highlight w:val="none"/>
          <w:u w:val="single"/>
        </w:rPr>
      </w:pPr>
      <w:r>
        <w:rPr>
          <w:rFonts w:eastAsia="仿宋"/>
          <w:color w:val="auto"/>
          <w:sz w:val="30"/>
          <w:szCs w:val="30"/>
          <w:highlight w:val="none"/>
        </w:rPr>
        <w:t>乙方投入的</w:t>
      </w:r>
      <w:r>
        <w:rPr>
          <w:rFonts w:hint="eastAsia" w:eastAsia="仿宋"/>
          <w:color w:val="auto"/>
          <w:sz w:val="30"/>
          <w:szCs w:val="30"/>
          <w:highlight w:val="none"/>
        </w:rPr>
        <w:t>检测</w:t>
      </w:r>
      <w:r>
        <w:rPr>
          <w:rFonts w:eastAsia="仿宋"/>
          <w:color w:val="auto"/>
          <w:sz w:val="30"/>
          <w:szCs w:val="30"/>
          <w:highlight w:val="none"/>
        </w:rPr>
        <w:t>设备清单：</w:t>
      </w:r>
      <w:r>
        <w:rPr>
          <w:rFonts w:eastAsia="仿宋"/>
          <w:color w:val="auto"/>
          <w:sz w:val="30"/>
          <w:szCs w:val="30"/>
          <w:highlight w:val="none"/>
          <w:u w:val="single"/>
        </w:rPr>
        <w:t xml:space="preserve">详见附件4 </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2.3.2 总负责人的职责：</w:t>
      </w:r>
      <w:r>
        <w:rPr>
          <w:rFonts w:eastAsia="仿宋"/>
          <w:color w:val="auto"/>
          <w:sz w:val="30"/>
          <w:szCs w:val="30"/>
          <w:highlight w:val="none"/>
          <w:u w:val="single"/>
        </w:rPr>
        <w:t>（</w:t>
      </w:r>
      <w:r>
        <w:rPr>
          <w:rFonts w:hint="eastAsia" w:eastAsia="仿宋"/>
          <w:color w:val="auto"/>
          <w:sz w:val="30"/>
          <w:szCs w:val="30"/>
          <w:highlight w:val="none"/>
          <w:u w:val="single"/>
        </w:rPr>
        <w:t>1</w:t>
      </w:r>
      <w:r>
        <w:rPr>
          <w:rFonts w:eastAsia="仿宋"/>
          <w:color w:val="auto"/>
          <w:sz w:val="30"/>
          <w:szCs w:val="30"/>
          <w:highlight w:val="none"/>
          <w:u w:val="single"/>
        </w:rPr>
        <w:t>）安排本项目检测组的</w:t>
      </w:r>
      <w:r>
        <w:rPr>
          <w:rFonts w:hint="eastAsia" w:eastAsia="仿宋"/>
          <w:color w:val="auto"/>
          <w:sz w:val="30"/>
          <w:szCs w:val="30"/>
          <w:highlight w:val="none"/>
          <w:u w:val="single"/>
        </w:rPr>
        <w:t>检测监测</w:t>
      </w:r>
      <w:r>
        <w:rPr>
          <w:rFonts w:eastAsia="仿宋"/>
          <w:color w:val="auto"/>
          <w:sz w:val="30"/>
          <w:szCs w:val="30"/>
          <w:highlight w:val="none"/>
          <w:u w:val="single"/>
        </w:rPr>
        <w:t>工作，督促人员按要求完成工作，指导解决工作中的有关技术问题；（</w:t>
      </w:r>
      <w:r>
        <w:rPr>
          <w:rFonts w:hint="eastAsia" w:eastAsia="仿宋"/>
          <w:color w:val="auto"/>
          <w:sz w:val="30"/>
          <w:szCs w:val="30"/>
          <w:highlight w:val="none"/>
          <w:u w:val="single"/>
        </w:rPr>
        <w:t>2</w:t>
      </w:r>
      <w:r>
        <w:rPr>
          <w:rFonts w:eastAsia="仿宋"/>
          <w:color w:val="auto"/>
          <w:sz w:val="30"/>
          <w:szCs w:val="30"/>
          <w:highlight w:val="none"/>
          <w:u w:val="single"/>
        </w:rPr>
        <w:t>）负责对本项目</w:t>
      </w:r>
      <w:r>
        <w:rPr>
          <w:rFonts w:hint="eastAsia" w:eastAsia="仿宋"/>
          <w:color w:val="auto"/>
          <w:sz w:val="30"/>
          <w:szCs w:val="30"/>
          <w:highlight w:val="none"/>
          <w:u w:val="single"/>
        </w:rPr>
        <w:t>检测</w:t>
      </w:r>
      <w:r>
        <w:rPr>
          <w:rFonts w:eastAsia="仿宋"/>
          <w:color w:val="auto"/>
          <w:sz w:val="30"/>
          <w:szCs w:val="30"/>
          <w:highlight w:val="none"/>
          <w:u w:val="single"/>
        </w:rPr>
        <w:t>组出现和潜在的不符合工作进行调查分析，提出纠正措施和预防措施，并组织实施；（</w:t>
      </w:r>
      <w:r>
        <w:rPr>
          <w:rFonts w:hint="eastAsia" w:eastAsia="仿宋"/>
          <w:color w:val="auto"/>
          <w:sz w:val="30"/>
          <w:szCs w:val="30"/>
          <w:highlight w:val="none"/>
          <w:u w:val="single"/>
        </w:rPr>
        <w:t>3</w:t>
      </w:r>
      <w:r>
        <w:rPr>
          <w:rFonts w:eastAsia="仿宋"/>
          <w:color w:val="auto"/>
          <w:sz w:val="30"/>
          <w:szCs w:val="30"/>
          <w:highlight w:val="none"/>
          <w:u w:val="single"/>
        </w:rPr>
        <w:t>）督促本项目</w:t>
      </w:r>
      <w:r>
        <w:rPr>
          <w:rFonts w:hint="eastAsia" w:eastAsia="仿宋"/>
          <w:color w:val="auto"/>
          <w:sz w:val="30"/>
          <w:szCs w:val="30"/>
          <w:highlight w:val="none"/>
          <w:u w:val="single"/>
        </w:rPr>
        <w:t>检测</w:t>
      </w:r>
      <w:r>
        <w:rPr>
          <w:rFonts w:eastAsia="仿宋"/>
          <w:color w:val="auto"/>
          <w:sz w:val="30"/>
          <w:szCs w:val="30"/>
          <w:highlight w:val="none"/>
          <w:u w:val="single"/>
        </w:rPr>
        <w:t>组全体人员执行</w:t>
      </w:r>
      <w:r>
        <w:rPr>
          <w:rFonts w:hint="eastAsia" w:eastAsia="仿宋"/>
          <w:color w:val="auto"/>
          <w:sz w:val="30"/>
          <w:szCs w:val="30"/>
          <w:highlight w:val="none"/>
          <w:u w:val="single"/>
        </w:rPr>
        <w:t>检测</w:t>
      </w:r>
      <w:r>
        <w:rPr>
          <w:rFonts w:eastAsia="仿宋"/>
          <w:color w:val="auto"/>
          <w:sz w:val="30"/>
          <w:szCs w:val="30"/>
          <w:highlight w:val="none"/>
          <w:u w:val="single"/>
        </w:rPr>
        <w:t>中心（站）质量体系文件和规章制度；（</w:t>
      </w:r>
      <w:r>
        <w:rPr>
          <w:rFonts w:hint="eastAsia" w:eastAsia="仿宋"/>
          <w:color w:val="auto"/>
          <w:sz w:val="30"/>
          <w:szCs w:val="30"/>
          <w:highlight w:val="none"/>
          <w:u w:val="single"/>
        </w:rPr>
        <w:t>4</w:t>
      </w:r>
      <w:r>
        <w:rPr>
          <w:rFonts w:eastAsia="仿宋"/>
          <w:color w:val="auto"/>
          <w:sz w:val="30"/>
          <w:szCs w:val="30"/>
          <w:highlight w:val="none"/>
          <w:u w:val="single"/>
        </w:rPr>
        <w:t>）督促和检查本项目</w:t>
      </w:r>
      <w:r>
        <w:rPr>
          <w:rFonts w:hint="eastAsia" w:eastAsia="仿宋"/>
          <w:color w:val="auto"/>
          <w:sz w:val="30"/>
          <w:szCs w:val="30"/>
          <w:highlight w:val="none"/>
          <w:u w:val="single"/>
        </w:rPr>
        <w:t>检测监测中</w:t>
      </w:r>
      <w:r>
        <w:rPr>
          <w:rFonts w:eastAsia="仿宋"/>
          <w:color w:val="auto"/>
          <w:sz w:val="30"/>
          <w:szCs w:val="30"/>
          <w:highlight w:val="none"/>
          <w:u w:val="single"/>
        </w:rPr>
        <w:t>各种在用仪器设备的管理工作，审核本项目</w:t>
      </w:r>
      <w:r>
        <w:rPr>
          <w:rFonts w:hint="eastAsia" w:eastAsia="仿宋"/>
          <w:color w:val="auto"/>
          <w:sz w:val="30"/>
          <w:szCs w:val="30"/>
          <w:highlight w:val="none"/>
          <w:u w:val="single"/>
        </w:rPr>
        <w:t>检测</w:t>
      </w:r>
      <w:r>
        <w:rPr>
          <w:rFonts w:eastAsia="仿宋"/>
          <w:color w:val="auto"/>
          <w:sz w:val="30"/>
          <w:szCs w:val="30"/>
          <w:highlight w:val="none"/>
          <w:u w:val="single"/>
        </w:rPr>
        <w:t>组所需供应品的购置、更新计划，核查本项目</w:t>
      </w:r>
      <w:r>
        <w:rPr>
          <w:rFonts w:hint="eastAsia" w:eastAsia="仿宋"/>
          <w:color w:val="auto"/>
          <w:sz w:val="30"/>
          <w:szCs w:val="30"/>
          <w:highlight w:val="none"/>
          <w:u w:val="single"/>
        </w:rPr>
        <w:t>检测</w:t>
      </w:r>
      <w:r>
        <w:rPr>
          <w:rFonts w:eastAsia="仿宋"/>
          <w:color w:val="auto"/>
          <w:sz w:val="30"/>
          <w:szCs w:val="30"/>
          <w:highlight w:val="none"/>
          <w:u w:val="single"/>
        </w:rPr>
        <w:t>组仪器设备的降级、停用、报废申请；（</w:t>
      </w:r>
      <w:r>
        <w:rPr>
          <w:rFonts w:hint="eastAsia" w:eastAsia="仿宋"/>
          <w:color w:val="auto"/>
          <w:sz w:val="30"/>
          <w:szCs w:val="30"/>
          <w:highlight w:val="none"/>
          <w:u w:val="single"/>
        </w:rPr>
        <w:t>5</w:t>
      </w:r>
      <w:r>
        <w:rPr>
          <w:rFonts w:eastAsia="仿宋"/>
          <w:color w:val="auto"/>
          <w:sz w:val="30"/>
          <w:szCs w:val="30"/>
          <w:highlight w:val="none"/>
          <w:u w:val="single"/>
        </w:rPr>
        <w:t>）批准本项目</w:t>
      </w:r>
      <w:r>
        <w:rPr>
          <w:rFonts w:hint="eastAsia" w:eastAsia="仿宋"/>
          <w:color w:val="auto"/>
          <w:sz w:val="30"/>
          <w:szCs w:val="30"/>
          <w:highlight w:val="none"/>
          <w:u w:val="single"/>
        </w:rPr>
        <w:t>检测</w:t>
      </w:r>
      <w:r>
        <w:rPr>
          <w:rFonts w:eastAsia="仿宋"/>
          <w:color w:val="auto"/>
          <w:sz w:val="30"/>
          <w:szCs w:val="30"/>
          <w:highlight w:val="none"/>
          <w:u w:val="single"/>
        </w:rPr>
        <w:t>组样品处置的申请；（</w:t>
      </w:r>
      <w:r>
        <w:rPr>
          <w:rFonts w:hint="eastAsia" w:eastAsia="仿宋"/>
          <w:color w:val="auto"/>
          <w:sz w:val="30"/>
          <w:szCs w:val="30"/>
          <w:highlight w:val="none"/>
          <w:u w:val="single"/>
        </w:rPr>
        <w:t>6</w:t>
      </w:r>
      <w:r>
        <w:rPr>
          <w:rFonts w:eastAsia="仿宋"/>
          <w:color w:val="auto"/>
          <w:sz w:val="30"/>
          <w:szCs w:val="30"/>
          <w:highlight w:val="none"/>
          <w:u w:val="single"/>
        </w:rPr>
        <w:t>）负责本项目</w:t>
      </w:r>
      <w:r>
        <w:rPr>
          <w:rFonts w:hint="eastAsia" w:eastAsia="仿宋"/>
          <w:color w:val="auto"/>
          <w:sz w:val="30"/>
          <w:szCs w:val="30"/>
          <w:highlight w:val="none"/>
          <w:u w:val="single"/>
        </w:rPr>
        <w:t>检测</w:t>
      </w:r>
      <w:r>
        <w:rPr>
          <w:rFonts w:eastAsia="仿宋"/>
          <w:color w:val="auto"/>
          <w:sz w:val="30"/>
          <w:szCs w:val="30"/>
          <w:highlight w:val="none"/>
          <w:u w:val="single"/>
        </w:rPr>
        <w:t>组的保密、安全及环保工作。</w:t>
      </w:r>
    </w:p>
    <w:p>
      <w:pPr>
        <w:adjustRightInd w:val="0"/>
        <w:snapToGrid w:val="0"/>
        <w:spacing w:line="360" w:lineRule="auto"/>
        <w:ind w:firstLine="606" w:firstLineChars="200"/>
        <w:rPr>
          <w:rFonts w:eastAsia="仿宋"/>
          <w:color w:val="auto"/>
          <w:sz w:val="30"/>
          <w:szCs w:val="30"/>
          <w:highlight w:val="none"/>
          <w:u w:val="single"/>
        </w:rPr>
      </w:pPr>
      <w:r>
        <w:rPr>
          <w:rFonts w:hint="eastAsia" w:eastAsia="仿宋"/>
          <w:color w:val="auto"/>
          <w:sz w:val="30"/>
          <w:szCs w:val="30"/>
          <w:highlight w:val="none"/>
        </w:rPr>
        <w:t>检测</w:t>
      </w:r>
      <w:r>
        <w:rPr>
          <w:rFonts w:eastAsia="仿宋"/>
          <w:color w:val="auto"/>
          <w:sz w:val="30"/>
          <w:szCs w:val="30"/>
          <w:highlight w:val="none"/>
        </w:rPr>
        <w:t>项目技术负责人的职责：</w:t>
      </w:r>
      <w:r>
        <w:rPr>
          <w:rFonts w:eastAsia="仿宋"/>
          <w:color w:val="auto"/>
          <w:sz w:val="30"/>
          <w:szCs w:val="30"/>
          <w:highlight w:val="none"/>
          <w:u w:val="single"/>
        </w:rPr>
        <w:t>（1）负责项目技术的指导工作；组织编制与本项目有关</w:t>
      </w:r>
      <w:r>
        <w:rPr>
          <w:rFonts w:hint="eastAsia" w:eastAsia="仿宋"/>
          <w:color w:val="auto"/>
          <w:sz w:val="30"/>
          <w:szCs w:val="30"/>
          <w:highlight w:val="none"/>
          <w:u w:val="single"/>
        </w:rPr>
        <w:t>检测</w:t>
      </w:r>
      <w:r>
        <w:rPr>
          <w:rFonts w:eastAsia="仿宋"/>
          <w:color w:val="auto"/>
          <w:sz w:val="30"/>
          <w:szCs w:val="30"/>
          <w:highlight w:val="none"/>
          <w:u w:val="single"/>
        </w:rPr>
        <w:t>工作的作业指导书和有关仪器设备的操作规程；（2）对新增</w:t>
      </w:r>
      <w:r>
        <w:rPr>
          <w:rFonts w:hint="eastAsia" w:eastAsia="仿宋"/>
          <w:color w:val="auto"/>
          <w:sz w:val="30"/>
          <w:szCs w:val="30"/>
          <w:highlight w:val="none"/>
          <w:u w:val="single"/>
        </w:rPr>
        <w:t>检测</w:t>
      </w:r>
      <w:r>
        <w:rPr>
          <w:rFonts w:eastAsia="仿宋"/>
          <w:color w:val="auto"/>
          <w:sz w:val="30"/>
          <w:szCs w:val="30"/>
          <w:highlight w:val="none"/>
          <w:u w:val="single"/>
        </w:rPr>
        <w:t>项目的</w:t>
      </w:r>
      <w:r>
        <w:rPr>
          <w:rFonts w:hint="eastAsia" w:eastAsia="仿宋"/>
          <w:color w:val="auto"/>
          <w:sz w:val="30"/>
          <w:szCs w:val="30"/>
          <w:highlight w:val="none"/>
          <w:u w:val="single"/>
        </w:rPr>
        <w:t>必要性</w:t>
      </w:r>
      <w:r>
        <w:rPr>
          <w:rFonts w:eastAsia="仿宋"/>
          <w:color w:val="auto"/>
          <w:sz w:val="30"/>
          <w:szCs w:val="30"/>
          <w:highlight w:val="none"/>
          <w:u w:val="single"/>
        </w:rPr>
        <w:t>进行审核；（3）</w:t>
      </w:r>
      <w:r>
        <w:rPr>
          <w:rFonts w:hint="eastAsia" w:eastAsia="仿宋"/>
          <w:color w:val="auto"/>
          <w:sz w:val="30"/>
          <w:szCs w:val="30"/>
          <w:highlight w:val="none"/>
          <w:u w:val="single"/>
        </w:rPr>
        <w:t>组织</w:t>
      </w:r>
      <w:r>
        <w:rPr>
          <w:rFonts w:eastAsia="仿宋"/>
          <w:color w:val="auto"/>
          <w:sz w:val="30"/>
          <w:szCs w:val="30"/>
          <w:highlight w:val="none"/>
          <w:u w:val="single"/>
        </w:rPr>
        <w:t>编制项目的</w:t>
      </w:r>
      <w:r>
        <w:rPr>
          <w:rFonts w:hint="eastAsia" w:eastAsia="仿宋"/>
          <w:color w:val="auto"/>
          <w:sz w:val="30"/>
          <w:szCs w:val="30"/>
          <w:highlight w:val="none"/>
          <w:u w:val="single"/>
        </w:rPr>
        <w:t>检测监测</w:t>
      </w:r>
      <w:r>
        <w:rPr>
          <w:rFonts w:eastAsia="仿宋"/>
          <w:color w:val="auto"/>
          <w:sz w:val="30"/>
          <w:szCs w:val="30"/>
          <w:highlight w:val="none"/>
          <w:u w:val="single"/>
        </w:rPr>
        <w:t>方案；（</w:t>
      </w:r>
      <w:r>
        <w:rPr>
          <w:rFonts w:hint="eastAsia" w:eastAsia="仿宋"/>
          <w:color w:val="auto"/>
          <w:sz w:val="30"/>
          <w:szCs w:val="30"/>
          <w:highlight w:val="none"/>
          <w:u w:val="single"/>
        </w:rPr>
        <w:t>4</w:t>
      </w:r>
      <w:r>
        <w:rPr>
          <w:rFonts w:eastAsia="仿宋"/>
          <w:color w:val="auto"/>
          <w:sz w:val="30"/>
          <w:szCs w:val="30"/>
          <w:highlight w:val="none"/>
          <w:u w:val="single"/>
        </w:rPr>
        <w:t>）</w:t>
      </w:r>
      <w:r>
        <w:rPr>
          <w:rFonts w:hint="eastAsia" w:eastAsia="仿宋"/>
          <w:color w:val="auto"/>
          <w:sz w:val="30"/>
          <w:szCs w:val="30"/>
          <w:highlight w:val="none"/>
          <w:u w:val="single"/>
        </w:rPr>
        <w:t>组织</w:t>
      </w:r>
      <w:r>
        <w:rPr>
          <w:rFonts w:eastAsia="仿宋"/>
          <w:color w:val="auto"/>
          <w:sz w:val="30"/>
          <w:szCs w:val="30"/>
          <w:highlight w:val="none"/>
          <w:u w:val="single"/>
        </w:rPr>
        <w:t>编制项目的</w:t>
      </w:r>
      <w:r>
        <w:rPr>
          <w:rFonts w:hint="eastAsia" w:eastAsia="仿宋"/>
          <w:color w:val="auto"/>
          <w:sz w:val="30"/>
          <w:szCs w:val="30"/>
          <w:highlight w:val="none"/>
          <w:u w:val="single"/>
        </w:rPr>
        <w:t>检测监测</w:t>
      </w:r>
      <w:r>
        <w:rPr>
          <w:rFonts w:eastAsia="仿宋"/>
          <w:color w:val="auto"/>
          <w:sz w:val="30"/>
          <w:szCs w:val="30"/>
          <w:highlight w:val="none"/>
          <w:u w:val="single"/>
        </w:rPr>
        <w:t>报告；（</w:t>
      </w:r>
      <w:r>
        <w:rPr>
          <w:rFonts w:hint="eastAsia" w:eastAsia="仿宋"/>
          <w:color w:val="auto"/>
          <w:sz w:val="30"/>
          <w:szCs w:val="30"/>
          <w:highlight w:val="none"/>
          <w:u w:val="single"/>
        </w:rPr>
        <w:t>5</w:t>
      </w:r>
      <w:r>
        <w:rPr>
          <w:rFonts w:eastAsia="仿宋"/>
          <w:color w:val="auto"/>
          <w:sz w:val="30"/>
          <w:szCs w:val="30"/>
          <w:highlight w:val="none"/>
          <w:u w:val="single"/>
        </w:rPr>
        <w:t>）负责实施对</w:t>
      </w:r>
      <w:r>
        <w:rPr>
          <w:rFonts w:hint="eastAsia" w:eastAsia="仿宋"/>
          <w:color w:val="auto"/>
          <w:sz w:val="30"/>
          <w:szCs w:val="30"/>
          <w:highlight w:val="none"/>
          <w:u w:val="single"/>
        </w:rPr>
        <w:t>检测监测</w:t>
      </w:r>
      <w:r>
        <w:rPr>
          <w:rFonts w:eastAsia="仿宋"/>
          <w:color w:val="auto"/>
          <w:sz w:val="30"/>
          <w:szCs w:val="30"/>
          <w:highlight w:val="none"/>
          <w:u w:val="single"/>
        </w:rPr>
        <w:t>工作及服务的质量监督</w:t>
      </w:r>
      <w:r>
        <w:rPr>
          <w:rFonts w:hint="eastAsia" w:eastAsia="仿宋"/>
          <w:color w:val="auto"/>
          <w:sz w:val="30"/>
          <w:szCs w:val="30"/>
          <w:highlight w:val="none"/>
          <w:u w:val="single"/>
        </w:rPr>
        <w:t>。</w:t>
      </w:r>
    </w:p>
    <w:p>
      <w:pPr>
        <w:adjustRightInd w:val="0"/>
        <w:snapToGrid w:val="0"/>
        <w:spacing w:line="360" w:lineRule="auto"/>
        <w:ind w:firstLine="454" w:firstLineChars="150"/>
        <w:rPr>
          <w:rFonts w:eastAsia="仿宋"/>
          <w:color w:val="auto"/>
          <w:kern w:val="0"/>
          <w:sz w:val="30"/>
          <w:szCs w:val="30"/>
          <w:highlight w:val="none"/>
        </w:rPr>
      </w:pPr>
      <w:r>
        <w:rPr>
          <w:rFonts w:eastAsia="仿宋"/>
          <w:color w:val="auto"/>
          <w:sz w:val="30"/>
          <w:szCs w:val="30"/>
          <w:highlight w:val="none"/>
        </w:rPr>
        <w:t>2.3.3</w:t>
      </w:r>
      <w:r>
        <w:rPr>
          <w:rFonts w:hint="eastAsia" w:eastAsia="仿宋"/>
          <w:color w:val="auto"/>
          <w:sz w:val="30"/>
          <w:szCs w:val="30"/>
          <w:highlight w:val="none"/>
        </w:rPr>
        <w:t>检测</w:t>
      </w:r>
      <w:r>
        <w:rPr>
          <w:rFonts w:eastAsia="仿宋"/>
          <w:color w:val="auto"/>
          <w:sz w:val="30"/>
          <w:szCs w:val="30"/>
          <w:highlight w:val="none"/>
        </w:rPr>
        <w:t>总负责人和</w:t>
      </w:r>
      <w:r>
        <w:rPr>
          <w:rFonts w:hint="eastAsia" w:eastAsia="仿宋"/>
          <w:color w:val="auto"/>
          <w:sz w:val="30"/>
          <w:szCs w:val="30"/>
          <w:highlight w:val="none"/>
        </w:rPr>
        <w:t>检测</w:t>
      </w:r>
      <w:r>
        <w:rPr>
          <w:rFonts w:eastAsia="仿宋"/>
          <w:color w:val="auto"/>
          <w:sz w:val="30"/>
          <w:szCs w:val="30"/>
          <w:highlight w:val="none"/>
        </w:rPr>
        <w:t>项目技术负责人如有变</w:t>
      </w:r>
      <w:r>
        <w:rPr>
          <w:rFonts w:eastAsia="仿宋"/>
          <w:color w:val="auto"/>
          <w:kern w:val="0"/>
          <w:sz w:val="30"/>
          <w:szCs w:val="30"/>
          <w:highlight w:val="none"/>
        </w:rPr>
        <w:t>更，乙方应提前7天通知甲方，并征得甲方书面同意。通知中应当载明继任人的资格、管理经验等资料。继任总负责人或</w:t>
      </w:r>
      <w:r>
        <w:rPr>
          <w:rFonts w:hint="eastAsia" w:eastAsia="仿宋"/>
          <w:color w:val="auto"/>
          <w:kern w:val="0"/>
          <w:sz w:val="30"/>
          <w:szCs w:val="30"/>
          <w:highlight w:val="none"/>
        </w:rPr>
        <w:t>检测</w:t>
      </w:r>
      <w:r>
        <w:rPr>
          <w:rFonts w:eastAsia="仿宋"/>
          <w:color w:val="auto"/>
          <w:kern w:val="0"/>
          <w:sz w:val="30"/>
          <w:szCs w:val="30"/>
          <w:highlight w:val="none"/>
        </w:rPr>
        <w:t>项目技术负责人继续履行 2.3.2项约定的职责。未经甲方书面同意，乙方不得擅自更换总负责人和项目技术负责人。乙方擅自更换总负责人和项目技术负责人的，应按照第4条的约定承担违约责任。</w:t>
      </w:r>
    </w:p>
    <w:p>
      <w:pPr>
        <w:adjustRightInd w:val="0"/>
        <w:snapToGrid w:val="0"/>
        <w:spacing w:line="360" w:lineRule="auto"/>
        <w:ind w:firstLine="606" w:firstLineChars="200"/>
        <w:rPr>
          <w:rFonts w:eastAsia="仿宋"/>
          <w:color w:val="auto"/>
          <w:sz w:val="30"/>
          <w:szCs w:val="30"/>
          <w:highlight w:val="none"/>
        </w:rPr>
      </w:pPr>
      <w:r>
        <w:rPr>
          <w:rFonts w:eastAsia="仿宋"/>
          <w:color w:val="auto"/>
          <w:kern w:val="0"/>
          <w:sz w:val="30"/>
          <w:szCs w:val="30"/>
          <w:highlight w:val="none"/>
        </w:rPr>
        <w:t>2.3.4 甲方有权书面通知乙方更换其认为不称职的</w:t>
      </w:r>
      <w:r>
        <w:rPr>
          <w:rFonts w:hint="eastAsia" w:eastAsia="仿宋"/>
          <w:color w:val="auto"/>
          <w:kern w:val="0"/>
          <w:sz w:val="30"/>
          <w:szCs w:val="30"/>
          <w:highlight w:val="none"/>
        </w:rPr>
        <w:t>检测</w:t>
      </w:r>
      <w:r>
        <w:rPr>
          <w:rFonts w:eastAsia="仿宋"/>
          <w:color w:val="auto"/>
          <w:kern w:val="0"/>
          <w:sz w:val="30"/>
          <w:szCs w:val="30"/>
          <w:highlight w:val="none"/>
        </w:rPr>
        <w:t>总负责人或</w:t>
      </w:r>
      <w:r>
        <w:rPr>
          <w:rFonts w:hint="eastAsia" w:eastAsia="仿宋"/>
          <w:color w:val="auto"/>
          <w:kern w:val="0"/>
          <w:sz w:val="30"/>
          <w:szCs w:val="30"/>
          <w:highlight w:val="none"/>
        </w:rPr>
        <w:t>检测</w:t>
      </w:r>
      <w:r>
        <w:rPr>
          <w:rFonts w:eastAsia="仿宋"/>
          <w:color w:val="auto"/>
          <w:kern w:val="0"/>
          <w:sz w:val="30"/>
          <w:szCs w:val="30"/>
          <w:highlight w:val="none"/>
        </w:rPr>
        <w:t>项目技术负责人。通知中应当载明要求更换的理由。乙方应在接到更换通知后14天内向甲方提出书面的改进报告。甲方收到报告后仍要求更换的，乙方应在接到第二次更换通知的28天内进行更换，并将新任命的总负责人或</w:t>
      </w:r>
      <w:r>
        <w:rPr>
          <w:rFonts w:hint="eastAsia" w:eastAsia="仿宋"/>
          <w:color w:val="auto"/>
          <w:kern w:val="0"/>
          <w:sz w:val="30"/>
          <w:szCs w:val="30"/>
          <w:highlight w:val="none"/>
        </w:rPr>
        <w:t>检测</w:t>
      </w:r>
      <w:r>
        <w:rPr>
          <w:rFonts w:eastAsia="仿宋"/>
          <w:color w:val="auto"/>
          <w:kern w:val="0"/>
          <w:sz w:val="30"/>
          <w:szCs w:val="30"/>
          <w:highlight w:val="none"/>
        </w:rPr>
        <w:t>项目技术负责人的资格、管理经验等资料书面通知甲方。继任总负责人或</w:t>
      </w:r>
      <w:r>
        <w:rPr>
          <w:rFonts w:hint="eastAsia" w:eastAsia="仿宋"/>
          <w:color w:val="auto"/>
          <w:kern w:val="0"/>
          <w:sz w:val="30"/>
          <w:szCs w:val="30"/>
          <w:highlight w:val="none"/>
        </w:rPr>
        <w:t>检测</w:t>
      </w:r>
      <w:r>
        <w:rPr>
          <w:rFonts w:eastAsia="仿宋"/>
          <w:color w:val="auto"/>
          <w:kern w:val="0"/>
          <w:sz w:val="30"/>
          <w:szCs w:val="30"/>
          <w:highlight w:val="none"/>
        </w:rPr>
        <w:t>项目技术负责人继续履行2.3.2项约定的职责。乙方无正当理由拒绝更换总负责人或</w:t>
      </w:r>
      <w:r>
        <w:rPr>
          <w:rFonts w:hint="eastAsia" w:eastAsia="仿宋"/>
          <w:color w:val="auto"/>
          <w:kern w:val="0"/>
          <w:sz w:val="30"/>
          <w:szCs w:val="30"/>
          <w:highlight w:val="none"/>
        </w:rPr>
        <w:t>检测</w:t>
      </w:r>
      <w:r>
        <w:rPr>
          <w:rFonts w:eastAsia="仿宋"/>
          <w:color w:val="auto"/>
          <w:kern w:val="0"/>
          <w:sz w:val="30"/>
          <w:szCs w:val="30"/>
          <w:highlight w:val="none"/>
        </w:rPr>
        <w:t>项目技术负责人的，应按照第4条的约定承担违约责任。</w:t>
      </w:r>
    </w:p>
    <w:p>
      <w:pPr>
        <w:adjustRightInd w:val="0"/>
        <w:snapToGrid w:val="0"/>
        <w:spacing w:line="360" w:lineRule="auto"/>
        <w:ind w:firstLine="606" w:firstLineChars="200"/>
        <w:rPr>
          <w:rFonts w:eastAsia="仿宋"/>
          <w:color w:val="auto"/>
          <w:sz w:val="30"/>
          <w:szCs w:val="30"/>
          <w:highlight w:val="none"/>
        </w:rPr>
      </w:pPr>
      <w:r>
        <w:rPr>
          <w:rFonts w:eastAsia="仿宋"/>
          <w:color w:val="auto"/>
          <w:kern w:val="0"/>
          <w:sz w:val="30"/>
          <w:szCs w:val="30"/>
          <w:highlight w:val="none"/>
        </w:rPr>
        <w:t xml:space="preserve">2.5 </w:t>
      </w:r>
      <w:r>
        <w:rPr>
          <w:rFonts w:eastAsia="仿宋"/>
          <w:color w:val="auto"/>
          <w:sz w:val="30"/>
          <w:szCs w:val="30"/>
          <w:highlight w:val="none"/>
        </w:rPr>
        <w:t>提交</w:t>
      </w:r>
      <w:r>
        <w:rPr>
          <w:rFonts w:eastAsia="仿宋"/>
          <w:color w:val="auto"/>
          <w:kern w:val="0"/>
          <w:sz w:val="30"/>
          <w:szCs w:val="30"/>
          <w:highlight w:val="none"/>
        </w:rPr>
        <w:t>报告</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乙方应提交报告的种类、时间和份数</w:t>
      </w:r>
      <w:r>
        <w:rPr>
          <w:rFonts w:eastAsia="仿宋"/>
          <w:color w:val="auto"/>
          <w:kern w:val="0"/>
          <w:sz w:val="30"/>
          <w:szCs w:val="30"/>
          <w:highlight w:val="none"/>
        </w:rPr>
        <w:t>：</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（1）乙方在</w:t>
      </w:r>
      <w:r>
        <w:rPr>
          <w:rFonts w:hint="eastAsia" w:eastAsia="仿宋"/>
          <w:color w:val="auto"/>
          <w:sz w:val="30"/>
          <w:szCs w:val="30"/>
          <w:highlight w:val="none"/>
        </w:rPr>
        <w:t>检测、监测</w:t>
      </w:r>
      <w:r>
        <w:rPr>
          <w:rFonts w:eastAsia="仿宋"/>
          <w:color w:val="auto"/>
          <w:sz w:val="30"/>
          <w:szCs w:val="30"/>
          <w:highlight w:val="none"/>
        </w:rPr>
        <w:t>工作完成后，应按甲方要求及时提交有效的技术成果报告。报告分为初步报告和最终报告，初步报告应在每次</w:t>
      </w:r>
      <w:r>
        <w:rPr>
          <w:rFonts w:hint="eastAsia" w:eastAsia="仿宋"/>
          <w:color w:val="auto"/>
          <w:sz w:val="30"/>
          <w:szCs w:val="30"/>
          <w:highlight w:val="none"/>
        </w:rPr>
        <w:t>检测、监测</w:t>
      </w:r>
      <w:r>
        <w:rPr>
          <w:rFonts w:eastAsia="仿宋"/>
          <w:color w:val="auto"/>
          <w:sz w:val="30"/>
          <w:szCs w:val="30"/>
          <w:highlight w:val="none"/>
        </w:rPr>
        <w:t>后</w:t>
      </w:r>
      <w:r>
        <w:rPr>
          <w:rFonts w:eastAsia="仿宋"/>
          <w:color w:val="auto"/>
          <w:sz w:val="30"/>
          <w:szCs w:val="30"/>
          <w:highlight w:val="none"/>
          <w:u w:val="single"/>
        </w:rPr>
        <w:t xml:space="preserve"> </w:t>
      </w:r>
      <w:r>
        <w:rPr>
          <w:rFonts w:hint="eastAsia" w:eastAsia="仿宋"/>
          <w:color w:val="auto"/>
          <w:sz w:val="30"/>
          <w:szCs w:val="30"/>
          <w:highlight w:val="none"/>
          <w:u w:val="single"/>
        </w:rPr>
        <w:t>3</w:t>
      </w:r>
      <w:r>
        <w:rPr>
          <w:rFonts w:eastAsia="仿宋"/>
          <w:color w:val="auto"/>
          <w:sz w:val="30"/>
          <w:szCs w:val="30"/>
          <w:highlight w:val="none"/>
          <w:u w:val="single"/>
        </w:rPr>
        <w:t xml:space="preserve"> </w:t>
      </w:r>
      <w:r>
        <w:rPr>
          <w:rFonts w:eastAsia="仿宋"/>
          <w:color w:val="auto"/>
          <w:sz w:val="30"/>
          <w:szCs w:val="30"/>
          <w:highlight w:val="none"/>
        </w:rPr>
        <w:t>天内提交甲方，一式</w:t>
      </w:r>
      <w:r>
        <w:rPr>
          <w:rFonts w:eastAsia="仿宋"/>
          <w:color w:val="auto"/>
          <w:sz w:val="30"/>
          <w:szCs w:val="30"/>
          <w:highlight w:val="none"/>
          <w:u w:val="single"/>
        </w:rPr>
        <w:t xml:space="preserve">  </w:t>
      </w:r>
      <w:r>
        <w:rPr>
          <w:rFonts w:hint="eastAsia" w:eastAsia="仿宋"/>
          <w:color w:val="auto"/>
          <w:sz w:val="30"/>
          <w:szCs w:val="30"/>
          <w:highlight w:val="none"/>
          <w:u w:val="single"/>
        </w:rPr>
        <w:t>5</w:t>
      </w:r>
      <w:r>
        <w:rPr>
          <w:rFonts w:eastAsia="仿宋"/>
          <w:color w:val="auto"/>
          <w:sz w:val="30"/>
          <w:szCs w:val="30"/>
          <w:highlight w:val="none"/>
          <w:u w:val="single"/>
        </w:rPr>
        <w:t xml:space="preserve">  </w:t>
      </w:r>
      <w:r>
        <w:rPr>
          <w:rFonts w:eastAsia="仿宋"/>
          <w:color w:val="auto"/>
          <w:sz w:val="30"/>
          <w:szCs w:val="30"/>
          <w:highlight w:val="none"/>
        </w:rPr>
        <w:t>份。最终报告应在每次</w:t>
      </w:r>
      <w:r>
        <w:rPr>
          <w:rFonts w:hint="eastAsia" w:eastAsia="仿宋"/>
          <w:color w:val="auto"/>
          <w:sz w:val="30"/>
          <w:szCs w:val="30"/>
          <w:highlight w:val="none"/>
        </w:rPr>
        <w:t>检测、监测</w:t>
      </w:r>
      <w:r>
        <w:rPr>
          <w:rFonts w:eastAsia="仿宋"/>
          <w:color w:val="auto"/>
          <w:sz w:val="30"/>
          <w:szCs w:val="30"/>
          <w:highlight w:val="none"/>
        </w:rPr>
        <w:t>后</w:t>
      </w:r>
      <w:r>
        <w:rPr>
          <w:rFonts w:eastAsia="仿宋"/>
          <w:color w:val="auto"/>
          <w:sz w:val="30"/>
          <w:szCs w:val="30"/>
          <w:highlight w:val="none"/>
          <w:u w:val="single"/>
        </w:rPr>
        <w:t xml:space="preserve">  </w:t>
      </w:r>
      <w:r>
        <w:rPr>
          <w:rFonts w:hint="eastAsia" w:eastAsia="仿宋"/>
          <w:color w:val="auto"/>
          <w:sz w:val="30"/>
          <w:szCs w:val="30"/>
          <w:highlight w:val="none"/>
          <w:u w:val="single"/>
        </w:rPr>
        <w:t>10</w:t>
      </w:r>
      <w:r>
        <w:rPr>
          <w:rFonts w:eastAsia="仿宋"/>
          <w:color w:val="auto"/>
          <w:sz w:val="30"/>
          <w:szCs w:val="30"/>
          <w:highlight w:val="none"/>
          <w:u w:val="single"/>
        </w:rPr>
        <w:t xml:space="preserve">  </w:t>
      </w:r>
      <w:r>
        <w:rPr>
          <w:rFonts w:eastAsia="仿宋"/>
          <w:color w:val="auto"/>
          <w:sz w:val="30"/>
          <w:szCs w:val="30"/>
          <w:highlight w:val="none"/>
        </w:rPr>
        <w:t>天内提交，一式</w:t>
      </w:r>
      <w:r>
        <w:rPr>
          <w:rFonts w:eastAsia="仿宋"/>
          <w:color w:val="auto"/>
          <w:sz w:val="30"/>
          <w:szCs w:val="30"/>
          <w:highlight w:val="none"/>
          <w:u w:val="single"/>
        </w:rPr>
        <w:t xml:space="preserve">  </w:t>
      </w:r>
      <w:r>
        <w:rPr>
          <w:rFonts w:hint="eastAsia" w:eastAsia="仿宋"/>
          <w:color w:val="auto"/>
          <w:sz w:val="30"/>
          <w:szCs w:val="30"/>
          <w:highlight w:val="none"/>
          <w:u w:val="single"/>
        </w:rPr>
        <w:t>5</w:t>
      </w:r>
      <w:r>
        <w:rPr>
          <w:rFonts w:eastAsia="仿宋"/>
          <w:color w:val="auto"/>
          <w:sz w:val="30"/>
          <w:szCs w:val="30"/>
          <w:highlight w:val="none"/>
          <w:u w:val="single"/>
        </w:rPr>
        <w:t xml:space="preserve">  </w:t>
      </w:r>
      <w:r>
        <w:rPr>
          <w:rFonts w:eastAsia="仿宋"/>
          <w:color w:val="auto"/>
          <w:sz w:val="30"/>
          <w:szCs w:val="30"/>
          <w:highlight w:val="none"/>
        </w:rPr>
        <w:t>份（如甲方有需要增加报告份数，乙方无条件免费提供）。</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（2）成果报告需加盖</w:t>
      </w:r>
      <w:r>
        <w:rPr>
          <w:rFonts w:hint="eastAsia" w:eastAsia="仿宋"/>
          <w:color w:val="auto"/>
          <w:sz w:val="30"/>
          <w:szCs w:val="30"/>
          <w:highlight w:val="none"/>
        </w:rPr>
        <w:t>检测</w:t>
      </w:r>
      <w:r>
        <w:rPr>
          <w:rFonts w:eastAsia="仿宋"/>
          <w:color w:val="auto"/>
          <w:sz w:val="30"/>
          <w:szCs w:val="30"/>
          <w:highlight w:val="none"/>
        </w:rPr>
        <w:t>报告专用章和计量认证章（CMA章）。</w:t>
      </w:r>
      <w:r>
        <w:rPr>
          <w:rFonts w:hint="eastAsia" w:eastAsia="仿宋"/>
          <w:color w:val="auto"/>
          <w:sz w:val="30"/>
          <w:szCs w:val="30"/>
          <w:highlight w:val="none"/>
        </w:rPr>
        <w:t>检测</w:t>
      </w:r>
      <w:r>
        <w:rPr>
          <w:rFonts w:eastAsia="仿宋"/>
          <w:color w:val="auto"/>
          <w:sz w:val="30"/>
          <w:szCs w:val="30"/>
          <w:highlight w:val="none"/>
        </w:rPr>
        <w:t>报告签认人员的</w:t>
      </w:r>
      <w:r>
        <w:rPr>
          <w:rFonts w:hint="eastAsia" w:eastAsia="仿宋"/>
          <w:color w:val="auto"/>
          <w:sz w:val="30"/>
          <w:szCs w:val="30"/>
          <w:highlight w:val="none"/>
        </w:rPr>
        <w:t>检测</w:t>
      </w:r>
      <w:r>
        <w:rPr>
          <w:rFonts w:eastAsia="仿宋"/>
          <w:color w:val="auto"/>
          <w:sz w:val="30"/>
          <w:szCs w:val="30"/>
          <w:highlight w:val="none"/>
        </w:rPr>
        <w:t>资格证书必须在乙方处注册。</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（3）所有</w:t>
      </w:r>
      <w:r>
        <w:rPr>
          <w:rFonts w:hint="eastAsia" w:eastAsia="仿宋"/>
          <w:color w:val="auto"/>
          <w:sz w:val="30"/>
          <w:szCs w:val="30"/>
          <w:highlight w:val="none"/>
        </w:rPr>
        <w:t>检测</w:t>
      </w:r>
      <w:r>
        <w:rPr>
          <w:rFonts w:eastAsia="仿宋"/>
          <w:color w:val="auto"/>
          <w:sz w:val="30"/>
          <w:szCs w:val="30"/>
          <w:highlight w:val="none"/>
        </w:rPr>
        <w:t>报告必须符合国家和地方现行的规范、标准。</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（4）相关行政主管部门对检测结果提出异议时，乙方应无条件配合复检，由此产生的相关费用由乙方承担。</w:t>
      </w:r>
    </w:p>
    <w:p>
      <w:pPr>
        <w:adjustRightInd w:val="0"/>
        <w:snapToGrid w:val="0"/>
        <w:spacing w:line="360" w:lineRule="auto"/>
        <w:ind w:firstLine="606" w:firstLineChars="200"/>
        <w:rPr>
          <w:rFonts w:eastAsia="仿宋"/>
          <w:color w:val="auto"/>
          <w:kern w:val="0"/>
          <w:sz w:val="30"/>
          <w:szCs w:val="30"/>
          <w:highlight w:val="none"/>
        </w:rPr>
      </w:pPr>
      <w:r>
        <w:rPr>
          <w:rFonts w:eastAsia="仿宋"/>
          <w:color w:val="auto"/>
          <w:kern w:val="0"/>
          <w:sz w:val="30"/>
          <w:szCs w:val="30"/>
          <w:highlight w:val="none"/>
        </w:rPr>
        <w:t>2.</w:t>
      </w:r>
      <w:r>
        <w:rPr>
          <w:rFonts w:hint="eastAsia" w:eastAsia="仿宋"/>
          <w:color w:val="auto"/>
          <w:kern w:val="0"/>
          <w:sz w:val="30"/>
          <w:szCs w:val="30"/>
          <w:highlight w:val="none"/>
        </w:rPr>
        <w:t>7</w:t>
      </w:r>
      <w:r>
        <w:rPr>
          <w:rFonts w:eastAsia="仿宋"/>
          <w:color w:val="auto"/>
          <w:kern w:val="0"/>
          <w:sz w:val="30"/>
          <w:szCs w:val="30"/>
          <w:highlight w:val="none"/>
        </w:rPr>
        <w:t>使用甲方的财产</w:t>
      </w:r>
    </w:p>
    <w:p>
      <w:pPr>
        <w:adjustRightInd w:val="0"/>
        <w:snapToGrid w:val="0"/>
        <w:spacing w:line="360" w:lineRule="auto"/>
        <w:ind w:firstLine="606" w:firstLineChars="200"/>
        <w:rPr>
          <w:rFonts w:eastAsia="仿宋"/>
          <w:color w:val="auto"/>
          <w:kern w:val="0"/>
          <w:sz w:val="30"/>
          <w:szCs w:val="30"/>
          <w:highlight w:val="none"/>
        </w:rPr>
      </w:pPr>
      <w:r>
        <w:rPr>
          <w:rFonts w:eastAsia="仿宋"/>
          <w:color w:val="auto"/>
          <w:sz w:val="30"/>
          <w:szCs w:val="30"/>
          <w:highlight w:val="none"/>
        </w:rPr>
        <w:t xml:space="preserve">甲方无偿提供的房屋、场地、设备： </w:t>
      </w:r>
      <w:r>
        <w:rPr>
          <w:rFonts w:hint="eastAsia" w:eastAsia="仿宋"/>
          <w:color w:val="auto"/>
          <w:sz w:val="30"/>
          <w:szCs w:val="30"/>
          <w:highlight w:val="none"/>
        </w:rPr>
        <w:t>无</w:t>
      </w:r>
      <w:r>
        <w:rPr>
          <w:rFonts w:eastAsia="仿宋"/>
          <w:color w:val="auto"/>
          <w:sz w:val="30"/>
          <w:szCs w:val="30"/>
          <w:highlight w:val="none"/>
        </w:rPr>
        <w:t xml:space="preserve">  。</w:t>
      </w:r>
    </w:p>
    <w:p>
      <w:pPr>
        <w:adjustRightInd w:val="0"/>
        <w:snapToGrid w:val="0"/>
        <w:spacing w:line="360" w:lineRule="auto"/>
        <w:ind w:firstLine="606" w:firstLineChars="200"/>
        <w:rPr>
          <w:rFonts w:eastAsia="仿宋"/>
          <w:color w:val="auto"/>
          <w:kern w:val="0"/>
          <w:sz w:val="30"/>
          <w:szCs w:val="30"/>
          <w:highlight w:val="none"/>
        </w:rPr>
      </w:pPr>
      <w:r>
        <w:rPr>
          <w:rFonts w:eastAsia="仿宋"/>
          <w:color w:val="auto"/>
          <w:sz w:val="30"/>
          <w:szCs w:val="30"/>
          <w:highlight w:val="none"/>
        </w:rPr>
        <w:t>乙方应在本合同终止后</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r>
        <w:rPr>
          <w:rFonts w:eastAsia="仿宋"/>
          <w:color w:val="auto"/>
          <w:sz w:val="30"/>
          <w:szCs w:val="30"/>
          <w:highlight w:val="none"/>
        </w:rPr>
        <w:t>天内移交甲方无偿提供的房屋、场地、设备。移交的时间和方式为：</w:t>
      </w:r>
      <w:r>
        <w:rPr>
          <w:rFonts w:eastAsia="仿宋"/>
          <w:color w:val="auto"/>
          <w:sz w:val="30"/>
          <w:szCs w:val="30"/>
          <w:highlight w:val="none"/>
          <w:u w:val="single"/>
        </w:rPr>
        <w:t xml:space="preserve">    /     </w:t>
      </w:r>
      <w:r>
        <w:rPr>
          <w:rFonts w:eastAsia="仿宋"/>
          <w:color w:val="auto"/>
          <w:sz w:val="30"/>
          <w:szCs w:val="30"/>
          <w:highlight w:val="none"/>
        </w:rPr>
        <w:t>。</w:t>
      </w:r>
    </w:p>
    <w:p>
      <w:pPr>
        <w:pStyle w:val="4"/>
        <w:spacing w:before="0" w:after="0" w:line="360" w:lineRule="auto"/>
        <w:rPr>
          <w:rFonts w:ascii="Times New Roman" w:hAnsi="Times New Roman" w:eastAsia="黑体" w:cs="Times New Roman"/>
          <w:color w:val="auto"/>
          <w:sz w:val="32"/>
          <w:highlight w:val="none"/>
        </w:rPr>
      </w:pPr>
      <w:bookmarkStart w:id="369" w:name="_Toc4549_WPSOffice_Level2"/>
      <w:bookmarkStart w:id="370" w:name="_Toc8326"/>
      <w:bookmarkStart w:id="371" w:name="_Toc7859"/>
      <w:bookmarkStart w:id="372" w:name="_Toc30600"/>
      <w:bookmarkStart w:id="373" w:name="_Toc15921"/>
      <w:bookmarkStart w:id="374" w:name="_Toc23686171"/>
      <w:bookmarkStart w:id="375" w:name="_Toc28129457"/>
      <w:bookmarkStart w:id="376" w:name="_Toc28129180"/>
      <w:bookmarkStart w:id="377" w:name="_Toc23685177"/>
      <w:r>
        <w:rPr>
          <w:rFonts w:ascii="Times New Roman" w:hAnsi="Times New Roman" w:eastAsia="黑体" w:cs="Times New Roman"/>
          <w:color w:val="auto"/>
          <w:sz w:val="32"/>
          <w:highlight w:val="none"/>
        </w:rPr>
        <w:t>3. 甲方义务</w:t>
      </w:r>
      <w:bookmarkEnd w:id="369"/>
      <w:bookmarkEnd w:id="370"/>
      <w:bookmarkEnd w:id="371"/>
      <w:bookmarkEnd w:id="372"/>
      <w:bookmarkEnd w:id="373"/>
    </w:p>
    <w:p>
      <w:pPr>
        <w:snapToGrid w:val="0"/>
        <w:spacing w:line="360" w:lineRule="auto"/>
        <w:ind w:firstLine="606" w:firstLineChars="200"/>
        <w:rPr>
          <w:rFonts w:eastAsia="仿宋"/>
          <w:color w:val="auto"/>
          <w:sz w:val="30"/>
          <w:szCs w:val="30"/>
          <w:highlight w:val="none"/>
        </w:rPr>
      </w:pPr>
      <w:r>
        <w:rPr>
          <w:rFonts w:eastAsia="仿宋"/>
          <w:color w:val="auto"/>
          <w:kern w:val="0"/>
          <w:sz w:val="30"/>
          <w:szCs w:val="30"/>
          <w:highlight w:val="none"/>
        </w:rPr>
        <w:t>3.3甲方代表</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甲方代表为：姓名【</w:t>
      </w:r>
      <w:r>
        <w:rPr>
          <w:rFonts w:hint="eastAsia" w:eastAsia="仿宋"/>
          <w:color w:val="auto"/>
          <w:sz w:val="30"/>
          <w:szCs w:val="30"/>
          <w:highlight w:val="none"/>
        </w:rPr>
        <w:t xml:space="preserve">    </w:t>
      </w:r>
      <w:r>
        <w:rPr>
          <w:rFonts w:eastAsia="仿宋"/>
          <w:color w:val="auto"/>
          <w:sz w:val="30"/>
          <w:szCs w:val="30"/>
          <w:highlight w:val="none"/>
        </w:rPr>
        <w:t>】。</w:t>
      </w:r>
    </w:p>
    <w:p>
      <w:pPr>
        <w:adjustRightInd w:val="0"/>
        <w:snapToGrid w:val="0"/>
        <w:spacing w:line="360" w:lineRule="auto"/>
        <w:ind w:firstLine="606" w:firstLineChars="200"/>
        <w:outlineLvl w:val="0"/>
        <w:rPr>
          <w:rFonts w:eastAsia="仿宋"/>
          <w:color w:val="auto"/>
          <w:kern w:val="0"/>
          <w:sz w:val="30"/>
          <w:szCs w:val="30"/>
          <w:highlight w:val="none"/>
        </w:rPr>
      </w:pPr>
      <w:bookmarkStart w:id="378" w:name="_Toc15242"/>
      <w:bookmarkStart w:id="379" w:name="_Toc17808"/>
      <w:bookmarkStart w:id="380" w:name="_Toc25532"/>
      <w:bookmarkStart w:id="381" w:name="_Toc24618"/>
      <w:r>
        <w:rPr>
          <w:rFonts w:eastAsia="仿宋"/>
          <w:color w:val="auto"/>
          <w:kern w:val="0"/>
          <w:sz w:val="30"/>
          <w:szCs w:val="30"/>
          <w:highlight w:val="none"/>
        </w:rPr>
        <w:t>3.4 答复</w:t>
      </w:r>
      <w:bookmarkEnd w:id="374"/>
      <w:bookmarkEnd w:id="375"/>
      <w:bookmarkEnd w:id="376"/>
      <w:bookmarkEnd w:id="377"/>
      <w:bookmarkEnd w:id="378"/>
      <w:bookmarkEnd w:id="379"/>
      <w:bookmarkEnd w:id="380"/>
      <w:bookmarkEnd w:id="381"/>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甲方同意在</w:t>
      </w:r>
      <w:r>
        <w:rPr>
          <w:rFonts w:eastAsia="仿宋"/>
          <w:color w:val="auto"/>
          <w:sz w:val="30"/>
          <w:szCs w:val="30"/>
          <w:highlight w:val="none"/>
          <w:u w:val="single"/>
        </w:rPr>
        <w:t xml:space="preserve">  </w:t>
      </w:r>
      <w:r>
        <w:rPr>
          <w:rFonts w:hint="eastAsia" w:eastAsia="仿宋"/>
          <w:color w:val="auto"/>
          <w:sz w:val="30"/>
          <w:szCs w:val="30"/>
          <w:highlight w:val="none"/>
          <w:u w:val="single"/>
        </w:rPr>
        <w:t>7</w:t>
      </w:r>
      <w:r>
        <w:rPr>
          <w:rFonts w:eastAsia="仿宋"/>
          <w:color w:val="auto"/>
          <w:sz w:val="30"/>
          <w:szCs w:val="30"/>
          <w:highlight w:val="none"/>
          <w:u w:val="single"/>
        </w:rPr>
        <w:t xml:space="preserve">  </w:t>
      </w:r>
      <w:r>
        <w:rPr>
          <w:rFonts w:eastAsia="仿宋"/>
          <w:color w:val="auto"/>
          <w:sz w:val="30"/>
          <w:szCs w:val="30"/>
          <w:highlight w:val="none"/>
        </w:rPr>
        <w:t>天内，对乙方书面提交并要求做出决定的事宜给予书面答复。</w:t>
      </w:r>
    </w:p>
    <w:p>
      <w:pPr>
        <w:pStyle w:val="4"/>
        <w:spacing w:before="0" w:after="0" w:line="360" w:lineRule="auto"/>
        <w:rPr>
          <w:rFonts w:ascii="Times New Roman" w:hAnsi="Times New Roman" w:eastAsia="黑体" w:cs="Times New Roman"/>
          <w:color w:val="auto"/>
          <w:sz w:val="32"/>
          <w:highlight w:val="none"/>
        </w:rPr>
      </w:pPr>
      <w:bookmarkStart w:id="382" w:name="_Toc23998_WPSOffice_Level2"/>
      <w:bookmarkStart w:id="383" w:name="_Toc3116"/>
      <w:bookmarkStart w:id="384" w:name="_Toc24321"/>
      <w:bookmarkStart w:id="385" w:name="_Toc23834"/>
      <w:bookmarkStart w:id="386" w:name="_Toc16420"/>
      <w:bookmarkStart w:id="387" w:name="_Toc23686172"/>
      <w:bookmarkStart w:id="388" w:name="_Toc23685178"/>
      <w:bookmarkStart w:id="389" w:name="_Toc28129458"/>
      <w:r>
        <w:rPr>
          <w:rFonts w:ascii="Times New Roman" w:hAnsi="Times New Roman" w:eastAsia="黑体" w:cs="Times New Roman"/>
          <w:color w:val="auto"/>
          <w:sz w:val="32"/>
          <w:highlight w:val="none"/>
        </w:rPr>
        <w:t>4. 违约责任</w:t>
      </w:r>
      <w:bookmarkEnd w:id="382"/>
      <w:bookmarkEnd w:id="383"/>
      <w:bookmarkEnd w:id="384"/>
      <w:bookmarkEnd w:id="385"/>
      <w:bookmarkEnd w:id="386"/>
      <w:bookmarkEnd w:id="387"/>
      <w:bookmarkEnd w:id="388"/>
      <w:bookmarkEnd w:id="389"/>
    </w:p>
    <w:p>
      <w:pPr>
        <w:spacing w:line="360" w:lineRule="auto"/>
        <w:ind w:firstLine="606" w:firstLineChars="200"/>
        <w:outlineLvl w:val="0"/>
        <w:rPr>
          <w:rFonts w:eastAsia="仿宋"/>
          <w:color w:val="auto"/>
          <w:kern w:val="0"/>
          <w:sz w:val="30"/>
          <w:szCs w:val="30"/>
          <w:highlight w:val="none"/>
        </w:rPr>
      </w:pPr>
      <w:bookmarkStart w:id="390" w:name="_Toc7616"/>
      <w:bookmarkStart w:id="391" w:name="_Toc9046"/>
      <w:bookmarkStart w:id="392" w:name="_Toc23686173"/>
      <w:bookmarkStart w:id="393" w:name="_Toc8689"/>
      <w:bookmarkStart w:id="394" w:name="_Toc28129459"/>
      <w:bookmarkStart w:id="395" w:name="_Toc28129182"/>
      <w:bookmarkStart w:id="396" w:name="_Toc23685179"/>
      <w:bookmarkStart w:id="397" w:name="_Toc3555"/>
      <w:r>
        <w:rPr>
          <w:rFonts w:eastAsia="仿宋"/>
          <w:color w:val="auto"/>
          <w:kern w:val="0"/>
          <w:sz w:val="30"/>
          <w:szCs w:val="30"/>
          <w:highlight w:val="none"/>
        </w:rPr>
        <w:t>4.1 乙方的违约责任</w:t>
      </w:r>
      <w:bookmarkEnd w:id="390"/>
      <w:bookmarkEnd w:id="391"/>
      <w:bookmarkEnd w:id="392"/>
      <w:bookmarkEnd w:id="393"/>
      <w:bookmarkEnd w:id="394"/>
      <w:bookmarkEnd w:id="395"/>
      <w:bookmarkEnd w:id="396"/>
      <w:bookmarkEnd w:id="397"/>
    </w:p>
    <w:p>
      <w:pPr>
        <w:adjustRightInd w:val="0"/>
        <w:snapToGrid w:val="0"/>
        <w:spacing w:line="360" w:lineRule="auto"/>
        <w:ind w:firstLine="606" w:firstLineChars="200"/>
        <w:rPr>
          <w:rFonts w:ascii="Times New Roman" w:hAnsi="Times New Roman" w:eastAsia="仿宋" w:cs="Times New Roman"/>
          <w:color w:val="auto"/>
          <w:kern w:val="0"/>
          <w:sz w:val="30"/>
          <w:szCs w:val="30"/>
          <w:highlight w:val="none"/>
        </w:rPr>
      </w:pPr>
      <w:r>
        <w:rPr>
          <w:rFonts w:hint="eastAsia" w:ascii="Times New Roman" w:hAnsi="Times New Roman" w:eastAsia="仿宋" w:cs="Times New Roman"/>
          <w:color w:val="auto"/>
          <w:kern w:val="0"/>
          <w:sz w:val="30"/>
          <w:szCs w:val="30"/>
          <w:highlight w:val="none"/>
        </w:rPr>
        <w:t>乙方对本合同项下对于其违约责任约定的合理性充分理解，对其所需承担的全部风险已完全悉知且接受，乙方不得以任何理由请求人民法院或仲裁机构减轻或免除其依据本合同所应承担的任何违约责任。</w:t>
      </w:r>
    </w:p>
    <w:p>
      <w:pPr>
        <w:adjustRightInd w:val="0"/>
        <w:snapToGrid w:val="0"/>
        <w:spacing w:line="360" w:lineRule="auto"/>
        <w:ind w:firstLine="606" w:firstLineChars="200"/>
        <w:rPr>
          <w:rFonts w:eastAsia="仿宋"/>
          <w:color w:val="auto"/>
          <w:kern w:val="0"/>
          <w:sz w:val="30"/>
          <w:szCs w:val="30"/>
          <w:highlight w:val="none"/>
        </w:rPr>
      </w:pPr>
      <w:r>
        <w:rPr>
          <w:rFonts w:eastAsia="仿宋"/>
          <w:color w:val="auto"/>
          <w:kern w:val="0"/>
          <w:sz w:val="30"/>
          <w:szCs w:val="30"/>
          <w:highlight w:val="none"/>
        </w:rPr>
        <w:t>4.1.1 乙方违反本合同约定造成甲方损失的，乙方应予以赔偿。</w:t>
      </w:r>
      <w:r>
        <w:rPr>
          <w:rFonts w:hint="eastAsia" w:ascii="Times New Roman" w:hAnsi="Times New Roman" w:eastAsia="仿宋"/>
          <w:color w:val="auto"/>
          <w:kern w:val="0"/>
          <w:sz w:val="30"/>
          <w:szCs w:val="30"/>
          <w:highlight w:val="none"/>
        </w:rPr>
        <w:t>甲方可在应付未付款中直接抵扣乙方应付违约金，不足部分甲方有权继续向乙方追偿。</w:t>
      </w:r>
    </w:p>
    <w:p>
      <w:pPr>
        <w:adjustRightInd w:val="0"/>
        <w:snapToGrid w:val="0"/>
        <w:spacing w:line="360" w:lineRule="auto"/>
        <w:ind w:firstLine="606" w:firstLineChars="200"/>
        <w:outlineLvl w:val="0"/>
        <w:rPr>
          <w:rFonts w:eastAsia="仿宋"/>
          <w:color w:val="auto"/>
          <w:kern w:val="0"/>
          <w:sz w:val="30"/>
          <w:szCs w:val="30"/>
          <w:highlight w:val="none"/>
        </w:rPr>
      </w:pPr>
      <w:bookmarkStart w:id="398" w:name="_Toc28129460"/>
      <w:bookmarkStart w:id="399" w:name="_Toc28129183"/>
      <w:bookmarkStart w:id="400" w:name="_Toc23686174"/>
      <w:bookmarkStart w:id="401" w:name="_Toc25747"/>
      <w:bookmarkStart w:id="402" w:name="_Toc16186"/>
      <w:bookmarkStart w:id="403" w:name="_Toc24498"/>
      <w:bookmarkStart w:id="404" w:name="_Toc13101"/>
      <w:bookmarkStart w:id="405" w:name="_Toc23685180"/>
      <w:r>
        <w:rPr>
          <w:rFonts w:eastAsia="仿宋"/>
          <w:color w:val="auto"/>
          <w:kern w:val="0"/>
          <w:sz w:val="30"/>
          <w:szCs w:val="30"/>
          <w:highlight w:val="none"/>
        </w:rPr>
        <w:t>（1）工期延误方面的违约责任</w:t>
      </w:r>
      <w:bookmarkEnd w:id="398"/>
      <w:bookmarkEnd w:id="399"/>
      <w:bookmarkEnd w:id="400"/>
      <w:bookmarkEnd w:id="401"/>
      <w:bookmarkEnd w:id="402"/>
      <w:bookmarkEnd w:id="403"/>
      <w:bookmarkEnd w:id="404"/>
      <w:bookmarkEnd w:id="405"/>
    </w:p>
    <w:p>
      <w:pPr>
        <w:adjustRightInd w:val="0"/>
        <w:snapToGrid w:val="0"/>
        <w:spacing w:line="360" w:lineRule="auto"/>
        <w:ind w:firstLine="606" w:firstLineChars="200"/>
        <w:outlineLvl w:val="0"/>
        <w:rPr>
          <w:rFonts w:eastAsia="仿宋"/>
          <w:color w:val="auto"/>
          <w:kern w:val="0"/>
          <w:sz w:val="30"/>
          <w:szCs w:val="30"/>
          <w:highlight w:val="none"/>
        </w:rPr>
      </w:pPr>
      <w:bookmarkStart w:id="406" w:name="_Toc1239"/>
      <w:bookmarkStart w:id="407" w:name="_Toc19255"/>
      <w:bookmarkStart w:id="408" w:name="_Toc28129184"/>
      <w:bookmarkStart w:id="409" w:name="_Toc28129461"/>
      <w:bookmarkStart w:id="410" w:name="_Toc20749"/>
      <w:bookmarkStart w:id="411" w:name="_Toc7"/>
      <w:bookmarkStart w:id="412" w:name="_Toc23686175"/>
      <w:bookmarkStart w:id="413" w:name="_Toc23685181"/>
      <w:r>
        <w:rPr>
          <w:rFonts w:eastAsia="仿宋"/>
          <w:color w:val="auto"/>
          <w:kern w:val="0"/>
          <w:sz w:val="30"/>
          <w:szCs w:val="30"/>
          <w:highlight w:val="none"/>
        </w:rPr>
        <w:t>乙方违反本合同约定延期进场开工的，每迟延开工一天，必须向甲方支付本合同项下检测费用1‰的违约金；迟延开工超过10天的，甲方有权解除合同，将本项目另行发包，并不免除乙方的违约赔偿责任。</w:t>
      </w:r>
      <w:bookmarkEnd w:id="406"/>
      <w:bookmarkEnd w:id="407"/>
      <w:bookmarkEnd w:id="408"/>
      <w:bookmarkEnd w:id="409"/>
      <w:bookmarkEnd w:id="410"/>
      <w:bookmarkEnd w:id="411"/>
      <w:bookmarkEnd w:id="412"/>
      <w:bookmarkEnd w:id="413"/>
    </w:p>
    <w:p>
      <w:pPr>
        <w:adjustRightInd w:val="0"/>
        <w:snapToGrid w:val="0"/>
        <w:spacing w:line="360" w:lineRule="auto"/>
        <w:ind w:firstLine="606" w:firstLineChars="200"/>
        <w:outlineLvl w:val="0"/>
        <w:rPr>
          <w:rFonts w:eastAsia="仿宋"/>
          <w:color w:val="auto"/>
          <w:kern w:val="0"/>
          <w:sz w:val="30"/>
          <w:szCs w:val="30"/>
          <w:highlight w:val="none"/>
        </w:rPr>
      </w:pPr>
      <w:bookmarkStart w:id="414" w:name="_Toc23685182"/>
      <w:bookmarkStart w:id="415" w:name="_Toc28129185"/>
      <w:bookmarkStart w:id="416" w:name="_Toc28129462"/>
      <w:bookmarkStart w:id="417" w:name="_Toc28702"/>
      <w:bookmarkStart w:id="418" w:name="_Toc11343"/>
      <w:bookmarkStart w:id="419" w:name="_Toc28554"/>
      <w:bookmarkStart w:id="420" w:name="_Toc23686176"/>
      <w:bookmarkStart w:id="421" w:name="_Toc30222"/>
      <w:r>
        <w:rPr>
          <w:rFonts w:eastAsia="仿宋"/>
          <w:color w:val="auto"/>
          <w:kern w:val="0"/>
          <w:sz w:val="30"/>
          <w:szCs w:val="30"/>
          <w:highlight w:val="none"/>
        </w:rPr>
        <w:t>乙方不能按本合同约定及时在现场取样、进行检测，每迟延一天，必须向甲方支付本合同项下检测费用1‰的违约金/次；累计迟延超过10天的，甲方有权解除合同，将本项目另行发包，并不免除乙方的违约赔偿责任。</w:t>
      </w:r>
      <w:bookmarkEnd w:id="414"/>
      <w:bookmarkEnd w:id="415"/>
      <w:bookmarkEnd w:id="416"/>
      <w:bookmarkEnd w:id="417"/>
      <w:bookmarkEnd w:id="418"/>
      <w:bookmarkEnd w:id="419"/>
      <w:bookmarkEnd w:id="420"/>
      <w:bookmarkEnd w:id="421"/>
    </w:p>
    <w:p>
      <w:pPr>
        <w:adjustRightInd w:val="0"/>
        <w:snapToGrid w:val="0"/>
        <w:spacing w:line="360" w:lineRule="auto"/>
        <w:ind w:firstLine="606" w:firstLineChars="200"/>
        <w:outlineLvl w:val="0"/>
        <w:rPr>
          <w:rFonts w:eastAsia="仿宋"/>
          <w:color w:val="auto"/>
          <w:kern w:val="0"/>
          <w:sz w:val="30"/>
          <w:szCs w:val="30"/>
          <w:highlight w:val="none"/>
        </w:rPr>
      </w:pPr>
      <w:bookmarkStart w:id="422" w:name="_Toc13278"/>
      <w:bookmarkStart w:id="423" w:name="_Toc28129186"/>
      <w:bookmarkStart w:id="424" w:name="_Toc777"/>
      <w:bookmarkStart w:id="425" w:name="_Toc28129463"/>
      <w:bookmarkStart w:id="426" w:name="_Toc10665"/>
      <w:bookmarkStart w:id="427" w:name="_Toc9091"/>
      <w:bookmarkStart w:id="428" w:name="_Toc23686177"/>
      <w:bookmarkStart w:id="429" w:name="_Toc23685183"/>
      <w:r>
        <w:rPr>
          <w:rFonts w:eastAsia="仿宋"/>
          <w:color w:val="auto"/>
          <w:kern w:val="0"/>
          <w:sz w:val="30"/>
          <w:szCs w:val="30"/>
          <w:highlight w:val="none"/>
        </w:rPr>
        <w:t>乙方不能按本合同约定及时出具检测报告，每迟延一天，必须向甲方支付本合同项下检测费用1‰的违约金/次；累计迟延超过10天的，甲方有权解除合同，将本项目另行发包，并不免除乙方的违约赔偿责任。</w:t>
      </w:r>
      <w:bookmarkEnd w:id="422"/>
      <w:bookmarkEnd w:id="423"/>
      <w:bookmarkEnd w:id="424"/>
      <w:bookmarkEnd w:id="425"/>
      <w:bookmarkEnd w:id="426"/>
      <w:bookmarkEnd w:id="427"/>
      <w:bookmarkEnd w:id="428"/>
      <w:bookmarkEnd w:id="429"/>
    </w:p>
    <w:p>
      <w:pPr>
        <w:adjustRightInd w:val="0"/>
        <w:snapToGrid w:val="0"/>
        <w:spacing w:line="360" w:lineRule="auto"/>
        <w:ind w:firstLine="606" w:firstLineChars="200"/>
        <w:outlineLvl w:val="0"/>
        <w:rPr>
          <w:rFonts w:eastAsia="仿宋"/>
          <w:color w:val="auto"/>
          <w:kern w:val="0"/>
          <w:sz w:val="30"/>
          <w:szCs w:val="30"/>
          <w:highlight w:val="none"/>
        </w:rPr>
      </w:pPr>
      <w:bookmarkStart w:id="430" w:name="_Toc23685184"/>
      <w:bookmarkStart w:id="431" w:name="_Toc23686178"/>
      <w:bookmarkStart w:id="432" w:name="_Toc11103"/>
      <w:bookmarkStart w:id="433" w:name="_Toc28129187"/>
      <w:bookmarkStart w:id="434" w:name="_Toc28129464"/>
      <w:bookmarkStart w:id="435" w:name="_Toc72"/>
      <w:bookmarkStart w:id="436" w:name="_Toc24874"/>
      <w:bookmarkStart w:id="437" w:name="_Toc29305"/>
      <w:r>
        <w:rPr>
          <w:rFonts w:eastAsia="仿宋"/>
          <w:color w:val="auto"/>
          <w:kern w:val="0"/>
          <w:sz w:val="30"/>
          <w:szCs w:val="30"/>
          <w:highlight w:val="none"/>
        </w:rPr>
        <w:t>（2）安全方面的违约责任</w:t>
      </w:r>
      <w:bookmarkEnd w:id="430"/>
      <w:bookmarkEnd w:id="431"/>
      <w:bookmarkEnd w:id="432"/>
      <w:bookmarkEnd w:id="433"/>
      <w:bookmarkEnd w:id="434"/>
      <w:bookmarkEnd w:id="435"/>
      <w:bookmarkEnd w:id="436"/>
      <w:bookmarkEnd w:id="437"/>
    </w:p>
    <w:p>
      <w:pPr>
        <w:adjustRightInd w:val="0"/>
        <w:snapToGrid w:val="0"/>
        <w:spacing w:line="360" w:lineRule="auto"/>
        <w:ind w:firstLine="606" w:firstLineChars="200"/>
        <w:outlineLvl w:val="0"/>
        <w:rPr>
          <w:rFonts w:eastAsia="仿宋"/>
          <w:color w:val="auto"/>
          <w:kern w:val="0"/>
          <w:sz w:val="30"/>
          <w:szCs w:val="30"/>
          <w:highlight w:val="none"/>
        </w:rPr>
      </w:pPr>
      <w:bookmarkStart w:id="438" w:name="_Toc11718"/>
      <w:bookmarkStart w:id="439" w:name="_Toc12349"/>
      <w:bookmarkStart w:id="440" w:name="_Toc28129465"/>
      <w:bookmarkStart w:id="441" w:name="_Toc23686179"/>
      <w:bookmarkStart w:id="442" w:name="_Toc32736"/>
      <w:bookmarkStart w:id="443" w:name="_Toc21146"/>
      <w:bookmarkStart w:id="444" w:name="_Toc28129188"/>
      <w:bookmarkStart w:id="445" w:name="_Toc23685185"/>
      <w:r>
        <w:rPr>
          <w:rFonts w:hint="eastAsia" w:ascii="Times New Roman" w:hAnsi="Times New Roman" w:eastAsia="仿宋"/>
          <w:color w:val="auto"/>
          <w:kern w:val="0"/>
          <w:sz w:val="30"/>
          <w:szCs w:val="30"/>
          <w:highlight w:val="none"/>
        </w:rPr>
        <w:t>建筑物出现危险事故征兆的情况下，由于乙方的检测工作不及时、测量资料不准确或分析、报告不及时而导致事故发生，甲方有权解除合同，乙方除应承担给甲方造成的损失外，还应承担合同总额</w:t>
      </w:r>
      <w:r>
        <w:rPr>
          <w:rFonts w:ascii="Times New Roman" w:hAnsi="Times New Roman" w:eastAsia="仿宋"/>
          <w:color w:val="auto"/>
          <w:kern w:val="0"/>
          <w:sz w:val="30"/>
          <w:szCs w:val="30"/>
          <w:highlight w:val="none"/>
        </w:rPr>
        <w:t>20%的</w:t>
      </w:r>
      <w:r>
        <w:rPr>
          <w:rFonts w:hint="eastAsia" w:ascii="Times New Roman" w:hAnsi="Times New Roman" w:eastAsia="仿宋"/>
          <w:color w:val="auto"/>
          <w:kern w:val="0"/>
          <w:sz w:val="30"/>
          <w:szCs w:val="30"/>
          <w:highlight w:val="none"/>
        </w:rPr>
        <w:t>违约金。</w:t>
      </w:r>
      <w:r>
        <w:rPr>
          <w:rFonts w:ascii="Times New Roman" w:hAnsi="Times New Roman" w:eastAsia="仿宋"/>
          <w:color w:val="auto"/>
          <w:kern w:val="0"/>
          <w:sz w:val="30"/>
          <w:szCs w:val="30"/>
          <w:highlight w:val="none"/>
        </w:rPr>
        <w:t>同时，甲方将视情况严重程度，将情况通报建设主管部门。情节严重的，依法追究法律责任</w:t>
      </w:r>
      <w:r>
        <w:rPr>
          <w:rFonts w:eastAsia="仿宋"/>
          <w:color w:val="auto"/>
          <w:kern w:val="0"/>
          <w:sz w:val="30"/>
          <w:szCs w:val="30"/>
          <w:highlight w:val="none"/>
        </w:rPr>
        <w:t>。</w:t>
      </w:r>
      <w:bookmarkEnd w:id="438"/>
      <w:bookmarkEnd w:id="439"/>
      <w:bookmarkEnd w:id="440"/>
      <w:bookmarkEnd w:id="441"/>
      <w:bookmarkEnd w:id="442"/>
      <w:bookmarkEnd w:id="443"/>
      <w:bookmarkEnd w:id="444"/>
      <w:bookmarkEnd w:id="445"/>
    </w:p>
    <w:p>
      <w:pPr>
        <w:adjustRightInd w:val="0"/>
        <w:snapToGrid w:val="0"/>
        <w:spacing w:line="360" w:lineRule="auto"/>
        <w:ind w:firstLine="606" w:firstLineChars="200"/>
        <w:outlineLvl w:val="0"/>
        <w:rPr>
          <w:rFonts w:eastAsia="仿宋"/>
          <w:color w:val="auto"/>
          <w:kern w:val="0"/>
          <w:sz w:val="30"/>
          <w:szCs w:val="30"/>
          <w:highlight w:val="none"/>
        </w:rPr>
      </w:pPr>
      <w:bookmarkStart w:id="446" w:name="_Toc14530"/>
      <w:bookmarkStart w:id="447" w:name="_Toc28129466"/>
      <w:bookmarkStart w:id="448" w:name="_Toc12186"/>
      <w:bookmarkStart w:id="449" w:name="_Toc28157"/>
      <w:bookmarkStart w:id="450" w:name="_Toc23686180"/>
      <w:bookmarkStart w:id="451" w:name="_Toc28129189"/>
      <w:bookmarkStart w:id="452" w:name="_Toc23685186"/>
      <w:bookmarkStart w:id="453" w:name="_Toc21125"/>
      <w:r>
        <w:rPr>
          <w:rFonts w:eastAsia="仿宋"/>
          <w:color w:val="auto"/>
          <w:kern w:val="0"/>
          <w:sz w:val="30"/>
          <w:szCs w:val="30"/>
          <w:highlight w:val="none"/>
        </w:rPr>
        <w:t>（3）分包、转包方面的违约责任</w:t>
      </w:r>
      <w:bookmarkEnd w:id="446"/>
      <w:bookmarkEnd w:id="447"/>
      <w:bookmarkEnd w:id="448"/>
      <w:bookmarkEnd w:id="449"/>
      <w:bookmarkEnd w:id="450"/>
      <w:bookmarkEnd w:id="451"/>
      <w:bookmarkEnd w:id="452"/>
      <w:bookmarkEnd w:id="453"/>
    </w:p>
    <w:p>
      <w:pPr>
        <w:adjustRightInd w:val="0"/>
        <w:snapToGrid w:val="0"/>
        <w:spacing w:line="360" w:lineRule="auto"/>
        <w:ind w:firstLine="606" w:firstLineChars="200"/>
        <w:outlineLvl w:val="0"/>
        <w:rPr>
          <w:rFonts w:eastAsia="仿宋"/>
          <w:color w:val="auto"/>
          <w:kern w:val="0"/>
          <w:sz w:val="30"/>
          <w:szCs w:val="30"/>
          <w:highlight w:val="none"/>
        </w:rPr>
      </w:pPr>
      <w:bookmarkStart w:id="454" w:name="_Toc28129190"/>
      <w:bookmarkStart w:id="455" w:name="_Toc32467"/>
      <w:bookmarkStart w:id="456" w:name="_Toc23686181"/>
      <w:bookmarkStart w:id="457" w:name="_Toc23685187"/>
      <w:bookmarkStart w:id="458" w:name="_Toc28129467"/>
      <w:bookmarkStart w:id="459" w:name="_Toc15818"/>
      <w:bookmarkStart w:id="460" w:name="_Toc16848"/>
      <w:bookmarkStart w:id="461" w:name="_Toc212"/>
      <w:r>
        <w:rPr>
          <w:rFonts w:eastAsia="仿宋"/>
          <w:color w:val="auto"/>
          <w:kern w:val="0"/>
          <w:sz w:val="30"/>
          <w:szCs w:val="30"/>
          <w:highlight w:val="none"/>
        </w:rPr>
        <w:t>乙方擅自分包或者转包项目的，甲方有权单方部分解除合同或全部解除合同，并要求乙方承担合同总额</w:t>
      </w:r>
      <w:r>
        <w:rPr>
          <w:rFonts w:hint="eastAsia" w:eastAsia="仿宋"/>
          <w:color w:val="auto"/>
          <w:kern w:val="0"/>
          <w:sz w:val="30"/>
          <w:szCs w:val="30"/>
          <w:highlight w:val="none"/>
        </w:rPr>
        <w:t>2</w:t>
      </w:r>
      <w:r>
        <w:rPr>
          <w:rFonts w:eastAsia="仿宋"/>
          <w:color w:val="auto"/>
          <w:kern w:val="0"/>
          <w:sz w:val="30"/>
          <w:szCs w:val="30"/>
          <w:highlight w:val="none"/>
        </w:rPr>
        <w:t>0%的违约金并赔偿由此造成的损失。</w:t>
      </w:r>
      <w:bookmarkEnd w:id="454"/>
      <w:bookmarkEnd w:id="455"/>
      <w:bookmarkEnd w:id="456"/>
      <w:bookmarkEnd w:id="457"/>
      <w:bookmarkEnd w:id="458"/>
      <w:bookmarkEnd w:id="459"/>
      <w:bookmarkEnd w:id="460"/>
      <w:bookmarkEnd w:id="461"/>
    </w:p>
    <w:p>
      <w:pPr>
        <w:adjustRightInd w:val="0"/>
        <w:snapToGrid w:val="0"/>
        <w:spacing w:line="360" w:lineRule="auto"/>
        <w:ind w:firstLine="606" w:firstLineChars="200"/>
        <w:outlineLvl w:val="0"/>
        <w:rPr>
          <w:rFonts w:eastAsia="仿宋"/>
          <w:color w:val="auto"/>
          <w:kern w:val="0"/>
          <w:sz w:val="30"/>
          <w:szCs w:val="30"/>
          <w:highlight w:val="none"/>
        </w:rPr>
      </w:pPr>
      <w:bookmarkStart w:id="462" w:name="_Toc23685188"/>
      <w:bookmarkStart w:id="463" w:name="_Toc20099"/>
      <w:bookmarkStart w:id="464" w:name="_Toc16579"/>
      <w:bookmarkStart w:id="465" w:name="_Toc28129468"/>
      <w:bookmarkStart w:id="466" w:name="_Toc14417"/>
      <w:bookmarkStart w:id="467" w:name="_Toc28129191"/>
      <w:bookmarkStart w:id="468" w:name="_Toc23686182"/>
      <w:bookmarkStart w:id="469" w:name="_Toc27577"/>
      <w:r>
        <w:rPr>
          <w:rFonts w:eastAsia="仿宋"/>
          <w:color w:val="auto"/>
          <w:kern w:val="0"/>
          <w:sz w:val="30"/>
          <w:szCs w:val="30"/>
          <w:highlight w:val="none"/>
        </w:rPr>
        <w:t>（4）如乙方提交的技术成果报告不能满足国家和地方现行的规范、标准、合同约定及本合同项下工程建设需要的，甲方有权解除合同,若合同继续履行的,乙方应自负费用继续完善，直到满足甲方需要时为止，甲方有权要求乙方承担合同总额</w:t>
      </w:r>
      <w:r>
        <w:rPr>
          <w:rFonts w:hint="eastAsia" w:eastAsia="仿宋"/>
          <w:color w:val="auto"/>
          <w:kern w:val="0"/>
          <w:sz w:val="30"/>
          <w:szCs w:val="30"/>
          <w:highlight w:val="none"/>
        </w:rPr>
        <w:t>2</w:t>
      </w:r>
      <w:r>
        <w:rPr>
          <w:rFonts w:eastAsia="仿宋"/>
          <w:color w:val="auto"/>
          <w:kern w:val="0"/>
          <w:sz w:val="30"/>
          <w:szCs w:val="30"/>
          <w:highlight w:val="none"/>
        </w:rPr>
        <w:t>0%的违约金并赔偿由此造成的损失。</w:t>
      </w:r>
      <w:bookmarkEnd w:id="462"/>
      <w:bookmarkEnd w:id="463"/>
      <w:bookmarkEnd w:id="464"/>
      <w:bookmarkEnd w:id="465"/>
      <w:bookmarkEnd w:id="466"/>
      <w:bookmarkEnd w:id="467"/>
      <w:bookmarkEnd w:id="468"/>
      <w:bookmarkEnd w:id="469"/>
      <w:bookmarkStart w:id="470" w:name="_Toc23685189"/>
      <w:bookmarkStart w:id="471" w:name="_Toc23686183"/>
    </w:p>
    <w:p>
      <w:pPr>
        <w:adjustRightInd w:val="0"/>
        <w:snapToGrid w:val="0"/>
        <w:spacing w:line="360" w:lineRule="auto"/>
        <w:ind w:firstLine="606" w:firstLineChars="200"/>
        <w:outlineLvl w:val="0"/>
        <w:rPr>
          <w:rFonts w:eastAsia="仿宋"/>
          <w:color w:val="auto"/>
          <w:kern w:val="0"/>
          <w:sz w:val="30"/>
          <w:szCs w:val="30"/>
          <w:highlight w:val="none"/>
        </w:rPr>
      </w:pPr>
      <w:bookmarkStart w:id="472" w:name="_Toc25998"/>
      <w:bookmarkStart w:id="473" w:name="_Toc4342"/>
      <w:bookmarkStart w:id="474" w:name="_Toc28129469"/>
      <w:bookmarkStart w:id="475" w:name="_Toc8679"/>
      <w:bookmarkStart w:id="476" w:name="_Toc30673"/>
      <w:bookmarkStart w:id="477" w:name="_Toc28129192"/>
      <w:r>
        <w:rPr>
          <w:rFonts w:eastAsia="仿宋"/>
          <w:color w:val="auto"/>
          <w:kern w:val="0"/>
          <w:sz w:val="30"/>
          <w:szCs w:val="30"/>
          <w:highlight w:val="none"/>
        </w:rPr>
        <w:t>（5）发现乙方人员与施工单位串通，对不合格工程出具合格检测报告或结论，</w:t>
      </w:r>
      <w:r>
        <w:rPr>
          <w:rFonts w:hint="eastAsia" w:ascii="Times New Roman" w:hAnsi="Times New Roman" w:eastAsia="仿宋"/>
          <w:color w:val="auto"/>
          <w:kern w:val="0"/>
          <w:sz w:val="30"/>
          <w:szCs w:val="30"/>
          <w:highlight w:val="none"/>
        </w:rPr>
        <w:t>甲方有权</w:t>
      </w:r>
      <w:r>
        <w:rPr>
          <w:rFonts w:ascii="Times New Roman" w:hAnsi="Times New Roman" w:eastAsia="仿宋"/>
          <w:color w:val="auto"/>
          <w:kern w:val="0"/>
          <w:sz w:val="30"/>
          <w:szCs w:val="30"/>
          <w:highlight w:val="none"/>
        </w:rPr>
        <w:t>单方面解除合同，</w:t>
      </w:r>
      <w:r>
        <w:rPr>
          <w:rFonts w:eastAsia="仿宋"/>
          <w:color w:val="auto"/>
          <w:kern w:val="0"/>
          <w:sz w:val="30"/>
          <w:szCs w:val="30"/>
          <w:highlight w:val="none"/>
        </w:rPr>
        <w:t>要求乙方承担合同总额30%的违约金,并承担因此给甲方造成的损失。</w:t>
      </w:r>
      <w:bookmarkEnd w:id="470"/>
      <w:bookmarkEnd w:id="471"/>
      <w:bookmarkEnd w:id="472"/>
      <w:bookmarkEnd w:id="473"/>
      <w:bookmarkEnd w:id="474"/>
      <w:bookmarkEnd w:id="475"/>
      <w:bookmarkEnd w:id="476"/>
      <w:bookmarkEnd w:id="477"/>
    </w:p>
    <w:p>
      <w:pPr>
        <w:adjustRightInd w:val="0"/>
        <w:snapToGrid w:val="0"/>
        <w:spacing w:line="360" w:lineRule="auto"/>
        <w:ind w:firstLine="606" w:firstLineChars="200"/>
        <w:outlineLvl w:val="0"/>
        <w:rPr>
          <w:rFonts w:eastAsia="仿宋"/>
          <w:color w:val="auto"/>
          <w:kern w:val="0"/>
          <w:sz w:val="30"/>
          <w:szCs w:val="30"/>
          <w:highlight w:val="none"/>
        </w:rPr>
      </w:pPr>
      <w:bookmarkStart w:id="478" w:name="_Toc12174"/>
      <w:bookmarkStart w:id="479" w:name="_Toc28129193"/>
      <w:bookmarkStart w:id="480" w:name="_Toc23686184"/>
      <w:bookmarkStart w:id="481" w:name="_Toc8839"/>
      <w:bookmarkStart w:id="482" w:name="_Toc28129470"/>
      <w:bookmarkStart w:id="483" w:name="_Toc8073"/>
      <w:bookmarkStart w:id="484" w:name="_Toc16470"/>
      <w:bookmarkStart w:id="485" w:name="_Toc23685190"/>
      <w:r>
        <w:rPr>
          <w:rFonts w:eastAsia="仿宋"/>
          <w:color w:val="auto"/>
          <w:kern w:val="0"/>
          <w:sz w:val="30"/>
          <w:szCs w:val="30"/>
          <w:highlight w:val="none"/>
        </w:rPr>
        <w:t>（6）其他违约责任</w:t>
      </w:r>
      <w:bookmarkEnd w:id="478"/>
      <w:bookmarkEnd w:id="479"/>
      <w:bookmarkEnd w:id="480"/>
      <w:bookmarkEnd w:id="481"/>
      <w:bookmarkEnd w:id="482"/>
      <w:bookmarkEnd w:id="483"/>
      <w:bookmarkEnd w:id="484"/>
      <w:bookmarkEnd w:id="485"/>
    </w:p>
    <w:p>
      <w:pPr>
        <w:adjustRightInd w:val="0"/>
        <w:snapToGrid w:val="0"/>
        <w:spacing w:line="360" w:lineRule="auto"/>
        <w:ind w:firstLine="606" w:firstLineChars="200"/>
        <w:outlineLvl w:val="0"/>
        <w:rPr>
          <w:rFonts w:eastAsia="仿宋"/>
          <w:color w:val="auto"/>
          <w:kern w:val="0"/>
          <w:sz w:val="30"/>
          <w:szCs w:val="30"/>
          <w:highlight w:val="none"/>
        </w:rPr>
      </w:pPr>
      <w:bookmarkStart w:id="486" w:name="_Toc23686185"/>
      <w:bookmarkStart w:id="487" w:name="_Toc24418"/>
      <w:bookmarkStart w:id="488" w:name="_Toc23685191"/>
      <w:bookmarkStart w:id="489" w:name="_Toc12310"/>
      <w:bookmarkStart w:id="490" w:name="_Toc28129194"/>
      <w:bookmarkStart w:id="491" w:name="_Toc32759"/>
      <w:bookmarkStart w:id="492" w:name="_Toc28129471"/>
      <w:bookmarkStart w:id="493" w:name="_Toc10399"/>
      <w:r>
        <w:rPr>
          <w:rFonts w:eastAsia="仿宋"/>
          <w:color w:val="auto"/>
          <w:kern w:val="0"/>
          <w:sz w:val="30"/>
          <w:szCs w:val="30"/>
          <w:highlight w:val="none"/>
        </w:rPr>
        <w:t>乙方投入的人员与招标文件规定不符或未经甲方同意擅自更换的，每更换一名项目负责人或技术负责人，甲方有权按暂定合同总价的5%扣减检测费用作为违约金。</w:t>
      </w:r>
      <w:bookmarkEnd w:id="486"/>
      <w:bookmarkEnd w:id="487"/>
      <w:bookmarkEnd w:id="488"/>
      <w:bookmarkEnd w:id="489"/>
      <w:bookmarkEnd w:id="490"/>
      <w:bookmarkEnd w:id="491"/>
      <w:bookmarkEnd w:id="492"/>
      <w:bookmarkEnd w:id="493"/>
    </w:p>
    <w:p>
      <w:pPr>
        <w:adjustRightInd w:val="0"/>
        <w:snapToGrid w:val="0"/>
        <w:spacing w:line="360" w:lineRule="auto"/>
        <w:ind w:firstLine="606" w:firstLineChars="200"/>
        <w:outlineLvl w:val="0"/>
        <w:rPr>
          <w:rFonts w:eastAsia="仿宋"/>
          <w:color w:val="auto"/>
          <w:kern w:val="0"/>
          <w:sz w:val="30"/>
          <w:szCs w:val="30"/>
          <w:highlight w:val="none"/>
        </w:rPr>
      </w:pPr>
      <w:bookmarkStart w:id="494" w:name="_Toc28129195"/>
      <w:bookmarkStart w:id="495" w:name="_Toc27343"/>
      <w:bookmarkStart w:id="496" w:name="_Toc23872"/>
      <w:bookmarkStart w:id="497" w:name="_Toc11841"/>
      <w:bookmarkStart w:id="498" w:name="_Toc28129472"/>
      <w:bookmarkStart w:id="499" w:name="_Toc12132"/>
      <w:bookmarkStart w:id="500" w:name="_Toc23685192"/>
      <w:bookmarkStart w:id="501" w:name="_Toc23686186"/>
      <w:r>
        <w:rPr>
          <w:rFonts w:eastAsia="仿宋"/>
          <w:color w:val="auto"/>
          <w:kern w:val="0"/>
          <w:sz w:val="30"/>
          <w:szCs w:val="30"/>
          <w:highlight w:val="none"/>
        </w:rPr>
        <w:t>因特殊情况需要，乙方确需更换项目负责人或检测项目主要人员的，乙方应至少提前7天以书面形式向甲方提出申请，经甲方同意后方可更换，但乙方仍需向甲方支付专项的人员违约金。其中，更换项目负责人按10万元/人次向甲方支付违约金；更换其他检测项目主要人员按5万元/人次向甲方支付违约金。</w:t>
      </w:r>
      <w:bookmarkEnd w:id="494"/>
      <w:bookmarkEnd w:id="495"/>
      <w:bookmarkEnd w:id="496"/>
      <w:bookmarkEnd w:id="497"/>
      <w:bookmarkEnd w:id="498"/>
      <w:bookmarkEnd w:id="499"/>
      <w:bookmarkEnd w:id="500"/>
      <w:bookmarkEnd w:id="501"/>
    </w:p>
    <w:p>
      <w:pPr>
        <w:adjustRightInd w:val="0"/>
        <w:snapToGrid w:val="0"/>
        <w:spacing w:line="360" w:lineRule="auto"/>
        <w:ind w:firstLine="606" w:firstLineChars="200"/>
        <w:outlineLvl w:val="0"/>
        <w:rPr>
          <w:rFonts w:eastAsia="仿宋"/>
          <w:color w:val="auto"/>
          <w:kern w:val="0"/>
          <w:sz w:val="30"/>
          <w:szCs w:val="30"/>
          <w:highlight w:val="none"/>
        </w:rPr>
      </w:pPr>
      <w:bookmarkStart w:id="502" w:name="_Toc23686187"/>
      <w:bookmarkStart w:id="503" w:name="_Toc9057"/>
      <w:bookmarkStart w:id="504" w:name="_Toc28129196"/>
      <w:bookmarkStart w:id="505" w:name="_Toc28129473"/>
      <w:bookmarkStart w:id="506" w:name="_Toc22603"/>
      <w:bookmarkStart w:id="507" w:name="_Toc3224"/>
      <w:bookmarkStart w:id="508" w:name="_Toc3948"/>
      <w:bookmarkStart w:id="509" w:name="_Toc23685193"/>
      <w:r>
        <w:rPr>
          <w:rFonts w:eastAsia="仿宋"/>
          <w:color w:val="auto"/>
          <w:kern w:val="0"/>
          <w:sz w:val="30"/>
          <w:szCs w:val="30"/>
          <w:highlight w:val="none"/>
        </w:rPr>
        <w:t>乙方必须保证后任人员的资质、资历、业绩、实际工作能力不低于前任人员的素质。人员更换后，后任继续行使合同文件约定的前任的职权，履行前任的义务。</w:t>
      </w:r>
      <w:bookmarkEnd w:id="502"/>
      <w:bookmarkEnd w:id="503"/>
      <w:bookmarkEnd w:id="504"/>
      <w:bookmarkEnd w:id="505"/>
      <w:bookmarkEnd w:id="506"/>
      <w:bookmarkEnd w:id="507"/>
      <w:bookmarkEnd w:id="508"/>
      <w:bookmarkEnd w:id="509"/>
    </w:p>
    <w:p>
      <w:pPr>
        <w:adjustRightInd w:val="0"/>
        <w:snapToGrid w:val="0"/>
        <w:spacing w:line="360" w:lineRule="auto"/>
        <w:ind w:firstLine="606" w:firstLineChars="200"/>
        <w:outlineLvl w:val="0"/>
        <w:rPr>
          <w:rFonts w:eastAsia="仿宋"/>
          <w:color w:val="auto"/>
          <w:kern w:val="0"/>
          <w:sz w:val="30"/>
          <w:szCs w:val="30"/>
          <w:highlight w:val="none"/>
        </w:rPr>
      </w:pPr>
      <w:bookmarkStart w:id="510" w:name="_Toc10324"/>
      <w:bookmarkStart w:id="511" w:name="_Toc23685194"/>
      <w:bookmarkStart w:id="512" w:name="_Toc32546"/>
      <w:bookmarkStart w:id="513" w:name="_Toc6413"/>
      <w:bookmarkStart w:id="514" w:name="_Toc8228"/>
      <w:bookmarkStart w:id="515" w:name="_Toc28129197"/>
      <w:bookmarkStart w:id="516" w:name="_Toc28129474"/>
      <w:bookmarkStart w:id="517" w:name="_Toc23686188"/>
      <w:r>
        <w:rPr>
          <w:rFonts w:eastAsia="仿宋"/>
          <w:color w:val="auto"/>
          <w:kern w:val="0"/>
          <w:sz w:val="30"/>
          <w:szCs w:val="30"/>
          <w:highlight w:val="none"/>
        </w:rPr>
        <w:t>乙方的项目负责人必须参加甲方要求的专题会议。除获得甲方批准外，每缺席1人次，</w:t>
      </w:r>
      <w:r>
        <w:rPr>
          <w:rFonts w:hint="eastAsia" w:ascii="Times New Roman" w:hAnsi="Times New Roman" w:eastAsia="仿宋"/>
          <w:color w:val="auto"/>
          <w:kern w:val="0"/>
          <w:sz w:val="30"/>
          <w:szCs w:val="30"/>
          <w:highlight w:val="none"/>
        </w:rPr>
        <w:t>乙方按</w:t>
      </w:r>
      <w:r>
        <w:rPr>
          <w:rFonts w:ascii="Times New Roman" w:hAnsi="Times New Roman" w:eastAsia="仿宋"/>
          <w:color w:val="auto"/>
          <w:kern w:val="0"/>
          <w:sz w:val="30"/>
          <w:szCs w:val="30"/>
          <w:highlight w:val="none"/>
        </w:rPr>
        <w:t>2万元/人/次承担违约责任</w:t>
      </w:r>
      <w:r>
        <w:rPr>
          <w:rFonts w:eastAsia="仿宋"/>
          <w:color w:val="auto"/>
          <w:kern w:val="0"/>
          <w:sz w:val="30"/>
          <w:szCs w:val="30"/>
          <w:highlight w:val="none"/>
        </w:rPr>
        <w:t>。</w:t>
      </w:r>
      <w:bookmarkEnd w:id="510"/>
      <w:bookmarkEnd w:id="511"/>
      <w:bookmarkEnd w:id="512"/>
      <w:bookmarkEnd w:id="513"/>
      <w:bookmarkEnd w:id="514"/>
      <w:bookmarkEnd w:id="515"/>
      <w:bookmarkEnd w:id="516"/>
      <w:bookmarkEnd w:id="517"/>
    </w:p>
    <w:p>
      <w:pPr>
        <w:adjustRightInd w:val="0"/>
        <w:snapToGrid w:val="0"/>
        <w:spacing w:line="360" w:lineRule="auto"/>
        <w:ind w:firstLine="606" w:firstLineChars="200"/>
        <w:outlineLvl w:val="9"/>
        <w:rPr>
          <w:rFonts w:eastAsia="仿宋"/>
          <w:color w:val="auto"/>
          <w:kern w:val="0"/>
          <w:sz w:val="30"/>
          <w:szCs w:val="30"/>
          <w:highlight w:val="none"/>
        </w:rPr>
      </w:pPr>
      <w:bookmarkStart w:id="518" w:name="_Toc2571"/>
      <w:bookmarkStart w:id="519" w:name="_Toc23145"/>
      <w:bookmarkStart w:id="520" w:name="_Toc31249"/>
      <w:bookmarkStart w:id="521" w:name="_Toc23686189"/>
      <w:bookmarkStart w:id="522" w:name="_Toc28129198"/>
      <w:bookmarkStart w:id="523" w:name="_Toc23350"/>
      <w:bookmarkStart w:id="524" w:name="_Toc23685195"/>
      <w:bookmarkStart w:id="525" w:name="_Toc28129475"/>
      <w:r>
        <w:rPr>
          <w:rFonts w:eastAsia="仿宋"/>
          <w:color w:val="auto"/>
          <w:kern w:val="0"/>
          <w:sz w:val="30"/>
          <w:szCs w:val="30"/>
          <w:highlight w:val="none"/>
        </w:rPr>
        <w:t>现场项目组人员必须在甲方发出进场通知之日起24小时内全部到位，并接受甲方代表的查验。在甲方发出进场通知24小时后，上述人员仍未全部到位的，</w:t>
      </w:r>
      <w:r>
        <w:rPr>
          <w:rFonts w:hint="eastAsia" w:ascii="Times New Roman" w:hAnsi="Times New Roman" w:eastAsia="仿宋"/>
          <w:color w:val="auto"/>
          <w:kern w:val="0"/>
          <w:sz w:val="30"/>
          <w:szCs w:val="30"/>
          <w:highlight w:val="none"/>
        </w:rPr>
        <w:t>乙方按</w:t>
      </w:r>
      <w:r>
        <w:rPr>
          <w:rFonts w:ascii="Times New Roman" w:hAnsi="Times New Roman" w:eastAsia="仿宋"/>
          <w:color w:val="auto"/>
          <w:kern w:val="0"/>
          <w:sz w:val="30"/>
          <w:szCs w:val="30"/>
          <w:highlight w:val="none"/>
        </w:rPr>
        <w:t>2万元/人/次承担违约责任</w:t>
      </w:r>
      <w:r>
        <w:rPr>
          <w:rFonts w:eastAsia="仿宋"/>
          <w:color w:val="auto"/>
          <w:kern w:val="0"/>
          <w:sz w:val="30"/>
          <w:szCs w:val="30"/>
          <w:highlight w:val="none"/>
        </w:rPr>
        <w:t>。</w:t>
      </w:r>
      <w:bookmarkEnd w:id="518"/>
      <w:bookmarkEnd w:id="519"/>
      <w:bookmarkEnd w:id="520"/>
      <w:bookmarkEnd w:id="521"/>
      <w:bookmarkEnd w:id="522"/>
      <w:bookmarkEnd w:id="523"/>
      <w:bookmarkEnd w:id="524"/>
      <w:bookmarkEnd w:id="525"/>
    </w:p>
    <w:p>
      <w:pPr>
        <w:adjustRightInd w:val="0"/>
        <w:snapToGrid w:val="0"/>
        <w:spacing w:line="360" w:lineRule="auto"/>
        <w:ind w:firstLine="606" w:firstLineChars="200"/>
        <w:rPr>
          <w:rFonts w:eastAsia="仿宋"/>
          <w:color w:val="auto"/>
          <w:kern w:val="0"/>
          <w:sz w:val="30"/>
          <w:szCs w:val="30"/>
          <w:highlight w:val="none"/>
        </w:rPr>
      </w:pPr>
      <w:r>
        <w:rPr>
          <w:rFonts w:eastAsia="仿宋"/>
          <w:color w:val="auto"/>
          <w:kern w:val="0"/>
          <w:sz w:val="30"/>
          <w:szCs w:val="30"/>
          <w:highlight w:val="none"/>
        </w:rPr>
        <w:t>乙方违反本项目合同其他约定的，每发现一例，乙方必须按照甲方的指令积极采取措施限期改正，</w:t>
      </w:r>
      <w:r>
        <w:rPr>
          <w:rFonts w:hint="eastAsia" w:ascii="Times New Roman" w:hAnsi="Times New Roman" w:eastAsia="仿宋"/>
          <w:color w:val="auto"/>
          <w:kern w:val="0"/>
          <w:sz w:val="30"/>
          <w:szCs w:val="30"/>
          <w:highlight w:val="none"/>
        </w:rPr>
        <w:t>并承担合同总额</w:t>
      </w:r>
      <w:r>
        <w:rPr>
          <w:rFonts w:ascii="Times New Roman" w:hAnsi="Times New Roman" w:eastAsia="仿宋"/>
          <w:color w:val="auto"/>
          <w:kern w:val="0"/>
          <w:sz w:val="30"/>
          <w:szCs w:val="30"/>
          <w:highlight w:val="none"/>
        </w:rPr>
        <w:t>10%的违约责任</w:t>
      </w:r>
      <w:r>
        <w:rPr>
          <w:rFonts w:eastAsia="仿宋"/>
          <w:color w:val="auto"/>
          <w:kern w:val="0"/>
          <w:sz w:val="30"/>
          <w:szCs w:val="30"/>
          <w:highlight w:val="none"/>
        </w:rPr>
        <w:t>；乙方未在甲方限定期限内改正的，</w:t>
      </w:r>
      <w:r>
        <w:rPr>
          <w:rFonts w:hint="eastAsia" w:ascii="Times New Roman" w:hAnsi="Times New Roman" w:eastAsia="仿宋"/>
          <w:color w:val="auto"/>
          <w:kern w:val="0"/>
          <w:sz w:val="30"/>
          <w:szCs w:val="30"/>
          <w:highlight w:val="none"/>
        </w:rPr>
        <w:t>应承担合同总额</w:t>
      </w:r>
      <w:r>
        <w:rPr>
          <w:rFonts w:ascii="Times New Roman" w:hAnsi="Times New Roman" w:eastAsia="仿宋"/>
          <w:color w:val="auto"/>
          <w:kern w:val="0"/>
          <w:sz w:val="30"/>
          <w:szCs w:val="30"/>
          <w:highlight w:val="none"/>
        </w:rPr>
        <w:t>20%的违约责任，情况严重的，甲方有权解除合同</w:t>
      </w:r>
      <w:r>
        <w:rPr>
          <w:rFonts w:eastAsia="仿宋"/>
          <w:color w:val="auto"/>
          <w:kern w:val="0"/>
          <w:sz w:val="30"/>
          <w:szCs w:val="30"/>
          <w:highlight w:val="none"/>
        </w:rPr>
        <w:t>。</w:t>
      </w:r>
    </w:p>
    <w:p>
      <w:pPr>
        <w:adjustRightInd w:val="0"/>
        <w:snapToGrid w:val="0"/>
        <w:spacing w:line="360" w:lineRule="auto"/>
        <w:ind w:firstLine="606" w:firstLineChars="200"/>
        <w:outlineLvl w:val="0"/>
        <w:rPr>
          <w:rFonts w:eastAsia="仿宋"/>
          <w:color w:val="auto"/>
          <w:kern w:val="0"/>
          <w:sz w:val="30"/>
          <w:szCs w:val="30"/>
          <w:highlight w:val="none"/>
        </w:rPr>
      </w:pPr>
      <w:bookmarkStart w:id="526" w:name="_Toc30698"/>
      <w:bookmarkStart w:id="527" w:name="_Toc28129200"/>
      <w:bookmarkStart w:id="528" w:name="_Toc23994"/>
      <w:bookmarkStart w:id="529" w:name="_Toc28129477"/>
      <w:bookmarkStart w:id="530" w:name="_Toc25745"/>
      <w:bookmarkStart w:id="531" w:name="_Toc23685197"/>
      <w:bookmarkStart w:id="532" w:name="_Toc23686191"/>
      <w:bookmarkStart w:id="533" w:name="_Toc13208"/>
      <w:r>
        <w:rPr>
          <w:rFonts w:eastAsia="仿宋"/>
          <w:color w:val="auto"/>
          <w:kern w:val="0"/>
          <w:sz w:val="30"/>
          <w:szCs w:val="30"/>
          <w:highlight w:val="none"/>
        </w:rPr>
        <w:t>4.2 甲方的违约责任</w:t>
      </w:r>
      <w:bookmarkEnd w:id="526"/>
      <w:bookmarkEnd w:id="527"/>
      <w:bookmarkEnd w:id="528"/>
      <w:bookmarkEnd w:id="529"/>
      <w:bookmarkEnd w:id="530"/>
      <w:bookmarkEnd w:id="531"/>
      <w:bookmarkEnd w:id="532"/>
      <w:bookmarkEnd w:id="533"/>
    </w:p>
    <w:p>
      <w:pPr>
        <w:adjustRightInd w:val="0"/>
        <w:snapToGrid w:val="0"/>
        <w:spacing w:line="360" w:lineRule="auto"/>
        <w:ind w:firstLine="566" w:firstLineChars="200"/>
        <w:rPr>
          <w:rFonts w:eastAsia="仿宋"/>
          <w:color w:val="auto"/>
          <w:kern w:val="0"/>
          <w:sz w:val="30"/>
          <w:szCs w:val="30"/>
          <w:highlight w:val="none"/>
        </w:rPr>
      </w:pPr>
      <w:r>
        <w:rPr>
          <w:rFonts w:asciiTheme="minorEastAsia" w:hAnsiTheme="minorEastAsia" w:eastAsiaTheme="minorEastAsia"/>
          <w:color w:val="auto"/>
          <w:kern w:val="0"/>
          <w:sz w:val="28"/>
          <w:szCs w:val="28"/>
          <w:highlight w:val="none"/>
        </w:rPr>
        <w:t>4.2.3甲方未能按期支付</w:t>
      </w:r>
      <w:r>
        <w:rPr>
          <w:rFonts w:asciiTheme="minorEastAsia" w:hAnsiTheme="minorEastAsia" w:eastAsiaTheme="minorEastAsia"/>
          <w:color w:val="auto"/>
          <w:sz w:val="28"/>
          <w:szCs w:val="28"/>
          <w:highlight w:val="none"/>
        </w:rPr>
        <w:t>酬金</w:t>
      </w:r>
      <w:r>
        <w:rPr>
          <w:rFonts w:asciiTheme="minorEastAsia" w:hAnsiTheme="minorEastAsia" w:eastAsiaTheme="minorEastAsia"/>
          <w:color w:val="auto"/>
          <w:kern w:val="0"/>
          <w:sz w:val="28"/>
          <w:szCs w:val="28"/>
          <w:highlight w:val="none"/>
        </w:rPr>
        <w:t>超过28天，应支付逾期付款利息</w:t>
      </w:r>
      <w:r>
        <w:rPr>
          <w:rFonts w:eastAsia="仿宋"/>
          <w:color w:val="auto"/>
          <w:kern w:val="0"/>
          <w:sz w:val="30"/>
          <w:szCs w:val="30"/>
          <w:highlight w:val="none"/>
        </w:rPr>
        <w:t>。</w:t>
      </w:r>
    </w:p>
    <w:p>
      <w:pPr>
        <w:pStyle w:val="4"/>
        <w:spacing w:before="0" w:after="0" w:line="360" w:lineRule="auto"/>
        <w:rPr>
          <w:rFonts w:ascii="Times New Roman" w:hAnsi="Times New Roman" w:eastAsia="黑体" w:cs="Times New Roman"/>
          <w:color w:val="auto"/>
          <w:sz w:val="32"/>
          <w:highlight w:val="none"/>
        </w:rPr>
      </w:pPr>
      <w:bookmarkStart w:id="534" w:name="_Toc9796"/>
      <w:bookmarkStart w:id="535" w:name="_Toc9098"/>
      <w:bookmarkStart w:id="536" w:name="_Toc23686192"/>
      <w:bookmarkStart w:id="537" w:name="_Toc10693"/>
      <w:bookmarkStart w:id="538" w:name="_Toc28129478"/>
      <w:bookmarkStart w:id="539" w:name="_Toc32476_WPSOffice_Level2"/>
      <w:bookmarkStart w:id="540" w:name="_Toc23685198"/>
      <w:bookmarkStart w:id="541" w:name="_Toc2518"/>
      <w:r>
        <w:rPr>
          <w:rFonts w:ascii="Times New Roman" w:hAnsi="Times New Roman" w:eastAsia="黑体" w:cs="Times New Roman"/>
          <w:color w:val="auto"/>
          <w:sz w:val="32"/>
          <w:highlight w:val="none"/>
        </w:rPr>
        <w:t>5. 支付</w:t>
      </w:r>
      <w:bookmarkEnd w:id="534"/>
      <w:bookmarkEnd w:id="535"/>
      <w:bookmarkEnd w:id="536"/>
      <w:bookmarkEnd w:id="537"/>
      <w:bookmarkEnd w:id="538"/>
      <w:bookmarkEnd w:id="539"/>
      <w:bookmarkEnd w:id="540"/>
      <w:bookmarkEnd w:id="541"/>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5.3检测</w:t>
      </w:r>
      <w:r>
        <w:rPr>
          <w:rFonts w:hint="eastAsia" w:eastAsia="仿宋"/>
          <w:color w:val="auto"/>
          <w:sz w:val="30"/>
          <w:szCs w:val="30"/>
          <w:highlight w:val="none"/>
        </w:rPr>
        <w:t>监测</w:t>
      </w:r>
      <w:r>
        <w:rPr>
          <w:rFonts w:eastAsia="仿宋"/>
          <w:color w:val="auto"/>
          <w:sz w:val="30"/>
          <w:szCs w:val="30"/>
          <w:highlight w:val="none"/>
        </w:rPr>
        <w:t>进度款支付</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5.3.1</w:t>
      </w:r>
      <w:r>
        <w:rPr>
          <w:rFonts w:eastAsia="仿宋"/>
          <w:color w:val="auto"/>
          <w:sz w:val="30"/>
          <w:szCs w:val="30"/>
          <w:highlight w:val="none"/>
          <w:u w:val="single"/>
        </w:rPr>
        <w:t>本项目无预付款，检测</w:t>
      </w:r>
      <w:r>
        <w:rPr>
          <w:rFonts w:hint="eastAsia" w:eastAsia="仿宋"/>
          <w:color w:val="auto"/>
          <w:sz w:val="30"/>
          <w:szCs w:val="30"/>
          <w:highlight w:val="none"/>
          <w:u w:val="single"/>
        </w:rPr>
        <w:t>监测</w:t>
      </w:r>
      <w:r>
        <w:rPr>
          <w:rFonts w:eastAsia="仿宋"/>
          <w:color w:val="auto"/>
          <w:sz w:val="30"/>
          <w:szCs w:val="30"/>
          <w:highlight w:val="none"/>
          <w:u w:val="single"/>
        </w:rPr>
        <w:t>进度款根据工程进度完成的检验报告按季度支付，每季度进度款=本季度实际检测项目的实际工程量×结算单价×支付比例（</w:t>
      </w:r>
      <w:r>
        <w:rPr>
          <w:rFonts w:hint="eastAsia" w:eastAsia="仿宋"/>
          <w:color w:val="auto"/>
          <w:sz w:val="30"/>
          <w:szCs w:val="30"/>
          <w:highlight w:val="none"/>
          <w:u w:val="single"/>
        </w:rPr>
        <w:t>8</w:t>
      </w:r>
      <w:r>
        <w:rPr>
          <w:rFonts w:eastAsia="仿宋"/>
          <w:color w:val="auto"/>
          <w:sz w:val="30"/>
          <w:szCs w:val="30"/>
          <w:highlight w:val="none"/>
          <w:u w:val="single"/>
        </w:rPr>
        <w:t>0%），结算单价详见附件1。在检测</w:t>
      </w:r>
      <w:r>
        <w:rPr>
          <w:rFonts w:hint="eastAsia" w:eastAsia="仿宋"/>
          <w:color w:val="auto"/>
          <w:sz w:val="30"/>
          <w:szCs w:val="30"/>
          <w:highlight w:val="none"/>
          <w:u w:val="single"/>
        </w:rPr>
        <w:t>监测</w:t>
      </w:r>
      <w:r>
        <w:rPr>
          <w:rFonts w:eastAsia="仿宋"/>
          <w:color w:val="auto"/>
          <w:sz w:val="30"/>
          <w:szCs w:val="30"/>
          <w:highlight w:val="none"/>
          <w:u w:val="single"/>
        </w:rPr>
        <w:t>实施之前，乙方应制定详细的检测</w:t>
      </w:r>
      <w:r>
        <w:rPr>
          <w:rFonts w:hint="eastAsia" w:eastAsia="仿宋"/>
          <w:color w:val="auto"/>
          <w:sz w:val="30"/>
          <w:szCs w:val="30"/>
          <w:highlight w:val="none"/>
          <w:u w:val="single"/>
        </w:rPr>
        <w:t>监测</w:t>
      </w:r>
      <w:r>
        <w:rPr>
          <w:rFonts w:eastAsia="仿宋"/>
          <w:color w:val="auto"/>
          <w:sz w:val="30"/>
          <w:szCs w:val="30"/>
          <w:highlight w:val="none"/>
          <w:u w:val="single"/>
        </w:rPr>
        <w:t>方案，核定工程量和预计结算总价。原则上</w:t>
      </w:r>
      <w:r>
        <w:rPr>
          <w:rFonts w:hint="eastAsia" w:eastAsia="仿宋"/>
          <w:color w:val="auto"/>
          <w:sz w:val="30"/>
          <w:szCs w:val="30"/>
          <w:highlight w:val="none"/>
          <w:u w:val="single"/>
        </w:rPr>
        <w:t>结算单价不变、且</w:t>
      </w:r>
      <w:r>
        <w:rPr>
          <w:rFonts w:eastAsia="仿宋"/>
          <w:color w:val="auto"/>
          <w:sz w:val="30"/>
          <w:szCs w:val="30"/>
          <w:highlight w:val="none"/>
          <w:u w:val="single"/>
        </w:rPr>
        <w:t>总检测工程量不超过暂定工程量，如工程量或结算单价有变化的，须经甲方审批并书面同意方可实施。最终结算总价不得超过政府有权审批部门最终批复结算</w:t>
      </w:r>
      <w:r>
        <w:rPr>
          <w:rFonts w:hint="eastAsia" w:eastAsia="仿宋"/>
          <w:color w:val="auto"/>
          <w:sz w:val="30"/>
          <w:szCs w:val="30"/>
          <w:highlight w:val="none"/>
          <w:u w:val="single"/>
        </w:rPr>
        <w:t>后</w:t>
      </w:r>
      <w:r>
        <w:rPr>
          <w:rFonts w:eastAsia="仿宋"/>
          <w:color w:val="auto"/>
          <w:sz w:val="30"/>
          <w:szCs w:val="30"/>
          <w:highlight w:val="none"/>
          <w:u w:val="single"/>
        </w:rPr>
        <w:t>的第三方检测费用，超过此部分的费用甲方不给予支付。</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5.3.2乙方提供的检测</w:t>
      </w:r>
      <w:r>
        <w:rPr>
          <w:rFonts w:hint="eastAsia" w:eastAsia="仿宋"/>
          <w:color w:val="auto"/>
          <w:sz w:val="30"/>
          <w:szCs w:val="30"/>
          <w:highlight w:val="none"/>
        </w:rPr>
        <w:t>监测</w:t>
      </w:r>
      <w:r>
        <w:rPr>
          <w:rFonts w:eastAsia="仿宋"/>
          <w:color w:val="auto"/>
          <w:sz w:val="30"/>
          <w:szCs w:val="30"/>
          <w:highlight w:val="none"/>
        </w:rPr>
        <w:t>成果经甲方验收合格后，由乙方申请，经甲方确认项目总体进度及检测</w:t>
      </w:r>
      <w:r>
        <w:rPr>
          <w:rFonts w:hint="eastAsia" w:eastAsia="仿宋"/>
          <w:color w:val="auto"/>
          <w:sz w:val="30"/>
          <w:szCs w:val="30"/>
          <w:highlight w:val="none"/>
        </w:rPr>
        <w:t>监测</w:t>
      </w:r>
      <w:r>
        <w:rPr>
          <w:rFonts w:eastAsia="仿宋"/>
          <w:color w:val="auto"/>
          <w:sz w:val="30"/>
          <w:szCs w:val="30"/>
          <w:highlight w:val="none"/>
        </w:rPr>
        <w:t>费用明细所占项目比例后，甲方在收到乙方情况申请报告后</w:t>
      </w:r>
      <w:r>
        <w:rPr>
          <w:rFonts w:hint="eastAsia" w:eastAsia="仿宋"/>
          <w:color w:val="auto"/>
          <w:sz w:val="30"/>
          <w:szCs w:val="30"/>
          <w:highlight w:val="none"/>
          <w:lang w:val="en-US" w:eastAsia="zh-CN"/>
        </w:rPr>
        <w:t>3</w:t>
      </w:r>
      <w:r>
        <w:rPr>
          <w:rFonts w:hint="eastAsia" w:eastAsia="仿宋"/>
          <w:color w:val="auto"/>
          <w:sz w:val="30"/>
          <w:szCs w:val="30"/>
          <w:highlight w:val="none"/>
        </w:rPr>
        <w:t>0</w:t>
      </w:r>
      <w:r>
        <w:rPr>
          <w:rFonts w:eastAsia="仿宋"/>
          <w:color w:val="auto"/>
          <w:sz w:val="30"/>
          <w:szCs w:val="30"/>
          <w:highlight w:val="none"/>
        </w:rPr>
        <w:t>个工作日内支付本季度完成工程量的相应检测</w:t>
      </w:r>
      <w:r>
        <w:rPr>
          <w:rFonts w:hint="eastAsia" w:eastAsia="仿宋"/>
          <w:color w:val="auto"/>
          <w:sz w:val="30"/>
          <w:szCs w:val="30"/>
          <w:highlight w:val="none"/>
        </w:rPr>
        <w:t>监测</w:t>
      </w:r>
      <w:r>
        <w:rPr>
          <w:rFonts w:eastAsia="仿宋"/>
          <w:color w:val="auto"/>
          <w:sz w:val="30"/>
          <w:szCs w:val="30"/>
          <w:highlight w:val="none"/>
        </w:rPr>
        <w:t>费用的</w:t>
      </w:r>
      <w:r>
        <w:rPr>
          <w:rFonts w:eastAsia="仿宋"/>
          <w:color w:val="auto"/>
          <w:sz w:val="30"/>
          <w:szCs w:val="30"/>
          <w:highlight w:val="none"/>
          <w:u w:val="single"/>
        </w:rPr>
        <w:t xml:space="preserve"> </w:t>
      </w:r>
      <w:r>
        <w:rPr>
          <w:rFonts w:hint="eastAsia" w:eastAsia="仿宋"/>
          <w:color w:val="auto"/>
          <w:sz w:val="30"/>
          <w:szCs w:val="30"/>
          <w:highlight w:val="none"/>
          <w:u w:val="single"/>
        </w:rPr>
        <w:t>8</w:t>
      </w:r>
      <w:r>
        <w:rPr>
          <w:rFonts w:eastAsia="仿宋"/>
          <w:color w:val="auto"/>
          <w:sz w:val="30"/>
          <w:szCs w:val="30"/>
          <w:highlight w:val="none"/>
          <w:u w:val="single"/>
        </w:rPr>
        <w:t xml:space="preserve">0% </w:t>
      </w:r>
      <w:r>
        <w:rPr>
          <w:rFonts w:eastAsia="仿宋"/>
          <w:color w:val="auto"/>
          <w:sz w:val="30"/>
          <w:szCs w:val="30"/>
          <w:highlight w:val="none"/>
        </w:rPr>
        <w:t>给乙方，每次支付金额由甲方审定</w:t>
      </w:r>
      <w:bookmarkStart w:id="647" w:name="_GoBack"/>
      <w:bookmarkEnd w:id="647"/>
      <w:r>
        <w:rPr>
          <w:rFonts w:eastAsia="仿宋"/>
          <w:color w:val="auto"/>
          <w:sz w:val="30"/>
          <w:szCs w:val="30"/>
          <w:highlight w:val="none"/>
        </w:rPr>
        <w:t>为准。</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在工程竣工且乙方提供完整、合格的试验、检测资料，并经有权部门审核批准后，结算余额一次性支付完毕（无息）。其中，主体结构工程现场检测、见证取样和建筑物附属设备安装工程检测按单体工程检测比例，出具合格报告后按上述约定支付检测费用。</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项目竣工验收合格后，向乙方退回履约保证金（无息）</w:t>
      </w:r>
      <w:r>
        <w:rPr>
          <w:rFonts w:hint="eastAsia" w:ascii="Times New Roman" w:hAnsi="Times New Roman" w:eastAsia="仿宋"/>
          <w:color w:val="auto"/>
          <w:sz w:val="30"/>
          <w:szCs w:val="30"/>
          <w:highlight w:val="none"/>
        </w:rPr>
        <w:t>（如采用银行履约保函，履约保函原则上应由在中国注册的全国性股份制商业银行开具；履约保函金额为合同总价的</w:t>
      </w:r>
      <w:r>
        <w:rPr>
          <w:rFonts w:ascii="Times New Roman" w:hAnsi="Times New Roman" w:eastAsia="仿宋"/>
          <w:color w:val="auto"/>
          <w:sz w:val="30"/>
          <w:szCs w:val="30"/>
          <w:highlight w:val="none"/>
        </w:rPr>
        <w:t>10%</w:t>
      </w:r>
      <w:r>
        <w:rPr>
          <w:rFonts w:hint="eastAsia" w:ascii="Times New Roman" w:hAnsi="Times New Roman" w:eastAsia="仿宋"/>
          <w:color w:val="auto"/>
          <w:sz w:val="30"/>
          <w:szCs w:val="30"/>
          <w:highlight w:val="none"/>
        </w:rPr>
        <w:t>，保函类型为不可撤销见索即付保函）</w:t>
      </w:r>
      <w:r>
        <w:rPr>
          <w:rFonts w:eastAsia="仿宋"/>
          <w:color w:val="auto"/>
          <w:sz w:val="30"/>
          <w:szCs w:val="30"/>
          <w:highlight w:val="none"/>
        </w:rPr>
        <w:t>。</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5.3.3合同价款支付</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5.3.3.1每期合同价款支付前，乙方皆应向甲方提供足额合法有效的增值税专用发票。</w:t>
      </w:r>
    </w:p>
    <w:p>
      <w:pPr>
        <w:adjustRightInd w:val="0"/>
        <w:snapToGrid w:val="0"/>
        <w:spacing w:line="360" w:lineRule="auto"/>
        <w:ind w:firstLine="606" w:firstLineChars="200"/>
        <w:rPr>
          <w:rFonts w:eastAsia="仿宋"/>
          <w:bCs/>
          <w:color w:val="auto"/>
          <w:sz w:val="30"/>
          <w:szCs w:val="30"/>
          <w:highlight w:val="none"/>
        </w:rPr>
      </w:pPr>
      <w:r>
        <w:rPr>
          <w:rFonts w:eastAsia="仿宋"/>
          <w:bCs/>
          <w:color w:val="auto"/>
          <w:sz w:val="30"/>
          <w:szCs w:val="30"/>
          <w:highlight w:val="none"/>
        </w:rPr>
        <w:t>5.3.3.2费用支付及发票信息：</w:t>
      </w:r>
    </w:p>
    <w:p>
      <w:pPr>
        <w:adjustRightInd w:val="0"/>
        <w:snapToGrid w:val="0"/>
        <w:spacing w:line="360" w:lineRule="auto"/>
        <w:ind w:firstLine="606" w:firstLineChars="200"/>
        <w:jc w:val="left"/>
        <w:rPr>
          <w:rFonts w:eastAsia="仿宋"/>
          <w:color w:val="auto"/>
          <w:sz w:val="30"/>
          <w:szCs w:val="30"/>
          <w:highlight w:val="none"/>
        </w:rPr>
      </w:pPr>
      <w:r>
        <w:rPr>
          <w:rFonts w:eastAsia="仿宋"/>
          <w:color w:val="auto"/>
          <w:sz w:val="30"/>
          <w:szCs w:val="30"/>
          <w:highlight w:val="none"/>
        </w:rPr>
        <w:t>（1）乙方开具增值税专用发票所需的甲方信息如下：</w:t>
      </w:r>
    </w:p>
    <w:tbl>
      <w:tblPr>
        <w:tblStyle w:val="30"/>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55" w:type="dxa"/>
            <w:vAlign w:val="center"/>
          </w:tcPr>
          <w:p>
            <w:pPr>
              <w:adjustRightInd w:val="0"/>
              <w:snapToGrid w:val="0"/>
              <w:spacing w:line="360" w:lineRule="auto"/>
              <w:ind w:firstLine="606" w:firstLineChars="200"/>
              <w:rPr>
                <w:rFonts w:eastAsia="仿宋"/>
                <w:color w:val="auto"/>
                <w:kern w:val="0"/>
                <w:sz w:val="30"/>
                <w:szCs w:val="30"/>
                <w:highlight w:val="none"/>
              </w:rPr>
            </w:pPr>
            <w:r>
              <w:rPr>
                <w:rFonts w:eastAsia="仿宋"/>
                <w:color w:val="auto"/>
                <w:kern w:val="0"/>
                <w:sz w:val="30"/>
                <w:szCs w:val="30"/>
                <w:highlight w:val="none"/>
              </w:rPr>
              <w:t>名称</w:t>
            </w:r>
          </w:p>
        </w:tc>
        <w:tc>
          <w:tcPr>
            <w:tcW w:w="6345" w:type="dxa"/>
          </w:tcPr>
          <w:p>
            <w:pPr>
              <w:adjustRightInd w:val="0"/>
              <w:snapToGrid w:val="0"/>
              <w:spacing w:line="360" w:lineRule="auto"/>
              <w:rPr>
                <w:rFonts w:eastAsia="仿宋"/>
                <w:color w:val="auto"/>
                <w:kern w:val="0"/>
                <w:sz w:val="30"/>
                <w:szCs w:val="30"/>
                <w:highlight w:val="none"/>
              </w:rPr>
            </w:pPr>
            <w:r>
              <w:rPr>
                <w:rFonts w:hint="eastAsia" w:eastAsia="仿宋"/>
                <w:color w:val="auto"/>
                <w:kern w:val="0"/>
                <w:sz w:val="30"/>
                <w:szCs w:val="30"/>
                <w:highlight w:val="none"/>
              </w:rPr>
              <w:t>中交城市投资（广州白云）有限公司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center"/>
          </w:tcPr>
          <w:p>
            <w:pPr>
              <w:adjustRightInd w:val="0"/>
              <w:snapToGrid w:val="0"/>
              <w:spacing w:line="360" w:lineRule="auto"/>
              <w:rPr>
                <w:rFonts w:eastAsia="仿宋"/>
                <w:color w:val="auto"/>
                <w:kern w:val="0"/>
                <w:sz w:val="30"/>
                <w:szCs w:val="30"/>
                <w:highlight w:val="none"/>
              </w:rPr>
            </w:pPr>
            <w:r>
              <w:rPr>
                <w:rFonts w:eastAsia="仿宋"/>
                <w:color w:val="auto"/>
                <w:kern w:val="0"/>
                <w:sz w:val="30"/>
                <w:szCs w:val="30"/>
                <w:highlight w:val="none"/>
              </w:rPr>
              <w:t>纳税人识别号</w:t>
            </w:r>
          </w:p>
        </w:tc>
        <w:tc>
          <w:tcPr>
            <w:tcW w:w="6345" w:type="dxa"/>
          </w:tcPr>
          <w:p>
            <w:pPr>
              <w:adjustRightInd w:val="0"/>
              <w:snapToGrid w:val="0"/>
              <w:spacing w:line="360" w:lineRule="auto"/>
              <w:rPr>
                <w:rFonts w:eastAsia="仿宋"/>
                <w:color w:val="auto"/>
                <w:kern w:val="0"/>
                <w:sz w:val="30"/>
                <w:szCs w:val="30"/>
                <w:highlight w:val="none"/>
              </w:rPr>
            </w:pPr>
            <w:r>
              <w:rPr>
                <w:rFonts w:hint="eastAsia" w:eastAsia="仿宋"/>
                <w:color w:val="auto"/>
                <w:kern w:val="0"/>
                <w:sz w:val="30"/>
                <w:szCs w:val="30"/>
                <w:highlight w:val="none"/>
              </w:rPr>
              <w:t>91440101MA9W299F8H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center"/>
          </w:tcPr>
          <w:p>
            <w:pPr>
              <w:adjustRightInd w:val="0"/>
              <w:snapToGrid w:val="0"/>
              <w:spacing w:line="360" w:lineRule="auto"/>
              <w:rPr>
                <w:rFonts w:eastAsia="仿宋"/>
                <w:color w:val="auto"/>
                <w:kern w:val="0"/>
                <w:sz w:val="30"/>
                <w:szCs w:val="30"/>
                <w:highlight w:val="none"/>
              </w:rPr>
            </w:pPr>
            <w:r>
              <w:rPr>
                <w:rFonts w:eastAsia="仿宋"/>
                <w:color w:val="auto"/>
                <w:kern w:val="0"/>
                <w:sz w:val="30"/>
                <w:szCs w:val="30"/>
                <w:highlight w:val="none"/>
              </w:rPr>
              <w:t>甲方联系方式</w:t>
            </w:r>
          </w:p>
        </w:tc>
        <w:tc>
          <w:tcPr>
            <w:tcW w:w="6345" w:type="dxa"/>
          </w:tcPr>
          <w:p>
            <w:pPr>
              <w:adjustRightInd w:val="0"/>
              <w:snapToGrid w:val="0"/>
              <w:spacing w:line="360" w:lineRule="auto"/>
              <w:rPr>
                <w:rFonts w:eastAsia="仿宋"/>
                <w:color w:val="auto"/>
                <w:kern w:val="0"/>
                <w:sz w:val="30"/>
                <w:szCs w:val="30"/>
                <w:highlight w:val="none"/>
              </w:rPr>
            </w:pPr>
            <w:r>
              <w:rPr>
                <w:rFonts w:hint="eastAsia" w:eastAsia="仿宋"/>
                <w:color w:val="auto"/>
                <w:kern w:val="0"/>
                <w:sz w:val="30"/>
                <w:szCs w:val="30"/>
                <w:highlight w:val="none"/>
              </w:rPr>
              <w:t>地址：广州市白云区石门街石井工业区三横路7号7楼701室</w:t>
            </w:r>
          </w:p>
          <w:p>
            <w:pPr>
              <w:adjustRightInd w:val="0"/>
              <w:snapToGrid w:val="0"/>
              <w:spacing w:line="360" w:lineRule="auto"/>
              <w:rPr>
                <w:rFonts w:eastAsia="仿宋"/>
                <w:color w:val="auto"/>
                <w:kern w:val="0"/>
                <w:sz w:val="30"/>
                <w:szCs w:val="30"/>
                <w:highlight w:val="none"/>
              </w:rPr>
            </w:pPr>
            <w:r>
              <w:rPr>
                <w:rFonts w:hint="eastAsia" w:eastAsia="仿宋"/>
                <w:color w:val="auto"/>
                <w:kern w:val="0"/>
                <w:sz w:val="30"/>
                <w:szCs w:val="30"/>
                <w:highlight w:val="none"/>
              </w:rPr>
              <w:t>联系电话：020-86088591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center"/>
          </w:tcPr>
          <w:p>
            <w:pPr>
              <w:adjustRightInd w:val="0"/>
              <w:snapToGrid w:val="0"/>
              <w:spacing w:line="360" w:lineRule="auto"/>
              <w:rPr>
                <w:rFonts w:eastAsia="仿宋"/>
                <w:color w:val="auto"/>
                <w:kern w:val="0"/>
                <w:sz w:val="30"/>
                <w:szCs w:val="30"/>
                <w:highlight w:val="none"/>
              </w:rPr>
            </w:pPr>
            <w:r>
              <w:rPr>
                <w:rFonts w:eastAsia="仿宋"/>
                <w:color w:val="auto"/>
                <w:kern w:val="0"/>
                <w:sz w:val="30"/>
                <w:szCs w:val="30"/>
                <w:highlight w:val="none"/>
              </w:rPr>
              <w:t>甲方账户信息</w:t>
            </w:r>
          </w:p>
        </w:tc>
        <w:tc>
          <w:tcPr>
            <w:tcW w:w="6345" w:type="dxa"/>
          </w:tcPr>
          <w:p>
            <w:pPr>
              <w:adjustRightInd w:val="0"/>
              <w:snapToGrid w:val="0"/>
              <w:spacing w:line="360" w:lineRule="auto"/>
              <w:rPr>
                <w:rFonts w:eastAsia="仿宋"/>
                <w:color w:val="auto"/>
                <w:kern w:val="0"/>
                <w:sz w:val="30"/>
                <w:szCs w:val="30"/>
                <w:highlight w:val="none"/>
              </w:rPr>
            </w:pPr>
            <w:r>
              <w:rPr>
                <w:rFonts w:hint="eastAsia" w:eastAsia="仿宋"/>
                <w:color w:val="auto"/>
                <w:kern w:val="0"/>
                <w:sz w:val="30"/>
                <w:szCs w:val="30"/>
                <w:highlight w:val="none"/>
              </w:rPr>
              <w:t>银行账号：3602185609100249909</w:t>
            </w:r>
          </w:p>
          <w:p>
            <w:pPr>
              <w:adjustRightInd w:val="0"/>
              <w:snapToGrid w:val="0"/>
              <w:spacing w:line="360" w:lineRule="auto"/>
              <w:rPr>
                <w:rFonts w:eastAsia="仿宋"/>
                <w:color w:val="auto"/>
                <w:kern w:val="0"/>
                <w:sz w:val="30"/>
                <w:szCs w:val="30"/>
                <w:highlight w:val="none"/>
              </w:rPr>
            </w:pPr>
            <w:r>
              <w:rPr>
                <w:rFonts w:hint="eastAsia" w:eastAsia="仿宋"/>
                <w:color w:val="auto"/>
                <w:kern w:val="0"/>
                <w:sz w:val="30"/>
                <w:szCs w:val="30"/>
                <w:highlight w:val="none"/>
              </w:rPr>
              <w:t>开户行：中国工商银行广州远景路支行</w:t>
            </w:r>
          </w:p>
        </w:tc>
      </w:tr>
    </w:tbl>
    <w:p>
      <w:pPr>
        <w:adjustRightInd w:val="0"/>
        <w:snapToGrid w:val="0"/>
        <w:spacing w:line="360" w:lineRule="auto"/>
        <w:ind w:firstLine="606" w:firstLineChars="200"/>
        <w:jc w:val="left"/>
        <w:rPr>
          <w:rFonts w:eastAsia="仿宋"/>
          <w:color w:val="auto"/>
          <w:sz w:val="30"/>
          <w:szCs w:val="30"/>
          <w:highlight w:val="none"/>
        </w:rPr>
      </w:pPr>
      <w:r>
        <w:rPr>
          <w:rFonts w:eastAsia="仿宋"/>
          <w:color w:val="auto"/>
          <w:sz w:val="30"/>
          <w:szCs w:val="30"/>
          <w:highlight w:val="none"/>
        </w:rPr>
        <w:t>（2）乙方账号信息</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单 位 全 称 ：</w:t>
      </w:r>
      <w:r>
        <w:rPr>
          <w:rFonts w:hint="eastAsia" w:eastAsia="仿宋"/>
          <w:color w:val="auto"/>
          <w:sz w:val="30"/>
          <w:szCs w:val="30"/>
          <w:highlight w:val="none"/>
          <w:u w:val="single"/>
        </w:rPr>
        <w:t xml:space="preserve">                             </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纳税人识别号：</w:t>
      </w:r>
      <w:r>
        <w:rPr>
          <w:rFonts w:hint="eastAsia" w:eastAsia="仿宋"/>
          <w:color w:val="auto"/>
          <w:sz w:val="30"/>
          <w:szCs w:val="30"/>
          <w:highlight w:val="none"/>
          <w:u w:val="single"/>
        </w:rPr>
        <w:t xml:space="preserve">                             </w:t>
      </w:r>
      <w:r>
        <w:rPr>
          <w:rFonts w:eastAsia="仿宋"/>
          <w:color w:val="auto"/>
          <w:sz w:val="30"/>
          <w:szCs w:val="30"/>
          <w:highlight w:val="none"/>
          <w:u w:val="single"/>
        </w:rPr>
        <w:t xml:space="preserve"> </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地 址：</w:t>
      </w:r>
      <w:r>
        <w:rPr>
          <w:rFonts w:hint="eastAsia" w:eastAsia="仿宋"/>
          <w:color w:val="auto"/>
          <w:sz w:val="30"/>
          <w:szCs w:val="30"/>
          <w:highlight w:val="none"/>
          <w:u w:val="single"/>
        </w:rPr>
        <w:t xml:space="preserve">                               </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电 话：</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p>
    <w:p>
      <w:pPr>
        <w:adjustRightInd w:val="0"/>
        <w:snapToGrid w:val="0"/>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开户行：</w:t>
      </w:r>
      <w:r>
        <w:rPr>
          <w:rFonts w:eastAsia="仿宋"/>
          <w:color w:val="auto"/>
          <w:sz w:val="30"/>
          <w:szCs w:val="30"/>
          <w:highlight w:val="none"/>
          <w:u w:val="single"/>
        </w:rPr>
        <w:t xml:space="preserve"> </w:t>
      </w:r>
      <w:r>
        <w:rPr>
          <w:rFonts w:hint="eastAsia" w:eastAsia="仿宋"/>
          <w:color w:val="auto"/>
          <w:sz w:val="30"/>
          <w:szCs w:val="30"/>
          <w:highlight w:val="none"/>
          <w:u w:val="single"/>
        </w:rPr>
        <w:t xml:space="preserve">                             </w:t>
      </w:r>
    </w:p>
    <w:p>
      <w:pPr>
        <w:spacing w:line="360" w:lineRule="auto"/>
        <w:ind w:firstLine="606" w:firstLineChars="200"/>
        <w:rPr>
          <w:rFonts w:eastAsia="仿宋"/>
          <w:color w:val="auto"/>
          <w:sz w:val="30"/>
          <w:szCs w:val="30"/>
          <w:highlight w:val="none"/>
          <w:u w:val="single"/>
        </w:rPr>
      </w:pPr>
      <w:r>
        <w:rPr>
          <w:rFonts w:eastAsia="仿宋"/>
          <w:color w:val="auto"/>
          <w:sz w:val="30"/>
          <w:szCs w:val="30"/>
          <w:highlight w:val="none"/>
        </w:rPr>
        <w:t>账号：</w:t>
      </w:r>
      <w:r>
        <w:rPr>
          <w:rFonts w:hint="eastAsia" w:eastAsia="仿宋"/>
          <w:color w:val="auto"/>
          <w:sz w:val="30"/>
          <w:szCs w:val="30"/>
          <w:highlight w:val="none"/>
          <w:u w:val="single"/>
        </w:rPr>
        <w:t xml:space="preserve">                             </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5.3.3.4乙方按甲方要求提供发票后，方可获得合同价款，否则，甲方有权拒付当期价款且不承担任何责任。</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5.3.3.5乙方允许甲方对价款的支付有30天宽限期，宽限期内，乙方不追究甲方延迟支付价款的任何责任。</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5.3.3.6若乙方收款结算账户与开票账户不一致，乙方应向甲方提供其加盖公章的账户信息。</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5.3.3.7乙方账户信息变更应提前7日通知甲方，否则由此导致未收到货款等损失全部由乙方承担。</w:t>
      </w:r>
    </w:p>
    <w:p>
      <w:pPr>
        <w:pStyle w:val="4"/>
        <w:spacing w:before="0" w:after="0" w:line="360" w:lineRule="auto"/>
        <w:rPr>
          <w:rFonts w:cs="Times New Roman" w:asciiTheme="minorEastAsia" w:hAnsiTheme="minorEastAsia" w:eastAsiaTheme="minorEastAsia"/>
          <w:color w:val="auto"/>
          <w:sz w:val="28"/>
          <w:szCs w:val="28"/>
          <w:highlight w:val="none"/>
        </w:rPr>
      </w:pPr>
      <w:bookmarkStart w:id="542" w:name="_Toc81925420"/>
      <w:r>
        <w:rPr>
          <w:rFonts w:cs="Times New Roman" w:asciiTheme="minorEastAsia" w:hAnsiTheme="minorEastAsia" w:eastAsiaTheme="minorEastAsia"/>
          <w:color w:val="auto"/>
          <w:sz w:val="28"/>
          <w:szCs w:val="28"/>
          <w:highlight w:val="none"/>
        </w:rPr>
        <w:t>6. 合同生效、变更、暂停、解除</w:t>
      </w:r>
      <w:bookmarkEnd w:id="542"/>
    </w:p>
    <w:p>
      <w:pPr>
        <w:adjustRightInd w:val="0"/>
        <w:snapToGrid w:val="0"/>
        <w:spacing w:line="360" w:lineRule="auto"/>
        <w:ind w:firstLine="606" w:firstLineChars="200"/>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6.1生效</w:t>
      </w:r>
    </w:p>
    <w:p>
      <w:pPr>
        <w:adjustRightInd w:val="0"/>
        <w:snapToGrid w:val="0"/>
        <w:spacing w:line="360" w:lineRule="auto"/>
        <w:ind w:firstLine="606" w:firstLineChars="200"/>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 xml:space="preserve"> 合同生效的其他约定：</w:t>
      </w:r>
      <w:r>
        <w:rPr>
          <w:rFonts w:ascii="Times New Roman" w:hAnsi="Times New Roman" w:eastAsia="仿宋" w:cs="Times New Roman"/>
          <w:color w:val="auto"/>
          <w:sz w:val="30"/>
          <w:szCs w:val="30"/>
          <w:highlight w:val="none"/>
          <w:u w:val="none"/>
        </w:rPr>
        <w:t xml:space="preserve">       </w:t>
      </w:r>
      <w:r>
        <w:rPr>
          <w:rFonts w:hint="eastAsia" w:ascii="Times New Roman" w:hAnsi="Times New Roman" w:eastAsia="仿宋" w:cs="Times New Roman"/>
          <w:color w:val="auto"/>
          <w:sz w:val="30"/>
          <w:szCs w:val="30"/>
          <w:highlight w:val="none"/>
        </w:rPr>
        <w:t>。</w:t>
      </w:r>
      <w:r>
        <w:rPr>
          <w:rFonts w:ascii="Times New Roman" w:hAnsi="Times New Roman" w:eastAsia="仿宋" w:cs="Times New Roman"/>
          <w:color w:val="auto"/>
          <w:sz w:val="30"/>
          <w:szCs w:val="30"/>
          <w:highlight w:val="none"/>
        </w:rPr>
        <w:t xml:space="preserve">   </w:t>
      </w:r>
    </w:p>
    <w:p>
      <w:pPr>
        <w:adjustRightInd w:val="0"/>
        <w:snapToGrid w:val="0"/>
        <w:spacing w:line="360" w:lineRule="auto"/>
        <w:ind w:firstLine="606" w:firstLineChars="200"/>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6.2变更</w:t>
      </w:r>
    </w:p>
    <w:p>
      <w:pPr>
        <w:adjustRightInd w:val="0"/>
        <w:snapToGrid w:val="0"/>
        <w:spacing w:line="360" w:lineRule="auto"/>
        <w:ind w:firstLine="606" w:firstLineChars="200"/>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6.2.2</w:t>
      </w:r>
      <w:r>
        <w:rPr>
          <w:rFonts w:hint="eastAsia" w:ascii="Times New Roman" w:hAnsi="Times New Roman" w:eastAsia="仿宋" w:cs="Times New Roman"/>
          <w:color w:val="auto"/>
          <w:sz w:val="30"/>
          <w:szCs w:val="30"/>
          <w:highlight w:val="none"/>
        </w:rPr>
        <w:t>变更</w:t>
      </w:r>
      <w:r>
        <w:rPr>
          <w:rFonts w:ascii="Times New Roman" w:hAnsi="Times New Roman" w:eastAsia="仿宋" w:cs="Times New Roman"/>
          <w:color w:val="auto"/>
          <w:sz w:val="30"/>
          <w:szCs w:val="30"/>
          <w:highlight w:val="none"/>
        </w:rPr>
        <w:t>估价原则</w:t>
      </w:r>
    </w:p>
    <w:p>
      <w:pPr>
        <w:adjustRightInd w:val="0"/>
        <w:snapToGrid w:val="0"/>
        <w:spacing w:line="360" w:lineRule="auto"/>
        <w:ind w:firstLine="606" w:firstLineChars="200"/>
        <w:rPr>
          <w:rFonts w:hint="eastAsia" w:ascii="Times New Roman" w:hAnsi="Times New Roman" w:eastAsia="仿宋" w:cs="Times New Roman"/>
          <w:color w:val="auto"/>
          <w:sz w:val="30"/>
          <w:szCs w:val="30"/>
          <w:highlight w:val="none"/>
        </w:rPr>
      </w:pPr>
      <w:r>
        <w:rPr>
          <w:rFonts w:hint="eastAsia" w:ascii="Times New Roman" w:hAnsi="Times New Roman" w:eastAsia="仿宋" w:cs="Times New Roman"/>
          <w:color w:val="auto"/>
          <w:sz w:val="30"/>
          <w:szCs w:val="30"/>
          <w:highlight w:val="none"/>
        </w:rPr>
        <w:t>在履行合同过程中，本合同发生的所有变更按照投资建设合同关于变更的约定、国家和当地投资项目变更的有关规定及发包人制定的相关变更管理规定执行，最终以有权部门审批结果为准。</w:t>
      </w:r>
    </w:p>
    <w:p>
      <w:pPr>
        <w:snapToGrid w:val="0"/>
        <w:spacing w:line="360" w:lineRule="auto"/>
        <w:ind w:firstLine="606" w:firstLineChars="200"/>
        <w:rPr>
          <w:rFonts w:hint="eastAsia" w:eastAsia="仿宋"/>
          <w:color w:val="auto"/>
          <w:sz w:val="30"/>
          <w:szCs w:val="30"/>
          <w:highlight w:val="none"/>
          <w:lang w:val="en-US" w:eastAsia="zh-CN"/>
        </w:rPr>
      </w:pPr>
      <w:r>
        <w:rPr>
          <w:rFonts w:hint="default" w:eastAsia="仿宋" w:cs="Times New Roman"/>
          <w:color w:val="auto"/>
          <w:sz w:val="30"/>
          <w:szCs w:val="30"/>
          <w:highlight w:val="none"/>
          <w:lang w:val="en-US" w:eastAsia="zh-CN"/>
        </w:rPr>
        <w:t>6.2.7</w:t>
      </w:r>
      <w:r>
        <w:rPr>
          <w:rFonts w:hint="eastAsia" w:ascii="Times New Roman" w:hAnsi="Times New Roman" w:eastAsia="仿宋"/>
          <w:color w:val="auto"/>
          <w:sz w:val="30"/>
          <w:szCs w:val="30"/>
          <w:highlight w:val="none"/>
        </w:rPr>
        <w:t>工程建设实施过程中，建设管理单位有权减少实施已标价工程量清单内项目，或要求分步分期实施、暂缓施工等，但不补偿乙方任何费用</w:t>
      </w:r>
      <w:r>
        <w:rPr>
          <w:rFonts w:hint="eastAsia" w:eastAsia="仿宋"/>
          <w:color w:val="auto"/>
          <w:sz w:val="30"/>
          <w:szCs w:val="30"/>
          <w:highlight w:val="none"/>
          <w:lang w:eastAsia="zh-CN"/>
        </w:rPr>
        <w:t>，乙方不得提出任何补偿要求。</w:t>
      </w:r>
    </w:p>
    <w:p>
      <w:pPr>
        <w:pStyle w:val="4"/>
        <w:spacing w:before="0" w:after="0" w:line="360" w:lineRule="auto"/>
        <w:rPr>
          <w:rFonts w:ascii="Times New Roman" w:hAnsi="Times New Roman" w:eastAsia="黑体" w:cs="Times New Roman"/>
          <w:color w:val="auto"/>
          <w:sz w:val="32"/>
          <w:highlight w:val="none"/>
        </w:rPr>
      </w:pPr>
      <w:bookmarkStart w:id="543" w:name="_Toc28129479"/>
      <w:bookmarkStart w:id="544" w:name="_Toc31099"/>
      <w:bookmarkStart w:id="545" w:name="_Toc23686194"/>
      <w:bookmarkStart w:id="546" w:name="_Toc8372"/>
      <w:bookmarkStart w:id="547" w:name="_Toc22968"/>
      <w:bookmarkStart w:id="548" w:name="_Toc23685200"/>
      <w:bookmarkStart w:id="549" w:name="_Toc32586"/>
      <w:r>
        <w:rPr>
          <w:rFonts w:ascii="Times New Roman" w:hAnsi="Times New Roman" w:eastAsia="黑体" w:cs="Times New Roman"/>
          <w:color w:val="auto"/>
          <w:sz w:val="32"/>
          <w:highlight w:val="none"/>
        </w:rPr>
        <w:t>7. 争议解决</w:t>
      </w:r>
      <w:bookmarkEnd w:id="543"/>
      <w:bookmarkEnd w:id="544"/>
      <w:bookmarkEnd w:id="545"/>
      <w:bookmarkEnd w:id="546"/>
      <w:bookmarkEnd w:id="547"/>
      <w:bookmarkEnd w:id="548"/>
      <w:bookmarkEnd w:id="549"/>
    </w:p>
    <w:p>
      <w:pPr>
        <w:adjustRightInd w:val="0"/>
        <w:snapToGrid w:val="0"/>
        <w:spacing w:line="360" w:lineRule="auto"/>
        <w:ind w:firstLine="606" w:firstLineChars="200"/>
        <w:rPr>
          <w:rFonts w:eastAsia="仿宋"/>
          <w:color w:val="auto"/>
          <w:sz w:val="30"/>
          <w:szCs w:val="30"/>
          <w:highlight w:val="none"/>
        </w:rPr>
      </w:pPr>
      <w:r>
        <w:rPr>
          <w:rFonts w:hint="eastAsia" w:ascii="Times New Roman" w:hAnsi="Times New Roman" w:eastAsia="仿宋"/>
          <w:color w:val="auto"/>
          <w:sz w:val="30"/>
          <w:szCs w:val="30"/>
          <w:highlight w:val="none"/>
        </w:rPr>
        <w:t>本合同履行过程中，如发生争议，双方当事人应本着诚实信用原则协商解决</w:t>
      </w:r>
      <w:r>
        <w:rPr>
          <w:rFonts w:ascii="Times New Roman" w:hAnsi="Times New Roman" w:eastAsia="仿宋"/>
          <w:color w:val="auto"/>
          <w:sz w:val="30"/>
          <w:szCs w:val="30"/>
          <w:highlight w:val="none"/>
        </w:rPr>
        <w:t>，也可由当地建设行政主管部门调解，协商或调解不成时，双方</w:t>
      </w:r>
      <w:r>
        <w:rPr>
          <w:rFonts w:hint="eastAsia" w:ascii="Times New Roman" w:hAnsi="Times New Roman" w:eastAsia="仿宋"/>
          <w:color w:val="auto"/>
          <w:sz w:val="30"/>
          <w:szCs w:val="30"/>
          <w:highlight w:val="none"/>
        </w:rPr>
        <w:t>同意</w:t>
      </w:r>
      <w:r>
        <w:rPr>
          <w:rFonts w:ascii="Times New Roman" w:hAnsi="Times New Roman" w:eastAsia="仿宋"/>
          <w:color w:val="auto"/>
          <w:sz w:val="30"/>
          <w:szCs w:val="30"/>
          <w:highlight w:val="none"/>
        </w:rPr>
        <w:t>向</w:t>
      </w:r>
      <w:r>
        <w:rPr>
          <w:rFonts w:hint="eastAsia" w:ascii="Times New Roman" w:hAnsi="Times New Roman" w:eastAsia="仿宋"/>
          <w:color w:val="auto"/>
          <w:sz w:val="30"/>
          <w:szCs w:val="30"/>
          <w:highlight w:val="none"/>
        </w:rPr>
        <w:t>广州仲裁委员会提起仲裁。</w:t>
      </w:r>
    </w:p>
    <w:p>
      <w:pPr>
        <w:pStyle w:val="4"/>
        <w:spacing w:before="0" w:after="0" w:line="360" w:lineRule="auto"/>
        <w:rPr>
          <w:rFonts w:ascii="Times New Roman" w:hAnsi="Times New Roman" w:eastAsia="黑体" w:cs="Times New Roman"/>
          <w:color w:val="auto"/>
          <w:sz w:val="32"/>
          <w:highlight w:val="none"/>
        </w:rPr>
      </w:pPr>
      <w:bookmarkStart w:id="550" w:name="_Toc25896"/>
      <w:bookmarkStart w:id="551" w:name="_Toc28129480"/>
      <w:bookmarkStart w:id="552" w:name="_Toc1072"/>
      <w:bookmarkStart w:id="553" w:name="_Toc32233"/>
      <w:bookmarkStart w:id="554" w:name="_Toc22151"/>
      <w:r>
        <w:rPr>
          <w:rFonts w:ascii="Times New Roman" w:hAnsi="Times New Roman" w:eastAsia="黑体" w:cs="Times New Roman"/>
          <w:color w:val="auto"/>
          <w:sz w:val="32"/>
          <w:highlight w:val="none"/>
        </w:rPr>
        <w:t>8. 其他</w:t>
      </w:r>
      <w:bookmarkEnd w:id="550"/>
      <w:bookmarkEnd w:id="551"/>
      <w:bookmarkEnd w:id="552"/>
      <w:bookmarkEnd w:id="553"/>
      <w:bookmarkEnd w:id="554"/>
      <w:r>
        <w:rPr>
          <w:rFonts w:ascii="Times New Roman" w:hAnsi="Times New Roman" w:eastAsia="黑体" w:cs="Times New Roman"/>
          <w:color w:val="auto"/>
          <w:sz w:val="32"/>
          <w:highlight w:val="none"/>
        </w:rPr>
        <w:t xml:space="preserve"> </w:t>
      </w:r>
    </w:p>
    <w:p>
      <w:pPr>
        <w:adjustRightInd w:val="0"/>
        <w:snapToGrid w:val="0"/>
        <w:spacing w:line="360" w:lineRule="auto"/>
        <w:ind w:firstLine="606" w:firstLineChars="200"/>
        <w:jc w:val="left"/>
        <w:rPr>
          <w:rFonts w:eastAsia="仿宋"/>
          <w:color w:val="auto"/>
          <w:sz w:val="30"/>
          <w:szCs w:val="30"/>
          <w:highlight w:val="none"/>
        </w:rPr>
      </w:pPr>
      <w:r>
        <w:rPr>
          <w:rFonts w:eastAsia="仿宋"/>
          <w:color w:val="auto"/>
          <w:sz w:val="30"/>
          <w:szCs w:val="30"/>
          <w:highlight w:val="none"/>
        </w:rPr>
        <w:t>8.8 履约保函</w:t>
      </w:r>
    </w:p>
    <w:p>
      <w:pPr>
        <w:adjustRightInd w:val="0"/>
        <w:snapToGrid w:val="0"/>
        <w:spacing w:line="360" w:lineRule="auto"/>
        <w:ind w:firstLine="606" w:firstLineChars="200"/>
        <w:jc w:val="left"/>
        <w:rPr>
          <w:rFonts w:eastAsia="仿宋"/>
          <w:color w:val="auto"/>
          <w:sz w:val="30"/>
          <w:szCs w:val="30"/>
          <w:highlight w:val="none"/>
        </w:rPr>
      </w:pPr>
      <w:r>
        <w:rPr>
          <w:rFonts w:eastAsia="仿宋"/>
          <w:color w:val="auto"/>
          <w:sz w:val="30"/>
          <w:szCs w:val="30"/>
          <w:highlight w:val="none"/>
        </w:rPr>
        <w:t>本合同采用的履约保函形式为不可撤销、见索即付的</w:t>
      </w:r>
      <w:r>
        <w:rPr>
          <w:rFonts w:hint="eastAsia" w:eastAsia="仿宋"/>
          <w:color w:val="auto"/>
          <w:sz w:val="30"/>
          <w:szCs w:val="30"/>
          <w:highlight w:val="none"/>
        </w:rPr>
        <w:t>银行保函，保函金额为合同价的</w:t>
      </w:r>
      <w:r>
        <w:rPr>
          <w:rFonts w:hint="eastAsia" w:eastAsia="仿宋"/>
          <w:color w:val="auto"/>
          <w:sz w:val="30"/>
          <w:szCs w:val="30"/>
          <w:highlight w:val="none"/>
          <w:u w:val="single"/>
        </w:rPr>
        <w:t xml:space="preserve"> 10%</w:t>
      </w:r>
      <w:r>
        <w:rPr>
          <w:rFonts w:eastAsia="仿宋"/>
          <w:color w:val="auto"/>
          <w:sz w:val="30"/>
          <w:szCs w:val="30"/>
          <w:highlight w:val="none"/>
          <w:u w:val="single"/>
        </w:rPr>
        <w:t xml:space="preserve"> </w:t>
      </w:r>
      <w:r>
        <w:rPr>
          <w:rFonts w:eastAsia="仿宋"/>
          <w:color w:val="auto"/>
          <w:sz w:val="30"/>
          <w:szCs w:val="30"/>
          <w:highlight w:val="none"/>
        </w:rPr>
        <w:t>。</w:t>
      </w:r>
    </w:p>
    <w:p>
      <w:pPr>
        <w:adjustRightInd w:val="0"/>
        <w:snapToGrid w:val="0"/>
        <w:spacing w:line="360" w:lineRule="auto"/>
        <w:ind w:firstLine="606" w:firstLineChars="200"/>
        <w:rPr>
          <w:rFonts w:eastAsia="仿宋"/>
          <w:color w:val="auto"/>
          <w:sz w:val="30"/>
          <w:szCs w:val="30"/>
          <w:highlight w:val="none"/>
        </w:rPr>
      </w:pPr>
      <w:r>
        <w:rPr>
          <w:rFonts w:eastAsia="仿宋"/>
          <w:color w:val="auto"/>
          <w:sz w:val="30"/>
          <w:szCs w:val="30"/>
          <w:highlight w:val="none"/>
        </w:rPr>
        <w:t>8.8.5</w:t>
      </w:r>
      <w:r>
        <w:rPr>
          <w:rFonts w:hint="eastAsia" w:eastAsia="仿宋"/>
          <w:color w:val="auto"/>
          <w:sz w:val="30"/>
          <w:szCs w:val="30"/>
          <w:highlight w:val="none"/>
        </w:rPr>
        <w:t>履约保函期限自本合同生效之日起至本合同约定的服务工作全部完成之日止，期限届满后方可撤销。</w:t>
      </w:r>
    </w:p>
    <w:p>
      <w:pPr>
        <w:adjustRightInd w:val="0"/>
        <w:snapToGrid w:val="0"/>
        <w:spacing w:line="360" w:lineRule="auto"/>
        <w:ind w:firstLine="606" w:firstLineChars="200"/>
        <w:rPr>
          <w:rFonts w:eastAsia="仿宋"/>
          <w:color w:val="auto"/>
          <w:sz w:val="30"/>
          <w:szCs w:val="30"/>
          <w:highlight w:val="none"/>
        </w:rPr>
      </w:pPr>
      <w:r>
        <w:rPr>
          <w:rFonts w:hint="eastAsia" w:eastAsia="仿宋"/>
          <w:color w:val="auto"/>
          <w:sz w:val="30"/>
          <w:szCs w:val="30"/>
          <w:highlight w:val="none"/>
        </w:rPr>
        <w:t>补：履约担保由牵头方提供，且联合体各方承担连带责任。</w:t>
      </w:r>
      <w:r>
        <w:rPr>
          <w:rFonts w:eastAsia="仿宋"/>
          <w:color w:val="auto"/>
          <w:sz w:val="30"/>
          <w:szCs w:val="30"/>
          <w:highlight w:val="none"/>
        </w:rPr>
        <w:br w:type="page"/>
      </w:r>
    </w:p>
    <w:p>
      <w:pPr>
        <w:pStyle w:val="3"/>
        <w:jc w:val="center"/>
        <w:rPr>
          <w:rFonts w:ascii="华文中宋" w:hAnsi="华文中宋" w:eastAsia="华文中宋"/>
          <w:color w:val="auto"/>
          <w:sz w:val="44"/>
          <w:highlight w:val="none"/>
        </w:rPr>
      </w:pPr>
      <w:bookmarkStart w:id="555" w:name="_Toc28129481"/>
      <w:bookmarkStart w:id="556" w:name="_Toc25547"/>
      <w:bookmarkStart w:id="557" w:name="_Toc807"/>
      <w:bookmarkStart w:id="558" w:name="_Toc25958"/>
      <w:bookmarkStart w:id="559" w:name="_Toc4894_WPSOffice_Level1"/>
      <w:bookmarkStart w:id="560" w:name="_Toc16544"/>
      <w:bookmarkStart w:id="561" w:name="_Toc4227_WPSOffice_Level1"/>
      <w:r>
        <w:rPr>
          <w:rFonts w:ascii="华文中宋" w:hAnsi="华文中宋" w:eastAsia="华文中宋"/>
          <w:color w:val="auto"/>
          <w:sz w:val="44"/>
          <w:highlight w:val="none"/>
        </w:rPr>
        <w:t>第</w:t>
      </w:r>
      <w:r>
        <w:rPr>
          <w:rFonts w:hint="eastAsia" w:ascii="华文中宋" w:hAnsi="华文中宋" w:eastAsia="华文中宋"/>
          <w:color w:val="auto"/>
          <w:sz w:val="44"/>
          <w:highlight w:val="none"/>
        </w:rPr>
        <w:t>四</w:t>
      </w:r>
      <w:r>
        <w:rPr>
          <w:rFonts w:ascii="华文中宋" w:hAnsi="华文中宋" w:eastAsia="华文中宋"/>
          <w:color w:val="auto"/>
          <w:sz w:val="44"/>
          <w:highlight w:val="none"/>
        </w:rPr>
        <w:t xml:space="preserve">部分  </w:t>
      </w:r>
      <w:r>
        <w:rPr>
          <w:rFonts w:hint="eastAsia" w:ascii="华文中宋" w:hAnsi="华文中宋" w:eastAsia="华文中宋"/>
          <w:color w:val="auto"/>
          <w:sz w:val="44"/>
          <w:highlight w:val="none"/>
        </w:rPr>
        <w:t>合同附件</w:t>
      </w:r>
      <w:bookmarkEnd w:id="555"/>
      <w:bookmarkEnd w:id="556"/>
      <w:bookmarkEnd w:id="557"/>
      <w:bookmarkEnd w:id="558"/>
      <w:bookmarkEnd w:id="559"/>
      <w:bookmarkEnd w:id="560"/>
      <w:bookmarkEnd w:id="561"/>
    </w:p>
    <w:p>
      <w:pPr>
        <w:ind w:firstLine="606" w:firstLineChars="200"/>
        <w:rPr>
          <w:rFonts w:eastAsia="仿宋"/>
          <w:color w:val="auto"/>
          <w:sz w:val="30"/>
          <w:szCs w:val="30"/>
          <w:highlight w:val="none"/>
        </w:rPr>
      </w:pPr>
      <w:bookmarkStart w:id="562" w:name="_Toc15264_WPSOffice_Level1"/>
      <w:bookmarkStart w:id="563" w:name="_Toc12991_WPSOffice_Level1"/>
      <w:bookmarkStart w:id="564" w:name="_Toc28355_WPSOffice_Level1"/>
      <w:r>
        <w:rPr>
          <w:rFonts w:eastAsia="仿宋"/>
          <w:color w:val="auto"/>
          <w:sz w:val="30"/>
          <w:szCs w:val="30"/>
          <w:highlight w:val="none"/>
        </w:rPr>
        <w:t>附件1：结算单价及暂定工程量</w:t>
      </w:r>
      <w:bookmarkEnd w:id="562"/>
      <w:bookmarkEnd w:id="563"/>
      <w:bookmarkEnd w:id="564"/>
    </w:p>
    <w:p>
      <w:pPr>
        <w:ind w:firstLine="606" w:firstLineChars="200"/>
        <w:rPr>
          <w:rFonts w:eastAsia="仿宋"/>
          <w:strike/>
          <w:color w:val="auto"/>
          <w:sz w:val="30"/>
          <w:szCs w:val="30"/>
          <w:highlight w:val="none"/>
        </w:rPr>
      </w:pPr>
      <w:bookmarkStart w:id="565" w:name="_Toc13026_WPSOffice_Level1"/>
      <w:bookmarkStart w:id="566" w:name="_Toc7164_WPSOffice_Level1"/>
      <w:bookmarkStart w:id="567" w:name="_Toc9914_WPSOffice_Level1"/>
      <w:r>
        <w:rPr>
          <w:rFonts w:eastAsia="仿宋"/>
          <w:strike/>
          <w:color w:val="auto"/>
          <w:sz w:val="30"/>
          <w:szCs w:val="30"/>
          <w:highlight w:val="none"/>
        </w:rPr>
        <w:t>附件2：相关服务的范围和内容</w:t>
      </w:r>
      <w:bookmarkEnd w:id="565"/>
      <w:bookmarkEnd w:id="566"/>
      <w:bookmarkEnd w:id="567"/>
    </w:p>
    <w:p>
      <w:pPr>
        <w:ind w:firstLine="606" w:firstLineChars="200"/>
        <w:rPr>
          <w:rFonts w:eastAsia="仿宋"/>
          <w:color w:val="auto"/>
          <w:sz w:val="30"/>
          <w:szCs w:val="30"/>
          <w:highlight w:val="none"/>
        </w:rPr>
      </w:pPr>
      <w:bookmarkStart w:id="568" w:name="_Toc18750_WPSOffice_Level1"/>
      <w:bookmarkStart w:id="569" w:name="_Toc7522_WPSOffice_Level1"/>
      <w:bookmarkStart w:id="570" w:name="_Toc20619_WPSOffice_Level1"/>
      <w:r>
        <w:rPr>
          <w:rFonts w:eastAsia="仿宋"/>
          <w:color w:val="auto"/>
          <w:sz w:val="30"/>
          <w:szCs w:val="30"/>
          <w:highlight w:val="none"/>
        </w:rPr>
        <w:t>附件3：工程检测与相关服务规范</w:t>
      </w:r>
      <w:bookmarkEnd w:id="568"/>
      <w:bookmarkEnd w:id="569"/>
      <w:bookmarkEnd w:id="570"/>
    </w:p>
    <w:p>
      <w:pPr>
        <w:ind w:firstLine="606" w:firstLineChars="200"/>
        <w:rPr>
          <w:rFonts w:eastAsia="仿宋"/>
          <w:color w:val="auto"/>
          <w:sz w:val="30"/>
          <w:szCs w:val="30"/>
          <w:highlight w:val="none"/>
        </w:rPr>
      </w:pPr>
      <w:bookmarkStart w:id="571" w:name="_Toc15262_WPSOffice_Level1"/>
      <w:bookmarkStart w:id="572" w:name="_Toc6925_WPSOffice_Level1"/>
      <w:bookmarkStart w:id="573" w:name="_Toc22960_WPSOffice_Level1"/>
      <w:r>
        <w:rPr>
          <w:rFonts w:eastAsia="仿宋"/>
          <w:color w:val="auto"/>
          <w:sz w:val="30"/>
          <w:szCs w:val="30"/>
          <w:highlight w:val="none"/>
        </w:rPr>
        <w:t>附件4：乙方投入的设备清单</w:t>
      </w:r>
      <w:bookmarkEnd w:id="571"/>
      <w:bookmarkEnd w:id="572"/>
      <w:bookmarkEnd w:id="573"/>
    </w:p>
    <w:p>
      <w:pPr>
        <w:ind w:firstLine="606" w:firstLineChars="200"/>
        <w:rPr>
          <w:rFonts w:eastAsia="仿宋"/>
          <w:color w:val="auto"/>
          <w:sz w:val="30"/>
          <w:szCs w:val="30"/>
          <w:highlight w:val="none"/>
        </w:rPr>
      </w:pPr>
      <w:bookmarkStart w:id="574" w:name="_Toc7017_WPSOffice_Level1"/>
      <w:bookmarkStart w:id="575" w:name="_Toc28957_WPSOffice_Level1"/>
      <w:bookmarkStart w:id="576" w:name="_Toc4135_WPSOffice_Level1"/>
      <w:r>
        <w:rPr>
          <w:rFonts w:eastAsia="仿宋"/>
          <w:color w:val="auto"/>
          <w:sz w:val="30"/>
          <w:szCs w:val="30"/>
          <w:highlight w:val="none"/>
        </w:rPr>
        <w:t>附件5：廉洁协议书</w:t>
      </w:r>
      <w:bookmarkEnd w:id="574"/>
      <w:bookmarkEnd w:id="575"/>
      <w:bookmarkEnd w:id="576"/>
    </w:p>
    <w:p>
      <w:pPr>
        <w:ind w:firstLine="606" w:firstLineChars="200"/>
        <w:rPr>
          <w:rFonts w:eastAsia="仿宋"/>
          <w:strike/>
          <w:color w:val="auto"/>
          <w:sz w:val="30"/>
          <w:szCs w:val="30"/>
          <w:highlight w:val="none"/>
        </w:rPr>
      </w:pPr>
      <w:bookmarkStart w:id="577" w:name="_Toc1554_WPSOffice_Level1"/>
      <w:bookmarkStart w:id="578" w:name="_Toc23468_WPSOffice_Level1"/>
      <w:bookmarkStart w:id="579" w:name="_Toc25578_WPSOffice_Level1"/>
      <w:r>
        <w:rPr>
          <w:rFonts w:eastAsia="仿宋"/>
          <w:strike/>
          <w:color w:val="auto"/>
          <w:sz w:val="30"/>
          <w:szCs w:val="30"/>
          <w:highlight w:val="none"/>
        </w:rPr>
        <w:t>附件6：资金监管协议书</w:t>
      </w:r>
      <w:bookmarkEnd w:id="577"/>
      <w:bookmarkEnd w:id="578"/>
      <w:bookmarkEnd w:id="579"/>
    </w:p>
    <w:p>
      <w:pPr>
        <w:ind w:firstLine="606" w:firstLineChars="200"/>
        <w:rPr>
          <w:rFonts w:eastAsia="仿宋"/>
          <w:color w:val="auto"/>
          <w:sz w:val="30"/>
          <w:szCs w:val="30"/>
          <w:highlight w:val="none"/>
        </w:rPr>
      </w:pPr>
      <w:bookmarkStart w:id="580" w:name="_Toc1553_WPSOffice_Level1"/>
      <w:bookmarkStart w:id="581" w:name="_Toc11090_WPSOffice_Level1"/>
      <w:bookmarkStart w:id="582" w:name="_Toc11987_WPSOffice_Level1"/>
      <w:r>
        <w:rPr>
          <w:rFonts w:eastAsia="仿宋"/>
          <w:color w:val="auto"/>
          <w:sz w:val="30"/>
          <w:szCs w:val="30"/>
          <w:highlight w:val="none"/>
        </w:rPr>
        <w:t>附件7：</w:t>
      </w:r>
      <w:r>
        <w:rPr>
          <w:rFonts w:hint="eastAsia" w:ascii="仿宋" w:hAnsi="仿宋" w:eastAsia="仿宋" w:cs="仿宋"/>
          <w:b w:val="0"/>
          <w:bCs/>
          <w:color w:val="auto"/>
          <w:sz w:val="30"/>
          <w:szCs w:val="30"/>
          <w:highlight w:val="none"/>
        </w:rPr>
        <w:t>安全环保管理协议书</w:t>
      </w:r>
      <w:bookmarkEnd w:id="580"/>
      <w:bookmarkEnd w:id="581"/>
      <w:bookmarkEnd w:id="582"/>
    </w:p>
    <w:p>
      <w:pPr>
        <w:ind w:firstLine="606" w:firstLineChars="200"/>
        <w:rPr>
          <w:rFonts w:eastAsia="仿宋"/>
          <w:color w:val="auto"/>
          <w:sz w:val="30"/>
          <w:szCs w:val="30"/>
          <w:highlight w:val="none"/>
        </w:rPr>
      </w:pPr>
      <w:bookmarkStart w:id="583" w:name="_Toc6080_WPSOffice_Level1"/>
      <w:bookmarkStart w:id="584" w:name="_Toc10395_WPSOffice_Level1"/>
      <w:bookmarkStart w:id="585" w:name="_Toc12731_WPSOffice_Level1"/>
      <w:r>
        <w:rPr>
          <w:rFonts w:eastAsia="仿宋"/>
          <w:color w:val="auto"/>
          <w:sz w:val="30"/>
          <w:szCs w:val="30"/>
          <w:highlight w:val="none"/>
        </w:rPr>
        <w:t>附件8：不可撤销履约保函</w:t>
      </w:r>
      <w:bookmarkEnd w:id="583"/>
      <w:bookmarkEnd w:id="584"/>
      <w:bookmarkEnd w:id="585"/>
    </w:p>
    <w:p>
      <w:pPr>
        <w:rPr>
          <w:rFonts w:eastAsiaTheme="minorEastAsia"/>
          <w:color w:val="auto"/>
          <w:sz w:val="28"/>
          <w:szCs w:val="28"/>
          <w:highlight w:val="none"/>
        </w:rPr>
      </w:pPr>
    </w:p>
    <w:p>
      <w:pPr>
        <w:rPr>
          <w:color w:val="auto"/>
          <w:highlight w:val="none"/>
        </w:rPr>
      </w:pPr>
    </w:p>
    <w:p>
      <w:pPr>
        <w:rPr>
          <w:color w:val="auto"/>
          <w:highlight w:val="none"/>
        </w:rPr>
      </w:pPr>
    </w:p>
    <w:p>
      <w:pPr>
        <w:tabs>
          <w:tab w:val="left" w:pos="540"/>
        </w:tabs>
        <w:spacing w:line="360" w:lineRule="auto"/>
        <w:rPr>
          <w:b/>
          <w:color w:val="auto"/>
          <w:sz w:val="32"/>
          <w:szCs w:val="32"/>
          <w:highlight w:val="none"/>
        </w:rPr>
        <w:sectPr>
          <w:headerReference r:id="rId3" w:type="default"/>
          <w:footerReference r:id="rId4" w:type="default"/>
          <w:pgSz w:w="11907" w:h="16840"/>
          <w:pgMar w:top="924" w:right="1157" w:bottom="1259" w:left="1157" w:header="851" w:footer="992" w:gutter="0"/>
          <w:pgNumType w:start="1"/>
          <w:cols w:space="720" w:num="1"/>
          <w:titlePg/>
          <w:docGrid w:type="linesAndChars" w:linePitch="312" w:charSpace="650"/>
        </w:sectPr>
      </w:pPr>
    </w:p>
    <w:p>
      <w:pPr>
        <w:pStyle w:val="3"/>
        <w:rPr>
          <w:rFonts w:eastAsia="仿宋"/>
          <w:color w:val="auto"/>
          <w:highlight w:val="none"/>
        </w:rPr>
      </w:pPr>
      <w:bookmarkStart w:id="586" w:name="_Toc18653_WPSOffice_Level1"/>
      <w:bookmarkStart w:id="587" w:name="_Toc28129482"/>
      <w:bookmarkStart w:id="588" w:name="_Toc14219"/>
      <w:bookmarkStart w:id="589" w:name="_Toc845_WPSOffice_Level1"/>
      <w:bookmarkStart w:id="590" w:name="_Toc31028"/>
      <w:bookmarkStart w:id="591" w:name="_Toc21902"/>
      <w:bookmarkStart w:id="592" w:name="_Toc28129205"/>
      <w:bookmarkStart w:id="593" w:name="_Toc29689"/>
      <w:r>
        <w:rPr>
          <w:rFonts w:eastAsia="仿宋"/>
          <w:color w:val="auto"/>
          <w:highlight w:val="none"/>
        </w:rPr>
        <w:t>附件1：结算单价及暂定工程量</w:t>
      </w:r>
      <w:bookmarkEnd w:id="586"/>
      <w:bookmarkEnd w:id="587"/>
      <w:bookmarkEnd w:id="588"/>
      <w:bookmarkEnd w:id="589"/>
      <w:bookmarkEnd w:id="590"/>
      <w:bookmarkEnd w:id="591"/>
      <w:bookmarkEnd w:id="592"/>
      <w:bookmarkEnd w:id="593"/>
    </w:p>
    <w:p>
      <w:pPr>
        <w:rPr>
          <w:rFonts w:eastAsia="仿宋"/>
          <w:color w:val="auto"/>
          <w:kern w:val="44"/>
          <w:sz w:val="30"/>
          <w:szCs w:val="44"/>
          <w:highlight w:val="none"/>
        </w:rPr>
      </w:pPr>
      <w:r>
        <w:rPr>
          <w:rFonts w:eastAsia="仿宋"/>
          <w:color w:val="auto"/>
          <w:kern w:val="44"/>
          <w:sz w:val="30"/>
          <w:szCs w:val="44"/>
          <w:highlight w:val="none"/>
        </w:rPr>
        <w:t>详见附件1</w:t>
      </w: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14"/>
        <w:rPr>
          <w:rFonts w:eastAsia="仿宋"/>
          <w:color w:val="auto"/>
          <w:highlight w:val="none"/>
        </w:rPr>
      </w:pPr>
    </w:p>
    <w:p>
      <w:pPr>
        <w:pStyle w:val="3"/>
        <w:rPr>
          <w:rFonts w:eastAsia="仿宋"/>
          <w:color w:val="auto"/>
          <w:szCs w:val="30"/>
          <w:highlight w:val="none"/>
        </w:rPr>
      </w:pPr>
      <w:bookmarkStart w:id="594" w:name="_Toc21872"/>
      <w:bookmarkStart w:id="595" w:name="_Toc28129487"/>
      <w:bookmarkStart w:id="596" w:name="_Toc27633"/>
      <w:bookmarkStart w:id="597" w:name="_Toc24960"/>
      <w:bookmarkStart w:id="598" w:name="_Toc29050_WPSOffice_Level1"/>
      <w:bookmarkStart w:id="599" w:name="_Toc28129210"/>
      <w:bookmarkStart w:id="600" w:name="_Toc9545_WPSOffice_Level1"/>
      <w:bookmarkStart w:id="601" w:name="_Toc23686202"/>
      <w:bookmarkStart w:id="602" w:name="_Toc18345"/>
      <w:r>
        <w:rPr>
          <w:rFonts w:eastAsia="仿宋"/>
          <w:color w:val="auto"/>
          <w:szCs w:val="30"/>
          <w:highlight w:val="none"/>
        </w:rPr>
        <w:t>附件3：工程检测与相关服务规范</w:t>
      </w:r>
      <w:bookmarkEnd w:id="594"/>
      <w:bookmarkEnd w:id="595"/>
      <w:bookmarkEnd w:id="596"/>
      <w:bookmarkEnd w:id="597"/>
      <w:bookmarkEnd w:id="598"/>
      <w:bookmarkEnd w:id="599"/>
      <w:bookmarkEnd w:id="600"/>
      <w:bookmarkEnd w:id="601"/>
      <w:bookmarkEnd w:id="602"/>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根据设计图纸要求、施工过程相关资料和现行有效的国家或地区有关标准规范规定等。</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质量检测服务适用的技术标准、规范等依据包括但不限于：</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1、《广州市住房和城乡建设委员会关于规范建筑工程地基基础检测工作的通知》穗建质【2016】926号</w:t>
      </w:r>
      <w:r>
        <w:rPr>
          <w:rFonts w:hint="eastAsia" w:ascii="Times New Roman" w:hAnsi="Times New Roman" w:eastAsia="仿宋" w:cs="Times New Roman"/>
          <w:color w:val="auto"/>
          <w:sz w:val="30"/>
          <w:szCs w:val="30"/>
          <w:highlight w:val="none"/>
        </w:rPr>
        <w:t>；</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2、《广州市市政基础设施工程实体检测管理办法》穗建质【2010】1489号</w:t>
      </w:r>
      <w:r>
        <w:rPr>
          <w:rFonts w:hint="eastAsia" w:ascii="Times New Roman" w:hAnsi="Times New Roman" w:eastAsia="仿宋" w:cs="Times New Roman"/>
          <w:color w:val="auto"/>
          <w:sz w:val="30"/>
          <w:szCs w:val="30"/>
          <w:highlight w:val="none"/>
        </w:rPr>
        <w:t>；</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3、贯彻《建设工程质量管理条例文件汇编》（广州地区建设工程质量安全监督站，广州市市政工程安全质量监督站编制）；</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4、《广州市房屋建筑和市政基础设施工程质量管理办法》（政府令[2015]129号）；</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5、《广州市住房和城乡建设委员会关于印发广州市建设工程质量检测管理办法的通知》（穗建规字[2016]2号）</w:t>
      </w:r>
      <w:r>
        <w:rPr>
          <w:rFonts w:hint="eastAsia" w:ascii="Times New Roman" w:hAnsi="Times New Roman" w:eastAsia="仿宋" w:cs="Times New Roman"/>
          <w:color w:val="auto"/>
          <w:sz w:val="30"/>
          <w:szCs w:val="30"/>
          <w:highlight w:val="none"/>
        </w:rPr>
        <w:t>；</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6、《工程测量规范》（GB50026—2007）；</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7、《建筑物变形测量规程》（JGJ8-2016）；</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8、《建筑地基处理技术规范》（JGJ79-2012）；</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9、《建筑地基基础工程施工质量验收规范》（GB50202 -2002）；</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10、《建筑地基基础设计规范》（GB50007-2011）；</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11、《建筑地基基础检测规范》（DBJ15-60-2008）</w:t>
      </w:r>
      <w:r>
        <w:rPr>
          <w:rFonts w:hint="eastAsia" w:ascii="Times New Roman" w:hAnsi="Times New Roman" w:eastAsia="仿宋" w:cs="Times New Roman"/>
          <w:color w:val="auto"/>
          <w:sz w:val="30"/>
          <w:szCs w:val="30"/>
          <w:highlight w:val="none"/>
        </w:rPr>
        <w:t>等。</w:t>
      </w:r>
    </w:p>
    <w:p>
      <w:pPr>
        <w:pStyle w:val="14"/>
        <w:spacing w:line="360" w:lineRule="auto"/>
        <w:ind w:left="2" w:firstLine="606" w:firstLineChars="202"/>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质量监测服务适用的技术标准、规范等依据包括但不限于：</w:t>
      </w:r>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03" w:name="_Toc11631_WPSOffice_Level2"/>
      <w:bookmarkStart w:id="604" w:name="_Toc20619_WPSOffice_Level2"/>
      <w:r>
        <w:rPr>
          <w:rFonts w:ascii="Times New Roman" w:hAnsi="Times New Roman" w:eastAsia="仿宋" w:cs="Times New Roman"/>
          <w:color w:val="auto"/>
          <w:sz w:val="30"/>
          <w:szCs w:val="30"/>
          <w:highlight w:val="none"/>
        </w:rPr>
        <w:t>1、《城镇道路工程施工与质量验收规范》（CJJ 1-2008）；</w:t>
      </w:r>
      <w:bookmarkEnd w:id="603"/>
      <w:bookmarkEnd w:id="604"/>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05" w:name="_Toc18655_WPSOffice_Level2"/>
      <w:bookmarkStart w:id="606" w:name="_Toc15262_WPSOffice_Level2"/>
      <w:r>
        <w:rPr>
          <w:rFonts w:ascii="Times New Roman" w:hAnsi="Times New Roman" w:eastAsia="仿宋" w:cs="Times New Roman"/>
          <w:color w:val="auto"/>
          <w:sz w:val="30"/>
          <w:szCs w:val="30"/>
          <w:highlight w:val="none"/>
        </w:rPr>
        <w:t>2、《城镇道路路面设计规范》（CJJ169-2012）；</w:t>
      </w:r>
      <w:bookmarkEnd w:id="605"/>
      <w:bookmarkEnd w:id="606"/>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07" w:name="_Toc28957_WPSOffice_Level2"/>
      <w:bookmarkStart w:id="608" w:name="_Toc25542_WPSOffice_Level2"/>
      <w:r>
        <w:rPr>
          <w:rFonts w:ascii="Times New Roman" w:hAnsi="Times New Roman" w:eastAsia="仿宋" w:cs="Times New Roman"/>
          <w:color w:val="auto"/>
          <w:sz w:val="30"/>
          <w:szCs w:val="30"/>
          <w:highlight w:val="none"/>
        </w:rPr>
        <w:t>3、《城镇排水管道检测与评估技术规程》（CJJ 181-2012）；</w:t>
      </w:r>
      <w:bookmarkEnd w:id="607"/>
      <w:bookmarkEnd w:id="608"/>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09" w:name="_Toc25578_WPSOffice_Level2"/>
      <w:bookmarkStart w:id="610" w:name="_Toc27161_WPSOffice_Level2"/>
      <w:r>
        <w:rPr>
          <w:rFonts w:ascii="Times New Roman" w:hAnsi="Times New Roman" w:eastAsia="仿宋" w:cs="Times New Roman"/>
          <w:color w:val="auto"/>
          <w:sz w:val="30"/>
          <w:szCs w:val="30"/>
          <w:highlight w:val="none"/>
        </w:rPr>
        <w:t>4、《工程测量规范》（GB50026—93）；</w:t>
      </w:r>
      <w:bookmarkEnd w:id="609"/>
      <w:bookmarkEnd w:id="610"/>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11" w:name="_Toc13817_WPSOffice_Level2"/>
      <w:bookmarkStart w:id="612" w:name="_Toc11090_WPSOffice_Level2"/>
      <w:r>
        <w:rPr>
          <w:rFonts w:ascii="Times New Roman" w:hAnsi="Times New Roman" w:eastAsia="仿宋" w:cs="Times New Roman"/>
          <w:color w:val="auto"/>
          <w:sz w:val="30"/>
          <w:szCs w:val="30"/>
          <w:highlight w:val="none"/>
        </w:rPr>
        <w:t>5、《建筑物变形测量规程》（JGJ/T 8-97）；</w:t>
      </w:r>
      <w:bookmarkEnd w:id="611"/>
      <w:bookmarkEnd w:id="612"/>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13" w:name="_Toc18946_WPSOffice_Level2"/>
      <w:bookmarkStart w:id="614" w:name="_Toc10395_WPSOffice_Level2"/>
      <w:r>
        <w:rPr>
          <w:rFonts w:ascii="Times New Roman" w:hAnsi="Times New Roman" w:eastAsia="仿宋" w:cs="Times New Roman"/>
          <w:color w:val="auto"/>
          <w:sz w:val="30"/>
          <w:szCs w:val="30"/>
          <w:highlight w:val="none"/>
        </w:rPr>
        <w:t>6、《建筑地基处理技术规范》（JGJ79-2002）；</w:t>
      </w:r>
      <w:bookmarkEnd w:id="613"/>
      <w:bookmarkEnd w:id="614"/>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15" w:name="_Toc10840_WPSOffice_Level2"/>
      <w:bookmarkStart w:id="616" w:name="_Toc23922_WPSOffice_Level2"/>
      <w:r>
        <w:rPr>
          <w:rFonts w:ascii="Times New Roman" w:hAnsi="Times New Roman" w:eastAsia="仿宋" w:cs="Times New Roman"/>
          <w:color w:val="auto"/>
          <w:sz w:val="30"/>
          <w:szCs w:val="30"/>
          <w:highlight w:val="none"/>
        </w:rPr>
        <w:t>7、《建筑地基基础工程施工质量验收规范》（GB50202 -2002）；</w:t>
      </w:r>
      <w:bookmarkEnd w:id="615"/>
      <w:bookmarkEnd w:id="616"/>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17" w:name="_Toc27057_WPSOffice_Level2"/>
      <w:bookmarkStart w:id="618" w:name="_Toc845_WPSOffice_Level2"/>
      <w:r>
        <w:rPr>
          <w:rFonts w:ascii="Times New Roman" w:hAnsi="Times New Roman" w:eastAsia="仿宋" w:cs="Times New Roman"/>
          <w:color w:val="auto"/>
          <w:sz w:val="30"/>
          <w:szCs w:val="30"/>
          <w:highlight w:val="none"/>
        </w:rPr>
        <w:t>8、《建筑地基基础设计规范》（GB50007-2002）；</w:t>
      </w:r>
      <w:bookmarkEnd w:id="617"/>
      <w:bookmarkEnd w:id="618"/>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19" w:name="_Toc9545_WPSOffice_Level2"/>
      <w:bookmarkStart w:id="620" w:name="_Toc10629_WPSOffice_Level2"/>
      <w:r>
        <w:rPr>
          <w:rFonts w:ascii="Times New Roman" w:hAnsi="Times New Roman" w:eastAsia="仿宋" w:cs="Times New Roman"/>
          <w:color w:val="auto"/>
          <w:sz w:val="30"/>
          <w:szCs w:val="30"/>
          <w:highlight w:val="none"/>
        </w:rPr>
        <w:t>9、《建筑地基基础检测规范》（DBJ15-60-2008）；</w:t>
      </w:r>
      <w:bookmarkEnd w:id="619"/>
      <w:bookmarkEnd w:id="620"/>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21" w:name="_Toc8858_WPSOffice_Level2"/>
      <w:bookmarkStart w:id="622" w:name="_Toc21404_WPSOffice_Level2"/>
      <w:r>
        <w:rPr>
          <w:rFonts w:ascii="Times New Roman" w:hAnsi="Times New Roman" w:eastAsia="仿宋" w:cs="Times New Roman"/>
          <w:color w:val="auto"/>
          <w:sz w:val="30"/>
          <w:szCs w:val="30"/>
          <w:highlight w:val="none"/>
        </w:rPr>
        <w:t>10、《沥青路面施工及验收规范》（GB50092-96）；</w:t>
      </w:r>
      <w:bookmarkEnd w:id="621"/>
      <w:bookmarkEnd w:id="622"/>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23" w:name="_Toc12048_WPSOffice_Level2"/>
      <w:bookmarkStart w:id="624" w:name="_Toc26379_WPSOffice_Level2"/>
      <w:r>
        <w:rPr>
          <w:rFonts w:ascii="Times New Roman" w:hAnsi="Times New Roman" w:eastAsia="仿宋" w:cs="Times New Roman"/>
          <w:color w:val="auto"/>
          <w:sz w:val="30"/>
          <w:szCs w:val="30"/>
          <w:highlight w:val="none"/>
        </w:rPr>
        <w:t>11、《公路路基路面现场测试规程》（JTG E60-2008）；</w:t>
      </w:r>
      <w:bookmarkEnd w:id="623"/>
      <w:bookmarkEnd w:id="624"/>
    </w:p>
    <w:p>
      <w:pPr>
        <w:pStyle w:val="14"/>
        <w:spacing w:line="360" w:lineRule="auto"/>
        <w:ind w:left="2" w:firstLine="606" w:firstLineChars="202"/>
        <w:rPr>
          <w:rFonts w:ascii="Times New Roman" w:hAnsi="Times New Roman" w:eastAsia="仿宋" w:cs="Times New Roman"/>
          <w:color w:val="auto"/>
          <w:sz w:val="30"/>
          <w:szCs w:val="30"/>
          <w:highlight w:val="none"/>
        </w:rPr>
      </w:pPr>
      <w:bookmarkStart w:id="625" w:name="_Toc29178_WPSOffice_Level2"/>
      <w:bookmarkStart w:id="626" w:name="_Toc3132_WPSOffice_Level2"/>
      <w:r>
        <w:rPr>
          <w:rFonts w:ascii="Times New Roman" w:hAnsi="Times New Roman" w:eastAsia="仿宋" w:cs="Times New Roman"/>
          <w:color w:val="auto"/>
          <w:sz w:val="30"/>
          <w:szCs w:val="30"/>
          <w:highlight w:val="none"/>
        </w:rPr>
        <w:t>12、 国家标准《混凝土结构工程施工质量验收规范》 GB50204-2002</w:t>
      </w:r>
      <w:r>
        <w:rPr>
          <w:rFonts w:hint="eastAsia" w:ascii="Times New Roman" w:hAnsi="Times New Roman" w:eastAsia="仿宋" w:cs="Times New Roman"/>
          <w:color w:val="auto"/>
          <w:sz w:val="30"/>
          <w:szCs w:val="30"/>
          <w:highlight w:val="none"/>
        </w:rPr>
        <w:t>；</w:t>
      </w:r>
      <w:bookmarkEnd w:id="625"/>
      <w:bookmarkEnd w:id="626"/>
    </w:p>
    <w:p>
      <w:pPr>
        <w:pStyle w:val="14"/>
        <w:autoSpaceDE w:val="0"/>
        <w:autoSpaceDN w:val="0"/>
        <w:spacing w:line="360" w:lineRule="auto"/>
        <w:ind w:left="2" w:firstLine="606" w:firstLineChars="202"/>
        <w:jc w:val="left"/>
        <w:rPr>
          <w:rFonts w:ascii="Times New Roman" w:hAnsi="Times New Roman" w:eastAsia="仿宋" w:cs="Times New Roman"/>
          <w:color w:val="auto"/>
          <w:sz w:val="30"/>
          <w:szCs w:val="30"/>
          <w:highlight w:val="none"/>
        </w:rPr>
      </w:pPr>
      <w:bookmarkStart w:id="627" w:name="_Toc24598_WPSOffice_Level2"/>
      <w:bookmarkStart w:id="628" w:name="_Toc28683_WPSOffice_Level2"/>
      <w:r>
        <w:rPr>
          <w:rFonts w:ascii="Times New Roman" w:hAnsi="Times New Roman" w:eastAsia="仿宋" w:cs="Times New Roman"/>
          <w:color w:val="auto"/>
          <w:sz w:val="30"/>
          <w:szCs w:val="30"/>
          <w:highlight w:val="none"/>
        </w:rPr>
        <w:t>13、其他国家、省市或行业的相关技术标准、规范</w:t>
      </w:r>
      <w:r>
        <w:rPr>
          <w:rFonts w:hint="eastAsia" w:ascii="Times New Roman" w:hAnsi="Times New Roman" w:eastAsia="仿宋" w:cs="Times New Roman"/>
          <w:color w:val="auto"/>
          <w:sz w:val="30"/>
          <w:szCs w:val="30"/>
          <w:highlight w:val="none"/>
        </w:rPr>
        <w:t>等。</w:t>
      </w:r>
      <w:bookmarkEnd w:id="627"/>
      <w:bookmarkEnd w:id="628"/>
    </w:p>
    <w:p>
      <w:pPr>
        <w:pStyle w:val="14"/>
        <w:autoSpaceDE w:val="0"/>
        <w:autoSpaceDN w:val="0"/>
        <w:spacing w:line="360" w:lineRule="auto"/>
        <w:ind w:left="2" w:firstLine="606" w:firstLineChars="202"/>
        <w:jc w:val="left"/>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如以上标准有关规定不统一的，以国家标准为准。如有新的规范标准，按最新规范标准执行。</w:t>
      </w:r>
    </w:p>
    <w:p>
      <w:pPr>
        <w:autoSpaceDE w:val="0"/>
        <w:autoSpaceDN w:val="0"/>
        <w:spacing w:line="360" w:lineRule="auto"/>
        <w:ind w:firstLine="424" w:firstLineChars="202"/>
        <w:jc w:val="left"/>
        <w:rPr>
          <w:rFonts w:eastAsiaTheme="minorEastAsia"/>
          <w:color w:val="auto"/>
          <w:kern w:val="0"/>
          <w:szCs w:val="21"/>
          <w:highlight w:val="none"/>
        </w:rPr>
      </w:pPr>
    </w:p>
    <w:p>
      <w:pPr>
        <w:autoSpaceDE w:val="0"/>
        <w:autoSpaceDN w:val="0"/>
        <w:spacing w:line="360" w:lineRule="auto"/>
        <w:ind w:firstLine="424" w:firstLineChars="202"/>
        <w:jc w:val="left"/>
        <w:rPr>
          <w:rFonts w:eastAsiaTheme="minorEastAsia"/>
          <w:color w:val="auto"/>
          <w:kern w:val="0"/>
          <w:szCs w:val="21"/>
          <w:highlight w:val="none"/>
        </w:rPr>
      </w:pPr>
    </w:p>
    <w:p>
      <w:pPr>
        <w:autoSpaceDE w:val="0"/>
        <w:autoSpaceDN w:val="0"/>
        <w:spacing w:line="360" w:lineRule="auto"/>
        <w:ind w:firstLine="424" w:firstLineChars="202"/>
        <w:jc w:val="left"/>
        <w:rPr>
          <w:rFonts w:eastAsiaTheme="minorEastAsia"/>
          <w:color w:val="auto"/>
          <w:kern w:val="0"/>
          <w:szCs w:val="21"/>
          <w:highlight w:val="none"/>
        </w:rPr>
      </w:pPr>
    </w:p>
    <w:p>
      <w:pPr>
        <w:autoSpaceDE w:val="0"/>
        <w:autoSpaceDN w:val="0"/>
        <w:spacing w:line="360" w:lineRule="auto"/>
        <w:ind w:firstLine="424" w:firstLineChars="202"/>
        <w:jc w:val="left"/>
        <w:rPr>
          <w:rFonts w:eastAsiaTheme="minorEastAsia"/>
          <w:color w:val="auto"/>
          <w:kern w:val="0"/>
          <w:szCs w:val="21"/>
          <w:highlight w:val="none"/>
        </w:rPr>
      </w:pPr>
    </w:p>
    <w:p>
      <w:pPr>
        <w:autoSpaceDE w:val="0"/>
        <w:autoSpaceDN w:val="0"/>
        <w:spacing w:line="360" w:lineRule="auto"/>
        <w:jc w:val="left"/>
        <w:rPr>
          <w:rFonts w:eastAsiaTheme="minorEastAsia"/>
          <w:color w:val="auto"/>
          <w:kern w:val="0"/>
          <w:szCs w:val="21"/>
          <w:highlight w:val="none"/>
        </w:rPr>
      </w:pPr>
    </w:p>
    <w:p>
      <w:pPr>
        <w:rPr>
          <w:color w:val="auto"/>
          <w:highlight w:val="none"/>
        </w:rPr>
      </w:pPr>
    </w:p>
    <w:p>
      <w:pPr>
        <w:widowControl/>
        <w:jc w:val="left"/>
        <w:rPr>
          <w:color w:val="auto"/>
          <w:highlight w:val="none"/>
        </w:rPr>
      </w:pPr>
      <w:r>
        <w:rPr>
          <w:color w:val="auto"/>
          <w:highlight w:val="none"/>
        </w:rPr>
        <w:br w:type="page"/>
      </w:r>
    </w:p>
    <w:p>
      <w:pPr>
        <w:rPr>
          <w:rFonts w:eastAsia="仿宋"/>
          <w:b/>
          <w:color w:val="auto"/>
          <w:sz w:val="30"/>
          <w:szCs w:val="30"/>
          <w:highlight w:val="none"/>
        </w:rPr>
      </w:pPr>
      <w:bookmarkStart w:id="629" w:name="_Toc14453_WPSOffice_Level1"/>
      <w:bookmarkStart w:id="630" w:name="_Toc8858_WPSOffice_Level1"/>
      <w:r>
        <w:rPr>
          <w:rFonts w:eastAsia="仿宋"/>
          <w:b/>
          <w:color w:val="auto"/>
          <w:sz w:val="30"/>
          <w:szCs w:val="30"/>
          <w:highlight w:val="none"/>
        </w:rPr>
        <w:t>附件4：乙方检测设备清单</w:t>
      </w:r>
      <w:bookmarkEnd w:id="629"/>
      <w:bookmarkEnd w:id="630"/>
    </w:p>
    <w:tbl>
      <w:tblPr>
        <w:tblStyle w:val="29"/>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00"/>
        <w:gridCol w:w="1394"/>
        <w:gridCol w:w="1548"/>
        <w:gridCol w:w="1374"/>
        <w:gridCol w:w="1266"/>
        <w:gridCol w:w="986"/>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98"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olor w:val="auto"/>
                <w:szCs w:val="21"/>
                <w:highlight w:val="none"/>
              </w:rPr>
            </w:pPr>
          </w:p>
        </w:tc>
        <w:tc>
          <w:tcPr>
            <w:tcW w:w="120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auto"/>
                <w:szCs w:val="21"/>
                <w:highlight w:val="none"/>
              </w:rPr>
            </w:pPr>
          </w:p>
        </w:tc>
        <w:tc>
          <w:tcPr>
            <w:tcW w:w="139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auto"/>
                <w:szCs w:val="21"/>
                <w:highlight w:val="none"/>
              </w:rPr>
            </w:pPr>
          </w:p>
        </w:tc>
        <w:tc>
          <w:tcPr>
            <w:tcW w:w="1548"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auto"/>
                <w:szCs w:val="21"/>
                <w:highlight w:val="none"/>
              </w:rPr>
            </w:pPr>
          </w:p>
        </w:tc>
        <w:tc>
          <w:tcPr>
            <w:tcW w:w="137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auto"/>
                <w:szCs w:val="21"/>
                <w:highlight w:val="none"/>
              </w:rPr>
            </w:pPr>
          </w:p>
        </w:tc>
        <w:tc>
          <w:tcPr>
            <w:tcW w:w="12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auto"/>
                <w:szCs w:val="21"/>
                <w:highlight w:val="none"/>
              </w:rPr>
            </w:pPr>
          </w:p>
        </w:tc>
        <w:tc>
          <w:tcPr>
            <w:tcW w:w="98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auto"/>
                <w:szCs w:val="21"/>
                <w:highlight w:val="none"/>
              </w:rPr>
            </w:pPr>
          </w:p>
        </w:tc>
        <w:tc>
          <w:tcPr>
            <w:tcW w:w="77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98" w:type="dxa"/>
            <w:tcBorders>
              <w:top w:val="single" w:color="auto" w:sz="12" w:space="0"/>
              <w:left w:val="single" w:color="auto" w:sz="12"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00"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9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548"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7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6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98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775"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rFonts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98" w:type="dxa"/>
            <w:tcBorders>
              <w:top w:val="single" w:color="auto" w:sz="12" w:space="0"/>
              <w:left w:val="single" w:color="auto" w:sz="12"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00"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9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548"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7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6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98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775"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rFonts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98" w:type="dxa"/>
            <w:tcBorders>
              <w:top w:val="single" w:color="auto" w:sz="12" w:space="0"/>
              <w:left w:val="single" w:color="auto" w:sz="12"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00"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9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548"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7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6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98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775"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rFonts w:ascii="宋体" w:hAnsi="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98" w:type="dxa"/>
            <w:tcBorders>
              <w:top w:val="single" w:color="auto" w:sz="12" w:space="0"/>
              <w:left w:val="single" w:color="auto" w:sz="12"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00"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9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548"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374"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126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986"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rFonts w:ascii="宋体" w:hAnsi="宋体" w:cs="宋体"/>
                <w:color w:val="auto"/>
                <w:szCs w:val="21"/>
                <w:highlight w:val="none"/>
                <w:lang w:bidi="ar"/>
              </w:rPr>
            </w:pPr>
          </w:p>
        </w:tc>
        <w:tc>
          <w:tcPr>
            <w:tcW w:w="775"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rFonts w:ascii="宋体" w:hAnsi="宋体" w:cs="宋体"/>
                <w:color w:val="auto"/>
                <w:szCs w:val="21"/>
                <w:highlight w:val="none"/>
                <w:lang w:bidi="ar"/>
              </w:rPr>
            </w:pPr>
          </w:p>
        </w:tc>
      </w:tr>
    </w:tbl>
    <w:p>
      <w:pPr>
        <w:rPr>
          <w:color w:val="auto"/>
          <w:highlight w:val="none"/>
          <w:lang w:bidi="ar"/>
        </w:rPr>
      </w:pPr>
    </w:p>
    <w:p>
      <w:pPr>
        <w:pStyle w:val="81"/>
        <w:adjustRightInd w:val="0"/>
        <w:snapToGrid w:val="0"/>
        <w:jc w:val="left"/>
        <w:rPr>
          <w:rFonts w:ascii="仿宋" w:hAnsi="仿宋" w:eastAsia="仿宋" w:cs="仿宋"/>
          <w:color w:val="auto"/>
          <w:sz w:val="30"/>
          <w:szCs w:val="30"/>
          <w:highlight w:val="none"/>
        </w:rPr>
      </w:pPr>
      <w:bookmarkStart w:id="631" w:name="_Toc18008"/>
      <w:bookmarkStart w:id="632" w:name="_Toc8056"/>
      <w:bookmarkStart w:id="633" w:name="_Toc771_WPSOffice_Level1"/>
      <w:bookmarkStart w:id="634" w:name="_Toc22515"/>
      <w:bookmarkStart w:id="635" w:name="_Toc22829"/>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p>
    <w:p>
      <w:pPr>
        <w:pStyle w:val="81"/>
        <w:adjustRightInd w:val="0"/>
        <w:snapToGrid w:val="0"/>
        <w:jc w:val="left"/>
        <w:rPr>
          <w:rFonts w:ascii="仿宋" w:hAnsi="仿宋" w:eastAsia="仿宋" w:cs="仿宋"/>
          <w:color w:val="auto"/>
          <w:sz w:val="30"/>
          <w:szCs w:val="30"/>
          <w:highlight w:val="none"/>
        </w:rPr>
      </w:pPr>
      <w:bookmarkStart w:id="636" w:name="_Toc26379_WPSOffice_Level1"/>
      <w:r>
        <w:rPr>
          <w:rFonts w:hint="eastAsia" w:ascii="仿宋" w:hAnsi="仿宋" w:eastAsia="仿宋" w:cs="仿宋"/>
          <w:color w:val="auto"/>
          <w:sz w:val="30"/>
          <w:szCs w:val="30"/>
          <w:highlight w:val="none"/>
        </w:rPr>
        <w:t>附件</w:t>
      </w:r>
      <w:bookmarkStart w:id="637" w:name="_Toc41235809"/>
      <w:r>
        <w:rPr>
          <w:rFonts w:hint="eastAsia" w:ascii="仿宋" w:hAnsi="仿宋" w:eastAsia="仿宋" w:cs="仿宋"/>
          <w:color w:val="auto"/>
          <w:sz w:val="30"/>
          <w:szCs w:val="30"/>
          <w:highlight w:val="none"/>
        </w:rPr>
        <w:t>5 廉洁协议书格式</w:t>
      </w:r>
      <w:bookmarkEnd w:id="631"/>
      <w:bookmarkEnd w:id="632"/>
      <w:bookmarkEnd w:id="633"/>
      <w:bookmarkEnd w:id="634"/>
      <w:bookmarkEnd w:id="635"/>
      <w:bookmarkEnd w:id="636"/>
      <w:bookmarkEnd w:id="637"/>
    </w:p>
    <w:p>
      <w:pPr>
        <w:adjustRightInd w:val="0"/>
        <w:snapToGrid w:val="0"/>
        <w:spacing w:line="360" w:lineRule="auto"/>
        <w:ind w:firstLine="602" w:firstLineChars="200"/>
        <w:jc w:val="center"/>
        <w:rPr>
          <w:rFonts w:ascii="仿宋" w:hAnsi="仿宋" w:eastAsia="仿宋" w:cs="仿宋"/>
          <w:b/>
          <w:bCs/>
          <w:color w:val="auto"/>
          <w:sz w:val="30"/>
          <w:szCs w:val="30"/>
          <w:highlight w:val="none"/>
        </w:rPr>
      </w:pPr>
      <w:bookmarkStart w:id="638" w:name="_Toc10611_WPSOffice_Level1"/>
      <w:bookmarkStart w:id="639" w:name="_Toc29178_WPSOffice_Level1"/>
      <w:bookmarkStart w:id="640" w:name="_Toc24326_WPSOffice_Level1"/>
      <w:r>
        <w:rPr>
          <w:rFonts w:hint="eastAsia" w:ascii="仿宋" w:hAnsi="仿宋" w:eastAsia="仿宋" w:cs="仿宋"/>
          <w:b/>
          <w:bCs/>
          <w:color w:val="auto"/>
          <w:sz w:val="30"/>
          <w:szCs w:val="30"/>
          <w:highlight w:val="none"/>
        </w:rPr>
        <w:t>廉 洁 协 议 书</w:t>
      </w:r>
      <w:bookmarkEnd w:id="638"/>
      <w:bookmarkEnd w:id="639"/>
      <w:bookmarkEnd w:id="640"/>
    </w:p>
    <w:p>
      <w:pPr>
        <w:adjustRightInd w:val="0"/>
        <w:snapToGrid w:val="0"/>
        <w:spacing w:line="360" w:lineRule="auto"/>
        <w:ind w:firstLine="600" w:firstLineChars="200"/>
        <w:rPr>
          <w:rFonts w:eastAsia="仿宋"/>
          <w:color w:val="auto"/>
          <w:sz w:val="30"/>
          <w:szCs w:val="30"/>
          <w:highlight w:val="none"/>
        </w:rPr>
      </w:pPr>
    </w:p>
    <w:p>
      <w:pPr>
        <w:adjustRightInd w:val="0"/>
        <w:snapToGrid w:val="0"/>
        <w:spacing w:line="360" w:lineRule="auto"/>
        <w:ind w:firstLine="300" w:firstLineChars="100"/>
        <w:rPr>
          <w:rFonts w:eastAsia="仿宋"/>
          <w:color w:val="auto"/>
          <w:sz w:val="30"/>
          <w:szCs w:val="30"/>
          <w:highlight w:val="none"/>
        </w:rPr>
      </w:pPr>
      <w:bookmarkStart w:id="641" w:name="_Toc24598_WPSOffice_Level1"/>
      <w:r>
        <w:rPr>
          <w:rFonts w:hint="eastAsia" w:eastAsia="仿宋"/>
          <w:color w:val="auto"/>
          <w:sz w:val="30"/>
          <w:szCs w:val="30"/>
          <w:highlight w:val="none"/>
        </w:rPr>
        <w:t>甲方：</w:t>
      </w:r>
      <w:r>
        <w:rPr>
          <w:rFonts w:hint="eastAsia" w:eastAsia="仿宋"/>
          <w:color w:val="auto"/>
          <w:sz w:val="30"/>
          <w:szCs w:val="30"/>
          <w:highlight w:val="none"/>
          <w:u w:val="single"/>
        </w:rPr>
        <w:t xml:space="preserve"> </w:t>
      </w:r>
      <w:bookmarkEnd w:id="641"/>
      <w:r>
        <w:rPr>
          <w:rFonts w:hint="eastAsia" w:eastAsia="仿宋"/>
          <w:color w:val="auto"/>
          <w:kern w:val="0"/>
          <w:sz w:val="30"/>
          <w:szCs w:val="30"/>
          <w:highlight w:val="none"/>
          <w:u w:val="single"/>
        </w:rPr>
        <w:t xml:space="preserve">                                  </w:t>
      </w:r>
      <w:r>
        <w:rPr>
          <w:rFonts w:eastAsia="仿宋"/>
          <w:color w:val="auto"/>
          <w:kern w:val="0"/>
          <w:sz w:val="30"/>
          <w:szCs w:val="30"/>
          <w:highlight w:val="none"/>
          <w:u w:val="single"/>
        </w:rPr>
        <w:t xml:space="preserve"> </w:t>
      </w:r>
    </w:p>
    <w:p>
      <w:pPr>
        <w:adjustRightInd w:val="0"/>
        <w:snapToGrid w:val="0"/>
        <w:spacing w:line="360" w:lineRule="auto"/>
        <w:ind w:firstLine="300" w:firstLineChars="100"/>
        <w:rPr>
          <w:rFonts w:eastAsia="仿宋"/>
          <w:color w:val="auto"/>
          <w:kern w:val="0"/>
          <w:sz w:val="30"/>
          <w:szCs w:val="30"/>
          <w:highlight w:val="none"/>
          <w:u w:val="single"/>
        </w:rPr>
      </w:pPr>
      <w:r>
        <w:rPr>
          <w:rFonts w:hint="eastAsia" w:eastAsia="仿宋"/>
          <w:color w:val="auto"/>
          <w:sz w:val="30"/>
          <w:szCs w:val="30"/>
          <w:highlight w:val="none"/>
        </w:rPr>
        <w:t>乙方：</w:t>
      </w:r>
      <w:r>
        <w:rPr>
          <w:rFonts w:hint="eastAsia" w:eastAsia="仿宋"/>
          <w:color w:val="auto"/>
          <w:sz w:val="30"/>
          <w:szCs w:val="30"/>
          <w:highlight w:val="none"/>
          <w:u w:val="single"/>
        </w:rPr>
        <w:t xml:space="preserve"> </w:t>
      </w:r>
      <w:r>
        <w:rPr>
          <w:rFonts w:hint="eastAsia" w:eastAsia="仿宋"/>
          <w:color w:val="auto"/>
          <w:kern w:val="0"/>
          <w:sz w:val="30"/>
          <w:szCs w:val="30"/>
          <w:highlight w:val="none"/>
          <w:u w:val="single"/>
        </w:rPr>
        <w:t xml:space="preserve">                                  </w:t>
      </w:r>
      <w:r>
        <w:rPr>
          <w:rFonts w:eastAsia="仿宋"/>
          <w:color w:val="auto"/>
          <w:kern w:val="0"/>
          <w:sz w:val="30"/>
          <w:szCs w:val="30"/>
          <w:highlight w:val="none"/>
          <w:u w:val="single"/>
        </w:rPr>
        <w:t xml:space="preserve"> </w:t>
      </w:r>
    </w:p>
    <w:p>
      <w:pPr>
        <w:adjustRightInd w:val="0"/>
        <w:snapToGrid w:val="0"/>
        <w:spacing w:line="360" w:lineRule="auto"/>
        <w:ind w:firstLine="300" w:firstLineChars="100"/>
        <w:rPr>
          <w:rFonts w:eastAsia="仿宋"/>
          <w:color w:val="auto"/>
          <w:sz w:val="30"/>
          <w:szCs w:val="30"/>
          <w:highlight w:val="none"/>
        </w:rPr>
      </w:pPr>
      <w:r>
        <w:rPr>
          <w:rFonts w:hint="eastAsia" w:eastAsia="仿宋"/>
          <w:color w:val="auto"/>
          <w:sz w:val="30"/>
          <w:szCs w:val="30"/>
          <w:highlight w:val="none"/>
        </w:rPr>
        <w:t>在甲、乙双方订立、履行合同过程中，为保持廉洁自律的工作作风，防止各种不正当行为的发生，甲、乙双方订立协议如下：</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一、甲、乙双方应当自觉遵守国家、地方法律法规以及本协议的约定，在合同的订立、履行过程中廉洁自律。</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二、甲方及其工作人员不得以任何形式向乙方索要和收受回扣等好处费。</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三、甲方工作人员应当保持与乙方的正常业务交往，不得接受乙方的礼金、有价证券和贵重物品，不得在乙方报销任何应由其个人承担的费用。</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四、甲方工作人员不得参加可能对公正开展业务有影响的宴请和娱乐活动。如甲方工作人员确因实际情况须参加宴请、进行娱乐活动的，须事先按行政隶属关系上一级批准。</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五、甲方工作人员不得要求或者接受乙方为其住房装修、婚丧嫁娶、家属和子女的工作安排以及出国等提供方便。</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六、乙方不得接受甲方工作人员介绍的家属或者亲友从事与合同相关的业务。</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八、乙方如发现甲方工作人员有违反上述协议者，应向甲方举报。甲方不得找任何借口对乙方进行报复。甲方对举报属实和严格遵守廉洁协议的乙方，在同等条件下优先考虑与乙方继续合作。</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九、甲方发现乙方有违反本协议或者采用不正当的手段行贿甲方工作人员等不正当竞争行为的，甲方有权按合同的终止和解除条款执行。</w:t>
      </w:r>
    </w:p>
    <w:p>
      <w:pPr>
        <w:adjustRightInd w:val="0"/>
        <w:snapToGrid w:val="0"/>
        <w:spacing w:line="360" w:lineRule="auto"/>
        <w:ind w:firstLine="600" w:firstLineChars="200"/>
        <w:rPr>
          <w:rFonts w:eastAsia="仿宋"/>
          <w:color w:val="auto"/>
          <w:sz w:val="30"/>
          <w:szCs w:val="30"/>
          <w:highlight w:val="none"/>
        </w:rPr>
      </w:pPr>
      <w:r>
        <w:rPr>
          <w:rFonts w:hint="eastAsia" w:eastAsia="仿宋"/>
          <w:color w:val="auto"/>
          <w:sz w:val="30"/>
          <w:szCs w:val="30"/>
          <w:highlight w:val="none"/>
        </w:rPr>
        <w:t>十、本廉洁协议作为第三方检测监测合同的附件，与合同具有同等法律效力。经协议双方签署后立即生效。</w:t>
      </w: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p>
    <w:p>
      <w:pPr>
        <w:adjustRightInd w:val="0"/>
        <w:snapToGrid w:val="0"/>
        <w:spacing w:line="360" w:lineRule="auto"/>
        <w:rPr>
          <w:rFonts w:eastAsia="仿宋"/>
          <w:color w:val="auto"/>
          <w:sz w:val="30"/>
          <w:szCs w:val="30"/>
          <w:highlight w:val="none"/>
        </w:rPr>
      </w:pPr>
      <w:r>
        <w:rPr>
          <w:rFonts w:hint="eastAsia" w:eastAsia="仿宋"/>
          <w:color w:val="auto"/>
          <w:sz w:val="30"/>
          <w:szCs w:val="30"/>
          <w:highlight w:val="none"/>
        </w:rPr>
        <w:t>（以下无正文）</w:t>
      </w:r>
    </w:p>
    <w:p>
      <w:pPr>
        <w:adjustRightInd w:val="0"/>
        <w:snapToGrid w:val="0"/>
        <w:spacing w:line="360" w:lineRule="auto"/>
        <w:ind w:firstLine="600" w:firstLineChars="200"/>
        <w:rPr>
          <w:rFonts w:eastAsia="仿宋"/>
          <w:color w:val="auto"/>
          <w:sz w:val="30"/>
          <w:szCs w:val="30"/>
          <w:highlight w:val="none"/>
        </w:rPr>
      </w:pPr>
    </w:p>
    <w:p>
      <w:pPr>
        <w:pStyle w:val="14"/>
        <w:rPr>
          <w:rFonts w:eastAsia="仿宋"/>
          <w:color w:val="auto"/>
          <w:sz w:val="30"/>
          <w:szCs w:val="30"/>
          <w:highlight w:val="none"/>
        </w:rPr>
      </w:pPr>
    </w:p>
    <w:p>
      <w:pPr>
        <w:pStyle w:val="14"/>
        <w:rPr>
          <w:rFonts w:eastAsia="仿宋"/>
          <w:color w:val="auto"/>
          <w:sz w:val="30"/>
          <w:szCs w:val="30"/>
          <w:highlight w:val="none"/>
        </w:rPr>
      </w:pPr>
    </w:p>
    <w:p>
      <w:pPr>
        <w:pStyle w:val="28"/>
        <w:ind w:firstLine="0" w:firstLineChars="0"/>
        <w:rPr>
          <w:rFonts w:eastAsia="仿宋"/>
          <w:color w:val="auto"/>
          <w:sz w:val="30"/>
          <w:szCs w:val="30"/>
          <w:highlight w:val="none"/>
        </w:rPr>
      </w:pPr>
    </w:p>
    <w:p>
      <w:pPr>
        <w:pStyle w:val="28"/>
        <w:ind w:firstLine="0" w:firstLineChars="0"/>
        <w:rPr>
          <w:rFonts w:eastAsia="仿宋"/>
          <w:color w:val="auto"/>
          <w:sz w:val="30"/>
          <w:szCs w:val="30"/>
          <w:highlight w:val="none"/>
        </w:rPr>
      </w:pPr>
    </w:p>
    <w:p>
      <w:pPr>
        <w:adjustRightInd w:val="0"/>
        <w:snapToGrid w:val="0"/>
        <w:spacing w:line="600" w:lineRule="auto"/>
        <w:jc w:val="left"/>
        <w:rPr>
          <w:rFonts w:eastAsia="仿宋"/>
          <w:color w:val="auto"/>
          <w:sz w:val="30"/>
          <w:szCs w:val="30"/>
          <w:highlight w:val="none"/>
        </w:rPr>
      </w:pPr>
      <w:r>
        <w:rPr>
          <w:rFonts w:hint="eastAsia" w:eastAsia="仿宋"/>
          <w:color w:val="auto"/>
          <w:sz w:val="30"/>
          <w:szCs w:val="30"/>
          <w:highlight w:val="none"/>
        </w:rPr>
        <w:t xml:space="preserve">甲方(公章)：                      </w:t>
      </w:r>
    </w:p>
    <w:p>
      <w:pPr>
        <w:adjustRightInd w:val="0"/>
        <w:snapToGrid w:val="0"/>
        <w:spacing w:line="600" w:lineRule="auto"/>
        <w:jc w:val="left"/>
        <w:rPr>
          <w:rFonts w:eastAsia="仿宋"/>
          <w:color w:val="auto"/>
          <w:sz w:val="30"/>
          <w:szCs w:val="30"/>
          <w:highlight w:val="none"/>
        </w:rPr>
      </w:pPr>
      <w:r>
        <w:rPr>
          <w:rFonts w:hint="eastAsia" w:eastAsia="仿宋"/>
          <w:color w:val="auto"/>
          <w:sz w:val="30"/>
          <w:szCs w:val="30"/>
          <w:highlight w:val="none"/>
        </w:rPr>
        <w:t xml:space="preserve">地  址：                         </w:t>
      </w:r>
    </w:p>
    <w:p>
      <w:pPr>
        <w:adjustRightInd w:val="0"/>
        <w:snapToGrid w:val="0"/>
        <w:spacing w:line="600" w:lineRule="auto"/>
        <w:jc w:val="left"/>
        <w:rPr>
          <w:rFonts w:eastAsia="仿宋"/>
          <w:color w:val="auto"/>
          <w:sz w:val="30"/>
          <w:szCs w:val="30"/>
          <w:highlight w:val="none"/>
        </w:rPr>
      </w:pPr>
      <w:r>
        <w:rPr>
          <w:rFonts w:hint="eastAsia" w:eastAsia="仿宋"/>
          <w:color w:val="auto"/>
          <w:sz w:val="30"/>
          <w:szCs w:val="30"/>
          <w:highlight w:val="none"/>
        </w:rPr>
        <w:t xml:space="preserve">法定代表人或委托代理人(签字)：                               </w:t>
      </w:r>
    </w:p>
    <w:p>
      <w:pPr>
        <w:adjustRightInd w:val="0"/>
        <w:snapToGrid w:val="0"/>
        <w:spacing w:line="600" w:lineRule="auto"/>
        <w:rPr>
          <w:rFonts w:eastAsia="仿宋"/>
          <w:color w:val="auto"/>
          <w:sz w:val="30"/>
          <w:szCs w:val="30"/>
          <w:highlight w:val="none"/>
        </w:rPr>
      </w:pPr>
      <w:r>
        <w:rPr>
          <w:rFonts w:hint="eastAsia" w:eastAsia="仿宋"/>
          <w:color w:val="auto"/>
          <w:sz w:val="30"/>
          <w:szCs w:val="30"/>
          <w:highlight w:val="none"/>
        </w:rPr>
        <w:t>乙方(公章)：</w:t>
      </w:r>
    </w:p>
    <w:p>
      <w:pPr>
        <w:pStyle w:val="28"/>
        <w:spacing w:line="600" w:lineRule="auto"/>
        <w:ind w:firstLine="0" w:firstLineChars="0"/>
        <w:rPr>
          <w:rFonts w:eastAsia="仿宋"/>
          <w:color w:val="auto"/>
          <w:sz w:val="30"/>
          <w:szCs w:val="30"/>
          <w:highlight w:val="none"/>
        </w:rPr>
      </w:pPr>
      <w:r>
        <w:rPr>
          <w:rFonts w:hint="eastAsia" w:eastAsia="仿宋"/>
          <w:color w:val="auto"/>
          <w:sz w:val="30"/>
          <w:szCs w:val="30"/>
          <w:highlight w:val="none"/>
        </w:rPr>
        <w:t xml:space="preserve">地  </w:t>
      </w:r>
      <w:r>
        <w:rPr>
          <w:rFonts w:hint="eastAsia" w:ascii="Times New Roman" w:hAnsi="Times New Roman" w:eastAsia="仿宋"/>
          <w:color w:val="auto"/>
          <w:sz w:val="30"/>
          <w:szCs w:val="30"/>
          <w:highlight w:val="none"/>
        </w:rPr>
        <w:t>址：</w:t>
      </w:r>
    </w:p>
    <w:p>
      <w:pPr>
        <w:pStyle w:val="28"/>
        <w:spacing w:line="600" w:lineRule="auto"/>
        <w:ind w:firstLine="0" w:firstLineChars="0"/>
        <w:rPr>
          <w:rFonts w:eastAsia="仿宋"/>
          <w:color w:val="auto"/>
          <w:sz w:val="30"/>
          <w:szCs w:val="30"/>
          <w:highlight w:val="none"/>
        </w:rPr>
      </w:pPr>
      <w:r>
        <w:rPr>
          <w:rFonts w:hint="eastAsia" w:eastAsia="仿宋"/>
          <w:color w:val="auto"/>
          <w:sz w:val="30"/>
          <w:szCs w:val="30"/>
          <w:highlight w:val="none"/>
        </w:rPr>
        <w:t>法定代表人或委托代理人： (签字)：</w:t>
      </w:r>
    </w:p>
    <w:p>
      <w:pPr>
        <w:adjustRightInd w:val="0"/>
        <w:snapToGrid w:val="0"/>
        <w:spacing w:line="600" w:lineRule="auto"/>
        <w:rPr>
          <w:rFonts w:eastAsia="仿宋"/>
          <w:color w:val="auto"/>
          <w:sz w:val="30"/>
          <w:szCs w:val="30"/>
          <w:highlight w:val="none"/>
        </w:rPr>
      </w:pPr>
      <w:r>
        <w:rPr>
          <w:rFonts w:hint="eastAsia" w:eastAsia="仿宋"/>
          <w:color w:val="auto"/>
          <w:sz w:val="30"/>
          <w:szCs w:val="30"/>
          <w:highlight w:val="none"/>
        </w:rPr>
        <w:t>签订时间：    年    月    日</w:t>
      </w:r>
    </w:p>
    <w:p>
      <w:pPr>
        <w:pStyle w:val="28"/>
        <w:spacing w:line="480" w:lineRule="auto"/>
        <w:ind w:firstLine="301"/>
        <w:rPr>
          <w:rFonts w:ascii="Times New Roman" w:hAnsi="Times New Roman"/>
          <w:b/>
          <w:color w:val="auto"/>
          <w:sz w:val="30"/>
          <w:szCs w:val="30"/>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pacing w:line="520" w:lineRule="exact"/>
        <w:ind w:firstLine="0" w:firstLineChars="0"/>
        <w:jc w:val="left"/>
        <w:rPr>
          <w:rFonts w:ascii="仿宋" w:hAnsi="仿宋" w:eastAsia="仿宋" w:cs="仿宋"/>
          <w:b/>
          <w:color w:val="auto"/>
          <w:sz w:val="30"/>
          <w:szCs w:val="30"/>
          <w:highlight w:val="none"/>
        </w:rPr>
      </w:pPr>
      <w:bookmarkStart w:id="642" w:name="_Toc25079_WPSOffice_Level1"/>
      <w:bookmarkStart w:id="643" w:name="_Toc2406_WPSOffice_Level1"/>
      <w:r>
        <w:rPr>
          <w:rFonts w:hint="eastAsia" w:ascii="仿宋" w:hAnsi="仿宋" w:eastAsia="仿宋" w:cs="仿宋"/>
          <w:b/>
          <w:color w:val="auto"/>
          <w:sz w:val="30"/>
          <w:szCs w:val="30"/>
          <w:highlight w:val="none"/>
        </w:rPr>
        <w:t>附件7:</w:t>
      </w:r>
      <w:r>
        <w:rPr>
          <w:rFonts w:ascii="仿宋" w:hAnsi="仿宋" w:eastAsia="仿宋" w:cs="仿宋"/>
          <w:b/>
          <w:color w:val="auto"/>
          <w:sz w:val="30"/>
          <w:szCs w:val="30"/>
          <w:highlight w:val="none"/>
        </w:rPr>
        <w:t>安全环保管理协议书</w:t>
      </w:r>
    </w:p>
    <w:p>
      <w:pPr>
        <w:spacing w:line="520" w:lineRule="exact"/>
        <w:ind w:firstLine="0" w:firstLineChars="0"/>
        <w:jc w:val="left"/>
        <w:rPr>
          <w:rFonts w:ascii="仿宋" w:hAnsi="仿宋" w:eastAsia="仿宋" w:cs="仿宋"/>
          <w:b/>
          <w:color w:val="auto"/>
          <w:sz w:val="30"/>
          <w:szCs w:val="30"/>
          <w:highlight w:val="none"/>
        </w:rPr>
      </w:pPr>
    </w:p>
    <w:p>
      <w:pPr>
        <w:spacing w:line="520" w:lineRule="exact"/>
        <w:jc w:val="center"/>
        <w:rPr>
          <w:rFonts w:ascii="宋体" w:hAnsi="宋体"/>
          <w:b/>
          <w:color w:val="auto"/>
          <w:sz w:val="52"/>
          <w:szCs w:val="52"/>
          <w:highlight w:val="none"/>
        </w:rPr>
      </w:pPr>
      <w:r>
        <w:rPr>
          <w:rFonts w:hint="eastAsia" w:ascii="仿宋" w:hAnsi="仿宋" w:eastAsia="仿宋" w:cs="仿宋"/>
          <w:b/>
          <w:color w:val="auto"/>
          <w:sz w:val="36"/>
          <w:szCs w:val="36"/>
          <w:highlight w:val="none"/>
        </w:rPr>
        <w:t>安全环保管理协议书</w:t>
      </w:r>
    </w:p>
    <w:p>
      <w:pPr>
        <w:spacing w:line="520" w:lineRule="exact"/>
        <w:ind w:firstLine="0" w:firstLineChars="0"/>
        <w:jc w:val="left"/>
        <w:rPr>
          <w:rFonts w:ascii="仿宋" w:hAnsi="仿宋" w:eastAsia="仿宋" w:cs="仿宋"/>
          <w:b/>
          <w:color w:val="auto"/>
          <w:sz w:val="30"/>
          <w:szCs w:val="30"/>
          <w:highlight w:val="none"/>
        </w:rPr>
      </w:pPr>
    </w:p>
    <w:p>
      <w:pPr>
        <w:widowControl/>
        <w:spacing w:line="360" w:lineRule="auto"/>
        <w:ind w:firstLine="602" w:firstLineChars="200"/>
        <w:jc w:val="left"/>
        <w:rPr>
          <w:rFonts w:ascii="仿宋" w:hAnsi="仿宋" w:eastAsia="仿宋" w:cs="仿宋"/>
          <w:b/>
          <w:color w:val="auto"/>
          <w:sz w:val="30"/>
          <w:szCs w:val="30"/>
          <w:highlight w:val="none"/>
        </w:rPr>
      </w:pPr>
      <w:r>
        <w:rPr>
          <w:rFonts w:ascii="仿宋" w:hAnsi="仿宋" w:eastAsia="仿宋" w:cs="仿宋"/>
          <w:b/>
          <w:color w:val="auto"/>
          <w:sz w:val="30"/>
          <w:szCs w:val="30"/>
          <w:highlight w:val="none"/>
        </w:rPr>
        <w:t>甲方:</w:t>
      </w:r>
      <w:r>
        <w:rPr>
          <w:rFonts w:ascii="仿宋" w:hAnsi="仿宋" w:eastAsia="仿宋" w:cs="仿宋"/>
          <w:b/>
          <w:color w:val="auto"/>
          <w:sz w:val="30"/>
          <w:szCs w:val="30"/>
          <w:highlight w:val="none"/>
          <w:u w:val="single"/>
        </w:rPr>
        <w:t xml:space="preserve">                                   </w:t>
      </w:r>
    </w:p>
    <w:p>
      <w:pPr>
        <w:widowControl/>
        <w:spacing w:line="360" w:lineRule="auto"/>
        <w:ind w:firstLine="602" w:firstLineChars="200"/>
        <w:jc w:val="left"/>
        <w:rPr>
          <w:rFonts w:ascii="仿宋" w:hAnsi="仿宋" w:eastAsia="仿宋" w:cs="仿宋"/>
          <w:b/>
          <w:color w:val="auto"/>
          <w:sz w:val="30"/>
          <w:szCs w:val="30"/>
          <w:highlight w:val="none"/>
          <w:u w:val="single"/>
        </w:rPr>
      </w:pPr>
      <w:r>
        <w:rPr>
          <w:rFonts w:ascii="仿宋" w:hAnsi="仿宋" w:eastAsia="仿宋" w:cs="仿宋"/>
          <w:b/>
          <w:color w:val="auto"/>
          <w:sz w:val="30"/>
          <w:szCs w:val="30"/>
          <w:highlight w:val="none"/>
        </w:rPr>
        <w:t>乙方:</w:t>
      </w:r>
      <w:r>
        <w:rPr>
          <w:rFonts w:ascii="仿宋" w:hAnsi="仿宋" w:eastAsia="仿宋" w:cs="仿宋"/>
          <w:b/>
          <w:color w:val="auto"/>
          <w:sz w:val="30"/>
          <w:szCs w:val="30"/>
          <w:highlight w:val="none"/>
          <w:u w:val="single"/>
        </w:rPr>
        <w:t xml:space="preserve">                                   </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为贯彻“安全第一、预防为主、综合治理”方针，严格执行环境保护、劳动保护和安全生产的法令、法规，强化环保、安全生产管理，落实安全生产责任制，依法从严治理施工现场，确保项目施工中操作人员的安全与健康、环保，促进施工顺利进行，双方特签订本协议书。</w:t>
      </w:r>
    </w:p>
    <w:p>
      <w:pPr>
        <w:pStyle w:val="3"/>
        <w:spacing w:before="120" w:after="120" w:line="500" w:lineRule="exact"/>
        <w:rPr>
          <w:rFonts w:ascii="仿宋" w:hAnsi="仿宋" w:eastAsia="仿宋" w:cs="仿宋"/>
          <w:color w:val="auto"/>
          <w:sz w:val="30"/>
          <w:szCs w:val="30"/>
          <w:highlight w:val="none"/>
        </w:rPr>
      </w:pPr>
      <w:r>
        <w:rPr>
          <w:rFonts w:ascii="仿宋" w:hAnsi="仿宋" w:eastAsia="仿宋" w:cs="仿宋"/>
          <w:color w:val="auto"/>
          <w:sz w:val="30"/>
          <w:szCs w:val="30"/>
          <w:highlight w:val="none"/>
        </w:rPr>
        <w:t>第</w:t>
      </w:r>
      <w:r>
        <w:rPr>
          <w:rFonts w:hint="eastAsia" w:ascii="仿宋" w:hAnsi="仿宋" w:eastAsia="仿宋" w:cs="仿宋"/>
          <w:color w:val="auto"/>
          <w:sz w:val="30"/>
          <w:szCs w:val="30"/>
          <w:highlight w:val="none"/>
        </w:rPr>
        <w:t>一</w:t>
      </w:r>
      <w:r>
        <w:rPr>
          <w:rFonts w:ascii="仿宋" w:hAnsi="仿宋" w:eastAsia="仿宋" w:cs="仿宋"/>
          <w:color w:val="auto"/>
          <w:sz w:val="30"/>
          <w:szCs w:val="30"/>
          <w:highlight w:val="none"/>
        </w:rPr>
        <w:t>条 甲方责任</w:t>
      </w:r>
    </w:p>
    <w:p>
      <w:pPr>
        <w:numPr>
          <w:ilvl w:val="0"/>
          <w:numId w:val="4"/>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按照“安全第一、预防为主、综合治理”和坚持“管生产必须管安全”的原则进行安全生产管理。</w:t>
      </w:r>
    </w:p>
    <w:p>
      <w:pPr>
        <w:numPr>
          <w:ilvl w:val="0"/>
          <w:numId w:val="4"/>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开工前</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甲方</w:t>
      </w:r>
      <w:r>
        <w:rPr>
          <w:rFonts w:hint="eastAsia" w:ascii="仿宋" w:hAnsi="仿宋" w:eastAsia="仿宋" w:cs="仿宋"/>
          <w:color w:val="auto"/>
          <w:sz w:val="30"/>
          <w:szCs w:val="30"/>
          <w:highlight w:val="none"/>
        </w:rPr>
        <w:t>督促</w:t>
      </w:r>
      <w:r>
        <w:rPr>
          <w:rFonts w:ascii="仿宋" w:hAnsi="仿宋" w:eastAsia="仿宋" w:cs="仿宋"/>
          <w:color w:val="auto"/>
          <w:sz w:val="30"/>
          <w:szCs w:val="30"/>
          <w:highlight w:val="none"/>
        </w:rPr>
        <w:t>乙方进行施工安全技术交底。</w:t>
      </w:r>
    </w:p>
    <w:p>
      <w:pPr>
        <w:numPr>
          <w:ilvl w:val="0"/>
          <w:numId w:val="4"/>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甲方有权检查督促乙方执行有关安全生产方面的工作规定，对乙方不符合安全文明施工的行为进行制止、纠正并发出安全整改通知书，直至清退出场。</w:t>
      </w:r>
    </w:p>
    <w:p>
      <w:pPr>
        <w:numPr>
          <w:ilvl w:val="0"/>
          <w:numId w:val="4"/>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甲方指派</w:t>
      </w:r>
      <w:r>
        <w:rPr>
          <w:rFonts w:ascii="仿宋" w:hAnsi="仿宋" w:eastAsia="仿宋" w:cs="仿宋"/>
          <w:color w:val="auto"/>
          <w:sz w:val="30"/>
          <w:szCs w:val="30"/>
          <w:highlight w:val="none"/>
          <w:u w:val="single"/>
        </w:rPr>
        <w:t>         </w:t>
      </w:r>
      <w:r>
        <w:rPr>
          <w:rFonts w:ascii="仿宋" w:hAnsi="仿宋" w:eastAsia="仿宋" w:cs="仿宋"/>
          <w:color w:val="auto"/>
          <w:sz w:val="30"/>
          <w:szCs w:val="30"/>
          <w:highlight w:val="none"/>
        </w:rPr>
        <w:t>负责与乙方联系安全生产方面的工作。</w:t>
      </w:r>
    </w:p>
    <w:p>
      <w:pPr>
        <w:numPr>
          <w:ilvl w:val="0"/>
          <w:numId w:val="4"/>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甲方有权对乙方参与施工的人员进行安全技术知识和安全工作规程的抽考。</w:t>
      </w:r>
    </w:p>
    <w:p>
      <w:pPr>
        <w:numPr>
          <w:ilvl w:val="0"/>
          <w:numId w:val="4"/>
        </w:num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甲方不得对乙方提出不符合建设工程安全生产法律、法规和强制性标准规定的要求，不得压缩合理的施工工期。</w:t>
      </w:r>
    </w:p>
    <w:p>
      <w:pPr>
        <w:numPr>
          <w:ilvl w:val="0"/>
          <w:numId w:val="4"/>
        </w:num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甲方不得明示或者暗示乙方购买、租赁、使用不符合安全施工要求的安全防护用具、机械设备、施工机具及配件、消防设施和器材。</w:t>
      </w:r>
    </w:p>
    <w:p>
      <w:pPr>
        <w:pStyle w:val="3"/>
        <w:spacing w:before="120" w:after="120" w:line="500" w:lineRule="exact"/>
        <w:rPr>
          <w:rFonts w:ascii="仿宋" w:hAnsi="仿宋" w:eastAsia="仿宋" w:cs="仿宋"/>
          <w:color w:val="auto"/>
          <w:sz w:val="30"/>
          <w:szCs w:val="30"/>
          <w:highlight w:val="none"/>
        </w:rPr>
      </w:pPr>
      <w:r>
        <w:rPr>
          <w:rFonts w:ascii="仿宋" w:hAnsi="仿宋" w:eastAsia="仿宋" w:cs="仿宋"/>
          <w:color w:val="auto"/>
          <w:sz w:val="30"/>
          <w:szCs w:val="30"/>
          <w:highlight w:val="none"/>
        </w:rPr>
        <w:t>第</w:t>
      </w:r>
      <w:r>
        <w:rPr>
          <w:rFonts w:hint="eastAsia" w:ascii="仿宋" w:hAnsi="仿宋" w:eastAsia="仿宋" w:cs="仿宋"/>
          <w:color w:val="auto"/>
          <w:sz w:val="30"/>
          <w:szCs w:val="30"/>
          <w:highlight w:val="none"/>
        </w:rPr>
        <w:t>二</w:t>
      </w:r>
      <w:r>
        <w:rPr>
          <w:rFonts w:ascii="仿宋" w:hAnsi="仿宋" w:eastAsia="仿宋" w:cs="仿宋"/>
          <w:color w:val="auto"/>
          <w:sz w:val="30"/>
          <w:szCs w:val="30"/>
          <w:highlight w:val="none"/>
        </w:rPr>
        <w:t>条 乙方责任</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乙方作为工程项目的承包单位，对工程施工过程中发生的人身伤害、设备损坏事故承担安全责任。乙方应切实履行以下安全责任：</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严格遵守《中华人民共和国安全生产法》、《建设工程安全生产管理条例》</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等国家有关安全生产的法律法规、办法、规定规程</w:t>
      </w:r>
      <w:r>
        <w:rPr>
          <w:rFonts w:hint="eastAsia" w:ascii="仿宋" w:hAnsi="仿宋" w:eastAsia="仿宋" w:cs="仿宋"/>
          <w:color w:val="auto"/>
          <w:sz w:val="30"/>
          <w:szCs w:val="30"/>
          <w:highlight w:val="none"/>
        </w:rPr>
        <w:t>及</w:t>
      </w:r>
      <w:r>
        <w:rPr>
          <w:rFonts w:ascii="仿宋" w:hAnsi="仿宋" w:eastAsia="仿宋" w:cs="仿宋"/>
          <w:color w:val="auto"/>
          <w:sz w:val="30"/>
          <w:szCs w:val="30"/>
          <w:highlight w:val="none"/>
        </w:rPr>
        <w:t>工程承包合同中的有关安全要求。</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乙方所提供的承包工程要求的相关资质证明材料应真实、合法、有效。</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乙方必须贯彻执行国家、地方和集团关于安全生产、消防、环境保护工作的方针、政策，严格执行关于安全生产、消防、环境保护的法规、条例和规定。</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乙方应制定安全文明施工管理办法，在开工前报甲方备案。</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乙方应具备健全的安全、环保、职业健康管理制度和相应组织机构，包括各级安全、环保岗位责任制和定期安全、环保检查制度，安全、环保教育和特殊工种作业人员的审证考核制度。</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现场施工应遵守国家和地方关于劳动安全、劳务用工法律法规及规章制度，保证其用工的合法性。乙方必须按国家有关规定，为施工人员进行人身保险，配备合格的劳动防护用品、安全用具。</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乙方指派</w:t>
      </w:r>
      <w:r>
        <w:rPr>
          <w:rFonts w:ascii="仿宋" w:hAnsi="仿宋" w:eastAsia="仿宋" w:cs="仿宋"/>
          <w:color w:val="auto"/>
          <w:sz w:val="30"/>
          <w:szCs w:val="30"/>
          <w:highlight w:val="none"/>
          <w:u w:val="single"/>
        </w:rPr>
        <w:t> 　　</w:t>
      </w:r>
      <w:r>
        <w:rPr>
          <w:rFonts w:ascii="仿宋" w:hAnsi="仿宋" w:eastAsia="仿宋" w:cs="仿宋"/>
          <w:color w:val="auto"/>
          <w:sz w:val="30"/>
          <w:szCs w:val="30"/>
          <w:highlight w:val="none"/>
        </w:rPr>
        <w:t>作为安全工作联系人。</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乙方须配置的其他专职人员：</w:t>
      </w:r>
    </w:p>
    <w:p>
      <w:pPr>
        <w:numPr>
          <w:ilvl w:val="0"/>
          <w:numId w:val="6"/>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须设置专职的设备管理部门，全面统筹大型机械设备的安全管理，设备管理人员须持有中级以上有效资质证书；</w:t>
      </w:r>
      <w:r>
        <w:rPr>
          <w:rFonts w:ascii="仿宋" w:hAnsi="仿宋" w:eastAsia="仿宋" w:cs="仿宋"/>
          <w:color w:val="auto"/>
          <w:sz w:val="30"/>
          <w:szCs w:val="30"/>
          <w:highlight w:val="none"/>
        </w:rPr>
        <w:br w:type="textWrapping"/>
      </w:r>
      <w:r>
        <w:rPr>
          <w:rFonts w:ascii="仿宋" w:hAnsi="仿宋" w:eastAsia="仿宋" w:cs="仿宋"/>
          <w:color w:val="auto"/>
          <w:sz w:val="30"/>
          <w:szCs w:val="30"/>
          <w:highlight w:val="none"/>
        </w:rPr>
        <w:t xml:space="preserve">    （2）各单位须配置专职电工，负责施工现场用电安全管理，须持有国家有关部门颁发的有效电工上岗证。</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自带的特种施工设备设施应具备完整的有效档案资料，入场前须向甲方提交：机械设备出厂合格证；机械设备性能、使用、维修、保养说明书；机械设备年检合格证书；机械设备例行检修、运行状态的技术资料（档案、日志）；机械设备的保险凭证；特种作业操作证书等资料复印件或扫描件。</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特殊工种作业人员必须按国家《特殊工种作业人员安全技术培训考核管理规定》，经具有资格的培训部门培训考核合格后，持证上岗，并按规定定期验证；中、小型机械的操作人员必须按规定做到“定机定人”和有证操作；起重吊装作业人员必须遵守“十不吊”规定，严禁违章、无证操作；严禁非专业人员擅自操作使用电器、机械设备。</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乙方一切施工方案、施工组织设计，必须包含安全文明施工保障措施，施工前对全体施工人员进行全面的安全技术交底，并在整个施工过程正确、完整地执行，无保障措施或未交底严禁布置施工。</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乙方用于本工程项目的施工机械、工器具及安全防护用具的数量和质量必须满足施工需要，并经有资质检验单位检验符合安全规定，乙方对因使用工器具不当所造成的人员伤害及设备损坏负责。</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乙方施工过程中需使用电、水源，应事先与甲方取得联系，不得私拉乱接。</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乙方施工过程中应做到工完、料尽、场地清，确保安全文明施工。</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乙方必须接受甲方的监督、检查，对甲方提出的安全整改意见必须及时整改。</w:t>
      </w:r>
    </w:p>
    <w:p>
      <w:pPr>
        <w:numPr>
          <w:ilvl w:val="0"/>
          <w:numId w:val="5"/>
        </w:num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乙方应执行国务院《特别重大事故调查程序暂行规定》、《企业职工伤亡事故报告和处理规定》</w:t>
      </w:r>
      <w:r>
        <w:rPr>
          <w:rFonts w:hint="eastAsia" w:ascii="仿宋" w:hAnsi="仿宋" w:eastAsia="仿宋" w:cs="仿宋"/>
          <w:color w:val="auto"/>
          <w:sz w:val="30"/>
          <w:szCs w:val="30"/>
          <w:highlight w:val="none"/>
        </w:rPr>
        <w:t>及《生产安全事故报告和调查处理条例》的要求，施工现场发生生产安全事故须在固定的时间内上报地方政府，并配合相关事故调查。</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乙方应将事故调查组的事故调查报告及乙方事故处理意见及时提交甲方备案。</w:t>
      </w:r>
    </w:p>
    <w:p>
      <w:pPr>
        <w:pStyle w:val="3"/>
        <w:spacing w:before="120" w:after="120" w:line="500" w:lineRule="exact"/>
        <w:rPr>
          <w:rFonts w:ascii="仿宋" w:hAnsi="仿宋" w:eastAsia="仿宋" w:cs="仿宋"/>
          <w:color w:val="auto"/>
          <w:sz w:val="30"/>
          <w:szCs w:val="30"/>
          <w:highlight w:val="none"/>
        </w:rPr>
      </w:pPr>
      <w:r>
        <w:rPr>
          <w:rFonts w:ascii="仿宋" w:hAnsi="仿宋" w:eastAsia="仿宋" w:cs="仿宋"/>
          <w:color w:val="auto"/>
          <w:sz w:val="30"/>
          <w:szCs w:val="30"/>
          <w:highlight w:val="none"/>
        </w:rPr>
        <w:t>第</w:t>
      </w:r>
      <w:r>
        <w:rPr>
          <w:rFonts w:hint="eastAsia" w:ascii="仿宋" w:hAnsi="仿宋" w:eastAsia="仿宋" w:cs="仿宋"/>
          <w:color w:val="auto"/>
          <w:sz w:val="30"/>
          <w:szCs w:val="30"/>
          <w:highlight w:val="none"/>
        </w:rPr>
        <w:t>三</w:t>
      </w:r>
      <w:r>
        <w:rPr>
          <w:rFonts w:ascii="仿宋" w:hAnsi="仿宋" w:eastAsia="仿宋" w:cs="仿宋"/>
          <w:color w:val="auto"/>
          <w:sz w:val="30"/>
          <w:szCs w:val="30"/>
          <w:highlight w:val="none"/>
        </w:rPr>
        <w:t>条 违约责任</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1.由于甲方或乙方责任造成对方或第三方的人身伤害、设备损坏等财产损失，由责任方承担相应责任，并赔偿对方或第三方因此造成的全部损失。</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2.合同履行中，发现乙方及乙方人员提供的有关资质材料无效，甲方有权解除合同，并由乙方承担由此造成的一切损失。</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3.乙方未设置安监人员；乙方派出安全管理人员不符合</w:t>
      </w:r>
      <w:r>
        <w:rPr>
          <w:rFonts w:hint="eastAsia" w:ascii="仿宋" w:hAnsi="仿宋" w:eastAsia="仿宋" w:cs="仿宋"/>
          <w:color w:val="auto"/>
          <w:sz w:val="30"/>
          <w:szCs w:val="30"/>
          <w:highlight w:val="none"/>
        </w:rPr>
        <w:t>施工合同及本协议</w:t>
      </w:r>
      <w:r>
        <w:rPr>
          <w:rFonts w:ascii="仿宋" w:hAnsi="仿宋" w:eastAsia="仿宋" w:cs="仿宋"/>
          <w:color w:val="auto"/>
          <w:sz w:val="30"/>
          <w:szCs w:val="30"/>
          <w:highlight w:val="none"/>
        </w:rPr>
        <w:t>要求，甲方有权要求更换，乙方应满足甲方要求；未能正确、全面执行安全技术措施、施工组织设计，施工人员未掌握本工程项目特点、未遵守安全文明施工相关要求，用于本工程项目的施工机械、工器具及安全防护用品不满足施工需要，甲方有权要求乙方立即停工整改，由此引起的后果及损失由乙方承担。</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4.乙方人员安全工作规程抽考不合格，乙方立即组织教育整改并承担</w:t>
      </w:r>
      <w:r>
        <w:rPr>
          <w:rFonts w:hint="eastAsia" w:ascii="仿宋" w:hAnsi="仿宋" w:eastAsia="仿宋" w:cs="仿宋"/>
          <w:color w:val="auto"/>
          <w:sz w:val="30"/>
          <w:szCs w:val="30"/>
          <w:highlight w:val="none"/>
        </w:rPr>
        <w:t>【</w:t>
      </w:r>
      <w:r>
        <w:rPr>
          <w:rFonts w:ascii="仿宋" w:hAnsi="仿宋" w:eastAsia="仿宋" w:cs="仿宋"/>
          <w:iCs/>
          <w:color w:val="auto"/>
          <w:sz w:val="30"/>
          <w:szCs w:val="30"/>
          <w:highlight w:val="none"/>
        </w:rPr>
        <w:t>50</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元/人次的违约责任；特殊工种作业人员无证上岗，乙方应承担</w:t>
      </w:r>
      <w:r>
        <w:rPr>
          <w:rFonts w:hint="eastAsia" w:ascii="仿宋" w:hAnsi="仿宋" w:eastAsia="仿宋" w:cs="仿宋"/>
          <w:color w:val="auto"/>
          <w:sz w:val="30"/>
          <w:szCs w:val="30"/>
          <w:highlight w:val="none"/>
        </w:rPr>
        <w:t>【</w:t>
      </w:r>
      <w:r>
        <w:rPr>
          <w:rFonts w:ascii="仿宋" w:hAnsi="仿宋" w:eastAsia="仿宋" w:cs="仿宋"/>
          <w:iCs/>
          <w:color w:val="auto"/>
          <w:sz w:val="30"/>
          <w:szCs w:val="30"/>
          <w:highlight w:val="none"/>
        </w:rPr>
        <w:t>500</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元/人次的违约责任，甲方有权要求乙方及时替换为符合合同约定的适格作业人员。</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5.乙方使用甲方提供的设施设备、工器具等造成损坏的，应照价赔偿。</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6.乙方人员无故进入其他生产区域、擅自动用甲方的设施设备或进行其他违规操作，乙方按</w:t>
      </w:r>
      <w:r>
        <w:rPr>
          <w:rFonts w:hint="eastAsia" w:ascii="仿宋" w:hAnsi="仿宋" w:eastAsia="仿宋" w:cs="仿宋"/>
          <w:color w:val="auto"/>
          <w:sz w:val="30"/>
          <w:szCs w:val="30"/>
          <w:highlight w:val="none"/>
        </w:rPr>
        <w:t>【</w:t>
      </w:r>
      <w:r>
        <w:rPr>
          <w:rFonts w:ascii="仿宋" w:hAnsi="仿宋" w:eastAsia="仿宋" w:cs="仿宋"/>
          <w:iCs/>
          <w:color w:val="auto"/>
          <w:sz w:val="30"/>
          <w:szCs w:val="30"/>
          <w:highlight w:val="none"/>
        </w:rPr>
        <w:t>100</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元至</w:t>
      </w:r>
      <w:r>
        <w:rPr>
          <w:rFonts w:hint="eastAsia" w:ascii="仿宋" w:hAnsi="仿宋" w:eastAsia="仿宋" w:cs="仿宋"/>
          <w:color w:val="auto"/>
          <w:sz w:val="30"/>
          <w:szCs w:val="30"/>
          <w:highlight w:val="none"/>
        </w:rPr>
        <w:t>【</w:t>
      </w:r>
      <w:r>
        <w:rPr>
          <w:rFonts w:ascii="仿宋" w:hAnsi="仿宋" w:eastAsia="仿宋" w:cs="仿宋"/>
          <w:iCs/>
          <w:color w:val="auto"/>
          <w:sz w:val="30"/>
          <w:szCs w:val="30"/>
          <w:highlight w:val="none"/>
        </w:rPr>
        <w:t>500</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元/人次承担违约责任。</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7.乙方对甲方提出的安全整改意见不及时整改的，每逾期一天，乙方按</w:t>
      </w:r>
      <w:r>
        <w:rPr>
          <w:rFonts w:hint="eastAsia" w:ascii="仿宋" w:hAnsi="仿宋" w:eastAsia="仿宋" w:cs="仿宋"/>
          <w:color w:val="auto"/>
          <w:sz w:val="30"/>
          <w:szCs w:val="30"/>
          <w:highlight w:val="none"/>
        </w:rPr>
        <w:t>【</w:t>
      </w:r>
      <w:r>
        <w:rPr>
          <w:rFonts w:ascii="仿宋" w:hAnsi="仿宋" w:eastAsia="仿宋" w:cs="仿宋"/>
          <w:iCs/>
          <w:color w:val="auto"/>
          <w:sz w:val="30"/>
          <w:szCs w:val="30"/>
          <w:highlight w:val="none"/>
        </w:rPr>
        <w:t>2</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万元至</w:t>
      </w:r>
      <w:r>
        <w:rPr>
          <w:rFonts w:hint="eastAsia" w:ascii="仿宋" w:hAnsi="仿宋" w:eastAsia="仿宋" w:cs="仿宋"/>
          <w:color w:val="auto"/>
          <w:sz w:val="30"/>
          <w:szCs w:val="30"/>
          <w:highlight w:val="none"/>
        </w:rPr>
        <w:t>【</w:t>
      </w:r>
      <w:r>
        <w:rPr>
          <w:rFonts w:ascii="仿宋" w:hAnsi="仿宋" w:eastAsia="仿宋" w:cs="仿宋"/>
          <w:iCs/>
          <w:color w:val="auto"/>
          <w:sz w:val="30"/>
          <w:szCs w:val="30"/>
          <w:highlight w:val="none"/>
        </w:rPr>
        <w:t>10</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万元/天承担违约责任。</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8.施工过程中发生人身伤亡和设备事故有隐瞒行为的，除接受政府有关部门处理外，乙方应向甲方支付</w:t>
      </w:r>
      <w:r>
        <w:rPr>
          <w:rFonts w:hint="eastAsia" w:ascii="仿宋" w:hAnsi="仿宋" w:eastAsia="仿宋" w:cs="仿宋"/>
          <w:color w:val="auto"/>
          <w:sz w:val="30"/>
          <w:szCs w:val="30"/>
          <w:highlight w:val="none"/>
        </w:rPr>
        <w:t>【</w:t>
      </w:r>
      <w:r>
        <w:rPr>
          <w:rFonts w:ascii="仿宋" w:hAnsi="仿宋" w:eastAsia="仿宋" w:cs="仿宋"/>
          <w:iCs/>
          <w:color w:val="auto"/>
          <w:sz w:val="30"/>
          <w:szCs w:val="30"/>
          <w:highlight w:val="none"/>
        </w:rPr>
        <w:t>80</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万元/次的违约金。</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9.发生以下情况停工整顿，因停工造成的违约责任由乙方承担：</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（1）人身伤亡事故；</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（2）发生施工机械、生产主设备严重损坏事故；</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（3）发生火灾事故；</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（4）发生违章指挥、违章作业、冒险作业不听劝告的；</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（5）施工现场脏、乱、差，不能满足施工安全和文明施工要求的；</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（6）发生一般及以上突发环境事故。</w:t>
      </w:r>
    </w:p>
    <w:p>
      <w:pPr>
        <w:pStyle w:val="3"/>
        <w:spacing w:before="120" w:after="120" w:line="500" w:lineRule="exact"/>
        <w:rPr>
          <w:rFonts w:ascii="仿宋" w:hAnsi="仿宋" w:eastAsia="仿宋" w:cs="仿宋"/>
          <w:color w:val="auto"/>
          <w:sz w:val="30"/>
          <w:szCs w:val="30"/>
          <w:highlight w:val="none"/>
        </w:rPr>
      </w:pPr>
      <w:r>
        <w:rPr>
          <w:rFonts w:ascii="仿宋" w:hAnsi="仿宋" w:eastAsia="仿宋" w:cs="仿宋"/>
          <w:color w:val="auto"/>
          <w:sz w:val="30"/>
          <w:szCs w:val="30"/>
          <w:highlight w:val="none"/>
        </w:rPr>
        <w:t>第</w:t>
      </w:r>
      <w:r>
        <w:rPr>
          <w:rFonts w:hint="eastAsia" w:ascii="仿宋" w:hAnsi="仿宋" w:eastAsia="仿宋" w:cs="仿宋"/>
          <w:color w:val="auto"/>
          <w:sz w:val="30"/>
          <w:szCs w:val="30"/>
          <w:highlight w:val="none"/>
        </w:rPr>
        <w:t>四</w:t>
      </w:r>
      <w:r>
        <w:rPr>
          <w:rFonts w:ascii="仿宋" w:hAnsi="仿宋" w:eastAsia="仿宋" w:cs="仿宋"/>
          <w:color w:val="auto"/>
          <w:sz w:val="30"/>
          <w:szCs w:val="30"/>
          <w:highlight w:val="none"/>
        </w:rPr>
        <w:t>条 协议</w:t>
      </w:r>
      <w:r>
        <w:rPr>
          <w:rFonts w:hint="eastAsia" w:ascii="仿宋" w:hAnsi="仿宋" w:eastAsia="仿宋" w:cs="仿宋"/>
          <w:color w:val="auto"/>
          <w:sz w:val="30"/>
          <w:szCs w:val="30"/>
          <w:highlight w:val="none"/>
        </w:rPr>
        <w:t>书</w:t>
      </w:r>
      <w:r>
        <w:rPr>
          <w:rFonts w:ascii="仿宋" w:hAnsi="仿宋" w:eastAsia="仿宋" w:cs="仿宋"/>
          <w:color w:val="auto"/>
          <w:sz w:val="30"/>
          <w:szCs w:val="30"/>
          <w:highlight w:val="none"/>
        </w:rPr>
        <w:t>有效组成部分</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以下七项为本协议有效组成部分：</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 xml:space="preserve">1.承包工程要求的乙方相关资质证明材料； </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2.乙方</w:t>
      </w:r>
      <w:r>
        <w:rPr>
          <w:rFonts w:hint="eastAsia" w:ascii="仿宋" w:hAnsi="仿宋" w:eastAsia="仿宋" w:cs="仿宋"/>
          <w:color w:val="auto"/>
          <w:sz w:val="30"/>
          <w:szCs w:val="30"/>
          <w:highlight w:val="none"/>
        </w:rPr>
        <w:t>主要管理人员</w:t>
      </w:r>
      <w:r>
        <w:rPr>
          <w:rFonts w:ascii="仿宋" w:hAnsi="仿宋" w:eastAsia="仿宋" w:cs="仿宋"/>
          <w:color w:val="auto"/>
          <w:sz w:val="30"/>
          <w:szCs w:val="30"/>
          <w:highlight w:val="none"/>
        </w:rPr>
        <w:t>、技术人员相关证明材料及施工人员名单；</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3.乙方特殊工种作业人员上岗资格证书；</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4.乙方施工人员安全技术和安全工作规程考试成绩表；</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5.乙方施工安全技术组织措施；</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6.乙方大型独立项目的施工组织设计文件；</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7.甲、乙方施工安全技术交底记录资料。</w:t>
      </w:r>
    </w:p>
    <w:p>
      <w:pPr>
        <w:pStyle w:val="3"/>
        <w:spacing w:before="120" w:after="120" w:line="500" w:lineRule="exact"/>
        <w:rPr>
          <w:rFonts w:ascii="仿宋" w:hAnsi="仿宋" w:eastAsia="仿宋" w:cs="仿宋"/>
          <w:color w:val="auto"/>
          <w:sz w:val="30"/>
          <w:szCs w:val="30"/>
          <w:highlight w:val="none"/>
        </w:rPr>
      </w:pPr>
      <w:r>
        <w:rPr>
          <w:rFonts w:ascii="仿宋" w:hAnsi="仿宋" w:eastAsia="仿宋" w:cs="仿宋"/>
          <w:color w:val="auto"/>
          <w:sz w:val="30"/>
          <w:szCs w:val="30"/>
          <w:highlight w:val="none"/>
        </w:rPr>
        <w:t>第</w:t>
      </w:r>
      <w:r>
        <w:rPr>
          <w:rFonts w:hint="eastAsia" w:ascii="仿宋" w:hAnsi="仿宋" w:eastAsia="仿宋" w:cs="仿宋"/>
          <w:color w:val="auto"/>
          <w:sz w:val="30"/>
          <w:szCs w:val="30"/>
          <w:highlight w:val="none"/>
        </w:rPr>
        <w:t>五</w:t>
      </w:r>
      <w:r>
        <w:rPr>
          <w:rFonts w:ascii="仿宋" w:hAnsi="仿宋" w:eastAsia="仿宋" w:cs="仿宋"/>
          <w:color w:val="auto"/>
          <w:sz w:val="30"/>
          <w:szCs w:val="30"/>
          <w:highlight w:val="none"/>
        </w:rPr>
        <w:t xml:space="preserve">条 </w:t>
      </w:r>
      <w:r>
        <w:rPr>
          <w:rFonts w:hint="eastAsia" w:ascii="仿宋" w:hAnsi="仿宋" w:eastAsia="仿宋" w:cs="仿宋"/>
          <w:color w:val="auto"/>
          <w:sz w:val="30"/>
          <w:szCs w:val="30"/>
          <w:highlight w:val="none"/>
        </w:rPr>
        <w:t>其它约定</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乙方应遵守《中交城投安全管理强制性要求和条件》的有关规定。</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本协议作为施工合同的附件，与合同具有同等法律效力。经双方法定代表人或委托代理人签字并加盖公章之日起生效。</w:t>
      </w:r>
    </w:p>
    <w:p>
      <w:pPr>
        <w:widowControl/>
        <w:spacing w:line="360" w:lineRule="auto"/>
        <w:jc w:val="left"/>
        <w:rPr>
          <w:rFonts w:ascii="仿宋" w:hAnsi="仿宋" w:eastAsia="仿宋" w:cs="仿宋"/>
          <w:b/>
          <w:bCs/>
          <w:color w:val="auto"/>
          <w:sz w:val="30"/>
          <w:szCs w:val="30"/>
          <w:highlight w:val="none"/>
        </w:rPr>
      </w:pP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甲方：（盖章）                   乙方：（盖章）</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 xml:space="preserve">             </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法定代表人或                    法定代表人或</w:t>
      </w: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 xml:space="preserve">委托代理人：                    委托代理人：     </w:t>
      </w:r>
    </w:p>
    <w:p>
      <w:pPr>
        <w:spacing w:line="360" w:lineRule="auto"/>
        <w:ind w:firstLine="600" w:firstLineChars="200"/>
        <w:rPr>
          <w:rFonts w:ascii="仿宋" w:hAnsi="仿宋" w:eastAsia="仿宋" w:cs="仿宋"/>
          <w:color w:val="auto"/>
          <w:sz w:val="30"/>
          <w:szCs w:val="30"/>
          <w:highlight w:val="none"/>
        </w:rPr>
      </w:pPr>
    </w:p>
    <w:p>
      <w:pPr>
        <w:spacing w:line="360" w:lineRule="auto"/>
        <w:ind w:firstLine="600"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签约日期:   年  月   日         签约日期:   年  月   日</w:t>
      </w:r>
    </w:p>
    <w:p>
      <w:pPr>
        <w:spacing w:line="360" w:lineRule="auto"/>
        <w:ind w:firstLine="2850" w:firstLineChars="950"/>
        <w:rPr>
          <w:rFonts w:ascii="仿宋" w:hAnsi="仿宋" w:eastAsia="仿宋" w:cs="仿宋"/>
          <w:color w:val="auto"/>
          <w:sz w:val="30"/>
          <w:szCs w:val="30"/>
          <w:highlight w:val="none"/>
        </w:rPr>
      </w:pPr>
    </w:p>
    <w:p>
      <w:pPr>
        <w:adjustRightInd w:val="0"/>
        <w:snapToGrid w:val="0"/>
        <w:jc w:val="left"/>
        <w:rPr>
          <w:rFonts w:eastAsia="仿宋"/>
          <w:color w:val="auto"/>
          <w:sz w:val="30"/>
          <w:szCs w:val="30"/>
          <w:highlight w:val="none"/>
        </w:rPr>
      </w:pPr>
      <w:r>
        <w:rPr>
          <w:rFonts w:ascii="仿宋" w:hAnsi="仿宋" w:eastAsia="仿宋" w:cs="仿宋"/>
          <w:color w:val="auto"/>
          <w:sz w:val="30"/>
          <w:szCs w:val="30"/>
          <w:highlight w:val="none"/>
        </w:rPr>
        <w:t xml:space="preserve">签约地点： </w:t>
      </w:r>
      <w:bookmarkEnd w:id="642"/>
      <w:bookmarkEnd w:id="643"/>
    </w:p>
    <w:p>
      <w:pPr>
        <w:adjustRightInd w:val="0"/>
        <w:snapToGrid w:val="0"/>
        <w:spacing w:line="360" w:lineRule="auto"/>
        <w:jc w:val="left"/>
        <w:rPr>
          <w:rFonts w:eastAsia="仿宋"/>
          <w:color w:val="auto"/>
          <w:sz w:val="30"/>
          <w:szCs w:val="30"/>
          <w:highlight w:val="none"/>
        </w:rPr>
        <w:sectPr>
          <w:pgSz w:w="11906" w:h="16838"/>
          <w:pgMar w:top="1440" w:right="1800" w:bottom="1440" w:left="1800" w:header="851" w:footer="992" w:gutter="0"/>
          <w:cols w:space="425" w:num="1"/>
          <w:docGrid w:type="lines" w:linePitch="312" w:charSpace="0"/>
        </w:sectPr>
      </w:pPr>
    </w:p>
    <w:p>
      <w:pPr>
        <w:widowControl/>
        <w:jc w:val="left"/>
        <w:rPr>
          <w:b/>
          <w:color w:val="auto"/>
          <w:sz w:val="30"/>
          <w:szCs w:val="30"/>
          <w:highlight w:val="none"/>
        </w:rPr>
      </w:pPr>
      <w:r>
        <w:rPr>
          <w:b/>
          <w:color w:val="auto"/>
          <w:sz w:val="30"/>
          <w:szCs w:val="30"/>
          <w:highlight w:val="none"/>
        </w:rPr>
        <w:t>附件</w:t>
      </w:r>
      <w:r>
        <w:rPr>
          <w:rFonts w:hint="eastAsia"/>
          <w:b/>
          <w:color w:val="auto"/>
          <w:sz w:val="30"/>
          <w:szCs w:val="30"/>
          <w:highlight w:val="none"/>
        </w:rPr>
        <w:t>8</w:t>
      </w:r>
    </w:p>
    <w:p>
      <w:pPr>
        <w:adjustRightInd w:val="0"/>
        <w:snapToGrid w:val="0"/>
        <w:spacing w:line="360" w:lineRule="auto"/>
        <w:ind w:firstLine="600" w:firstLineChars="200"/>
        <w:jc w:val="center"/>
        <w:rPr>
          <w:rFonts w:eastAsia="仿宋"/>
          <w:color w:val="auto"/>
          <w:sz w:val="30"/>
          <w:szCs w:val="30"/>
          <w:highlight w:val="none"/>
        </w:rPr>
      </w:pPr>
      <w:bookmarkStart w:id="644" w:name="_Toc25088_WPSOffice_Level1"/>
      <w:bookmarkStart w:id="645" w:name="_Toc21673_WPSOffice_Level1"/>
      <w:bookmarkStart w:id="646" w:name="_Toc3413_WPSOffice_Level1"/>
      <w:r>
        <w:rPr>
          <w:rFonts w:eastAsia="仿宋"/>
          <w:color w:val="auto"/>
          <w:sz w:val="30"/>
          <w:szCs w:val="30"/>
          <w:highlight w:val="none"/>
        </w:rPr>
        <w:t>不可撤销履约保函</w:t>
      </w:r>
      <w:bookmarkEnd w:id="644"/>
      <w:bookmarkEnd w:id="645"/>
      <w:bookmarkEnd w:id="646"/>
    </w:p>
    <w:p>
      <w:pPr>
        <w:adjustRightInd w:val="0"/>
        <w:snapToGrid w:val="0"/>
        <w:spacing w:line="360" w:lineRule="auto"/>
        <w:ind w:firstLine="600" w:firstLineChars="200"/>
        <w:rPr>
          <w:rFonts w:eastAsia="仿宋"/>
          <w:color w:val="auto"/>
          <w:sz w:val="30"/>
          <w:szCs w:val="30"/>
          <w:highlight w:val="none"/>
        </w:rPr>
      </w:pP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编号：</w:t>
      </w:r>
      <w:r>
        <w:rPr>
          <w:rFonts w:eastAsia="仿宋"/>
          <w:color w:val="auto"/>
          <w:sz w:val="30"/>
          <w:szCs w:val="30"/>
          <w:highlight w:val="none"/>
          <w:u w:val="single"/>
        </w:rPr>
        <w:t xml:space="preserve">            </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致：</w:t>
      </w:r>
      <w:r>
        <w:rPr>
          <w:rFonts w:eastAsia="仿宋"/>
          <w:color w:val="auto"/>
          <w:sz w:val="30"/>
          <w:szCs w:val="30"/>
          <w:highlight w:val="none"/>
          <w:u w:val="single"/>
        </w:rPr>
        <w:t xml:space="preserve">                   </w:t>
      </w:r>
      <w:r>
        <w:rPr>
          <w:rFonts w:eastAsia="仿宋"/>
          <w:color w:val="auto"/>
          <w:sz w:val="30"/>
          <w:szCs w:val="30"/>
          <w:highlight w:val="none"/>
        </w:rPr>
        <w:t>（下称收益人）</w:t>
      </w:r>
    </w:p>
    <w:p>
      <w:pPr>
        <w:adjustRightInd w:val="0"/>
        <w:snapToGrid w:val="0"/>
        <w:spacing w:line="360" w:lineRule="auto"/>
        <w:ind w:firstLine="600" w:firstLineChars="200"/>
        <w:jc w:val="left"/>
        <w:rPr>
          <w:rFonts w:eastAsia="仿宋"/>
          <w:color w:val="auto"/>
          <w:sz w:val="30"/>
          <w:szCs w:val="30"/>
          <w:highlight w:val="none"/>
        </w:rPr>
      </w:pPr>
      <w:r>
        <w:rPr>
          <w:rFonts w:eastAsia="仿宋"/>
          <w:color w:val="auto"/>
          <w:sz w:val="30"/>
          <w:szCs w:val="30"/>
          <w:highlight w:val="none"/>
        </w:rPr>
        <w:t>鉴于收益人（地址：</w:t>
      </w:r>
      <w:r>
        <w:rPr>
          <w:rFonts w:eastAsia="仿宋"/>
          <w:color w:val="auto"/>
          <w:sz w:val="30"/>
          <w:szCs w:val="30"/>
          <w:highlight w:val="none"/>
          <w:u w:val="single"/>
        </w:rPr>
        <w:t xml:space="preserve">                                                   </w:t>
      </w:r>
      <w:r>
        <w:rPr>
          <w:rFonts w:eastAsia="仿宋"/>
          <w:color w:val="auto"/>
          <w:sz w:val="30"/>
          <w:szCs w:val="30"/>
          <w:highlight w:val="none"/>
        </w:rPr>
        <w:t>联系电话：</w:t>
      </w:r>
      <w:r>
        <w:rPr>
          <w:rFonts w:eastAsia="仿宋"/>
          <w:color w:val="auto"/>
          <w:sz w:val="30"/>
          <w:szCs w:val="30"/>
          <w:highlight w:val="none"/>
          <w:u w:val="single"/>
        </w:rPr>
        <w:t xml:space="preserve">             </w:t>
      </w:r>
      <w:r>
        <w:rPr>
          <w:rFonts w:eastAsia="仿宋"/>
          <w:color w:val="auto"/>
          <w:sz w:val="30"/>
          <w:szCs w:val="30"/>
          <w:highlight w:val="none"/>
        </w:rPr>
        <w:t>）拟（已）与</w:t>
      </w:r>
      <w:r>
        <w:rPr>
          <w:rFonts w:eastAsia="仿宋"/>
          <w:color w:val="auto"/>
          <w:sz w:val="30"/>
          <w:szCs w:val="30"/>
          <w:highlight w:val="none"/>
          <w:u w:val="single"/>
        </w:rPr>
        <w:t xml:space="preserve">                         </w:t>
      </w:r>
      <w:r>
        <w:rPr>
          <w:rFonts w:eastAsia="仿宋"/>
          <w:color w:val="auto"/>
          <w:sz w:val="30"/>
          <w:szCs w:val="30"/>
          <w:highlight w:val="none"/>
        </w:rPr>
        <w:t>（下称被保证人）签订一份编号为</w:t>
      </w:r>
      <w:r>
        <w:rPr>
          <w:rFonts w:eastAsia="仿宋"/>
          <w:color w:val="auto"/>
          <w:sz w:val="30"/>
          <w:szCs w:val="30"/>
          <w:highlight w:val="none"/>
          <w:u w:val="single"/>
        </w:rPr>
        <w:t xml:space="preserve">               </w:t>
      </w:r>
      <w:r>
        <w:rPr>
          <w:rFonts w:eastAsia="仿宋"/>
          <w:color w:val="auto"/>
          <w:sz w:val="30"/>
          <w:szCs w:val="30"/>
          <w:highlight w:val="none"/>
        </w:rPr>
        <w:t>的</w:t>
      </w:r>
      <w:r>
        <w:rPr>
          <w:rFonts w:eastAsia="仿宋"/>
          <w:color w:val="auto"/>
          <w:sz w:val="30"/>
          <w:szCs w:val="30"/>
          <w:highlight w:val="none"/>
          <w:u w:val="single"/>
        </w:rPr>
        <w:t xml:space="preserve">                            </w:t>
      </w:r>
      <w:r>
        <w:rPr>
          <w:rFonts w:eastAsia="仿宋"/>
          <w:color w:val="auto"/>
          <w:sz w:val="30"/>
          <w:szCs w:val="30"/>
          <w:highlight w:val="none"/>
        </w:rPr>
        <w:t>（以下简称合同），工期自</w:t>
      </w:r>
      <w:r>
        <w:rPr>
          <w:rFonts w:eastAsia="仿宋"/>
          <w:color w:val="auto"/>
          <w:sz w:val="30"/>
          <w:szCs w:val="30"/>
          <w:highlight w:val="none"/>
          <w:u w:val="single"/>
        </w:rPr>
        <w:t xml:space="preserve">      </w:t>
      </w:r>
      <w:r>
        <w:rPr>
          <w:rFonts w:eastAsia="仿宋"/>
          <w:color w:val="auto"/>
          <w:sz w:val="30"/>
          <w:szCs w:val="30"/>
          <w:highlight w:val="none"/>
        </w:rPr>
        <w:t>年</w:t>
      </w:r>
      <w:r>
        <w:rPr>
          <w:rFonts w:eastAsia="仿宋"/>
          <w:color w:val="auto"/>
          <w:sz w:val="30"/>
          <w:szCs w:val="30"/>
          <w:highlight w:val="none"/>
          <w:u w:val="single"/>
        </w:rPr>
        <w:t xml:space="preserve">   </w:t>
      </w:r>
      <w:r>
        <w:rPr>
          <w:rFonts w:eastAsia="仿宋"/>
          <w:color w:val="auto"/>
          <w:sz w:val="30"/>
          <w:szCs w:val="30"/>
          <w:highlight w:val="none"/>
        </w:rPr>
        <w:t>月</w:t>
      </w:r>
      <w:r>
        <w:rPr>
          <w:rFonts w:eastAsia="仿宋"/>
          <w:color w:val="auto"/>
          <w:sz w:val="30"/>
          <w:szCs w:val="30"/>
          <w:highlight w:val="none"/>
          <w:u w:val="single"/>
        </w:rPr>
        <w:t xml:space="preserve">   </w:t>
      </w:r>
      <w:r>
        <w:rPr>
          <w:rFonts w:eastAsia="仿宋"/>
          <w:color w:val="auto"/>
          <w:sz w:val="30"/>
          <w:szCs w:val="30"/>
          <w:highlight w:val="none"/>
        </w:rPr>
        <w:t>日至</w:t>
      </w:r>
      <w:r>
        <w:rPr>
          <w:rFonts w:eastAsia="仿宋"/>
          <w:color w:val="auto"/>
          <w:sz w:val="30"/>
          <w:szCs w:val="30"/>
          <w:highlight w:val="none"/>
          <w:u w:val="single"/>
        </w:rPr>
        <w:t xml:space="preserve">     </w:t>
      </w:r>
      <w:r>
        <w:rPr>
          <w:rFonts w:eastAsia="仿宋"/>
          <w:color w:val="auto"/>
          <w:sz w:val="30"/>
          <w:szCs w:val="30"/>
          <w:highlight w:val="none"/>
        </w:rPr>
        <w:t>年</w:t>
      </w:r>
      <w:r>
        <w:rPr>
          <w:rFonts w:eastAsia="仿宋"/>
          <w:color w:val="auto"/>
          <w:sz w:val="30"/>
          <w:szCs w:val="30"/>
          <w:highlight w:val="none"/>
          <w:u w:val="single"/>
        </w:rPr>
        <w:t xml:space="preserve">    </w:t>
      </w:r>
      <w:r>
        <w:rPr>
          <w:rFonts w:eastAsia="仿宋"/>
          <w:color w:val="auto"/>
          <w:sz w:val="30"/>
          <w:szCs w:val="30"/>
          <w:highlight w:val="none"/>
        </w:rPr>
        <w:t>月</w:t>
      </w:r>
      <w:r>
        <w:rPr>
          <w:rFonts w:eastAsia="仿宋"/>
          <w:color w:val="auto"/>
          <w:sz w:val="30"/>
          <w:szCs w:val="30"/>
          <w:highlight w:val="none"/>
          <w:u w:val="single"/>
        </w:rPr>
        <w:t xml:space="preserve">    </w:t>
      </w:r>
      <w:r>
        <w:rPr>
          <w:rFonts w:eastAsia="仿宋"/>
          <w:color w:val="auto"/>
          <w:sz w:val="30"/>
          <w:szCs w:val="30"/>
          <w:highlight w:val="none"/>
        </w:rPr>
        <w:t>日。</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我行接受被保证人的委托，在此向收益人提供不可撤销和见索即付的履约保证，最高担保金额为：人民币（大写）</w:t>
      </w:r>
      <w:r>
        <w:rPr>
          <w:rFonts w:eastAsia="仿宋"/>
          <w:color w:val="auto"/>
          <w:sz w:val="30"/>
          <w:szCs w:val="30"/>
          <w:highlight w:val="none"/>
          <w:u w:val="single"/>
        </w:rPr>
        <w:t xml:space="preserve">                     万元 </w:t>
      </w:r>
      <w:r>
        <w:rPr>
          <w:rFonts w:eastAsia="仿宋"/>
          <w:color w:val="auto"/>
          <w:sz w:val="30"/>
          <w:szCs w:val="30"/>
          <w:highlight w:val="none"/>
        </w:rPr>
        <w:t>（小写）</w:t>
      </w:r>
      <w:r>
        <w:rPr>
          <w:rFonts w:eastAsia="仿宋"/>
          <w:color w:val="auto"/>
          <w:sz w:val="30"/>
          <w:szCs w:val="30"/>
          <w:highlight w:val="none"/>
          <w:u w:val="single"/>
        </w:rPr>
        <w:t xml:space="preserve">             </w:t>
      </w:r>
      <w:r>
        <w:rPr>
          <w:rFonts w:eastAsia="仿宋"/>
          <w:color w:val="auto"/>
          <w:sz w:val="30"/>
          <w:szCs w:val="30"/>
          <w:highlight w:val="none"/>
        </w:rPr>
        <w:t>万元。</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本行承诺：一旦贵方向本行提交符合下列全部条件的索偿通知，本行将在收到该索偿通知后【  】个工作日内无条件地将贵方索偿的款项一次性付往贵方在该索偿通知中指定的账户：（1）贵方在索偿通知中声明申请人未能履行基础合同项下的义务及/或责任；（2）索偿通知由贵方以书面信函（须注明日期并加盖贵方公章）方式出具，注明基础合同的编号（如有）和名称及本保函的编号。</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本保函自我行签字盖章之日起生效，到</w:t>
      </w:r>
      <w:r>
        <w:rPr>
          <w:rFonts w:eastAsia="仿宋"/>
          <w:color w:val="auto"/>
          <w:sz w:val="30"/>
          <w:szCs w:val="30"/>
          <w:highlight w:val="none"/>
          <w:u w:val="single"/>
        </w:rPr>
        <w:t xml:space="preserve">     </w:t>
      </w:r>
      <w:r>
        <w:rPr>
          <w:rFonts w:eastAsia="仿宋"/>
          <w:color w:val="auto"/>
          <w:sz w:val="30"/>
          <w:szCs w:val="30"/>
          <w:highlight w:val="none"/>
        </w:rPr>
        <w:t>年</w:t>
      </w:r>
      <w:r>
        <w:rPr>
          <w:rFonts w:eastAsia="仿宋"/>
          <w:color w:val="auto"/>
          <w:sz w:val="30"/>
          <w:szCs w:val="30"/>
          <w:highlight w:val="none"/>
          <w:u w:val="single"/>
        </w:rPr>
        <w:t xml:space="preserve">     </w:t>
      </w:r>
      <w:r>
        <w:rPr>
          <w:rFonts w:eastAsia="仿宋"/>
          <w:color w:val="auto"/>
          <w:sz w:val="30"/>
          <w:szCs w:val="30"/>
          <w:highlight w:val="none"/>
        </w:rPr>
        <w:t>月</w:t>
      </w:r>
      <w:r>
        <w:rPr>
          <w:rFonts w:eastAsia="仿宋"/>
          <w:color w:val="auto"/>
          <w:sz w:val="30"/>
          <w:szCs w:val="30"/>
          <w:highlight w:val="none"/>
          <w:u w:val="single"/>
        </w:rPr>
        <w:t xml:space="preserve">     </w:t>
      </w:r>
      <w:r>
        <w:rPr>
          <w:rFonts w:eastAsia="仿宋"/>
          <w:color w:val="auto"/>
          <w:sz w:val="30"/>
          <w:szCs w:val="30"/>
          <w:highlight w:val="none"/>
        </w:rPr>
        <w:t>日失效。</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本保函项下的权利不得转让。</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本保函适用于中华人民共和国法律。</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本保函以中文文本为准，涂改无效。</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本保函的效力以及本行在本保函项下对贵方承担的义务和责任是完全独立的，不受基础合同及/或贵方与申请人之间任何权利义务的变更影响。</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保证人：</w:t>
      </w:r>
      <w:r>
        <w:rPr>
          <w:rFonts w:eastAsia="仿宋"/>
          <w:color w:val="auto"/>
          <w:sz w:val="30"/>
          <w:szCs w:val="30"/>
          <w:highlight w:val="none"/>
          <w:u w:val="single"/>
        </w:rPr>
        <w:t xml:space="preserve">                        </w:t>
      </w:r>
      <w:r>
        <w:rPr>
          <w:rFonts w:eastAsia="仿宋"/>
          <w:color w:val="auto"/>
          <w:sz w:val="30"/>
          <w:szCs w:val="30"/>
          <w:highlight w:val="none"/>
        </w:rPr>
        <w:t>银行（盖章）</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rPr>
        <w:t>负责人或委托代理人（签字）：</w:t>
      </w:r>
      <w:r>
        <w:rPr>
          <w:rFonts w:eastAsia="仿宋"/>
          <w:color w:val="auto"/>
          <w:sz w:val="30"/>
          <w:szCs w:val="30"/>
          <w:highlight w:val="none"/>
          <w:u w:val="single"/>
        </w:rPr>
        <w:t xml:space="preserve">                 </w:t>
      </w:r>
    </w:p>
    <w:p>
      <w:pPr>
        <w:adjustRightInd w:val="0"/>
        <w:snapToGrid w:val="0"/>
        <w:spacing w:line="360" w:lineRule="auto"/>
        <w:ind w:firstLine="600" w:firstLineChars="200"/>
        <w:rPr>
          <w:rFonts w:eastAsia="仿宋"/>
          <w:color w:val="auto"/>
          <w:sz w:val="30"/>
          <w:szCs w:val="30"/>
          <w:highlight w:val="none"/>
        </w:rPr>
      </w:pPr>
      <w:r>
        <w:rPr>
          <w:rFonts w:eastAsia="仿宋"/>
          <w:color w:val="auto"/>
          <w:sz w:val="30"/>
          <w:szCs w:val="30"/>
          <w:highlight w:val="none"/>
          <w:u w:val="single"/>
        </w:rPr>
        <w:t xml:space="preserve">     </w:t>
      </w:r>
      <w:r>
        <w:rPr>
          <w:rFonts w:eastAsia="仿宋"/>
          <w:color w:val="auto"/>
          <w:sz w:val="30"/>
          <w:szCs w:val="30"/>
          <w:highlight w:val="none"/>
        </w:rPr>
        <w:t>年</w:t>
      </w:r>
      <w:r>
        <w:rPr>
          <w:rFonts w:eastAsia="仿宋"/>
          <w:color w:val="auto"/>
          <w:sz w:val="30"/>
          <w:szCs w:val="30"/>
          <w:highlight w:val="none"/>
          <w:u w:val="single"/>
        </w:rPr>
        <w:t xml:space="preserve">     </w:t>
      </w:r>
      <w:r>
        <w:rPr>
          <w:rFonts w:eastAsia="仿宋"/>
          <w:color w:val="auto"/>
          <w:sz w:val="30"/>
          <w:szCs w:val="30"/>
          <w:highlight w:val="none"/>
        </w:rPr>
        <w:t>月</w:t>
      </w:r>
      <w:r>
        <w:rPr>
          <w:rFonts w:eastAsia="仿宋"/>
          <w:color w:val="auto"/>
          <w:sz w:val="30"/>
          <w:szCs w:val="30"/>
          <w:highlight w:val="none"/>
          <w:u w:val="single"/>
        </w:rPr>
        <w:t xml:space="preserve">     </w:t>
      </w:r>
      <w:r>
        <w:rPr>
          <w:rFonts w:eastAsia="仿宋"/>
          <w:color w:val="auto"/>
          <w:sz w:val="30"/>
          <w:szCs w:val="30"/>
          <w:highlight w:val="none"/>
        </w:rPr>
        <w:t>日</w:t>
      </w:r>
    </w:p>
    <w:p>
      <w:pPr>
        <w:adjustRightInd w:val="0"/>
        <w:snapToGrid w:val="0"/>
        <w:spacing w:line="360" w:lineRule="auto"/>
        <w:ind w:firstLine="600" w:firstLineChars="200"/>
        <w:rPr>
          <w:rFonts w:ascii="仿宋" w:hAnsi="仿宋" w:eastAsia="仿宋" w:cs="仿宋"/>
          <w:color w:val="auto"/>
          <w:sz w:val="30"/>
          <w:szCs w:val="30"/>
          <w:highlight w:val="none"/>
        </w:rPr>
      </w:pPr>
      <w:r>
        <w:rPr>
          <w:rFonts w:eastAsia="仿宋"/>
          <w:color w:val="auto"/>
          <w:sz w:val="30"/>
          <w:szCs w:val="30"/>
          <w:highlight w:val="none"/>
        </w:rPr>
        <w:t xml:space="preserve">地点：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5613"/>
    </w:sdtPr>
    <w:sdtContent>
      <w:p>
        <w:pPr>
          <w:pStyle w:val="18"/>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873861"/>
    </w:sdtPr>
    <w:sdtContent>
      <w:p>
        <w:pPr>
          <w:pStyle w:val="18"/>
          <w:jc w:val="center"/>
        </w:pPr>
        <w:r>
          <w:fldChar w:fldCharType="begin"/>
        </w:r>
        <w:r>
          <w:instrText xml:space="preserve">PAGE   \* MERGEFORMAT</w:instrText>
        </w:r>
        <w:r>
          <w:fldChar w:fldCharType="separate"/>
        </w:r>
        <w:r>
          <w:rPr>
            <w:lang w:val="zh-CN"/>
          </w:rPr>
          <w:t>37</w:t>
        </w:r>
        <w:r>
          <w:rPr>
            <w:lang w:val="zh-CN"/>
          </w:rP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94D4D"/>
    <w:multiLevelType w:val="singleLevel"/>
    <w:tmpl w:val="B8A94D4D"/>
    <w:lvl w:ilvl="0" w:tentative="0">
      <w:start w:val="1"/>
      <w:numFmt w:val="decimal"/>
      <w:suff w:val="nothing"/>
      <w:lvlText w:val="%1、"/>
      <w:lvlJc w:val="left"/>
    </w:lvl>
  </w:abstractNum>
  <w:abstractNum w:abstractNumId="1">
    <w:nsid w:val="C8EA33DE"/>
    <w:multiLevelType w:val="singleLevel"/>
    <w:tmpl w:val="C8EA33DE"/>
    <w:lvl w:ilvl="0" w:tentative="0">
      <w:start w:val="4"/>
      <w:numFmt w:val="chineseCounting"/>
      <w:suff w:val="nothing"/>
      <w:lvlText w:val="%1、"/>
      <w:lvlJc w:val="left"/>
      <w:rPr>
        <w:rFonts w:hint="eastAsia"/>
      </w:rPr>
    </w:lvl>
  </w:abstractNum>
  <w:abstractNum w:abstractNumId="2">
    <w:nsid w:val="D24E5BBA"/>
    <w:multiLevelType w:val="singleLevel"/>
    <w:tmpl w:val="D24E5BBA"/>
    <w:lvl w:ilvl="0" w:tentative="0">
      <w:start w:val="1"/>
      <w:numFmt w:val="chineseCounting"/>
      <w:suff w:val="nothing"/>
      <w:lvlText w:val="（%1）"/>
      <w:lvlJc w:val="left"/>
      <w:rPr>
        <w:rFonts w:hint="eastAsia"/>
      </w:rPr>
    </w:lvl>
  </w:abstractNum>
  <w:abstractNum w:abstractNumId="3">
    <w:nsid w:val="F0C27853"/>
    <w:multiLevelType w:val="singleLevel"/>
    <w:tmpl w:val="F0C27853"/>
    <w:lvl w:ilvl="0" w:tentative="0">
      <w:start w:val="1"/>
      <w:numFmt w:val="decimal"/>
      <w:suff w:val="nothing"/>
      <w:lvlText w:val="（%1）"/>
      <w:lvlJc w:val="left"/>
    </w:lvl>
  </w:abstractNum>
  <w:abstractNum w:abstractNumId="4">
    <w:nsid w:val="FCB50949"/>
    <w:multiLevelType w:val="singleLevel"/>
    <w:tmpl w:val="FCB50949"/>
    <w:lvl w:ilvl="0" w:tentative="0">
      <w:start w:val="1"/>
      <w:numFmt w:val="decimal"/>
      <w:suff w:val="nothing"/>
      <w:lvlText w:val="%1．"/>
      <w:lvlJc w:val="left"/>
      <w:pPr>
        <w:ind w:left="0" w:firstLine="400"/>
      </w:pPr>
      <w:rPr>
        <w:rFonts w:hint="default"/>
      </w:rPr>
    </w:lvl>
  </w:abstractNum>
  <w:abstractNum w:abstractNumId="5">
    <w:nsid w:val="5E4C4E59"/>
    <w:multiLevelType w:val="singleLevel"/>
    <w:tmpl w:val="5E4C4E59"/>
    <w:lvl w:ilvl="0" w:tentative="0">
      <w:start w:val="1"/>
      <w:numFmt w:val="decimal"/>
      <w:suff w:val="nothing"/>
      <w:lvlText w:val="%1．"/>
      <w:lvlJc w:val="left"/>
      <w:pPr>
        <w:ind w:left="0" w:firstLine="400"/>
      </w:pPr>
      <w:rPr>
        <w:rFonts w:hint="default"/>
        <w:color w:val="auto"/>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trackRevisions w:val="1"/>
  <w:documentProtection w:enforcement="0"/>
  <w:defaultTabStop w:val="420"/>
  <w:drawingGridHorizontalSpacing w:val="213"/>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69"/>
    <w:rsid w:val="00007B2E"/>
    <w:rsid w:val="000253CA"/>
    <w:rsid w:val="0003244F"/>
    <w:rsid w:val="00032F81"/>
    <w:rsid w:val="00034FE9"/>
    <w:rsid w:val="00041D5D"/>
    <w:rsid w:val="00041F36"/>
    <w:rsid w:val="00044D78"/>
    <w:rsid w:val="00051823"/>
    <w:rsid w:val="00064001"/>
    <w:rsid w:val="00077CB6"/>
    <w:rsid w:val="0009696D"/>
    <w:rsid w:val="000A6429"/>
    <w:rsid w:val="00112685"/>
    <w:rsid w:val="0013092D"/>
    <w:rsid w:val="00140A4F"/>
    <w:rsid w:val="00172A27"/>
    <w:rsid w:val="001846D9"/>
    <w:rsid w:val="00186A4D"/>
    <w:rsid w:val="001C084B"/>
    <w:rsid w:val="001C583A"/>
    <w:rsid w:val="001D49D2"/>
    <w:rsid w:val="00205138"/>
    <w:rsid w:val="00206EE3"/>
    <w:rsid w:val="002157C4"/>
    <w:rsid w:val="00216F94"/>
    <w:rsid w:val="00254BBE"/>
    <w:rsid w:val="0028233D"/>
    <w:rsid w:val="00291B19"/>
    <w:rsid w:val="002A4C48"/>
    <w:rsid w:val="002C46B5"/>
    <w:rsid w:val="002D2102"/>
    <w:rsid w:val="002E06FE"/>
    <w:rsid w:val="002E0A8D"/>
    <w:rsid w:val="002E13FF"/>
    <w:rsid w:val="002E4EAA"/>
    <w:rsid w:val="00303F16"/>
    <w:rsid w:val="003136C4"/>
    <w:rsid w:val="00331FA5"/>
    <w:rsid w:val="00333FF7"/>
    <w:rsid w:val="00347DBD"/>
    <w:rsid w:val="00382075"/>
    <w:rsid w:val="0038546B"/>
    <w:rsid w:val="003A08B3"/>
    <w:rsid w:val="003F0025"/>
    <w:rsid w:val="00402554"/>
    <w:rsid w:val="004343FB"/>
    <w:rsid w:val="00435731"/>
    <w:rsid w:val="004378B2"/>
    <w:rsid w:val="00445CC3"/>
    <w:rsid w:val="004540DB"/>
    <w:rsid w:val="0045614D"/>
    <w:rsid w:val="00472974"/>
    <w:rsid w:val="00484264"/>
    <w:rsid w:val="00487817"/>
    <w:rsid w:val="00487B34"/>
    <w:rsid w:val="004C3CAC"/>
    <w:rsid w:val="004C791F"/>
    <w:rsid w:val="004E66CF"/>
    <w:rsid w:val="004E7A66"/>
    <w:rsid w:val="004F1C5C"/>
    <w:rsid w:val="004F4048"/>
    <w:rsid w:val="00502055"/>
    <w:rsid w:val="0050290C"/>
    <w:rsid w:val="00502AA0"/>
    <w:rsid w:val="00531258"/>
    <w:rsid w:val="0053543F"/>
    <w:rsid w:val="00537001"/>
    <w:rsid w:val="005928E5"/>
    <w:rsid w:val="005B4AD1"/>
    <w:rsid w:val="005B5637"/>
    <w:rsid w:val="005D5BFF"/>
    <w:rsid w:val="005E1C25"/>
    <w:rsid w:val="005E653F"/>
    <w:rsid w:val="005F6E31"/>
    <w:rsid w:val="00640645"/>
    <w:rsid w:val="00641F7B"/>
    <w:rsid w:val="00647DD4"/>
    <w:rsid w:val="00661B75"/>
    <w:rsid w:val="006A6082"/>
    <w:rsid w:val="006B6FA7"/>
    <w:rsid w:val="006E3BD2"/>
    <w:rsid w:val="006F63C0"/>
    <w:rsid w:val="00715F27"/>
    <w:rsid w:val="0072321B"/>
    <w:rsid w:val="0072393C"/>
    <w:rsid w:val="007246C4"/>
    <w:rsid w:val="007410BA"/>
    <w:rsid w:val="00742A08"/>
    <w:rsid w:val="00742EB7"/>
    <w:rsid w:val="00755F9B"/>
    <w:rsid w:val="00780915"/>
    <w:rsid w:val="007815A7"/>
    <w:rsid w:val="00782F27"/>
    <w:rsid w:val="007935FB"/>
    <w:rsid w:val="007C3CB8"/>
    <w:rsid w:val="007D25BE"/>
    <w:rsid w:val="007E1773"/>
    <w:rsid w:val="007F68F1"/>
    <w:rsid w:val="00825DC1"/>
    <w:rsid w:val="0083123C"/>
    <w:rsid w:val="00833A0F"/>
    <w:rsid w:val="00854C9A"/>
    <w:rsid w:val="00893D48"/>
    <w:rsid w:val="008949C7"/>
    <w:rsid w:val="008B3C8E"/>
    <w:rsid w:val="008C51BB"/>
    <w:rsid w:val="008C69ED"/>
    <w:rsid w:val="008D4261"/>
    <w:rsid w:val="008F244F"/>
    <w:rsid w:val="008F602D"/>
    <w:rsid w:val="008F6F09"/>
    <w:rsid w:val="00906EC5"/>
    <w:rsid w:val="00915004"/>
    <w:rsid w:val="009322FE"/>
    <w:rsid w:val="00944DA7"/>
    <w:rsid w:val="00947588"/>
    <w:rsid w:val="00960A1F"/>
    <w:rsid w:val="00962CB0"/>
    <w:rsid w:val="009A513D"/>
    <w:rsid w:val="009B4C3E"/>
    <w:rsid w:val="009E13FB"/>
    <w:rsid w:val="00A06766"/>
    <w:rsid w:val="00A15640"/>
    <w:rsid w:val="00A17577"/>
    <w:rsid w:val="00A27116"/>
    <w:rsid w:val="00A33D7C"/>
    <w:rsid w:val="00A412BD"/>
    <w:rsid w:val="00A674BA"/>
    <w:rsid w:val="00A70D93"/>
    <w:rsid w:val="00A730DF"/>
    <w:rsid w:val="00A872F9"/>
    <w:rsid w:val="00AE2FE4"/>
    <w:rsid w:val="00B069C2"/>
    <w:rsid w:val="00B149C0"/>
    <w:rsid w:val="00B765BB"/>
    <w:rsid w:val="00BC2BE2"/>
    <w:rsid w:val="00BC7A72"/>
    <w:rsid w:val="00BE14FF"/>
    <w:rsid w:val="00C04097"/>
    <w:rsid w:val="00C1520F"/>
    <w:rsid w:val="00C21579"/>
    <w:rsid w:val="00C33582"/>
    <w:rsid w:val="00C44933"/>
    <w:rsid w:val="00C541AB"/>
    <w:rsid w:val="00CA7761"/>
    <w:rsid w:val="00CB084D"/>
    <w:rsid w:val="00CC4648"/>
    <w:rsid w:val="00D016DB"/>
    <w:rsid w:val="00D04A14"/>
    <w:rsid w:val="00D217BA"/>
    <w:rsid w:val="00D71690"/>
    <w:rsid w:val="00D81505"/>
    <w:rsid w:val="00DA1E0C"/>
    <w:rsid w:val="00DB082B"/>
    <w:rsid w:val="00DC367D"/>
    <w:rsid w:val="00DC64DF"/>
    <w:rsid w:val="00DD79ED"/>
    <w:rsid w:val="00DE1B9D"/>
    <w:rsid w:val="00DF3C9D"/>
    <w:rsid w:val="00E10E8D"/>
    <w:rsid w:val="00E23756"/>
    <w:rsid w:val="00E371CC"/>
    <w:rsid w:val="00E57804"/>
    <w:rsid w:val="00E877A6"/>
    <w:rsid w:val="00E90BA7"/>
    <w:rsid w:val="00EF5A9A"/>
    <w:rsid w:val="00F01DBC"/>
    <w:rsid w:val="00F11E46"/>
    <w:rsid w:val="00F23A01"/>
    <w:rsid w:val="00F42C84"/>
    <w:rsid w:val="00F51E00"/>
    <w:rsid w:val="00F70443"/>
    <w:rsid w:val="00F83CCF"/>
    <w:rsid w:val="00F84458"/>
    <w:rsid w:val="00F9296C"/>
    <w:rsid w:val="00F93F26"/>
    <w:rsid w:val="00FF3407"/>
    <w:rsid w:val="011E7267"/>
    <w:rsid w:val="01536DE0"/>
    <w:rsid w:val="01856869"/>
    <w:rsid w:val="018C07D0"/>
    <w:rsid w:val="01956C5E"/>
    <w:rsid w:val="01987606"/>
    <w:rsid w:val="01A72070"/>
    <w:rsid w:val="01D110A9"/>
    <w:rsid w:val="01DC3B6F"/>
    <w:rsid w:val="02087D8B"/>
    <w:rsid w:val="02115837"/>
    <w:rsid w:val="02226DFE"/>
    <w:rsid w:val="022B0CB0"/>
    <w:rsid w:val="02555ACA"/>
    <w:rsid w:val="025A52A2"/>
    <w:rsid w:val="026C50A5"/>
    <w:rsid w:val="02716795"/>
    <w:rsid w:val="0277606E"/>
    <w:rsid w:val="02870FE1"/>
    <w:rsid w:val="028C5C6B"/>
    <w:rsid w:val="028D5544"/>
    <w:rsid w:val="029140BC"/>
    <w:rsid w:val="02983334"/>
    <w:rsid w:val="02A713F0"/>
    <w:rsid w:val="02CF5B37"/>
    <w:rsid w:val="02CF6AE3"/>
    <w:rsid w:val="02D638FC"/>
    <w:rsid w:val="02E84B8B"/>
    <w:rsid w:val="032C32FE"/>
    <w:rsid w:val="0362125A"/>
    <w:rsid w:val="03642D14"/>
    <w:rsid w:val="03766372"/>
    <w:rsid w:val="03876C48"/>
    <w:rsid w:val="038F0DBC"/>
    <w:rsid w:val="039A49D9"/>
    <w:rsid w:val="03AB1373"/>
    <w:rsid w:val="03B42FBD"/>
    <w:rsid w:val="03E625FB"/>
    <w:rsid w:val="04003E5C"/>
    <w:rsid w:val="04465342"/>
    <w:rsid w:val="04485B4A"/>
    <w:rsid w:val="04485CCA"/>
    <w:rsid w:val="044F67F2"/>
    <w:rsid w:val="04530096"/>
    <w:rsid w:val="04571EBC"/>
    <w:rsid w:val="0461257B"/>
    <w:rsid w:val="04871D3A"/>
    <w:rsid w:val="04953FC8"/>
    <w:rsid w:val="04A32F0C"/>
    <w:rsid w:val="04A657E7"/>
    <w:rsid w:val="04AD774A"/>
    <w:rsid w:val="04B87B91"/>
    <w:rsid w:val="04BD6186"/>
    <w:rsid w:val="04CF07A9"/>
    <w:rsid w:val="04DA5FF4"/>
    <w:rsid w:val="04E069E9"/>
    <w:rsid w:val="04EE12FF"/>
    <w:rsid w:val="04EE444E"/>
    <w:rsid w:val="050739DF"/>
    <w:rsid w:val="050B200F"/>
    <w:rsid w:val="05116818"/>
    <w:rsid w:val="05183459"/>
    <w:rsid w:val="052A736D"/>
    <w:rsid w:val="054C1B4B"/>
    <w:rsid w:val="0560005A"/>
    <w:rsid w:val="05621867"/>
    <w:rsid w:val="0568504B"/>
    <w:rsid w:val="05713F06"/>
    <w:rsid w:val="05760F27"/>
    <w:rsid w:val="057B68C0"/>
    <w:rsid w:val="05917EF0"/>
    <w:rsid w:val="05B43A3E"/>
    <w:rsid w:val="05BE79DC"/>
    <w:rsid w:val="05D449C4"/>
    <w:rsid w:val="05DE4CD8"/>
    <w:rsid w:val="05FB3974"/>
    <w:rsid w:val="060F4527"/>
    <w:rsid w:val="06152391"/>
    <w:rsid w:val="061A0637"/>
    <w:rsid w:val="063B78A6"/>
    <w:rsid w:val="0656077D"/>
    <w:rsid w:val="065F33AB"/>
    <w:rsid w:val="0667101C"/>
    <w:rsid w:val="067649BB"/>
    <w:rsid w:val="06A4772A"/>
    <w:rsid w:val="06BF6C2B"/>
    <w:rsid w:val="06D53550"/>
    <w:rsid w:val="06DA162E"/>
    <w:rsid w:val="0714254D"/>
    <w:rsid w:val="074F4640"/>
    <w:rsid w:val="076946E1"/>
    <w:rsid w:val="076C5CC9"/>
    <w:rsid w:val="07736DBC"/>
    <w:rsid w:val="07837BDA"/>
    <w:rsid w:val="07D04080"/>
    <w:rsid w:val="07D860D1"/>
    <w:rsid w:val="07D87AE1"/>
    <w:rsid w:val="07D94981"/>
    <w:rsid w:val="07EB7B54"/>
    <w:rsid w:val="07F72160"/>
    <w:rsid w:val="081933AC"/>
    <w:rsid w:val="082729D5"/>
    <w:rsid w:val="08423EEA"/>
    <w:rsid w:val="08461FC1"/>
    <w:rsid w:val="08576162"/>
    <w:rsid w:val="085775AE"/>
    <w:rsid w:val="085D0B97"/>
    <w:rsid w:val="08606FDE"/>
    <w:rsid w:val="086C04DF"/>
    <w:rsid w:val="086F3031"/>
    <w:rsid w:val="087F1F65"/>
    <w:rsid w:val="08895B43"/>
    <w:rsid w:val="08D90EDC"/>
    <w:rsid w:val="08EE4DCC"/>
    <w:rsid w:val="09071A83"/>
    <w:rsid w:val="09192D5C"/>
    <w:rsid w:val="092975C7"/>
    <w:rsid w:val="092C616B"/>
    <w:rsid w:val="09345EEE"/>
    <w:rsid w:val="09500AB5"/>
    <w:rsid w:val="0970427D"/>
    <w:rsid w:val="09821704"/>
    <w:rsid w:val="09B14309"/>
    <w:rsid w:val="09BF5619"/>
    <w:rsid w:val="09C36A62"/>
    <w:rsid w:val="09C7477A"/>
    <w:rsid w:val="09DE1DDE"/>
    <w:rsid w:val="09EB0B69"/>
    <w:rsid w:val="09F943B4"/>
    <w:rsid w:val="0A002B06"/>
    <w:rsid w:val="0A035333"/>
    <w:rsid w:val="0A107070"/>
    <w:rsid w:val="0A1D61BC"/>
    <w:rsid w:val="0A242918"/>
    <w:rsid w:val="0A4C366A"/>
    <w:rsid w:val="0A622956"/>
    <w:rsid w:val="0A6A0774"/>
    <w:rsid w:val="0A72340D"/>
    <w:rsid w:val="0A87175D"/>
    <w:rsid w:val="0A9675CB"/>
    <w:rsid w:val="0AA4172E"/>
    <w:rsid w:val="0AA8662B"/>
    <w:rsid w:val="0AD04DEE"/>
    <w:rsid w:val="0AE34DE1"/>
    <w:rsid w:val="0AE554A5"/>
    <w:rsid w:val="0AE96F66"/>
    <w:rsid w:val="0AEB2BDA"/>
    <w:rsid w:val="0AFB1258"/>
    <w:rsid w:val="0B0D307D"/>
    <w:rsid w:val="0B2B3090"/>
    <w:rsid w:val="0B366FA4"/>
    <w:rsid w:val="0B3E7904"/>
    <w:rsid w:val="0B3E7E6C"/>
    <w:rsid w:val="0B4161AF"/>
    <w:rsid w:val="0B51542D"/>
    <w:rsid w:val="0B5611EC"/>
    <w:rsid w:val="0B60742C"/>
    <w:rsid w:val="0B68224C"/>
    <w:rsid w:val="0B6A69EB"/>
    <w:rsid w:val="0B7E3B81"/>
    <w:rsid w:val="0B8214A5"/>
    <w:rsid w:val="0B9E2BD0"/>
    <w:rsid w:val="0BA907F2"/>
    <w:rsid w:val="0BB9654B"/>
    <w:rsid w:val="0BCF5428"/>
    <w:rsid w:val="0BE565D1"/>
    <w:rsid w:val="0BF179F1"/>
    <w:rsid w:val="0BF9618B"/>
    <w:rsid w:val="0C2A7D83"/>
    <w:rsid w:val="0C6F3DBC"/>
    <w:rsid w:val="0C7634FF"/>
    <w:rsid w:val="0C7976DF"/>
    <w:rsid w:val="0C8530FE"/>
    <w:rsid w:val="0C907CD9"/>
    <w:rsid w:val="0C9D1B34"/>
    <w:rsid w:val="0CC50185"/>
    <w:rsid w:val="0CCE4BAC"/>
    <w:rsid w:val="0CD940B8"/>
    <w:rsid w:val="0CEE6ABE"/>
    <w:rsid w:val="0CF64A21"/>
    <w:rsid w:val="0CFE2505"/>
    <w:rsid w:val="0D064744"/>
    <w:rsid w:val="0D073F10"/>
    <w:rsid w:val="0D2D47B4"/>
    <w:rsid w:val="0D2F25C6"/>
    <w:rsid w:val="0D612BC8"/>
    <w:rsid w:val="0D635E92"/>
    <w:rsid w:val="0D636FB9"/>
    <w:rsid w:val="0D8155A6"/>
    <w:rsid w:val="0D833547"/>
    <w:rsid w:val="0DAB4448"/>
    <w:rsid w:val="0DCE2415"/>
    <w:rsid w:val="0DD61C2A"/>
    <w:rsid w:val="0DE6799B"/>
    <w:rsid w:val="0E6D43D5"/>
    <w:rsid w:val="0E77130A"/>
    <w:rsid w:val="0E771BCF"/>
    <w:rsid w:val="0E8C7EB6"/>
    <w:rsid w:val="0E954C7A"/>
    <w:rsid w:val="0E9D56D3"/>
    <w:rsid w:val="0EB8524D"/>
    <w:rsid w:val="0EBF7E00"/>
    <w:rsid w:val="0EE13F78"/>
    <w:rsid w:val="0EE40BBA"/>
    <w:rsid w:val="0EE84603"/>
    <w:rsid w:val="0EFB7D31"/>
    <w:rsid w:val="0F0829A7"/>
    <w:rsid w:val="0F271708"/>
    <w:rsid w:val="0F2F22BD"/>
    <w:rsid w:val="0F496ED6"/>
    <w:rsid w:val="0F4F2CCC"/>
    <w:rsid w:val="0F4F478B"/>
    <w:rsid w:val="0F5B4E10"/>
    <w:rsid w:val="0F64626F"/>
    <w:rsid w:val="0F7033AB"/>
    <w:rsid w:val="0F7B5B3D"/>
    <w:rsid w:val="0F8D593D"/>
    <w:rsid w:val="0F911868"/>
    <w:rsid w:val="0FA9088D"/>
    <w:rsid w:val="0FAA175F"/>
    <w:rsid w:val="0FB404F7"/>
    <w:rsid w:val="0FC15C34"/>
    <w:rsid w:val="0FC670CF"/>
    <w:rsid w:val="0FDE79BF"/>
    <w:rsid w:val="0FF10E93"/>
    <w:rsid w:val="100C0F2D"/>
    <w:rsid w:val="1014374C"/>
    <w:rsid w:val="103020B1"/>
    <w:rsid w:val="10383574"/>
    <w:rsid w:val="10584222"/>
    <w:rsid w:val="105A4379"/>
    <w:rsid w:val="106E1231"/>
    <w:rsid w:val="10874887"/>
    <w:rsid w:val="108F5C06"/>
    <w:rsid w:val="109A3767"/>
    <w:rsid w:val="109A6482"/>
    <w:rsid w:val="109E1981"/>
    <w:rsid w:val="10A64731"/>
    <w:rsid w:val="10AB2EA6"/>
    <w:rsid w:val="10B26143"/>
    <w:rsid w:val="10BD1C05"/>
    <w:rsid w:val="10C24F73"/>
    <w:rsid w:val="10D07AF9"/>
    <w:rsid w:val="10DF023D"/>
    <w:rsid w:val="10F95E01"/>
    <w:rsid w:val="110F365B"/>
    <w:rsid w:val="11190A6C"/>
    <w:rsid w:val="113B41B5"/>
    <w:rsid w:val="113B4F0D"/>
    <w:rsid w:val="117B77BE"/>
    <w:rsid w:val="117F4F53"/>
    <w:rsid w:val="118F004D"/>
    <w:rsid w:val="11903AF9"/>
    <w:rsid w:val="11C42BB6"/>
    <w:rsid w:val="11F67100"/>
    <w:rsid w:val="12053898"/>
    <w:rsid w:val="120E4BD3"/>
    <w:rsid w:val="120E6D88"/>
    <w:rsid w:val="1223651D"/>
    <w:rsid w:val="12297306"/>
    <w:rsid w:val="12712636"/>
    <w:rsid w:val="12737906"/>
    <w:rsid w:val="1274188F"/>
    <w:rsid w:val="127C0BEF"/>
    <w:rsid w:val="129134A2"/>
    <w:rsid w:val="12C03EF6"/>
    <w:rsid w:val="12C45DE0"/>
    <w:rsid w:val="12DC381F"/>
    <w:rsid w:val="12ED6DCD"/>
    <w:rsid w:val="12F53A0A"/>
    <w:rsid w:val="12F96174"/>
    <w:rsid w:val="131E0753"/>
    <w:rsid w:val="132960A2"/>
    <w:rsid w:val="13344E7E"/>
    <w:rsid w:val="13380236"/>
    <w:rsid w:val="13381EF6"/>
    <w:rsid w:val="133F42D0"/>
    <w:rsid w:val="134811C7"/>
    <w:rsid w:val="134E528F"/>
    <w:rsid w:val="136000C2"/>
    <w:rsid w:val="1360058A"/>
    <w:rsid w:val="13710C4E"/>
    <w:rsid w:val="137672C7"/>
    <w:rsid w:val="137C3ED7"/>
    <w:rsid w:val="13875789"/>
    <w:rsid w:val="13A15683"/>
    <w:rsid w:val="13AB2097"/>
    <w:rsid w:val="13B30435"/>
    <w:rsid w:val="13B760EF"/>
    <w:rsid w:val="13BD78D8"/>
    <w:rsid w:val="13D349D0"/>
    <w:rsid w:val="13E16A73"/>
    <w:rsid w:val="13F659C5"/>
    <w:rsid w:val="14041E0D"/>
    <w:rsid w:val="14182F54"/>
    <w:rsid w:val="144833B7"/>
    <w:rsid w:val="144C62D0"/>
    <w:rsid w:val="145B4E10"/>
    <w:rsid w:val="146F7D6E"/>
    <w:rsid w:val="147E21D4"/>
    <w:rsid w:val="1486121A"/>
    <w:rsid w:val="148A615F"/>
    <w:rsid w:val="149041CB"/>
    <w:rsid w:val="14AF0949"/>
    <w:rsid w:val="14CF4CBD"/>
    <w:rsid w:val="14EC4510"/>
    <w:rsid w:val="151817BE"/>
    <w:rsid w:val="15330BF1"/>
    <w:rsid w:val="153B0762"/>
    <w:rsid w:val="154537EB"/>
    <w:rsid w:val="154D0E60"/>
    <w:rsid w:val="15885A78"/>
    <w:rsid w:val="15991D45"/>
    <w:rsid w:val="159B1174"/>
    <w:rsid w:val="15AF3E66"/>
    <w:rsid w:val="15C141EF"/>
    <w:rsid w:val="15C67E0E"/>
    <w:rsid w:val="15CB47D8"/>
    <w:rsid w:val="15EB0168"/>
    <w:rsid w:val="15FC5295"/>
    <w:rsid w:val="16050331"/>
    <w:rsid w:val="1606186A"/>
    <w:rsid w:val="161511CC"/>
    <w:rsid w:val="163856A9"/>
    <w:rsid w:val="163C44A9"/>
    <w:rsid w:val="16461DB5"/>
    <w:rsid w:val="164819C1"/>
    <w:rsid w:val="165113E6"/>
    <w:rsid w:val="167229D2"/>
    <w:rsid w:val="167803F8"/>
    <w:rsid w:val="1688117F"/>
    <w:rsid w:val="168914EB"/>
    <w:rsid w:val="168E3802"/>
    <w:rsid w:val="16A57CA0"/>
    <w:rsid w:val="16B303AD"/>
    <w:rsid w:val="16C44802"/>
    <w:rsid w:val="16D95017"/>
    <w:rsid w:val="16F85CF0"/>
    <w:rsid w:val="16FC4234"/>
    <w:rsid w:val="1715257E"/>
    <w:rsid w:val="17211868"/>
    <w:rsid w:val="1723483A"/>
    <w:rsid w:val="174334D0"/>
    <w:rsid w:val="17453A34"/>
    <w:rsid w:val="174D5086"/>
    <w:rsid w:val="175E3A4B"/>
    <w:rsid w:val="177359D7"/>
    <w:rsid w:val="17774CC0"/>
    <w:rsid w:val="177B1039"/>
    <w:rsid w:val="1782143F"/>
    <w:rsid w:val="17835535"/>
    <w:rsid w:val="179A40B9"/>
    <w:rsid w:val="179A5ADE"/>
    <w:rsid w:val="17A73D0A"/>
    <w:rsid w:val="17B22545"/>
    <w:rsid w:val="17D31ADA"/>
    <w:rsid w:val="17ED7A31"/>
    <w:rsid w:val="17F45170"/>
    <w:rsid w:val="17F83C91"/>
    <w:rsid w:val="18087A0F"/>
    <w:rsid w:val="181125BE"/>
    <w:rsid w:val="18132CFE"/>
    <w:rsid w:val="181A36B1"/>
    <w:rsid w:val="18252320"/>
    <w:rsid w:val="182672D4"/>
    <w:rsid w:val="1827369A"/>
    <w:rsid w:val="1834723B"/>
    <w:rsid w:val="18404DAA"/>
    <w:rsid w:val="184C45F9"/>
    <w:rsid w:val="185C1B0C"/>
    <w:rsid w:val="18932FB4"/>
    <w:rsid w:val="189567EF"/>
    <w:rsid w:val="18AD07C8"/>
    <w:rsid w:val="18C003FC"/>
    <w:rsid w:val="18CE46A0"/>
    <w:rsid w:val="18D7538F"/>
    <w:rsid w:val="18DA2A41"/>
    <w:rsid w:val="18E04548"/>
    <w:rsid w:val="18E70F8C"/>
    <w:rsid w:val="18F802EE"/>
    <w:rsid w:val="1905770F"/>
    <w:rsid w:val="19096FAC"/>
    <w:rsid w:val="191519C2"/>
    <w:rsid w:val="191E28B9"/>
    <w:rsid w:val="19341BF0"/>
    <w:rsid w:val="194B1EFD"/>
    <w:rsid w:val="19624705"/>
    <w:rsid w:val="1971002C"/>
    <w:rsid w:val="197A6C6C"/>
    <w:rsid w:val="19895F6C"/>
    <w:rsid w:val="19965A91"/>
    <w:rsid w:val="1998707A"/>
    <w:rsid w:val="19A13193"/>
    <w:rsid w:val="19B470C0"/>
    <w:rsid w:val="19B60BA0"/>
    <w:rsid w:val="19C44550"/>
    <w:rsid w:val="19D466CE"/>
    <w:rsid w:val="19E67B09"/>
    <w:rsid w:val="19EB20F4"/>
    <w:rsid w:val="19EC70B6"/>
    <w:rsid w:val="1A06617A"/>
    <w:rsid w:val="1A2468E4"/>
    <w:rsid w:val="1A3A6206"/>
    <w:rsid w:val="1A446127"/>
    <w:rsid w:val="1A58006F"/>
    <w:rsid w:val="1A5906F7"/>
    <w:rsid w:val="1A5D2EAB"/>
    <w:rsid w:val="1A7E7040"/>
    <w:rsid w:val="1AB73E53"/>
    <w:rsid w:val="1AF1571B"/>
    <w:rsid w:val="1B13155D"/>
    <w:rsid w:val="1B1A1C9E"/>
    <w:rsid w:val="1B2A70D1"/>
    <w:rsid w:val="1B450A5C"/>
    <w:rsid w:val="1B4C5BCC"/>
    <w:rsid w:val="1B5D4B8A"/>
    <w:rsid w:val="1B715F4D"/>
    <w:rsid w:val="1B757835"/>
    <w:rsid w:val="1B776CB0"/>
    <w:rsid w:val="1B857826"/>
    <w:rsid w:val="1B986613"/>
    <w:rsid w:val="1B9F002B"/>
    <w:rsid w:val="1BCB6366"/>
    <w:rsid w:val="1BCC3AF7"/>
    <w:rsid w:val="1BDC73C4"/>
    <w:rsid w:val="1BE62B3C"/>
    <w:rsid w:val="1BFD2079"/>
    <w:rsid w:val="1C184809"/>
    <w:rsid w:val="1C235959"/>
    <w:rsid w:val="1C30412F"/>
    <w:rsid w:val="1C3E70D4"/>
    <w:rsid w:val="1C4F4C54"/>
    <w:rsid w:val="1C7D3BE4"/>
    <w:rsid w:val="1CAC1787"/>
    <w:rsid w:val="1CBD6FB1"/>
    <w:rsid w:val="1CC35655"/>
    <w:rsid w:val="1CCD1CE2"/>
    <w:rsid w:val="1CE202A4"/>
    <w:rsid w:val="1CE41D5D"/>
    <w:rsid w:val="1CE90D64"/>
    <w:rsid w:val="1CE93B6F"/>
    <w:rsid w:val="1D212D25"/>
    <w:rsid w:val="1D2E027E"/>
    <w:rsid w:val="1D361D08"/>
    <w:rsid w:val="1D367E15"/>
    <w:rsid w:val="1D4C6A94"/>
    <w:rsid w:val="1D510ED5"/>
    <w:rsid w:val="1D726A71"/>
    <w:rsid w:val="1D89190B"/>
    <w:rsid w:val="1D8A119D"/>
    <w:rsid w:val="1DAE1AB8"/>
    <w:rsid w:val="1DE00A8D"/>
    <w:rsid w:val="1DE1614E"/>
    <w:rsid w:val="1DE552D3"/>
    <w:rsid w:val="1DEE2ACE"/>
    <w:rsid w:val="1E077654"/>
    <w:rsid w:val="1E0C6557"/>
    <w:rsid w:val="1E1943C1"/>
    <w:rsid w:val="1E1B2792"/>
    <w:rsid w:val="1E41466F"/>
    <w:rsid w:val="1E464348"/>
    <w:rsid w:val="1E6651FC"/>
    <w:rsid w:val="1E79412D"/>
    <w:rsid w:val="1E7B0CFD"/>
    <w:rsid w:val="1E7D5094"/>
    <w:rsid w:val="1E805CA7"/>
    <w:rsid w:val="1E843F72"/>
    <w:rsid w:val="1E8B62A6"/>
    <w:rsid w:val="1E9254D7"/>
    <w:rsid w:val="1E981661"/>
    <w:rsid w:val="1EA15922"/>
    <w:rsid w:val="1ECA6866"/>
    <w:rsid w:val="1ED11B82"/>
    <w:rsid w:val="1EDE19E4"/>
    <w:rsid w:val="1EE421C5"/>
    <w:rsid w:val="1EF16E54"/>
    <w:rsid w:val="1F17517D"/>
    <w:rsid w:val="1F2365F4"/>
    <w:rsid w:val="1F315788"/>
    <w:rsid w:val="1F453F84"/>
    <w:rsid w:val="1F4973ED"/>
    <w:rsid w:val="1F553E2F"/>
    <w:rsid w:val="1F580C82"/>
    <w:rsid w:val="1F5829F4"/>
    <w:rsid w:val="1F5A6208"/>
    <w:rsid w:val="1F6574C6"/>
    <w:rsid w:val="1F7B20A9"/>
    <w:rsid w:val="1F845D08"/>
    <w:rsid w:val="1F881D89"/>
    <w:rsid w:val="1FAA5DD6"/>
    <w:rsid w:val="1FAF0942"/>
    <w:rsid w:val="1FAF5167"/>
    <w:rsid w:val="1FCD617F"/>
    <w:rsid w:val="1FD707BC"/>
    <w:rsid w:val="1FE9426E"/>
    <w:rsid w:val="1FED7649"/>
    <w:rsid w:val="1FEE3BD2"/>
    <w:rsid w:val="20042ED5"/>
    <w:rsid w:val="20054C5A"/>
    <w:rsid w:val="2014406C"/>
    <w:rsid w:val="20217476"/>
    <w:rsid w:val="20253EF7"/>
    <w:rsid w:val="203B4492"/>
    <w:rsid w:val="203B5610"/>
    <w:rsid w:val="20417DA2"/>
    <w:rsid w:val="2065159D"/>
    <w:rsid w:val="207D6583"/>
    <w:rsid w:val="20A23922"/>
    <w:rsid w:val="20A6000F"/>
    <w:rsid w:val="20A60688"/>
    <w:rsid w:val="20F27E8A"/>
    <w:rsid w:val="20F67FC1"/>
    <w:rsid w:val="20F90C00"/>
    <w:rsid w:val="20FC597D"/>
    <w:rsid w:val="21025D62"/>
    <w:rsid w:val="21307C66"/>
    <w:rsid w:val="21393507"/>
    <w:rsid w:val="214910EA"/>
    <w:rsid w:val="21596E5A"/>
    <w:rsid w:val="215D77FE"/>
    <w:rsid w:val="21622215"/>
    <w:rsid w:val="21681327"/>
    <w:rsid w:val="21721BEC"/>
    <w:rsid w:val="21840E7A"/>
    <w:rsid w:val="218B1034"/>
    <w:rsid w:val="21AF1C9C"/>
    <w:rsid w:val="21B557D3"/>
    <w:rsid w:val="21E13487"/>
    <w:rsid w:val="21EA1756"/>
    <w:rsid w:val="21F40A38"/>
    <w:rsid w:val="220878FC"/>
    <w:rsid w:val="220E12BC"/>
    <w:rsid w:val="220F50EB"/>
    <w:rsid w:val="2231778C"/>
    <w:rsid w:val="22855AF1"/>
    <w:rsid w:val="22914ADF"/>
    <w:rsid w:val="22BA4C43"/>
    <w:rsid w:val="22D0217F"/>
    <w:rsid w:val="22DC5FAE"/>
    <w:rsid w:val="22F249B0"/>
    <w:rsid w:val="22FC4B6D"/>
    <w:rsid w:val="231C619B"/>
    <w:rsid w:val="23220E7E"/>
    <w:rsid w:val="233F019B"/>
    <w:rsid w:val="23443BD0"/>
    <w:rsid w:val="2355018A"/>
    <w:rsid w:val="236D1DB2"/>
    <w:rsid w:val="237E5EA2"/>
    <w:rsid w:val="23B25199"/>
    <w:rsid w:val="23B642C4"/>
    <w:rsid w:val="23CE0E4E"/>
    <w:rsid w:val="23D22A43"/>
    <w:rsid w:val="23D74580"/>
    <w:rsid w:val="23E70045"/>
    <w:rsid w:val="23F11755"/>
    <w:rsid w:val="23F44BAF"/>
    <w:rsid w:val="23FC04E9"/>
    <w:rsid w:val="242476EE"/>
    <w:rsid w:val="24273D0F"/>
    <w:rsid w:val="24346C90"/>
    <w:rsid w:val="24510C3D"/>
    <w:rsid w:val="245A29A6"/>
    <w:rsid w:val="246E0CFF"/>
    <w:rsid w:val="2473189A"/>
    <w:rsid w:val="248E7F15"/>
    <w:rsid w:val="249B6AB5"/>
    <w:rsid w:val="24AE73FE"/>
    <w:rsid w:val="251502C9"/>
    <w:rsid w:val="25150DBB"/>
    <w:rsid w:val="25156117"/>
    <w:rsid w:val="25253BE2"/>
    <w:rsid w:val="25342D4E"/>
    <w:rsid w:val="25572D37"/>
    <w:rsid w:val="2579342C"/>
    <w:rsid w:val="258235A0"/>
    <w:rsid w:val="25872C8B"/>
    <w:rsid w:val="258D149C"/>
    <w:rsid w:val="25905840"/>
    <w:rsid w:val="259F4736"/>
    <w:rsid w:val="25A12514"/>
    <w:rsid w:val="25BB02B9"/>
    <w:rsid w:val="25DD0600"/>
    <w:rsid w:val="25E263FB"/>
    <w:rsid w:val="25ED15AC"/>
    <w:rsid w:val="25F321EE"/>
    <w:rsid w:val="25FF3CC1"/>
    <w:rsid w:val="260F138F"/>
    <w:rsid w:val="261C6307"/>
    <w:rsid w:val="263230B7"/>
    <w:rsid w:val="2641090B"/>
    <w:rsid w:val="26457CA0"/>
    <w:rsid w:val="264F464D"/>
    <w:rsid w:val="266119A1"/>
    <w:rsid w:val="266D0A3E"/>
    <w:rsid w:val="26783D78"/>
    <w:rsid w:val="268041CA"/>
    <w:rsid w:val="26863A24"/>
    <w:rsid w:val="268C0F21"/>
    <w:rsid w:val="26941DFA"/>
    <w:rsid w:val="26962414"/>
    <w:rsid w:val="269C37BC"/>
    <w:rsid w:val="270A6D47"/>
    <w:rsid w:val="271B4E7F"/>
    <w:rsid w:val="274919AB"/>
    <w:rsid w:val="276C6B0A"/>
    <w:rsid w:val="277B77A6"/>
    <w:rsid w:val="2787541A"/>
    <w:rsid w:val="279A4577"/>
    <w:rsid w:val="27A43D6D"/>
    <w:rsid w:val="27B1152F"/>
    <w:rsid w:val="27C00AE8"/>
    <w:rsid w:val="27C07B21"/>
    <w:rsid w:val="27CC27E2"/>
    <w:rsid w:val="27FD5092"/>
    <w:rsid w:val="28015598"/>
    <w:rsid w:val="281A5014"/>
    <w:rsid w:val="28293533"/>
    <w:rsid w:val="282D757C"/>
    <w:rsid w:val="283A4207"/>
    <w:rsid w:val="287A70C5"/>
    <w:rsid w:val="287C249F"/>
    <w:rsid w:val="288B7868"/>
    <w:rsid w:val="289F6F3C"/>
    <w:rsid w:val="28A46635"/>
    <w:rsid w:val="28A833C5"/>
    <w:rsid w:val="28A85E43"/>
    <w:rsid w:val="28B004FE"/>
    <w:rsid w:val="28DD2A1C"/>
    <w:rsid w:val="28F656F6"/>
    <w:rsid w:val="28FD3D62"/>
    <w:rsid w:val="291406BF"/>
    <w:rsid w:val="29160B98"/>
    <w:rsid w:val="291672CF"/>
    <w:rsid w:val="292C644C"/>
    <w:rsid w:val="293C20D5"/>
    <w:rsid w:val="294A1C32"/>
    <w:rsid w:val="29554982"/>
    <w:rsid w:val="296C1232"/>
    <w:rsid w:val="297375C7"/>
    <w:rsid w:val="297C4E25"/>
    <w:rsid w:val="29822059"/>
    <w:rsid w:val="29935753"/>
    <w:rsid w:val="29A64DC4"/>
    <w:rsid w:val="29D512E5"/>
    <w:rsid w:val="29D711F7"/>
    <w:rsid w:val="29EB70F8"/>
    <w:rsid w:val="29F10318"/>
    <w:rsid w:val="29F9364E"/>
    <w:rsid w:val="2A0044AF"/>
    <w:rsid w:val="2A1647AC"/>
    <w:rsid w:val="2A23438B"/>
    <w:rsid w:val="2A310FB1"/>
    <w:rsid w:val="2A394A22"/>
    <w:rsid w:val="2A3A7CD8"/>
    <w:rsid w:val="2A5862CA"/>
    <w:rsid w:val="2A6241D3"/>
    <w:rsid w:val="2A7004F8"/>
    <w:rsid w:val="2A79661C"/>
    <w:rsid w:val="2A922CA8"/>
    <w:rsid w:val="2A974ED7"/>
    <w:rsid w:val="2AD33EA2"/>
    <w:rsid w:val="2AE5049A"/>
    <w:rsid w:val="2B050124"/>
    <w:rsid w:val="2B1D1A5D"/>
    <w:rsid w:val="2B2428B1"/>
    <w:rsid w:val="2B363AA1"/>
    <w:rsid w:val="2B692D42"/>
    <w:rsid w:val="2B6F349A"/>
    <w:rsid w:val="2B87265C"/>
    <w:rsid w:val="2BA17843"/>
    <w:rsid w:val="2BA36E76"/>
    <w:rsid w:val="2BAA0847"/>
    <w:rsid w:val="2BC75E2A"/>
    <w:rsid w:val="2BD012FD"/>
    <w:rsid w:val="2BE51DC4"/>
    <w:rsid w:val="2C027CAD"/>
    <w:rsid w:val="2C0A5D9B"/>
    <w:rsid w:val="2C0C7075"/>
    <w:rsid w:val="2C124199"/>
    <w:rsid w:val="2C152862"/>
    <w:rsid w:val="2C2D544E"/>
    <w:rsid w:val="2C2F1063"/>
    <w:rsid w:val="2C557DA4"/>
    <w:rsid w:val="2C6A04DE"/>
    <w:rsid w:val="2C77772E"/>
    <w:rsid w:val="2C7F6F8A"/>
    <w:rsid w:val="2C914F62"/>
    <w:rsid w:val="2C946171"/>
    <w:rsid w:val="2C947E77"/>
    <w:rsid w:val="2C9F2CB0"/>
    <w:rsid w:val="2CA701A4"/>
    <w:rsid w:val="2CB640B9"/>
    <w:rsid w:val="2CBE6C13"/>
    <w:rsid w:val="2CBF2AE4"/>
    <w:rsid w:val="2CC36A10"/>
    <w:rsid w:val="2CD21261"/>
    <w:rsid w:val="2CDF4607"/>
    <w:rsid w:val="2CE17A60"/>
    <w:rsid w:val="2CE75080"/>
    <w:rsid w:val="2CF513D0"/>
    <w:rsid w:val="2D140EFA"/>
    <w:rsid w:val="2D172FE9"/>
    <w:rsid w:val="2D173FEE"/>
    <w:rsid w:val="2D181E39"/>
    <w:rsid w:val="2D2C49B9"/>
    <w:rsid w:val="2D323388"/>
    <w:rsid w:val="2D397C4B"/>
    <w:rsid w:val="2D3E013B"/>
    <w:rsid w:val="2D6547CC"/>
    <w:rsid w:val="2D90087F"/>
    <w:rsid w:val="2D9147F2"/>
    <w:rsid w:val="2D977036"/>
    <w:rsid w:val="2DA15AA3"/>
    <w:rsid w:val="2DAC1E46"/>
    <w:rsid w:val="2DC454B3"/>
    <w:rsid w:val="2DD326DA"/>
    <w:rsid w:val="2DD959C6"/>
    <w:rsid w:val="2DD970AE"/>
    <w:rsid w:val="2DDD15C1"/>
    <w:rsid w:val="2DE01C7C"/>
    <w:rsid w:val="2E166225"/>
    <w:rsid w:val="2E1C1933"/>
    <w:rsid w:val="2E251700"/>
    <w:rsid w:val="2E2D5450"/>
    <w:rsid w:val="2E3123F6"/>
    <w:rsid w:val="2E636B01"/>
    <w:rsid w:val="2E870105"/>
    <w:rsid w:val="2E9C6DA3"/>
    <w:rsid w:val="2EA814DD"/>
    <w:rsid w:val="2EB76CB9"/>
    <w:rsid w:val="2EBA03AB"/>
    <w:rsid w:val="2EBD4993"/>
    <w:rsid w:val="2EC73EA9"/>
    <w:rsid w:val="2ECB6019"/>
    <w:rsid w:val="2ECF376B"/>
    <w:rsid w:val="2EDB6A9F"/>
    <w:rsid w:val="2EE73008"/>
    <w:rsid w:val="2EF72D93"/>
    <w:rsid w:val="2F076676"/>
    <w:rsid w:val="2F1A5DD2"/>
    <w:rsid w:val="2F3934D8"/>
    <w:rsid w:val="2F4735B7"/>
    <w:rsid w:val="2F5C135F"/>
    <w:rsid w:val="2F760291"/>
    <w:rsid w:val="2F8A30A2"/>
    <w:rsid w:val="2F9608A4"/>
    <w:rsid w:val="2F9A069B"/>
    <w:rsid w:val="2F9E0B8A"/>
    <w:rsid w:val="2F9F20D0"/>
    <w:rsid w:val="2FA364E2"/>
    <w:rsid w:val="2FA67A09"/>
    <w:rsid w:val="2FAE1E83"/>
    <w:rsid w:val="2FC366BB"/>
    <w:rsid w:val="2FD243F8"/>
    <w:rsid w:val="2FDF5D5E"/>
    <w:rsid w:val="2FED2570"/>
    <w:rsid w:val="2FF26AC3"/>
    <w:rsid w:val="30195F7F"/>
    <w:rsid w:val="301B7A9C"/>
    <w:rsid w:val="301E2499"/>
    <w:rsid w:val="3028035A"/>
    <w:rsid w:val="30AB6CFB"/>
    <w:rsid w:val="30B228FE"/>
    <w:rsid w:val="30B61E3E"/>
    <w:rsid w:val="30BC0335"/>
    <w:rsid w:val="30C31D3B"/>
    <w:rsid w:val="30E51DAC"/>
    <w:rsid w:val="30EA0C39"/>
    <w:rsid w:val="30F13DE3"/>
    <w:rsid w:val="31156B00"/>
    <w:rsid w:val="312E503E"/>
    <w:rsid w:val="31365872"/>
    <w:rsid w:val="313B36E4"/>
    <w:rsid w:val="313C4A3D"/>
    <w:rsid w:val="314B23EB"/>
    <w:rsid w:val="3157709C"/>
    <w:rsid w:val="31607511"/>
    <w:rsid w:val="31883114"/>
    <w:rsid w:val="319F75B5"/>
    <w:rsid w:val="31A248F4"/>
    <w:rsid w:val="31B471EC"/>
    <w:rsid w:val="31D53D01"/>
    <w:rsid w:val="31DE5B9C"/>
    <w:rsid w:val="31E352E9"/>
    <w:rsid w:val="32000F1A"/>
    <w:rsid w:val="32067ECC"/>
    <w:rsid w:val="3211486D"/>
    <w:rsid w:val="32277C36"/>
    <w:rsid w:val="32507F57"/>
    <w:rsid w:val="325A452C"/>
    <w:rsid w:val="325C7CB9"/>
    <w:rsid w:val="326605CD"/>
    <w:rsid w:val="326E1E8D"/>
    <w:rsid w:val="328A0122"/>
    <w:rsid w:val="329B11E9"/>
    <w:rsid w:val="32A1357D"/>
    <w:rsid w:val="32AA11C6"/>
    <w:rsid w:val="32B35014"/>
    <w:rsid w:val="32BD0AF3"/>
    <w:rsid w:val="32D220B4"/>
    <w:rsid w:val="32E63B2B"/>
    <w:rsid w:val="32EB5FEE"/>
    <w:rsid w:val="331731F7"/>
    <w:rsid w:val="331F7360"/>
    <w:rsid w:val="33225C5B"/>
    <w:rsid w:val="3323120E"/>
    <w:rsid w:val="33540926"/>
    <w:rsid w:val="3356338A"/>
    <w:rsid w:val="33573392"/>
    <w:rsid w:val="337313A0"/>
    <w:rsid w:val="337500F7"/>
    <w:rsid w:val="3391118A"/>
    <w:rsid w:val="33A4795F"/>
    <w:rsid w:val="33B82143"/>
    <w:rsid w:val="33CB14D8"/>
    <w:rsid w:val="33D85083"/>
    <w:rsid w:val="33FC58BD"/>
    <w:rsid w:val="33FE5D8C"/>
    <w:rsid w:val="34064755"/>
    <w:rsid w:val="341576CF"/>
    <w:rsid w:val="34196A87"/>
    <w:rsid w:val="34242427"/>
    <w:rsid w:val="34247418"/>
    <w:rsid w:val="34261207"/>
    <w:rsid w:val="34277194"/>
    <w:rsid w:val="342C0CE7"/>
    <w:rsid w:val="342F15C5"/>
    <w:rsid w:val="34394275"/>
    <w:rsid w:val="34643152"/>
    <w:rsid w:val="34761019"/>
    <w:rsid w:val="347E3190"/>
    <w:rsid w:val="34984854"/>
    <w:rsid w:val="34A63B37"/>
    <w:rsid w:val="34C1549C"/>
    <w:rsid w:val="34C371FC"/>
    <w:rsid w:val="34C74989"/>
    <w:rsid w:val="34DF4044"/>
    <w:rsid w:val="35041917"/>
    <w:rsid w:val="354B72F4"/>
    <w:rsid w:val="355C07B7"/>
    <w:rsid w:val="355F4BBC"/>
    <w:rsid w:val="357834BB"/>
    <w:rsid w:val="35816225"/>
    <w:rsid w:val="35853C9E"/>
    <w:rsid w:val="359D2896"/>
    <w:rsid w:val="35A32A18"/>
    <w:rsid w:val="35B06DFA"/>
    <w:rsid w:val="35C273DD"/>
    <w:rsid w:val="35C33C76"/>
    <w:rsid w:val="35CA5CA6"/>
    <w:rsid w:val="35E04431"/>
    <w:rsid w:val="35E54A91"/>
    <w:rsid w:val="35EE4577"/>
    <w:rsid w:val="35F344B1"/>
    <w:rsid w:val="36044E3C"/>
    <w:rsid w:val="362B47B9"/>
    <w:rsid w:val="363B5EDC"/>
    <w:rsid w:val="363F2604"/>
    <w:rsid w:val="364018B2"/>
    <w:rsid w:val="365E4107"/>
    <w:rsid w:val="36780F39"/>
    <w:rsid w:val="36801D3F"/>
    <w:rsid w:val="36B27329"/>
    <w:rsid w:val="36BB4116"/>
    <w:rsid w:val="36D26A2A"/>
    <w:rsid w:val="36DB7F4A"/>
    <w:rsid w:val="36E70942"/>
    <w:rsid w:val="36FD6505"/>
    <w:rsid w:val="3700025C"/>
    <w:rsid w:val="371274E6"/>
    <w:rsid w:val="37242940"/>
    <w:rsid w:val="37345168"/>
    <w:rsid w:val="37401690"/>
    <w:rsid w:val="374534CC"/>
    <w:rsid w:val="375D7EB7"/>
    <w:rsid w:val="375F0CDD"/>
    <w:rsid w:val="37614A3F"/>
    <w:rsid w:val="37616D4C"/>
    <w:rsid w:val="377C5E81"/>
    <w:rsid w:val="37A66ED4"/>
    <w:rsid w:val="37BF1327"/>
    <w:rsid w:val="37C63CF7"/>
    <w:rsid w:val="37C76775"/>
    <w:rsid w:val="37C84AD1"/>
    <w:rsid w:val="37DD3380"/>
    <w:rsid w:val="37EC53C1"/>
    <w:rsid w:val="38123580"/>
    <w:rsid w:val="38130058"/>
    <w:rsid w:val="381419B8"/>
    <w:rsid w:val="382A721F"/>
    <w:rsid w:val="385711EF"/>
    <w:rsid w:val="386827DD"/>
    <w:rsid w:val="387039AC"/>
    <w:rsid w:val="38782CE4"/>
    <w:rsid w:val="3885052B"/>
    <w:rsid w:val="38A46202"/>
    <w:rsid w:val="38CA2666"/>
    <w:rsid w:val="38CA6755"/>
    <w:rsid w:val="38D7103F"/>
    <w:rsid w:val="3901192F"/>
    <w:rsid w:val="39066110"/>
    <w:rsid w:val="39114282"/>
    <w:rsid w:val="391945A9"/>
    <w:rsid w:val="39483BAE"/>
    <w:rsid w:val="395F05E3"/>
    <w:rsid w:val="396450E9"/>
    <w:rsid w:val="39727AA9"/>
    <w:rsid w:val="397606B0"/>
    <w:rsid w:val="397A33D7"/>
    <w:rsid w:val="397F13C3"/>
    <w:rsid w:val="398E4913"/>
    <w:rsid w:val="399D610C"/>
    <w:rsid w:val="39A64342"/>
    <w:rsid w:val="39A874DD"/>
    <w:rsid w:val="39C12496"/>
    <w:rsid w:val="39C2072F"/>
    <w:rsid w:val="39D73E5F"/>
    <w:rsid w:val="39FA49D3"/>
    <w:rsid w:val="39FD117A"/>
    <w:rsid w:val="3A15364A"/>
    <w:rsid w:val="3A2272BE"/>
    <w:rsid w:val="3A673B6F"/>
    <w:rsid w:val="3A8340FE"/>
    <w:rsid w:val="3A886A09"/>
    <w:rsid w:val="3A8B38F6"/>
    <w:rsid w:val="3A8F219F"/>
    <w:rsid w:val="3AB213E6"/>
    <w:rsid w:val="3AB6091F"/>
    <w:rsid w:val="3ADF4102"/>
    <w:rsid w:val="3AE8269D"/>
    <w:rsid w:val="3AF26D7B"/>
    <w:rsid w:val="3AF67FC7"/>
    <w:rsid w:val="3B0759D4"/>
    <w:rsid w:val="3B1D513E"/>
    <w:rsid w:val="3B1E016E"/>
    <w:rsid w:val="3B476563"/>
    <w:rsid w:val="3B511F17"/>
    <w:rsid w:val="3B540900"/>
    <w:rsid w:val="3B56673C"/>
    <w:rsid w:val="3B5705BB"/>
    <w:rsid w:val="3B5A0885"/>
    <w:rsid w:val="3B65294F"/>
    <w:rsid w:val="3B675091"/>
    <w:rsid w:val="3B8C2C13"/>
    <w:rsid w:val="3B985AA5"/>
    <w:rsid w:val="3B9A739A"/>
    <w:rsid w:val="3BA20149"/>
    <w:rsid w:val="3BAB53C9"/>
    <w:rsid w:val="3BCB362F"/>
    <w:rsid w:val="3BD22D55"/>
    <w:rsid w:val="3BDB2EEF"/>
    <w:rsid w:val="3C3708E7"/>
    <w:rsid w:val="3C4F3F72"/>
    <w:rsid w:val="3C677387"/>
    <w:rsid w:val="3C6B3B29"/>
    <w:rsid w:val="3C7112B7"/>
    <w:rsid w:val="3C727617"/>
    <w:rsid w:val="3C783706"/>
    <w:rsid w:val="3C87293A"/>
    <w:rsid w:val="3C8B06ED"/>
    <w:rsid w:val="3C9D212E"/>
    <w:rsid w:val="3CA36354"/>
    <w:rsid w:val="3CC96BE4"/>
    <w:rsid w:val="3CD84852"/>
    <w:rsid w:val="3CEE36F1"/>
    <w:rsid w:val="3D046D77"/>
    <w:rsid w:val="3D1A2044"/>
    <w:rsid w:val="3D2B7854"/>
    <w:rsid w:val="3D467BCB"/>
    <w:rsid w:val="3D6F73E0"/>
    <w:rsid w:val="3D735FA5"/>
    <w:rsid w:val="3D884F51"/>
    <w:rsid w:val="3DAC6C32"/>
    <w:rsid w:val="3DB723ED"/>
    <w:rsid w:val="3DC245A2"/>
    <w:rsid w:val="3DD75647"/>
    <w:rsid w:val="3DE428B5"/>
    <w:rsid w:val="3DF75D25"/>
    <w:rsid w:val="3DFD6F25"/>
    <w:rsid w:val="3E1572D3"/>
    <w:rsid w:val="3E351033"/>
    <w:rsid w:val="3E4C37F6"/>
    <w:rsid w:val="3E4F72B6"/>
    <w:rsid w:val="3E5500E7"/>
    <w:rsid w:val="3E5934F2"/>
    <w:rsid w:val="3E5C5D74"/>
    <w:rsid w:val="3E6A246C"/>
    <w:rsid w:val="3E820D3D"/>
    <w:rsid w:val="3E9472CE"/>
    <w:rsid w:val="3E9B6736"/>
    <w:rsid w:val="3EA17D3A"/>
    <w:rsid w:val="3EA77B35"/>
    <w:rsid w:val="3EAA0D8F"/>
    <w:rsid w:val="3EAC3165"/>
    <w:rsid w:val="3EB06B08"/>
    <w:rsid w:val="3EBF43D3"/>
    <w:rsid w:val="3EDC73E1"/>
    <w:rsid w:val="3EF87521"/>
    <w:rsid w:val="3F115B6D"/>
    <w:rsid w:val="3F18342D"/>
    <w:rsid w:val="3F3F3803"/>
    <w:rsid w:val="3F530C58"/>
    <w:rsid w:val="3F557D97"/>
    <w:rsid w:val="3F746239"/>
    <w:rsid w:val="3F8302D3"/>
    <w:rsid w:val="3F8554A5"/>
    <w:rsid w:val="3FB833C7"/>
    <w:rsid w:val="3FBC1C4C"/>
    <w:rsid w:val="3FBD36F4"/>
    <w:rsid w:val="3FCB344E"/>
    <w:rsid w:val="3FD17E5E"/>
    <w:rsid w:val="3FD60D45"/>
    <w:rsid w:val="3FDD55F5"/>
    <w:rsid w:val="4001617F"/>
    <w:rsid w:val="400E77BE"/>
    <w:rsid w:val="406F5F5C"/>
    <w:rsid w:val="40817ED3"/>
    <w:rsid w:val="40A149C9"/>
    <w:rsid w:val="40AC2E40"/>
    <w:rsid w:val="40C93BA8"/>
    <w:rsid w:val="411B6902"/>
    <w:rsid w:val="412D10F9"/>
    <w:rsid w:val="412E71A9"/>
    <w:rsid w:val="413A3BF1"/>
    <w:rsid w:val="41445A13"/>
    <w:rsid w:val="4151742B"/>
    <w:rsid w:val="415D3082"/>
    <w:rsid w:val="41640836"/>
    <w:rsid w:val="416811E1"/>
    <w:rsid w:val="416878D4"/>
    <w:rsid w:val="417276F3"/>
    <w:rsid w:val="418264D6"/>
    <w:rsid w:val="41961DB4"/>
    <w:rsid w:val="41963037"/>
    <w:rsid w:val="41992B77"/>
    <w:rsid w:val="419C0789"/>
    <w:rsid w:val="41AF76EA"/>
    <w:rsid w:val="41B90D8D"/>
    <w:rsid w:val="41BA1B40"/>
    <w:rsid w:val="41D0043F"/>
    <w:rsid w:val="41DA6FE5"/>
    <w:rsid w:val="41DD3D47"/>
    <w:rsid w:val="41DF083D"/>
    <w:rsid w:val="41E62CA8"/>
    <w:rsid w:val="41EF6BBC"/>
    <w:rsid w:val="420F7EE3"/>
    <w:rsid w:val="42147B04"/>
    <w:rsid w:val="421A53CC"/>
    <w:rsid w:val="421B2315"/>
    <w:rsid w:val="425C4A44"/>
    <w:rsid w:val="426528EA"/>
    <w:rsid w:val="426A6C13"/>
    <w:rsid w:val="426C40B0"/>
    <w:rsid w:val="429C4E68"/>
    <w:rsid w:val="42A5004B"/>
    <w:rsid w:val="42AA302E"/>
    <w:rsid w:val="42D60E65"/>
    <w:rsid w:val="42DC4021"/>
    <w:rsid w:val="42F85A42"/>
    <w:rsid w:val="42FB004A"/>
    <w:rsid w:val="432B3EBC"/>
    <w:rsid w:val="434117A8"/>
    <w:rsid w:val="43420BE1"/>
    <w:rsid w:val="435C61B0"/>
    <w:rsid w:val="43845C5D"/>
    <w:rsid w:val="4387725A"/>
    <w:rsid w:val="438C771C"/>
    <w:rsid w:val="43A63AAD"/>
    <w:rsid w:val="43A810F5"/>
    <w:rsid w:val="43AE0603"/>
    <w:rsid w:val="43B948F4"/>
    <w:rsid w:val="43BD7DA7"/>
    <w:rsid w:val="43D64E12"/>
    <w:rsid w:val="43DA64BF"/>
    <w:rsid w:val="43DF3094"/>
    <w:rsid w:val="442618C5"/>
    <w:rsid w:val="442B77C6"/>
    <w:rsid w:val="442F750C"/>
    <w:rsid w:val="44461AFC"/>
    <w:rsid w:val="444D3A04"/>
    <w:rsid w:val="4451280A"/>
    <w:rsid w:val="445A7486"/>
    <w:rsid w:val="446409D8"/>
    <w:rsid w:val="44745027"/>
    <w:rsid w:val="448B4DFE"/>
    <w:rsid w:val="44912034"/>
    <w:rsid w:val="449A00D1"/>
    <w:rsid w:val="44A12999"/>
    <w:rsid w:val="44B1378A"/>
    <w:rsid w:val="44B336EF"/>
    <w:rsid w:val="44BD3F81"/>
    <w:rsid w:val="44CA577C"/>
    <w:rsid w:val="44D90ABD"/>
    <w:rsid w:val="44DC4CC9"/>
    <w:rsid w:val="44ED2D87"/>
    <w:rsid w:val="44F74A4E"/>
    <w:rsid w:val="450508AF"/>
    <w:rsid w:val="4550510D"/>
    <w:rsid w:val="45555E13"/>
    <w:rsid w:val="45607B0B"/>
    <w:rsid w:val="45D87F24"/>
    <w:rsid w:val="45DC14DF"/>
    <w:rsid w:val="45E35706"/>
    <w:rsid w:val="460A3BA1"/>
    <w:rsid w:val="4638735A"/>
    <w:rsid w:val="46412371"/>
    <w:rsid w:val="464D79D6"/>
    <w:rsid w:val="465712E7"/>
    <w:rsid w:val="46580C1E"/>
    <w:rsid w:val="467A4BD0"/>
    <w:rsid w:val="46A64E62"/>
    <w:rsid w:val="46BD232F"/>
    <w:rsid w:val="46C01040"/>
    <w:rsid w:val="46C07460"/>
    <w:rsid w:val="46CF0091"/>
    <w:rsid w:val="46E206AF"/>
    <w:rsid w:val="46E30372"/>
    <w:rsid w:val="46EC0422"/>
    <w:rsid w:val="470665E6"/>
    <w:rsid w:val="470C6864"/>
    <w:rsid w:val="4710160B"/>
    <w:rsid w:val="472043C0"/>
    <w:rsid w:val="472077CE"/>
    <w:rsid w:val="47227ACB"/>
    <w:rsid w:val="473830F8"/>
    <w:rsid w:val="47444805"/>
    <w:rsid w:val="47535645"/>
    <w:rsid w:val="47565861"/>
    <w:rsid w:val="4764441E"/>
    <w:rsid w:val="47683ECB"/>
    <w:rsid w:val="476938F6"/>
    <w:rsid w:val="476F78C5"/>
    <w:rsid w:val="477758E9"/>
    <w:rsid w:val="477C1757"/>
    <w:rsid w:val="47CC3244"/>
    <w:rsid w:val="48150F23"/>
    <w:rsid w:val="481B355D"/>
    <w:rsid w:val="482A4603"/>
    <w:rsid w:val="48363C47"/>
    <w:rsid w:val="483F396E"/>
    <w:rsid w:val="485503E9"/>
    <w:rsid w:val="4855562B"/>
    <w:rsid w:val="48591C0F"/>
    <w:rsid w:val="486E2C17"/>
    <w:rsid w:val="4871460F"/>
    <w:rsid w:val="488E3E2C"/>
    <w:rsid w:val="48A14A1E"/>
    <w:rsid w:val="48BE5E59"/>
    <w:rsid w:val="48D46CAB"/>
    <w:rsid w:val="48D74EB1"/>
    <w:rsid w:val="48E11A08"/>
    <w:rsid w:val="48F83D7D"/>
    <w:rsid w:val="491C1C48"/>
    <w:rsid w:val="49257E62"/>
    <w:rsid w:val="495B5A5B"/>
    <w:rsid w:val="49922FFC"/>
    <w:rsid w:val="49A21247"/>
    <w:rsid w:val="49AA3DE6"/>
    <w:rsid w:val="49CB0EC9"/>
    <w:rsid w:val="49EB12D5"/>
    <w:rsid w:val="4A0C52B3"/>
    <w:rsid w:val="4A137BDD"/>
    <w:rsid w:val="4A1C3430"/>
    <w:rsid w:val="4A4D5161"/>
    <w:rsid w:val="4A60564A"/>
    <w:rsid w:val="4A682FFF"/>
    <w:rsid w:val="4A7A362A"/>
    <w:rsid w:val="4A7D53EC"/>
    <w:rsid w:val="4A94627D"/>
    <w:rsid w:val="4ACE59D8"/>
    <w:rsid w:val="4AD03ECF"/>
    <w:rsid w:val="4AD43598"/>
    <w:rsid w:val="4AD762BC"/>
    <w:rsid w:val="4B5278CC"/>
    <w:rsid w:val="4B7B3501"/>
    <w:rsid w:val="4B9A5DA4"/>
    <w:rsid w:val="4BA5070E"/>
    <w:rsid w:val="4BA63DAF"/>
    <w:rsid w:val="4BAE44FB"/>
    <w:rsid w:val="4BBB281D"/>
    <w:rsid w:val="4BC839F0"/>
    <w:rsid w:val="4BD244CC"/>
    <w:rsid w:val="4BF95712"/>
    <w:rsid w:val="4C0360C1"/>
    <w:rsid w:val="4C0500FF"/>
    <w:rsid w:val="4C0E6D42"/>
    <w:rsid w:val="4C157799"/>
    <w:rsid w:val="4C373DEA"/>
    <w:rsid w:val="4C5A4495"/>
    <w:rsid w:val="4C6E3DB0"/>
    <w:rsid w:val="4C8772A3"/>
    <w:rsid w:val="4C884A60"/>
    <w:rsid w:val="4CA44EE2"/>
    <w:rsid w:val="4CB27C5D"/>
    <w:rsid w:val="4CBE3750"/>
    <w:rsid w:val="4CC230CA"/>
    <w:rsid w:val="4CC50B9D"/>
    <w:rsid w:val="4CDE02CC"/>
    <w:rsid w:val="4CEC2DA4"/>
    <w:rsid w:val="4CF91623"/>
    <w:rsid w:val="4D180597"/>
    <w:rsid w:val="4D1A1203"/>
    <w:rsid w:val="4D212156"/>
    <w:rsid w:val="4D322C3F"/>
    <w:rsid w:val="4D400B4C"/>
    <w:rsid w:val="4D45675E"/>
    <w:rsid w:val="4D501DE2"/>
    <w:rsid w:val="4D5378A1"/>
    <w:rsid w:val="4D634ED8"/>
    <w:rsid w:val="4D92484B"/>
    <w:rsid w:val="4DA56657"/>
    <w:rsid w:val="4DCC3E30"/>
    <w:rsid w:val="4DCD408E"/>
    <w:rsid w:val="4DD50CB5"/>
    <w:rsid w:val="4E437DFC"/>
    <w:rsid w:val="4E4717AA"/>
    <w:rsid w:val="4E4C4A47"/>
    <w:rsid w:val="4E590975"/>
    <w:rsid w:val="4E920681"/>
    <w:rsid w:val="4EC06F09"/>
    <w:rsid w:val="4ED24AF5"/>
    <w:rsid w:val="4EDE30C4"/>
    <w:rsid w:val="4F06537C"/>
    <w:rsid w:val="4F101366"/>
    <w:rsid w:val="4F19576E"/>
    <w:rsid w:val="4F275D02"/>
    <w:rsid w:val="4F3573FD"/>
    <w:rsid w:val="4F754334"/>
    <w:rsid w:val="4F9C7995"/>
    <w:rsid w:val="4FA62E62"/>
    <w:rsid w:val="4FD1064A"/>
    <w:rsid w:val="4FEA2421"/>
    <w:rsid w:val="4FEB5740"/>
    <w:rsid w:val="50053629"/>
    <w:rsid w:val="50060B4A"/>
    <w:rsid w:val="500A1232"/>
    <w:rsid w:val="5019137D"/>
    <w:rsid w:val="50202E96"/>
    <w:rsid w:val="50283911"/>
    <w:rsid w:val="505644DD"/>
    <w:rsid w:val="506017DD"/>
    <w:rsid w:val="507318D9"/>
    <w:rsid w:val="50780265"/>
    <w:rsid w:val="507D3E22"/>
    <w:rsid w:val="50995C5E"/>
    <w:rsid w:val="50A31D99"/>
    <w:rsid w:val="50AF56D2"/>
    <w:rsid w:val="50CF5ABD"/>
    <w:rsid w:val="50D21DAB"/>
    <w:rsid w:val="50D47F33"/>
    <w:rsid w:val="50D624FF"/>
    <w:rsid w:val="50D769EF"/>
    <w:rsid w:val="50DA5A16"/>
    <w:rsid w:val="50E4088A"/>
    <w:rsid w:val="50E452CF"/>
    <w:rsid w:val="50E57F5B"/>
    <w:rsid w:val="50E76B77"/>
    <w:rsid w:val="50EE4FA4"/>
    <w:rsid w:val="50EF2B43"/>
    <w:rsid w:val="50F80AD0"/>
    <w:rsid w:val="50FD504A"/>
    <w:rsid w:val="50FF6A54"/>
    <w:rsid w:val="513037CD"/>
    <w:rsid w:val="51423629"/>
    <w:rsid w:val="51471324"/>
    <w:rsid w:val="515437AD"/>
    <w:rsid w:val="516D098F"/>
    <w:rsid w:val="518435B3"/>
    <w:rsid w:val="518F759E"/>
    <w:rsid w:val="519A1223"/>
    <w:rsid w:val="51A06DD2"/>
    <w:rsid w:val="51A24A2E"/>
    <w:rsid w:val="51D91B2D"/>
    <w:rsid w:val="51DF506A"/>
    <w:rsid w:val="51E72617"/>
    <w:rsid w:val="51EE62F9"/>
    <w:rsid w:val="521E735D"/>
    <w:rsid w:val="52256E22"/>
    <w:rsid w:val="522F075C"/>
    <w:rsid w:val="52425CA3"/>
    <w:rsid w:val="52897EF1"/>
    <w:rsid w:val="52960B8B"/>
    <w:rsid w:val="52B04A11"/>
    <w:rsid w:val="52B86D2B"/>
    <w:rsid w:val="52E61F4B"/>
    <w:rsid w:val="52EB37C9"/>
    <w:rsid w:val="5316335E"/>
    <w:rsid w:val="53267AB3"/>
    <w:rsid w:val="533B7B0C"/>
    <w:rsid w:val="533C5490"/>
    <w:rsid w:val="536A4851"/>
    <w:rsid w:val="53705FF6"/>
    <w:rsid w:val="538815FC"/>
    <w:rsid w:val="538908B0"/>
    <w:rsid w:val="53B33B1C"/>
    <w:rsid w:val="53BB5FD7"/>
    <w:rsid w:val="53CA068E"/>
    <w:rsid w:val="53CE1DED"/>
    <w:rsid w:val="53E06CC2"/>
    <w:rsid w:val="53F2426D"/>
    <w:rsid w:val="53F25756"/>
    <w:rsid w:val="53FC56F6"/>
    <w:rsid w:val="541848F3"/>
    <w:rsid w:val="543709CC"/>
    <w:rsid w:val="54436065"/>
    <w:rsid w:val="54567A39"/>
    <w:rsid w:val="5484059E"/>
    <w:rsid w:val="548D475A"/>
    <w:rsid w:val="549E6752"/>
    <w:rsid w:val="54B6431C"/>
    <w:rsid w:val="54D8154B"/>
    <w:rsid w:val="54DA1FBF"/>
    <w:rsid w:val="54E7129C"/>
    <w:rsid w:val="54F05A4E"/>
    <w:rsid w:val="55026280"/>
    <w:rsid w:val="55377241"/>
    <w:rsid w:val="557F76B5"/>
    <w:rsid w:val="55866A33"/>
    <w:rsid w:val="55A9476C"/>
    <w:rsid w:val="55B323C6"/>
    <w:rsid w:val="55D439F8"/>
    <w:rsid w:val="55DC11BF"/>
    <w:rsid w:val="560A28F7"/>
    <w:rsid w:val="561753F3"/>
    <w:rsid w:val="56267426"/>
    <w:rsid w:val="56273421"/>
    <w:rsid w:val="562A7B8D"/>
    <w:rsid w:val="56353D49"/>
    <w:rsid w:val="56635A93"/>
    <w:rsid w:val="56642D37"/>
    <w:rsid w:val="5669323D"/>
    <w:rsid w:val="566F7451"/>
    <w:rsid w:val="56853850"/>
    <w:rsid w:val="569452B5"/>
    <w:rsid w:val="569A2318"/>
    <w:rsid w:val="569F3AC0"/>
    <w:rsid w:val="56B316AB"/>
    <w:rsid w:val="56C572E1"/>
    <w:rsid w:val="56C669F8"/>
    <w:rsid w:val="57277069"/>
    <w:rsid w:val="57283DC1"/>
    <w:rsid w:val="5747731A"/>
    <w:rsid w:val="574F3B98"/>
    <w:rsid w:val="57556C87"/>
    <w:rsid w:val="57603210"/>
    <w:rsid w:val="577768B5"/>
    <w:rsid w:val="578E64B7"/>
    <w:rsid w:val="579C5053"/>
    <w:rsid w:val="57A21BDF"/>
    <w:rsid w:val="57B24639"/>
    <w:rsid w:val="57DA664B"/>
    <w:rsid w:val="57F17520"/>
    <w:rsid w:val="5804226C"/>
    <w:rsid w:val="580A6FEE"/>
    <w:rsid w:val="58116D62"/>
    <w:rsid w:val="58575430"/>
    <w:rsid w:val="58681491"/>
    <w:rsid w:val="58797CF5"/>
    <w:rsid w:val="587B6C95"/>
    <w:rsid w:val="58816E24"/>
    <w:rsid w:val="58A20ACA"/>
    <w:rsid w:val="58A85A85"/>
    <w:rsid w:val="58BC31ED"/>
    <w:rsid w:val="58D62904"/>
    <w:rsid w:val="58D712CE"/>
    <w:rsid w:val="58DB670D"/>
    <w:rsid w:val="58DF533A"/>
    <w:rsid w:val="58E541C4"/>
    <w:rsid w:val="58FC4B9E"/>
    <w:rsid w:val="58FE1106"/>
    <w:rsid w:val="592614C1"/>
    <w:rsid w:val="592D6C1B"/>
    <w:rsid w:val="59347D45"/>
    <w:rsid w:val="593819D0"/>
    <w:rsid w:val="593A3871"/>
    <w:rsid w:val="59474988"/>
    <w:rsid w:val="59511A71"/>
    <w:rsid w:val="59546782"/>
    <w:rsid w:val="59747D31"/>
    <w:rsid w:val="599A4F76"/>
    <w:rsid w:val="599D0671"/>
    <w:rsid w:val="59BA6795"/>
    <w:rsid w:val="59BC6870"/>
    <w:rsid w:val="59C27DF2"/>
    <w:rsid w:val="59CF3659"/>
    <w:rsid w:val="59D94C68"/>
    <w:rsid w:val="59F90593"/>
    <w:rsid w:val="59FF16BB"/>
    <w:rsid w:val="5A083E63"/>
    <w:rsid w:val="5A090EA0"/>
    <w:rsid w:val="5A1F383C"/>
    <w:rsid w:val="5A296BD9"/>
    <w:rsid w:val="5A3C18FF"/>
    <w:rsid w:val="5A4208C3"/>
    <w:rsid w:val="5A442FD6"/>
    <w:rsid w:val="5A5C3150"/>
    <w:rsid w:val="5A7D611B"/>
    <w:rsid w:val="5A8059DD"/>
    <w:rsid w:val="5A9B14E9"/>
    <w:rsid w:val="5A9F1B0F"/>
    <w:rsid w:val="5AA15367"/>
    <w:rsid w:val="5AAC298C"/>
    <w:rsid w:val="5AD20EF7"/>
    <w:rsid w:val="5AD47F20"/>
    <w:rsid w:val="5AEE517E"/>
    <w:rsid w:val="5AF52E8C"/>
    <w:rsid w:val="5AF754D6"/>
    <w:rsid w:val="5B315D70"/>
    <w:rsid w:val="5B3E00A0"/>
    <w:rsid w:val="5B431282"/>
    <w:rsid w:val="5B642616"/>
    <w:rsid w:val="5B6F4F68"/>
    <w:rsid w:val="5B7260C6"/>
    <w:rsid w:val="5B79563A"/>
    <w:rsid w:val="5B7E0D6E"/>
    <w:rsid w:val="5BA87426"/>
    <w:rsid w:val="5BB1280B"/>
    <w:rsid w:val="5BC66638"/>
    <w:rsid w:val="5BF84B5B"/>
    <w:rsid w:val="5BF90B92"/>
    <w:rsid w:val="5C363A35"/>
    <w:rsid w:val="5C3A7130"/>
    <w:rsid w:val="5C5F345F"/>
    <w:rsid w:val="5C822CB8"/>
    <w:rsid w:val="5C853A1A"/>
    <w:rsid w:val="5C92216E"/>
    <w:rsid w:val="5C945734"/>
    <w:rsid w:val="5CEF15B1"/>
    <w:rsid w:val="5CF0475B"/>
    <w:rsid w:val="5CF33DEF"/>
    <w:rsid w:val="5D077AD4"/>
    <w:rsid w:val="5D147473"/>
    <w:rsid w:val="5D1573C8"/>
    <w:rsid w:val="5D2B2D74"/>
    <w:rsid w:val="5D421262"/>
    <w:rsid w:val="5D832881"/>
    <w:rsid w:val="5D8408E1"/>
    <w:rsid w:val="5D8E751C"/>
    <w:rsid w:val="5DB03B11"/>
    <w:rsid w:val="5DB1788E"/>
    <w:rsid w:val="5DC87675"/>
    <w:rsid w:val="5DDA6A83"/>
    <w:rsid w:val="5DF97209"/>
    <w:rsid w:val="5E0E3B58"/>
    <w:rsid w:val="5E1371C1"/>
    <w:rsid w:val="5E1C28AF"/>
    <w:rsid w:val="5E1E2544"/>
    <w:rsid w:val="5E387563"/>
    <w:rsid w:val="5E444443"/>
    <w:rsid w:val="5E59094A"/>
    <w:rsid w:val="5E64672C"/>
    <w:rsid w:val="5E6D6F0D"/>
    <w:rsid w:val="5E733AC0"/>
    <w:rsid w:val="5E781151"/>
    <w:rsid w:val="5E830D7E"/>
    <w:rsid w:val="5E8C122F"/>
    <w:rsid w:val="5E9346D6"/>
    <w:rsid w:val="5EB3307D"/>
    <w:rsid w:val="5EB36998"/>
    <w:rsid w:val="5ED630C2"/>
    <w:rsid w:val="5EDA7492"/>
    <w:rsid w:val="5EF214EA"/>
    <w:rsid w:val="5F2230B8"/>
    <w:rsid w:val="5F3249EE"/>
    <w:rsid w:val="5F6256EE"/>
    <w:rsid w:val="5F7F6A9D"/>
    <w:rsid w:val="5F97387C"/>
    <w:rsid w:val="5FCB0A43"/>
    <w:rsid w:val="5FD85D9B"/>
    <w:rsid w:val="5FD931B4"/>
    <w:rsid w:val="5FDD536A"/>
    <w:rsid w:val="5FE07A49"/>
    <w:rsid w:val="5FE927B0"/>
    <w:rsid w:val="5FED3D85"/>
    <w:rsid w:val="5FEE5A37"/>
    <w:rsid w:val="5FFD42CB"/>
    <w:rsid w:val="60095770"/>
    <w:rsid w:val="6030487C"/>
    <w:rsid w:val="60304F4C"/>
    <w:rsid w:val="60402414"/>
    <w:rsid w:val="606222A5"/>
    <w:rsid w:val="60706D82"/>
    <w:rsid w:val="6072194B"/>
    <w:rsid w:val="607D540C"/>
    <w:rsid w:val="60832330"/>
    <w:rsid w:val="608344C9"/>
    <w:rsid w:val="608B50D4"/>
    <w:rsid w:val="609C5A10"/>
    <w:rsid w:val="60C57A08"/>
    <w:rsid w:val="60CF5504"/>
    <w:rsid w:val="60DA540A"/>
    <w:rsid w:val="60DF5BEC"/>
    <w:rsid w:val="60E12F5A"/>
    <w:rsid w:val="60EE08EE"/>
    <w:rsid w:val="610A1CA5"/>
    <w:rsid w:val="612834ED"/>
    <w:rsid w:val="61721C98"/>
    <w:rsid w:val="61775CC6"/>
    <w:rsid w:val="617C11C1"/>
    <w:rsid w:val="61826ECA"/>
    <w:rsid w:val="61877486"/>
    <w:rsid w:val="619D78FF"/>
    <w:rsid w:val="61B976B4"/>
    <w:rsid w:val="61E2147C"/>
    <w:rsid w:val="62061385"/>
    <w:rsid w:val="620F3EE0"/>
    <w:rsid w:val="62170422"/>
    <w:rsid w:val="623A204E"/>
    <w:rsid w:val="623A594E"/>
    <w:rsid w:val="6245659C"/>
    <w:rsid w:val="624E5C9F"/>
    <w:rsid w:val="625121A1"/>
    <w:rsid w:val="62554419"/>
    <w:rsid w:val="6257232E"/>
    <w:rsid w:val="625B46ED"/>
    <w:rsid w:val="62620BA6"/>
    <w:rsid w:val="626F41A0"/>
    <w:rsid w:val="62717644"/>
    <w:rsid w:val="627E629B"/>
    <w:rsid w:val="62A45CBF"/>
    <w:rsid w:val="62A65EDE"/>
    <w:rsid w:val="62AF4177"/>
    <w:rsid w:val="62BB3390"/>
    <w:rsid w:val="62BB6EA1"/>
    <w:rsid w:val="62E2538C"/>
    <w:rsid w:val="62E431B5"/>
    <w:rsid w:val="62EE0F1E"/>
    <w:rsid w:val="63050EDD"/>
    <w:rsid w:val="63077CCA"/>
    <w:rsid w:val="631D35BD"/>
    <w:rsid w:val="63204064"/>
    <w:rsid w:val="635D525C"/>
    <w:rsid w:val="63702BC8"/>
    <w:rsid w:val="63726E8F"/>
    <w:rsid w:val="6376120B"/>
    <w:rsid w:val="63834851"/>
    <w:rsid w:val="63AF16FE"/>
    <w:rsid w:val="63B11E96"/>
    <w:rsid w:val="63BD3F90"/>
    <w:rsid w:val="63CF274E"/>
    <w:rsid w:val="63EB715C"/>
    <w:rsid w:val="63F94642"/>
    <w:rsid w:val="63FF42D6"/>
    <w:rsid w:val="64016E47"/>
    <w:rsid w:val="6406355F"/>
    <w:rsid w:val="6424338E"/>
    <w:rsid w:val="64246AC7"/>
    <w:rsid w:val="642A4946"/>
    <w:rsid w:val="642F5F1C"/>
    <w:rsid w:val="643A6CDE"/>
    <w:rsid w:val="64575B92"/>
    <w:rsid w:val="645A73D9"/>
    <w:rsid w:val="645D6CED"/>
    <w:rsid w:val="64740C5B"/>
    <w:rsid w:val="648470CF"/>
    <w:rsid w:val="64A77B1D"/>
    <w:rsid w:val="64BA6D27"/>
    <w:rsid w:val="64BF6D6B"/>
    <w:rsid w:val="64C412B2"/>
    <w:rsid w:val="65002F4C"/>
    <w:rsid w:val="65114A8B"/>
    <w:rsid w:val="652808DC"/>
    <w:rsid w:val="653C538E"/>
    <w:rsid w:val="65450686"/>
    <w:rsid w:val="656E5419"/>
    <w:rsid w:val="656F5E12"/>
    <w:rsid w:val="658A633C"/>
    <w:rsid w:val="65A04A1E"/>
    <w:rsid w:val="65C84140"/>
    <w:rsid w:val="65D1424E"/>
    <w:rsid w:val="65DB0123"/>
    <w:rsid w:val="65DF0B48"/>
    <w:rsid w:val="65E00A23"/>
    <w:rsid w:val="65E120BE"/>
    <w:rsid w:val="6607733B"/>
    <w:rsid w:val="660A2E75"/>
    <w:rsid w:val="6615571F"/>
    <w:rsid w:val="66156351"/>
    <w:rsid w:val="66553445"/>
    <w:rsid w:val="66610887"/>
    <w:rsid w:val="66656EA1"/>
    <w:rsid w:val="669F6A80"/>
    <w:rsid w:val="66C520C8"/>
    <w:rsid w:val="66C9066B"/>
    <w:rsid w:val="66CF38F3"/>
    <w:rsid w:val="66D756E7"/>
    <w:rsid w:val="66E459E8"/>
    <w:rsid w:val="66E639CD"/>
    <w:rsid w:val="66F605BC"/>
    <w:rsid w:val="670A3B41"/>
    <w:rsid w:val="670F634B"/>
    <w:rsid w:val="671714CB"/>
    <w:rsid w:val="67191408"/>
    <w:rsid w:val="67344D4F"/>
    <w:rsid w:val="6761239C"/>
    <w:rsid w:val="676A58C3"/>
    <w:rsid w:val="676B0589"/>
    <w:rsid w:val="677810AD"/>
    <w:rsid w:val="67893666"/>
    <w:rsid w:val="67924201"/>
    <w:rsid w:val="67A80868"/>
    <w:rsid w:val="67B76B7B"/>
    <w:rsid w:val="67D23E7E"/>
    <w:rsid w:val="67E06D93"/>
    <w:rsid w:val="67EE6FB6"/>
    <w:rsid w:val="67FE5C1E"/>
    <w:rsid w:val="68034910"/>
    <w:rsid w:val="68224470"/>
    <w:rsid w:val="68315B16"/>
    <w:rsid w:val="683D6222"/>
    <w:rsid w:val="68661058"/>
    <w:rsid w:val="686D5C3A"/>
    <w:rsid w:val="68736281"/>
    <w:rsid w:val="68763B2A"/>
    <w:rsid w:val="689E1C1C"/>
    <w:rsid w:val="68A14C33"/>
    <w:rsid w:val="68B86F79"/>
    <w:rsid w:val="68C75E93"/>
    <w:rsid w:val="68E009DA"/>
    <w:rsid w:val="68FB38B9"/>
    <w:rsid w:val="69055B9A"/>
    <w:rsid w:val="6906127B"/>
    <w:rsid w:val="690F2315"/>
    <w:rsid w:val="694D062A"/>
    <w:rsid w:val="696E49C8"/>
    <w:rsid w:val="697309A7"/>
    <w:rsid w:val="69744E10"/>
    <w:rsid w:val="697F2D99"/>
    <w:rsid w:val="69B545CD"/>
    <w:rsid w:val="69BB288D"/>
    <w:rsid w:val="69C956EA"/>
    <w:rsid w:val="69CB2002"/>
    <w:rsid w:val="69D1335E"/>
    <w:rsid w:val="69E550BF"/>
    <w:rsid w:val="69E91A72"/>
    <w:rsid w:val="6A043C0C"/>
    <w:rsid w:val="6A154CB3"/>
    <w:rsid w:val="6A185B21"/>
    <w:rsid w:val="6A200DB9"/>
    <w:rsid w:val="6A53187A"/>
    <w:rsid w:val="6A6C1AB9"/>
    <w:rsid w:val="6A834A0E"/>
    <w:rsid w:val="6ACB48FA"/>
    <w:rsid w:val="6ACC72F0"/>
    <w:rsid w:val="6AD66B6F"/>
    <w:rsid w:val="6ADA5968"/>
    <w:rsid w:val="6B013F5F"/>
    <w:rsid w:val="6B044C9E"/>
    <w:rsid w:val="6B0C78E3"/>
    <w:rsid w:val="6B7C352F"/>
    <w:rsid w:val="6B83747D"/>
    <w:rsid w:val="6B8B0B9E"/>
    <w:rsid w:val="6BA5143A"/>
    <w:rsid w:val="6BB22E17"/>
    <w:rsid w:val="6BBD56C8"/>
    <w:rsid w:val="6BC23037"/>
    <w:rsid w:val="6BD82687"/>
    <w:rsid w:val="6BEE2157"/>
    <w:rsid w:val="6C19087C"/>
    <w:rsid w:val="6C1A30D8"/>
    <w:rsid w:val="6C1E6808"/>
    <w:rsid w:val="6C2134F1"/>
    <w:rsid w:val="6C255E9B"/>
    <w:rsid w:val="6C362C73"/>
    <w:rsid w:val="6C372FCA"/>
    <w:rsid w:val="6C393E8D"/>
    <w:rsid w:val="6C394BAF"/>
    <w:rsid w:val="6C462185"/>
    <w:rsid w:val="6C512914"/>
    <w:rsid w:val="6C6155D4"/>
    <w:rsid w:val="6C64365E"/>
    <w:rsid w:val="6C7C4458"/>
    <w:rsid w:val="6C9F3026"/>
    <w:rsid w:val="6CAA5FDD"/>
    <w:rsid w:val="6CAB1ADB"/>
    <w:rsid w:val="6CD43AAD"/>
    <w:rsid w:val="6D02787C"/>
    <w:rsid w:val="6D105B42"/>
    <w:rsid w:val="6D146326"/>
    <w:rsid w:val="6D1546CC"/>
    <w:rsid w:val="6D1912E4"/>
    <w:rsid w:val="6D1C323B"/>
    <w:rsid w:val="6D1F2162"/>
    <w:rsid w:val="6D414EAE"/>
    <w:rsid w:val="6D7A023F"/>
    <w:rsid w:val="6D8E0A6E"/>
    <w:rsid w:val="6D9D52B3"/>
    <w:rsid w:val="6DAB3FAF"/>
    <w:rsid w:val="6DB62BD4"/>
    <w:rsid w:val="6DBD15D7"/>
    <w:rsid w:val="6DCC4C7F"/>
    <w:rsid w:val="6DCD0C42"/>
    <w:rsid w:val="6DDC2549"/>
    <w:rsid w:val="6DE875AF"/>
    <w:rsid w:val="6DEB0577"/>
    <w:rsid w:val="6DEE3DD6"/>
    <w:rsid w:val="6E1E1E7F"/>
    <w:rsid w:val="6E264A38"/>
    <w:rsid w:val="6E51505B"/>
    <w:rsid w:val="6E5925AE"/>
    <w:rsid w:val="6E60329A"/>
    <w:rsid w:val="6E750ADA"/>
    <w:rsid w:val="6E8F2F52"/>
    <w:rsid w:val="6E9C788A"/>
    <w:rsid w:val="6EA97A53"/>
    <w:rsid w:val="6EB55E7C"/>
    <w:rsid w:val="6EC00699"/>
    <w:rsid w:val="6ECA48F9"/>
    <w:rsid w:val="6ED5447A"/>
    <w:rsid w:val="6EE74E26"/>
    <w:rsid w:val="6EF25F0F"/>
    <w:rsid w:val="6F010331"/>
    <w:rsid w:val="6F073D07"/>
    <w:rsid w:val="6F106771"/>
    <w:rsid w:val="6F4E1AD4"/>
    <w:rsid w:val="6F67042C"/>
    <w:rsid w:val="6F7B117B"/>
    <w:rsid w:val="6F841F7E"/>
    <w:rsid w:val="6F8E43CB"/>
    <w:rsid w:val="6F8F12AF"/>
    <w:rsid w:val="6F96554B"/>
    <w:rsid w:val="6F9D6448"/>
    <w:rsid w:val="6FAD66A1"/>
    <w:rsid w:val="6FB366FA"/>
    <w:rsid w:val="6FBD3694"/>
    <w:rsid w:val="6FD224D7"/>
    <w:rsid w:val="6FDA2AA3"/>
    <w:rsid w:val="6FE7241C"/>
    <w:rsid w:val="6FFB26A9"/>
    <w:rsid w:val="7006629C"/>
    <w:rsid w:val="70080A69"/>
    <w:rsid w:val="70220FD3"/>
    <w:rsid w:val="7029552F"/>
    <w:rsid w:val="70342A83"/>
    <w:rsid w:val="704526AE"/>
    <w:rsid w:val="70630288"/>
    <w:rsid w:val="707A14FE"/>
    <w:rsid w:val="7096062C"/>
    <w:rsid w:val="70990ED5"/>
    <w:rsid w:val="70A71F31"/>
    <w:rsid w:val="70A81CD6"/>
    <w:rsid w:val="70C703D0"/>
    <w:rsid w:val="70CC0EE4"/>
    <w:rsid w:val="70E41D80"/>
    <w:rsid w:val="70F3692C"/>
    <w:rsid w:val="70FB05F3"/>
    <w:rsid w:val="70FF18FD"/>
    <w:rsid w:val="70FF608E"/>
    <w:rsid w:val="710313CB"/>
    <w:rsid w:val="712249A4"/>
    <w:rsid w:val="712335B5"/>
    <w:rsid w:val="71244109"/>
    <w:rsid w:val="71331D59"/>
    <w:rsid w:val="71340734"/>
    <w:rsid w:val="71377EDB"/>
    <w:rsid w:val="71560F55"/>
    <w:rsid w:val="71617ADB"/>
    <w:rsid w:val="716F0F6E"/>
    <w:rsid w:val="718F37AB"/>
    <w:rsid w:val="71923F45"/>
    <w:rsid w:val="71967755"/>
    <w:rsid w:val="71992A4E"/>
    <w:rsid w:val="719B2F14"/>
    <w:rsid w:val="71B355A0"/>
    <w:rsid w:val="71C30530"/>
    <w:rsid w:val="71C6733A"/>
    <w:rsid w:val="71C8386D"/>
    <w:rsid w:val="71DD3F5C"/>
    <w:rsid w:val="71FE67DA"/>
    <w:rsid w:val="72011132"/>
    <w:rsid w:val="721721BE"/>
    <w:rsid w:val="72360A4E"/>
    <w:rsid w:val="7245294E"/>
    <w:rsid w:val="724B3AA5"/>
    <w:rsid w:val="72594B23"/>
    <w:rsid w:val="725F11F7"/>
    <w:rsid w:val="7264691F"/>
    <w:rsid w:val="727063F9"/>
    <w:rsid w:val="72967D67"/>
    <w:rsid w:val="7299703A"/>
    <w:rsid w:val="72A13D14"/>
    <w:rsid w:val="72AC5871"/>
    <w:rsid w:val="72C539AB"/>
    <w:rsid w:val="72CD4708"/>
    <w:rsid w:val="72D53A4E"/>
    <w:rsid w:val="72E6551C"/>
    <w:rsid w:val="73044ABC"/>
    <w:rsid w:val="73171EA6"/>
    <w:rsid w:val="731E62BC"/>
    <w:rsid w:val="73227B92"/>
    <w:rsid w:val="7338103B"/>
    <w:rsid w:val="73392268"/>
    <w:rsid w:val="73771E88"/>
    <w:rsid w:val="738C3657"/>
    <w:rsid w:val="73B60104"/>
    <w:rsid w:val="73BD6DAC"/>
    <w:rsid w:val="73C47630"/>
    <w:rsid w:val="73C8596B"/>
    <w:rsid w:val="73F869A4"/>
    <w:rsid w:val="73F86A47"/>
    <w:rsid w:val="74026B56"/>
    <w:rsid w:val="740754F4"/>
    <w:rsid w:val="74206A3B"/>
    <w:rsid w:val="74296B63"/>
    <w:rsid w:val="74325E66"/>
    <w:rsid w:val="744914FE"/>
    <w:rsid w:val="74506832"/>
    <w:rsid w:val="745458BE"/>
    <w:rsid w:val="7458317E"/>
    <w:rsid w:val="745D5E0D"/>
    <w:rsid w:val="74983C76"/>
    <w:rsid w:val="7498458D"/>
    <w:rsid w:val="74AE4228"/>
    <w:rsid w:val="74B17279"/>
    <w:rsid w:val="74B64C7B"/>
    <w:rsid w:val="74C00F67"/>
    <w:rsid w:val="74DC1BC2"/>
    <w:rsid w:val="74E867F5"/>
    <w:rsid w:val="74F80FEF"/>
    <w:rsid w:val="75120E61"/>
    <w:rsid w:val="75244312"/>
    <w:rsid w:val="753F3CC7"/>
    <w:rsid w:val="7549008B"/>
    <w:rsid w:val="757F6D93"/>
    <w:rsid w:val="758359A6"/>
    <w:rsid w:val="75926692"/>
    <w:rsid w:val="75957832"/>
    <w:rsid w:val="75B32384"/>
    <w:rsid w:val="75BA3D9F"/>
    <w:rsid w:val="75BD6F02"/>
    <w:rsid w:val="75DB5EB4"/>
    <w:rsid w:val="75EB4A98"/>
    <w:rsid w:val="75EF4FD6"/>
    <w:rsid w:val="75FF4ECD"/>
    <w:rsid w:val="76040936"/>
    <w:rsid w:val="7606666B"/>
    <w:rsid w:val="7615685C"/>
    <w:rsid w:val="76285D94"/>
    <w:rsid w:val="763857D9"/>
    <w:rsid w:val="764954BC"/>
    <w:rsid w:val="766079C5"/>
    <w:rsid w:val="766A659B"/>
    <w:rsid w:val="767641BE"/>
    <w:rsid w:val="76936F1D"/>
    <w:rsid w:val="769C7851"/>
    <w:rsid w:val="76A6054D"/>
    <w:rsid w:val="76CE0084"/>
    <w:rsid w:val="76DC4EA2"/>
    <w:rsid w:val="76E757C7"/>
    <w:rsid w:val="76F47134"/>
    <w:rsid w:val="76F66A7E"/>
    <w:rsid w:val="770323B1"/>
    <w:rsid w:val="771776F4"/>
    <w:rsid w:val="7741542E"/>
    <w:rsid w:val="77431A22"/>
    <w:rsid w:val="774E5EDC"/>
    <w:rsid w:val="77567CC8"/>
    <w:rsid w:val="775A2EC4"/>
    <w:rsid w:val="775B5722"/>
    <w:rsid w:val="77774DA2"/>
    <w:rsid w:val="77855854"/>
    <w:rsid w:val="778970CA"/>
    <w:rsid w:val="778B1D34"/>
    <w:rsid w:val="77920FAD"/>
    <w:rsid w:val="77933B1D"/>
    <w:rsid w:val="779912DB"/>
    <w:rsid w:val="77D715A7"/>
    <w:rsid w:val="77D75EE3"/>
    <w:rsid w:val="781C625D"/>
    <w:rsid w:val="7821023D"/>
    <w:rsid w:val="78244AED"/>
    <w:rsid w:val="78381D33"/>
    <w:rsid w:val="786A2142"/>
    <w:rsid w:val="7883178B"/>
    <w:rsid w:val="788A3DA7"/>
    <w:rsid w:val="78A10982"/>
    <w:rsid w:val="78A77A5B"/>
    <w:rsid w:val="78B00C7B"/>
    <w:rsid w:val="78DB229E"/>
    <w:rsid w:val="78DC1D8E"/>
    <w:rsid w:val="78F0343A"/>
    <w:rsid w:val="78F45CF1"/>
    <w:rsid w:val="791822B3"/>
    <w:rsid w:val="792D73E8"/>
    <w:rsid w:val="792F4234"/>
    <w:rsid w:val="794C1D3B"/>
    <w:rsid w:val="794F6442"/>
    <w:rsid w:val="79520D91"/>
    <w:rsid w:val="79C03170"/>
    <w:rsid w:val="79C504C0"/>
    <w:rsid w:val="79D64166"/>
    <w:rsid w:val="79D919F3"/>
    <w:rsid w:val="79E159EC"/>
    <w:rsid w:val="79F308AD"/>
    <w:rsid w:val="7A30775C"/>
    <w:rsid w:val="7A3A5841"/>
    <w:rsid w:val="7A7169C8"/>
    <w:rsid w:val="7A7E353F"/>
    <w:rsid w:val="7A9975ED"/>
    <w:rsid w:val="7AC94533"/>
    <w:rsid w:val="7ACB3A11"/>
    <w:rsid w:val="7AD661F3"/>
    <w:rsid w:val="7AED1A3A"/>
    <w:rsid w:val="7AF04C66"/>
    <w:rsid w:val="7B071838"/>
    <w:rsid w:val="7B2124DD"/>
    <w:rsid w:val="7B281886"/>
    <w:rsid w:val="7B4550C1"/>
    <w:rsid w:val="7B4B0223"/>
    <w:rsid w:val="7B4C39F4"/>
    <w:rsid w:val="7B603BC0"/>
    <w:rsid w:val="7B676CCB"/>
    <w:rsid w:val="7B7750FD"/>
    <w:rsid w:val="7B7C16FD"/>
    <w:rsid w:val="7B8F5C03"/>
    <w:rsid w:val="7BAC67AD"/>
    <w:rsid w:val="7BBF0F98"/>
    <w:rsid w:val="7BCC6A4C"/>
    <w:rsid w:val="7BDD05EE"/>
    <w:rsid w:val="7BFF621F"/>
    <w:rsid w:val="7C075AAC"/>
    <w:rsid w:val="7C177FAD"/>
    <w:rsid w:val="7C2B3232"/>
    <w:rsid w:val="7C532E05"/>
    <w:rsid w:val="7C64119E"/>
    <w:rsid w:val="7C6A43B9"/>
    <w:rsid w:val="7C6B612D"/>
    <w:rsid w:val="7C6C23CD"/>
    <w:rsid w:val="7C771159"/>
    <w:rsid w:val="7C842F5B"/>
    <w:rsid w:val="7C9914DE"/>
    <w:rsid w:val="7C997AE3"/>
    <w:rsid w:val="7C9A633E"/>
    <w:rsid w:val="7CDB2EAE"/>
    <w:rsid w:val="7CEC422C"/>
    <w:rsid w:val="7D0C5BD3"/>
    <w:rsid w:val="7D1B39CB"/>
    <w:rsid w:val="7D2C2785"/>
    <w:rsid w:val="7D4C43B8"/>
    <w:rsid w:val="7D58548C"/>
    <w:rsid w:val="7D65146C"/>
    <w:rsid w:val="7D6726E8"/>
    <w:rsid w:val="7D810DC5"/>
    <w:rsid w:val="7D816B4E"/>
    <w:rsid w:val="7D8C2332"/>
    <w:rsid w:val="7DA77E54"/>
    <w:rsid w:val="7DA96B0D"/>
    <w:rsid w:val="7DB86EFD"/>
    <w:rsid w:val="7DE06F49"/>
    <w:rsid w:val="7E0925F8"/>
    <w:rsid w:val="7E1E6FD8"/>
    <w:rsid w:val="7E207D22"/>
    <w:rsid w:val="7E370AB8"/>
    <w:rsid w:val="7E823E66"/>
    <w:rsid w:val="7E91328B"/>
    <w:rsid w:val="7E971AFC"/>
    <w:rsid w:val="7EA91D16"/>
    <w:rsid w:val="7EB15069"/>
    <w:rsid w:val="7EB90C15"/>
    <w:rsid w:val="7ED629B9"/>
    <w:rsid w:val="7EDD04DB"/>
    <w:rsid w:val="7EED37DF"/>
    <w:rsid w:val="7F060C17"/>
    <w:rsid w:val="7F212D3E"/>
    <w:rsid w:val="7F2B76A1"/>
    <w:rsid w:val="7F31635C"/>
    <w:rsid w:val="7F376097"/>
    <w:rsid w:val="7F496DDD"/>
    <w:rsid w:val="7F6C2534"/>
    <w:rsid w:val="7F855EFB"/>
    <w:rsid w:val="7F862F66"/>
    <w:rsid w:val="7F9D2237"/>
    <w:rsid w:val="7FCD02CF"/>
    <w:rsid w:val="7FF32829"/>
    <w:rsid w:val="7FF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rFonts w:eastAsia="微软雅黑"/>
      <w:b/>
      <w:bCs/>
      <w:kern w:val="44"/>
      <w:sz w:val="30"/>
      <w:szCs w:val="44"/>
    </w:rPr>
  </w:style>
  <w:style w:type="paragraph" w:styleId="4">
    <w:name w:val="heading 2"/>
    <w:basedOn w:val="1"/>
    <w:next w:val="1"/>
    <w:link w:val="39"/>
    <w:unhideWhenUsed/>
    <w:qFormat/>
    <w:uiPriority w:val="0"/>
    <w:pPr>
      <w:keepNext/>
      <w:keepLines/>
      <w:spacing w:before="260" w:after="260" w:line="416" w:lineRule="auto"/>
      <w:outlineLvl w:val="1"/>
    </w:pPr>
    <w:rPr>
      <w:rFonts w:asciiTheme="majorHAnsi" w:hAnsiTheme="majorHAnsi" w:cstheme="majorBidi"/>
      <w:b/>
      <w:bCs/>
      <w:szCs w:val="32"/>
    </w:rPr>
  </w:style>
  <w:style w:type="paragraph" w:styleId="5">
    <w:name w:val="heading 3"/>
    <w:basedOn w:val="1"/>
    <w:next w:val="1"/>
    <w:link w:val="40"/>
    <w:qFormat/>
    <w:uiPriority w:val="0"/>
    <w:pPr>
      <w:keepNext/>
      <w:keepLines/>
      <w:spacing w:line="360" w:lineRule="auto"/>
      <w:outlineLvl w:val="2"/>
    </w:pPr>
    <w:rPr>
      <w:rFonts w:eastAsia="黑体"/>
      <w:b/>
      <w:bCs/>
      <w:szCs w:val="32"/>
    </w:rPr>
  </w:style>
  <w:style w:type="paragraph" w:styleId="6">
    <w:name w:val="heading 4"/>
    <w:basedOn w:val="1"/>
    <w:next w:val="1"/>
    <w:link w:val="41"/>
    <w:qFormat/>
    <w:uiPriority w:val="0"/>
    <w:pPr>
      <w:keepNext/>
      <w:keepLines/>
      <w:spacing w:line="360" w:lineRule="auto"/>
      <w:outlineLvl w:val="3"/>
    </w:pPr>
    <w:rPr>
      <w:rFonts w:ascii="Arial" w:hAnsi="Arial"/>
      <w:b/>
      <w:bCs/>
      <w:szCs w:val="28"/>
    </w:r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rmal Indent"/>
    <w:basedOn w:val="1"/>
    <w:qFormat/>
    <w:uiPriority w:val="0"/>
    <w:pPr>
      <w:ind w:firstLine="420" w:firstLineChars="200"/>
    </w:pPr>
  </w:style>
  <w:style w:type="paragraph" w:styleId="9">
    <w:name w:val="Document Map"/>
    <w:basedOn w:val="1"/>
    <w:link w:val="58"/>
    <w:semiHidden/>
    <w:qFormat/>
    <w:uiPriority w:val="0"/>
    <w:pPr>
      <w:shd w:val="clear" w:color="auto" w:fill="000080"/>
    </w:pPr>
  </w:style>
  <w:style w:type="paragraph" w:styleId="10">
    <w:name w:val="annotation text"/>
    <w:basedOn w:val="1"/>
    <w:link w:val="42"/>
    <w:semiHidden/>
    <w:qFormat/>
    <w:uiPriority w:val="0"/>
    <w:pPr>
      <w:jc w:val="left"/>
    </w:pPr>
    <w:rPr>
      <w:rFonts w:asciiTheme="minorHAnsi" w:hAnsiTheme="minorHAnsi" w:cstheme="minorBidi"/>
    </w:rPr>
  </w:style>
  <w:style w:type="paragraph" w:styleId="11">
    <w:name w:val="Body Text"/>
    <w:basedOn w:val="1"/>
    <w:link w:val="73"/>
    <w:semiHidden/>
    <w:unhideWhenUsed/>
    <w:qFormat/>
    <w:uiPriority w:val="0"/>
    <w:pPr>
      <w:spacing w:after="120"/>
    </w:p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3"/>
    <w:basedOn w:val="1"/>
    <w:next w:val="1"/>
    <w:qFormat/>
    <w:uiPriority w:val="39"/>
    <w:pPr>
      <w:ind w:left="840" w:leftChars="400"/>
    </w:pPr>
  </w:style>
  <w:style w:type="paragraph" w:styleId="14">
    <w:name w:val="Plain Text"/>
    <w:basedOn w:val="1"/>
    <w:link w:val="44"/>
    <w:qFormat/>
    <w:uiPriority w:val="0"/>
    <w:rPr>
      <w:rFonts w:ascii="宋体" w:hAnsi="Courier New" w:cstheme="minorBidi"/>
      <w:sz w:val="24"/>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64"/>
    <w:qFormat/>
    <w:uiPriority w:val="0"/>
    <w:pPr>
      <w:ind w:left="100" w:leftChars="2500"/>
    </w:pPr>
    <w:rPr>
      <w:rFonts w:asciiTheme="minorHAnsi" w:hAnsiTheme="minorHAnsi" w:eastAsiaTheme="minorEastAsia" w:cstheme="minorBidi"/>
    </w:rPr>
  </w:style>
  <w:style w:type="paragraph" w:styleId="17">
    <w:name w:val="Balloon Text"/>
    <w:basedOn w:val="1"/>
    <w:link w:val="48"/>
    <w:qFormat/>
    <w:uiPriority w:val="0"/>
    <w:rPr>
      <w:rFonts w:asciiTheme="minorHAnsi" w:hAnsiTheme="minorHAnsi" w:eastAsiaTheme="minorEastAsia" w:cstheme="minorBidi"/>
      <w:sz w:val="18"/>
      <w:szCs w:val="18"/>
    </w:rPr>
  </w:style>
  <w:style w:type="paragraph" w:styleId="18">
    <w:name w:val="footer"/>
    <w:basedOn w:val="1"/>
    <w:link w:val="5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60" w:line="400" w:lineRule="exact"/>
    </w:pPr>
    <w:rPr>
      <w:rFonts w:eastAsia="黑体"/>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footnote text"/>
    <w:basedOn w:val="1"/>
    <w:link w:val="76"/>
    <w:semiHidden/>
    <w:unhideWhenUsed/>
    <w:qFormat/>
    <w:uiPriority w:val="0"/>
    <w:pPr>
      <w:snapToGrid w:val="0"/>
      <w:jc w:val="left"/>
    </w:pPr>
    <w:rPr>
      <w:sz w:val="18"/>
      <w:szCs w:val="18"/>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Calibri" w:hAnsi="Calibri"/>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annotation subject"/>
    <w:basedOn w:val="10"/>
    <w:next w:val="10"/>
    <w:link w:val="46"/>
    <w:qFormat/>
    <w:uiPriority w:val="0"/>
  </w:style>
  <w:style w:type="paragraph" w:styleId="28">
    <w:name w:val="Body Text First Indent"/>
    <w:basedOn w:val="11"/>
    <w:link w:val="74"/>
    <w:unhideWhenUsed/>
    <w:qFormat/>
    <w:uiPriority w:val="99"/>
    <w:pPr>
      <w:ind w:firstLine="420" w:firstLineChars="100"/>
    </w:pPr>
    <w:rPr>
      <w:rFonts w:ascii="Calibri" w:hAnsi="Calibri"/>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0"/>
    <w:rPr>
      <w:b/>
      <w:bCs/>
    </w:rPr>
  </w:style>
  <w:style w:type="character" w:styleId="33">
    <w:name w:val="page number"/>
    <w:basedOn w:val="31"/>
    <w:qFormat/>
    <w:uiPriority w:val="99"/>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1 字符"/>
    <w:basedOn w:val="31"/>
    <w:link w:val="3"/>
    <w:qFormat/>
    <w:uiPriority w:val="0"/>
    <w:rPr>
      <w:rFonts w:eastAsia="微软雅黑"/>
      <w:b/>
      <w:bCs/>
      <w:kern w:val="44"/>
      <w:sz w:val="30"/>
      <w:szCs w:val="44"/>
    </w:rPr>
  </w:style>
  <w:style w:type="character" w:customStyle="1" w:styleId="39">
    <w:name w:val="标题 2 字符"/>
    <w:basedOn w:val="31"/>
    <w:link w:val="4"/>
    <w:qFormat/>
    <w:uiPriority w:val="0"/>
    <w:rPr>
      <w:rFonts w:eastAsia="华文仿宋" w:asciiTheme="majorHAnsi" w:hAnsiTheme="majorHAnsi" w:cstheme="majorBidi"/>
      <w:b/>
      <w:bCs/>
      <w:sz w:val="28"/>
      <w:szCs w:val="32"/>
    </w:rPr>
  </w:style>
  <w:style w:type="character" w:customStyle="1" w:styleId="40">
    <w:name w:val="标题 3 字符"/>
    <w:basedOn w:val="31"/>
    <w:link w:val="5"/>
    <w:qFormat/>
    <w:uiPriority w:val="0"/>
    <w:rPr>
      <w:rFonts w:ascii="Times New Roman" w:hAnsi="Times New Roman" w:eastAsia="黑体" w:cs="Times New Roman"/>
      <w:b/>
      <w:bCs/>
      <w:szCs w:val="32"/>
    </w:rPr>
  </w:style>
  <w:style w:type="character" w:customStyle="1" w:styleId="41">
    <w:name w:val="标题 4 字符"/>
    <w:basedOn w:val="31"/>
    <w:link w:val="6"/>
    <w:qFormat/>
    <w:uiPriority w:val="0"/>
    <w:rPr>
      <w:rFonts w:ascii="Arial" w:hAnsi="Arial" w:eastAsia="宋体" w:cs="Times New Roman"/>
      <w:b/>
      <w:bCs/>
      <w:szCs w:val="28"/>
    </w:rPr>
  </w:style>
  <w:style w:type="character" w:customStyle="1" w:styleId="42">
    <w:name w:val="批注文字 字符"/>
    <w:link w:val="10"/>
    <w:semiHidden/>
    <w:qFormat/>
    <w:uiPriority w:val="0"/>
    <w:rPr>
      <w:rFonts w:eastAsia="宋体"/>
      <w:szCs w:val="24"/>
    </w:rPr>
  </w:style>
  <w:style w:type="character" w:customStyle="1" w:styleId="43">
    <w:name w:val="批注文字 Char1"/>
    <w:basedOn w:val="31"/>
    <w:semiHidden/>
    <w:qFormat/>
    <w:uiPriority w:val="0"/>
    <w:rPr>
      <w:rFonts w:ascii="Times New Roman" w:hAnsi="Times New Roman" w:eastAsia="宋体" w:cs="Times New Roman"/>
      <w:szCs w:val="24"/>
    </w:rPr>
  </w:style>
  <w:style w:type="character" w:customStyle="1" w:styleId="44">
    <w:name w:val="纯文本 字符"/>
    <w:link w:val="14"/>
    <w:qFormat/>
    <w:uiPriority w:val="0"/>
    <w:rPr>
      <w:rFonts w:ascii="宋体" w:hAnsi="Courier New" w:eastAsia="宋体"/>
      <w:sz w:val="24"/>
      <w:szCs w:val="24"/>
    </w:rPr>
  </w:style>
  <w:style w:type="character" w:customStyle="1" w:styleId="45">
    <w:name w:val="纯文本 Char"/>
    <w:basedOn w:val="31"/>
    <w:semiHidden/>
    <w:qFormat/>
    <w:uiPriority w:val="99"/>
    <w:rPr>
      <w:rFonts w:ascii="宋体" w:hAnsi="Courier New" w:eastAsia="宋体" w:cs="Courier New"/>
      <w:szCs w:val="21"/>
    </w:rPr>
  </w:style>
  <w:style w:type="character" w:customStyle="1" w:styleId="46">
    <w:name w:val="批注主题 字符"/>
    <w:basedOn w:val="42"/>
    <w:link w:val="27"/>
    <w:qFormat/>
    <w:uiPriority w:val="0"/>
    <w:rPr>
      <w:rFonts w:eastAsia="宋体"/>
      <w:szCs w:val="24"/>
    </w:rPr>
  </w:style>
  <w:style w:type="character" w:customStyle="1" w:styleId="47">
    <w:name w:val="批注主题 Char1"/>
    <w:basedOn w:val="43"/>
    <w:semiHidden/>
    <w:qFormat/>
    <w:uiPriority w:val="99"/>
    <w:rPr>
      <w:rFonts w:ascii="Times New Roman" w:hAnsi="Times New Roman" w:eastAsia="宋体" w:cs="Times New Roman"/>
      <w:b/>
      <w:bCs/>
      <w:szCs w:val="24"/>
    </w:rPr>
  </w:style>
  <w:style w:type="character" w:customStyle="1" w:styleId="48">
    <w:name w:val="批注框文本 字符"/>
    <w:link w:val="17"/>
    <w:qFormat/>
    <w:uiPriority w:val="0"/>
    <w:rPr>
      <w:sz w:val="18"/>
      <w:szCs w:val="18"/>
    </w:rPr>
  </w:style>
  <w:style w:type="character" w:customStyle="1" w:styleId="49">
    <w:name w:val="批注框文本 Char1"/>
    <w:basedOn w:val="31"/>
    <w:semiHidden/>
    <w:qFormat/>
    <w:uiPriority w:val="99"/>
    <w:rPr>
      <w:rFonts w:ascii="Times New Roman" w:hAnsi="Times New Roman" w:eastAsia="宋体" w:cs="Times New Roman"/>
      <w:sz w:val="18"/>
      <w:szCs w:val="18"/>
    </w:rPr>
  </w:style>
  <w:style w:type="character" w:customStyle="1" w:styleId="50">
    <w:name w:val="页脚 字符"/>
    <w:link w:val="18"/>
    <w:qFormat/>
    <w:uiPriority w:val="99"/>
    <w:rPr>
      <w:sz w:val="18"/>
      <w:szCs w:val="18"/>
    </w:rPr>
  </w:style>
  <w:style w:type="character" w:customStyle="1" w:styleId="51">
    <w:name w:val="页脚 Char1"/>
    <w:basedOn w:val="31"/>
    <w:semiHidden/>
    <w:qFormat/>
    <w:uiPriority w:val="99"/>
    <w:rPr>
      <w:rFonts w:ascii="Times New Roman" w:hAnsi="Times New Roman" w:eastAsia="宋体" w:cs="Times New Roman"/>
      <w:sz w:val="18"/>
      <w:szCs w:val="18"/>
    </w:rPr>
  </w:style>
  <w:style w:type="paragraph" w:styleId="52">
    <w:name w:val="No Spacing"/>
    <w:link w:val="5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无间隔 字符"/>
    <w:basedOn w:val="31"/>
    <w:link w:val="52"/>
    <w:qFormat/>
    <w:uiPriority w:val="1"/>
    <w:rPr>
      <w:rFonts w:ascii="Times New Roman" w:hAnsi="Times New Roman" w:eastAsia="宋体" w:cs="Times New Roman"/>
      <w:szCs w:val="24"/>
    </w:rPr>
  </w:style>
  <w:style w:type="character" w:customStyle="1" w:styleId="54">
    <w:name w:val="页眉 字符"/>
    <w:basedOn w:val="31"/>
    <w:link w:val="19"/>
    <w:qFormat/>
    <w:uiPriority w:val="99"/>
    <w:rPr>
      <w:rFonts w:ascii="Times New Roman" w:hAnsi="Times New Roman" w:eastAsia="宋体" w:cs="Times New Roman"/>
      <w:sz w:val="18"/>
      <w:szCs w:val="18"/>
    </w:rPr>
  </w:style>
  <w:style w:type="character" w:customStyle="1" w:styleId="55">
    <w:name w:val="普通文字1 Char"/>
    <w:qFormat/>
    <w:uiPriority w:val="0"/>
    <w:rPr>
      <w:rFonts w:ascii="宋体" w:hAnsi="Courier New" w:eastAsia="宋体"/>
      <w:kern w:val="2"/>
      <w:sz w:val="21"/>
      <w:lang w:val="en-US" w:eastAsia="zh-CN" w:bidi="ar-SA"/>
    </w:rPr>
  </w:style>
  <w:style w:type="paragraph" w:customStyle="1" w:styleId="56">
    <w:name w:val="样式1"/>
    <w:basedOn w:val="1"/>
    <w:qFormat/>
    <w:uiPriority w:val="0"/>
    <w:pPr>
      <w:spacing w:before="120" w:after="120" w:line="300" w:lineRule="auto"/>
    </w:pPr>
    <w:rPr>
      <w:rFonts w:ascii="宋体" w:hAnsi="宋体"/>
      <w:b/>
      <w:sz w:val="24"/>
    </w:rPr>
  </w:style>
  <w:style w:type="character" w:customStyle="1" w:styleId="57">
    <w:name w:val="不明显强调1"/>
    <w:qFormat/>
    <w:uiPriority w:val="0"/>
    <w:rPr>
      <w:i/>
      <w:iCs/>
      <w:color w:val="808080"/>
    </w:rPr>
  </w:style>
  <w:style w:type="character" w:customStyle="1" w:styleId="58">
    <w:name w:val="文档结构图 字符"/>
    <w:basedOn w:val="31"/>
    <w:link w:val="9"/>
    <w:semiHidden/>
    <w:qFormat/>
    <w:uiPriority w:val="0"/>
    <w:rPr>
      <w:rFonts w:ascii="Times New Roman" w:hAnsi="Times New Roman" w:eastAsia="宋体" w:cs="Times New Roman"/>
      <w:szCs w:val="24"/>
      <w:shd w:val="clear" w:color="auto" w:fill="000080"/>
    </w:rPr>
  </w:style>
  <w:style w:type="character" w:customStyle="1" w:styleId="59">
    <w:name w:val="font91"/>
    <w:basedOn w:val="31"/>
    <w:qFormat/>
    <w:uiPriority w:val="0"/>
    <w:rPr>
      <w:rFonts w:hint="default" w:ascii="Times New Roman" w:hAnsi="Times New Roman" w:cs="Times New Roman"/>
      <w:color w:val="000000"/>
      <w:sz w:val="24"/>
      <w:szCs w:val="24"/>
      <w:u w:val="none"/>
    </w:rPr>
  </w:style>
  <w:style w:type="character" w:customStyle="1" w:styleId="60">
    <w:name w:val="font101"/>
    <w:basedOn w:val="31"/>
    <w:qFormat/>
    <w:uiPriority w:val="0"/>
    <w:rPr>
      <w:rFonts w:hint="default" w:ascii="Times New Roman" w:hAnsi="Times New Roman" w:cs="Times New Roman"/>
      <w:color w:val="000000"/>
      <w:sz w:val="21"/>
      <w:szCs w:val="21"/>
      <w:u w:val="none"/>
    </w:rPr>
  </w:style>
  <w:style w:type="character" w:customStyle="1" w:styleId="61">
    <w:name w:val="font71"/>
    <w:basedOn w:val="31"/>
    <w:qFormat/>
    <w:uiPriority w:val="0"/>
    <w:rPr>
      <w:rFonts w:hint="eastAsia" w:ascii="宋体" w:hAnsi="宋体" w:eastAsia="宋体" w:cs="宋体"/>
      <w:color w:val="000000"/>
      <w:sz w:val="21"/>
      <w:szCs w:val="21"/>
      <w:u w:val="none"/>
    </w:rPr>
  </w:style>
  <w:style w:type="character" w:customStyle="1" w:styleId="62">
    <w:name w:val="font121"/>
    <w:basedOn w:val="31"/>
    <w:qFormat/>
    <w:uiPriority w:val="0"/>
    <w:rPr>
      <w:rFonts w:hint="eastAsia" w:ascii="宋体" w:hAnsi="宋体" w:eastAsia="宋体" w:cs="宋体"/>
      <w:color w:val="000000"/>
      <w:sz w:val="21"/>
      <w:szCs w:val="21"/>
      <w:u w:val="none"/>
    </w:rPr>
  </w:style>
  <w:style w:type="character" w:customStyle="1" w:styleId="63">
    <w:name w:val="font01"/>
    <w:basedOn w:val="31"/>
    <w:qFormat/>
    <w:uiPriority w:val="0"/>
    <w:rPr>
      <w:rFonts w:hint="default" w:ascii="Times New Roman" w:hAnsi="Times New Roman" w:cs="Times New Roman"/>
      <w:color w:val="000000"/>
      <w:sz w:val="18"/>
      <w:szCs w:val="18"/>
      <w:u w:val="none"/>
    </w:rPr>
  </w:style>
  <w:style w:type="character" w:customStyle="1" w:styleId="64">
    <w:name w:val="日期 字符"/>
    <w:link w:val="16"/>
    <w:qFormat/>
    <w:uiPriority w:val="0"/>
    <w:rPr>
      <w:szCs w:val="24"/>
    </w:rPr>
  </w:style>
  <w:style w:type="character" w:customStyle="1" w:styleId="65">
    <w:name w:val="font51"/>
    <w:basedOn w:val="31"/>
    <w:qFormat/>
    <w:uiPriority w:val="0"/>
    <w:rPr>
      <w:rFonts w:hint="eastAsia" w:ascii="宋体" w:hAnsi="宋体" w:eastAsia="宋体" w:cs="宋体"/>
      <w:color w:val="000000"/>
      <w:sz w:val="21"/>
      <w:szCs w:val="21"/>
      <w:u w:val="none"/>
    </w:rPr>
  </w:style>
  <w:style w:type="character" w:customStyle="1" w:styleId="66">
    <w:name w:val="font21"/>
    <w:basedOn w:val="31"/>
    <w:qFormat/>
    <w:uiPriority w:val="0"/>
    <w:rPr>
      <w:rFonts w:hint="eastAsia" w:ascii="宋体" w:hAnsi="宋体" w:eastAsia="宋体" w:cs="宋体"/>
      <w:color w:val="000000"/>
      <w:sz w:val="21"/>
      <w:szCs w:val="21"/>
      <w:u w:val="none"/>
    </w:rPr>
  </w:style>
  <w:style w:type="character" w:customStyle="1" w:styleId="67">
    <w:name w:val="font81"/>
    <w:basedOn w:val="31"/>
    <w:qFormat/>
    <w:uiPriority w:val="0"/>
    <w:rPr>
      <w:rFonts w:hint="eastAsia" w:ascii="宋体" w:hAnsi="宋体" w:eastAsia="宋体" w:cs="宋体"/>
      <w:color w:val="000000"/>
      <w:sz w:val="18"/>
      <w:szCs w:val="18"/>
      <w:u w:val="none"/>
    </w:rPr>
  </w:style>
  <w:style w:type="character" w:customStyle="1" w:styleId="68">
    <w:name w:val="font11"/>
    <w:basedOn w:val="31"/>
    <w:qFormat/>
    <w:uiPriority w:val="0"/>
    <w:rPr>
      <w:rFonts w:hint="default" w:ascii="Times New Roman" w:hAnsi="Times New Roman" w:cs="Times New Roman"/>
      <w:color w:val="000000"/>
      <w:sz w:val="21"/>
      <w:szCs w:val="21"/>
      <w:u w:val="none"/>
      <w:vertAlign w:val="superscript"/>
    </w:rPr>
  </w:style>
  <w:style w:type="character" w:customStyle="1" w:styleId="69">
    <w:name w:val="font41"/>
    <w:basedOn w:val="31"/>
    <w:qFormat/>
    <w:uiPriority w:val="0"/>
    <w:rPr>
      <w:rFonts w:hint="default" w:ascii="Times New Roman" w:hAnsi="Times New Roman" w:cs="Times New Roman"/>
      <w:color w:val="000000"/>
      <w:sz w:val="21"/>
      <w:szCs w:val="21"/>
      <w:u w:val="none"/>
    </w:rPr>
  </w:style>
  <w:style w:type="character" w:customStyle="1" w:styleId="70">
    <w:name w:val="font61"/>
    <w:basedOn w:val="31"/>
    <w:qFormat/>
    <w:uiPriority w:val="0"/>
    <w:rPr>
      <w:rFonts w:hint="default" w:ascii="Times New Roman" w:hAnsi="Times New Roman" w:cs="Times New Roman"/>
      <w:color w:val="000000"/>
      <w:sz w:val="21"/>
      <w:szCs w:val="21"/>
      <w:u w:val="none"/>
    </w:rPr>
  </w:style>
  <w:style w:type="character" w:customStyle="1" w:styleId="71">
    <w:name w:val="font31"/>
    <w:basedOn w:val="31"/>
    <w:qFormat/>
    <w:uiPriority w:val="0"/>
    <w:rPr>
      <w:rFonts w:hint="eastAsia" w:ascii="宋体" w:hAnsi="宋体" w:eastAsia="宋体" w:cs="宋体"/>
      <w:color w:val="000000"/>
      <w:sz w:val="21"/>
      <w:szCs w:val="21"/>
      <w:u w:val="none"/>
    </w:rPr>
  </w:style>
  <w:style w:type="character" w:customStyle="1" w:styleId="72">
    <w:name w:val="日期 Char1"/>
    <w:basedOn w:val="31"/>
    <w:qFormat/>
    <w:uiPriority w:val="99"/>
    <w:rPr>
      <w:rFonts w:ascii="Times New Roman" w:hAnsi="Times New Roman" w:eastAsia="宋体" w:cs="Times New Roman"/>
      <w:szCs w:val="24"/>
    </w:rPr>
  </w:style>
  <w:style w:type="character" w:customStyle="1" w:styleId="73">
    <w:name w:val="正文文本 字符"/>
    <w:basedOn w:val="31"/>
    <w:link w:val="11"/>
    <w:semiHidden/>
    <w:qFormat/>
    <w:uiPriority w:val="0"/>
    <w:rPr>
      <w:rFonts w:ascii="Times New Roman" w:hAnsi="Times New Roman" w:eastAsia="宋体" w:cs="Times New Roman"/>
      <w:szCs w:val="24"/>
    </w:rPr>
  </w:style>
  <w:style w:type="character" w:customStyle="1" w:styleId="74">
    <w:name w:val="正文文本首行缩进 字符"/>
    <w:basedOn w:val="73"/>
    <w:link w:val="28"/>
    <w:qFormat/>
    <w:uiPriority w:val="99"/>
    <w:rPr>
      <w:rFonts w:ascii="Calibri" w:hAnsi="Calibri" w:eastAsia="宋体" w:cs="Times New Roman"/>
      <w:szCs w:val="24"/>
    </w:rPr>
  </w:style>
  <w:style w:type="paragraph" w:customStyle="1" w:styleId="75">
    <w:name w:val="文一"/>
    <w:basedOn w:val="1"/>
    <w:qFormat/>
    <w:uiPriority w:val="0"/>
    <w:pPr>
      <w:topLinePunct/>
      <w:adjustRightInd w:val="0"/>
      <w:snapToGrid w:val="0"/>
      <w:spacing w:line="360" w:lineRule="auto"/>
      <w:ind w:firstLine="200" w:firstLineChars="200"/>
      <w:jc w:val="left"/>
    </w:pPr>
    <w:rPr>
      <w:spacing w:val="4"/>
      <w:kern w:val="0"/>
      <w:sz w:val="24"/>
    </w:rPr>
  </w:style>
  <w:style w:type="character" w:customStyle="1" w:styleId="76">
    <w:name w:val="脚注文本 字符"/>
    <w:basedOn w:val="31"/>
    <w:link w:val="22"/>
    <w:semiHidden/>
    <w:qFormat/>
    <w:uiPriority w:val="0"/>
    <w:rPr>
      <w:rFonts w:ascii="Times New Roman" w:hAnsi="Times New Roman" w:eastAsia="宋体" w:cs="Times New Roman"/>
      <w:sz w:val="18"/>
      <w:szCs w:val="18"/>
    </w:rPr>
  </w:style>
  <w:style w:type="paragraph" w:styleId="77">
    <w:name w:val="List Paragraph"/>
    <w:basedOn w:val="1"/>
    <w:qFormat/>
    <w:uiPriority w:val="34"/>
    <w:pPr>
      <w:ind w:firstLine="420" w:firstLineChars="200"/>
    </w:pPr>
  </w:style>
  <w:style w:type="paragraph" w:customStyle="1" w:styleId="7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79">
    <w:name w:val="CM6"/>
    <w:basedOn w:val="1"/>
    <w:next w:val="1"/>
    <w:qFormat/>
    <w:uiPriority w:val="99"/>
    <w:pPr>
      <w:autoSpaceDE w:val="0"/>
      <w:autoSpaceDN w:val="0"/>
      <w:adjustRightInd w:val="0"/>
      <w:spacing w:line="626" w:lineRule="atLeast"/>
      <w:jc w:val="left"/>
    </w:pPr>
    <w:rPr>
      <w:rFonts w:ascii="隶书" w:eastAsia="隶书"/>
      <w:kern w:val="0"/>
      <w:sz w:val="24"/>
    </w:rPr>
  </w:style>
  <w:style w:type="paragraph" w:customStyle="1" w:styleId="80">
    <w:name w:val="CM25"/>
    <w:basedOn w:val="2"/>
    <w:next w:val="2"/>
    <w:qFormat/>
    <w:uiPriority w:val="99"/>
    <w:pPr>
      <w:spacing w:line="426" w:lineRule="atLeast"/>
    </w:pPr>
    <w:rPr>
      <w:color w:val="auto"/>
    </w:rPr>
  </w:style>
  <w:style w:type="paragraph" w:customStyle="1" w:styleId="81">
    <w:name w:val="标题2"/>
    <w:basedOn w:val="1"/>
    <w:qFormat/>
    <w:uiPriority w:val="0"/>
    <w:pPr>
      <w:spacing w:line="360" w:lineRule="auto"/>
      <w:outlineLvl w:val="1"/>
    </w:pPr>
    <w:rPr>
      <w:rFonts w:ascii="仿宋_GB2312" w:hAnsi="华文楷体" w:cstheme="minorBidi"/>
      <w:b/>
      <w:szCs w:val="32"/>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4">
    <w:name w:val="正文缩进1"/>
    <w:basedOn w:val="1"/>
    <w:qFormat/>
    <w:uiPriority w:val="0"/>
    <w:pPr>
      <w:ind w:firstLine="420" w:firstLineChars="200"/>
    </w:pPr>
  </w:style>
  <w:style w:type="paragraph" w:customStyle="1" w:styleId="8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cf9e5b-eeee-48d1-b0a9-ee9eb341cee4}"/>
        <w:style w:val=""/>
        <w:category>
          <w:name w:val="常规"/>
          <w:gallery w:val="placeholder"/>
        </w:category>
        <w:types>
          <w:type w:val="bbPlcHdr"/>
        </w:types>
        <w:behaviors>
          <w:behavior w:val="content"/>
        </w:behaviors>
        <w:description w:val=""/>
        <w:guid w:val="{B0CF9E5B-EEEE-48D1-B0A9-EE9EB341CEE4}"/>
      </w:docPartPr>
      <w:docPartBody>
        <w:p>
          <w:r>
            <w:rPr>
              <w:color w:val="808080"/>
            </w:rPr>
            <w:t>单击此处输入文字。</w:t>
          </w:r>
        </w:p>
      </w:docPartBody>
    </w:docPart>
    <w:docPart>
      <w:docPartPr>
        <w:name w:val="{a9092a99-0328-4f44-aae6-cfd185e937c7}"/>
        <w:style w:val=""/>
        <w:category>
          <w:name w:val="常规"/>
          <w:gallery w:val="placeholder"/>
        </w:category>
        <w:types>
          <w:type w:val="bbPlcHdr"/>
        </w:types>
        <w:behaviors>
          <w:behavior w:val="content"/>
        </w:behaviors>
        <w:description w:val=""/>
        <w:guid w:val="{A9092A99-0328-4F44-AAE6-CFD185E937C7}"/>
      </w:docPartPr>
      <w:docPartBody>
        <w:p>
          <w:r>
            <w:rPr>
              <w:color w:val="808080"/>
            </w:rPr>
            <w:t>单击此处输入文字。</w:t>
          </w:r>
        </w:p>
      </w:docPartBody>
    </w:docPart>
    <w:docPart>
      <w:docPartPr>
        <w:name w:val="{ab0a51e6-320b-4a43-a592-7d4575304338}"/>
        <w:style w:val=""/>
        <w:category>
          <w:name w:val="常规"/>
          <w:gallery w:val="placeholder"/>
        </w:category>
        <w:types>
          <w:type w:val="bbPlcHdr"/>
        </w:types>
        <w:behaviors>
          <w:behavior w:val="content"/>
        </w:behaviors>
        <w:description w:val=""/>
        <w:guid w:val="{AB0A51E6-320B-4A43-A592-7D4575304338}"/>
      </w:docPartPr>
      <w:docPartBody>
        <w:p>
          <w:r>
            <w:rPr>
              <w:color w:val="808080"/>
            </w:rPr>
            <w:t>单击此处输入文字。</w:t>
          </w:r>
        </w:p>
      </w:docPartBody>
    </w:docPart>
    <w:docPart>
      <w:docPartPr>
        <w:name w:val="{160e4ee7-05c3-4be5-8425-6f88ab491ad0}"/>
        <w:style w:val=""/>
        <w:category>
          <w:name w:val="常规"/>
          <w:gallery w:val="placeholder"/>
        </w:category>
        <w:types>
          <w:type w:val="bbPlcHdr"/>
        </w:types>
        <w:behaviors>
          <w:behavior w:val="content"/>
        </w:behaviors>
        <w:description w:val=""/>
        <w:guid w:val="{160E4EE7-05C3-4BE5-8425-6F88AB491AD0}"/>
      </w:docPartPr>
      <w:docPartBody>
        <w:p>
          <w:r>
            <w:rPr>
              <w:color w:val="808080"/>
            </w:rPr>
            <w:t>单击此处输入文字。</w:t>
          </w:r>
        </w:p>
      </w:docPartBody>
    </w:docPart>
    <w:docPart>
      <w:docPartPr>
        <w:name w:val="{c73b1510-a29b-407b-bb64-970d2708ed35}"/>
        <w:style w:val=""/>
        <w:category>
          <w:name w:val="常规"/>
          <w:gallery w:val="placeholder"/>
        </w:category>
        <w:types>
          <w:type w:val="bbPlcHdr"/>
        </w:types>
        <w:behaviors>
          <w:behavior w:val="content"/>
        </w:behaviors>
        <w:description w:val=""/>
        <w:guid w:val="{C73B1510-A29B-407B-BB64-970D2708ED35}"/>
      </w:docPartPr>
      <w:docPartBody>
        <w:p>
          <w:r>
            <w:rPr>
              <w:color w:val="808080"/>
            </w:rPr>
            <w:t>单击此处输入文字。</w:t>
          </w:r>
        </w:p>
      </w:docPartBody>
    </w:docPart>
    <w:docPart>
      <w:docPartPr>
        <w:name w:val="{a4270cdb-7e54-46b6-92da-6fda773d8698}"/>
        <w:style w:val=""/>
        <w:category>
          <w:name w:val="常规"/>
          <w:gallery w:val="placeholder"/>
        </w:category>
        <w:types>
          <w:type w:val="bbPlcHdr"/>
        </w:types>
        <w:behaviors>
          <w:behavior w:val="content"/>
        </w:behaviors>
        <w:description w:val=""/>
        <w:guid w:val="{A4270CDB-7E54-46B6-92DA-6FDA773D8698}"/>
      </w:docPartPr>
      <w:docPartBody>
        <w:p>
          <w:r>
            <w:rPr>
              <w:color w:val="808080"/>
            </w:rPr>
            <w:t>单击此处输入文字。</w:t>
          </w:r>
        </w:p>
      </w:docPartBody>
    </w:docPart>
    <w:docPart>
      <w:docPartPr>
        <w:name w:val="{f4682a4e-7ce7-4965-aee9-1e61cc567454}"/>
        <w:style w:val=""/>
        <w:category>
          <w:name w:val="常规"/>
          <w:gallery w:val="placeholder"/>
        </w:category>
        <w:types>
          <w:type w:val="bbPlcHdr"/>
        </w:types>
        <w:behaviors>
          <w:behavior w:val="content"/>
        </w:behaviors>
        <w:description w:val=""/>
        <w:guid w:val="{F4682A4E-7CE7-4965-AEE9-1E61CC567454}"/>
      </w:docPartPr>
      <w:docPartBody>
        <w:p>
          <w:r>
            <w:rPr>
              <w:color w:val="808080"/>
            </w:rPr>
            <w:t>单击此处输入文字。</w:t>
          </w:r>
        </w:p>
      </w:docPartBody>
    </w:docPart>
    <w:docPart>
      <w:docPartPr>
        <w:name w:val="{808264bf-fd9f-44f6-a99f-4d2d5f074130}"/>
        <w:style w:val=""/>
        <w:category>
          <w:name w:val="常规"/>
          <w:gallery w:val="placeholder"/>
        </w:category>
        <w:types>
          <w:type w:val="bbPlcHdr"/>
        </w:types>
        <w:behaviors>
          <w:behavior w:val="content"/>
        </w:behaviors>
        <w:description w:val=""/>
        <w:guid w:val="{808264BF-FD9F-44F6-A99F-4D2D5F074130}"/>
      </w:docPartPr>
      <w:docPartBody>
        <w:p>
          <w:r>
            <w:rPr>
              <w:color w:val="808080"/>
            </w:rPr>
            <w:t>单击此处输入文字。</w:t>
          </w:r>
        </w:p>
      </w:docPartBody>
    </w:docPart>
    <w:docPart>
      <w:docPartPr>
        <w:name w:val="{61bc8029-8122-4259-80bc-3d8ffe233e74}"/>
        <w:style w:val=""/>
        <w:category>
          <w:name w:val="常规"/>
          <w:gallery w:val="placeholder"/>
        </w:category>
        <w:types>
          <w:type w:val="bbPlcHdr"/>
        </w:types>
        <w:behaviors>
          <w:behavior w:val="content"/>
        </w:behaviors>
        <w:description w:val=""/>
        <w:guid w:val="{61BC8029-8122-4259-80BC-3D8FFE233E74}"/>
      </w:docPartPr>
      <w:docPartBody>
        <w:p>
          <w:r>
            <w:rPr>
              <w:color w:val="808080"/>
            </w:rPr>
            <w:t>单击此处输入文字。</w:t>
          </w:r>
        </w:p>
      </w:docPartBody>
    </w:docPart>
    <w:docPart>
      <w:docPartPr>
        <w:name w:val="{1e71a330-4dc4-4f87-8a17-8040621c56fd}"/>
        <w:style w:val=""/>
        <w:category>
          <w:name w:val="常规"/>
          <w:gallery w:val="placeholder"/>
        </w:category>
        <w:types>
          <w:type w:val="bbPlcHdr"/>
        </w:types>
        <w:behaviors>
          <w:behavior w:val="content"/>
        </w:behaviors>
        <w:description w:val=""/>
        <w:guid w:val="{1E71A330-4DC4-4F87-8A17-8040621C56FD}"/>
      </w:docPartPr>
      <w:docPartBody>
        <w:p>
          <w:r>
            <w:rPr>
              <w:color w:val="808080"/>
            </w:rPr>
            <w:t>单击此处输入文字。</w:t>
          </w:r>
        </w:p>
      </w:docPartBody>
    </w:docPart>
    <w:docPart>
      <w:docPartPr>
        <w:name w:val="{40cd49fa-1143-4905-9133-dae3d4121484}"/>
        <w:style w:val=""/>
        <w:category>
          <w:name w:val="常规"/>
          <w:gallery w:val="placeholder"/>
        </w:category>
        <w:types>
          <w:type w:val="bbPlcHdr"/>
        </w:types>
        <w:behaviors>
          <w:behavior w:val="content"/>
        </w:behaviors>
        <w:description w:val=""/>
        <w:guid w:val="{40CD49FA-1143-4905-9133-DAE3D4121484}"/>
      </w:docPartPr>
      <w:docPartBody>
        <w:p>
          <w:r>
            <w:rPr>
              <w:color w:val="808080"/>
            </w:rPr>
            <w:t>单击此处输入文字。</w:t>
          </w:r>
        </w:p>
      </w:docPartBody>
    </w:docPart>
    <w:docPart>
      <w:docPartPr>
        <w:name w:val="{b2e33028-1df9-4382-8c60-b5d27e5d9700}"/>
        <w:style w:val=""/>
        <w:category>
          <w:name w:val="常规"/>
          <w:gallery w:val="placeholder"/>
        </w:category>
        <w:types>
          <w:type w:val="bbPlcHdr"/>
        </w:types>
        <w:behaviors>
          <w:behavior w:val="content"/>
        </w:behaviors>
        <w:description w:val=""/>
        <w:guid w:val="{B2E33028-1DF9-4382-8C60-B5D27E5D9700}"/>
      </w:docPartPr>
      <w:docPartBody>
        <w:p>
          <w:r>
            <w:rPr>
              <w:color w:val="808080"/>
            </w:rPr>
            <w:t>单击此处输入文字。</w:t>
          </w:r>
        </w:p>
      </w:docPartBody>
    </w:docPart>
    <w:docPart>
      <w:docPartPr>
        <w:name w:val="{c3f67f9b-4c7a-49ee-b6c4-b2244bf70756}"/>
        <w:style w:val=""/>
        <w:category>
          <w:name w:val="常规"/>
          <w:gallery w:val="placeholder"/>
        </w:category>
        <w:types>
          <w:type w:val="bbPlcHdr"/>
        </w:types>
        <w:behaviors>
          <w:behavior w:val="content"/>
        </w:behaviors>
        <w:description w:val=""/>
        <w:guid w:val="{C3F67F9B-4C7A-49EE-B6C4-B2244BF70756}"/>
      </w:docPartPr>
      <w:docPartBody>
        <w:p>
          <w:r>
            <w:rPr>
              <w:color w:val="808080"/>
            </w:rPr>
            <w:t>单击此处输入文字。</w:t>
          </w:r>
        </w:p>
      </w:docPartBody>
    </w:docPart>
    <w:docPart>
      <w:docPartPr>
        <w:name w:val="{83e1b5f6-efba-404a-b1b4-dfc3bc8b1258}"/>
        <w:style w:val=""/>
        <w:category>
          <w:name w:val="常规"/>
          <w:gallery w:val="placeholder"/>
        </w:category>
        <w:types>
          <w:type w:val="bbPlcHdr"/>
        </w:types>
        <w:behaviors>
          <w:behavior w:val="content"/>
        </w:behaviors>
        <w:description w:val=""/>
        <w:guid w:val="{83E1B5F6-EFBA-404A-B1B4-DFC3BC8B1258}"/>
      </w:docPartPr>
      <w:docPartBody>
        <w:p>
          <w:r>
            <w:rPr>
              <w:color w:val="808080"/>
            </w:rPr>
            <w:t>单击此处输入文字。</w:t>
          </w:r>
        </w:p>
      </w:docPartBody>
    </w:docPart>
    <w:docPart>
      <w:docPartPr>
        <w:name w:val="{adf3e2c8-2dfb-4930-8deb-35668b24318a}"/>
        <w:style w:val=""/>
        <w:category>
          <w:name w:val="常规"/>
          <w:gallery w:val="placeholder"/>
        </w:category>
        <w:types>
          <w:type w:val="bbPlcHdr"/>
        </w:types>
        <w:behaviors>
          <w:behavior w:val="content"/>
        </w:behaviors>
        <w:description w:val=""/>
        <w:guid w:val="{ADF3E2C8-2DFB-4930-8DEB-35668B24318A}"/>
      </w:docPartPr>
      <w:docPartBody>
        <w:p>
          <w:r>
            <w:rPr>
              <w:color w:val="808080"/>
            </w:rPr>
            <w:t>单击此处输入文字。</w:t>
          </w:r>
        </w:p>
      </w:docPartBody>
    </w:docPart>
    <w:docPart>
      <w:docPartPr>
        <w:name w:val="{9aff7cfc-4d64-4f1f-b3d5-944007ab039d}"/>
        <w:style w:val=""/>
        <w:category>
          <w:name w:val="常规"/>
          <w:gallery w:val="placeholder"/>
        </w:category>
        <w:types>
          <w:type w:val="bbPlcHdr"/>
        </w:types>
        <w:behaviors>
          <w:behavior w:val="content"/>
        </w:behaviors>
        <w:description w:val=""/>
        <w:guid w:val="{9AFF7CFC-4D64-4F1F-B3D5-944007AB039D}"/>
      </w:docPartPr>
      <w:docPartBody>
        <w:p>
          <w:r>
            <w:rPr>
              <w:color w:val="808080"/>
            </w:rPr>
            <w:t>单击此处输入文字。</w:t>
          </w:r>
        </w:p>
      </w:docPartBody>
    </w:docPart>
    <w:docPart>
      <w:docPartPr>
        <w:name w:val="{23c53739-4c5a-409a-8c9e-00f4725cdfea}"/>
        <w:style w:val=""/>
        <w:category>
          <w:name w:val="常规"/>
          <w:gallery w:val="placeholder"/>
        </w:category>
        <w:types>
          <w:type w:val="bbPlcHdr"/>
        </w:types>
        <w:behaviors>
          <w:behavior w:val="content"/>
        </w:behaviors>
        <w:description w:val=""/>
        <w:guid w:val="{23C53739-4C5A-409A-8C9E-00F4725CDFEA}"/>
      </w:docPartPr>
      <w:docPartBody>
        <w:p>
          <w:r>
            <w:rPr>
              <w:color w:val="808080"/>
            </w:rPr>
            <w:t>单击此处输入文字。</w:t>
          </w:r>
        </w:p>
      </w:docPartBody>
    </w:docPart>
    <w:docPart>
      <w:docPartPr>
        <w:name w:val="{cdeb5569-10f0-4358-93ae-accdfaa22b13}"/>
        <w:style w:val=""/>
        <w:category>
          <w:name w:val="常规"/>
          <w:gallery w:val="placeholder"/>
        </w:category>
        <w:types>
          <w:type w:val="bbPlcHdr"/>
        </w:types>
        <w:behaviors>
          <w:behavior w:val="content"/>
        </w:behaviors>
        <w:description w:val=""/>
        <w:guid w:val="{CDEB5569-10F0-4358-93AE-ACCDFAA22B13}"/>
      </w:docPartPr>
      <w:docPartBody>
        <w:p>
          <w:r>
            <w:rPr>
              <w:color w:val="808080"/>
            </w:rPr>
            <w:t>单击此处输入文字。</w:t>
          </w:r>
        </w:p>
      </w:docPartBody>
    </w:docPart>
    <w:docPart>
      <w:docPartPr>
        <w:name w:val="{b395ec2a-7835-4d74-b6d7-2b5a7f9c036b}"/>
        <w:style w:val=""/>
        <w:category>
          <w:name w:val="常规"/>
          <w:gallery w:val="placeholder"/>
        </w:category>
        <w:types>
          <w:type w:val="bbPlcHdr"/>
        </w:types>
        <w:behaviors>
          <w:behavior w:val="content"/>
        </w:behaviors>
        <w:description w:val=""/>
        <w:guid w:val="{B395EC2A-7835-4D74-B6D7-2B5A7F9C036B}"/>
      </w:docPartPr>
      <w:docPartBody>
        <w:p>
          <w:r>
            <w:rPr>
              <w:color w:val="808080"/>
            </w:rPr>
            <w:t>单击此处输入文字。</w:t>
          </w:r>
        </w:p>
      </w:docPartBody>
    </w:docPart>
    <w:docPart>
      <w:docPartPr>
        <w:name w:val="{e6039c7b-f952-4d46-b0d1-46309a0541ae}"/>
        <w:style w:val=""/>
        <w:category>
          <w:name w:val="常规"/>
          <w:gallery w:val="placeholder"/>
        </w:category>
        <w:types>
          <w:type w:val="bbPlcHdr"/>
        </w:types>
        <w:behaviors>
          <w:behavior w:val="content"/>
        </w:behaviors>
        <w:description w:val=""/>
        <w:guid w:val="{E6039C7B-F952-4D46-B0D1-46309A0541AE}"/>
      </w:docPartPr>
      <w:docPartBody>
        <w:p>
          <w:r>
            <w:rPr>
              <w:color w:val="808080"/>
            </w:rPr>
            <w:t>单击此处输入文字。</w:t>
          </w:r>
        </w:p>
      </w:docPartBody>
    </w:docPart>
    <w:docPart>
      <w:docPartPr>
        <w:name w:val="{db224c14-7149-4529-9821-d36be833b79c}"/>
        <w:style w:val=""/>
        <w:category>
          <w:name w:val="常规"/>
          <w:gallery w:val="placeholder"/>
        </w:category>
        <w:types>
          <w:type w:val="bbPlcHdr"/>
        </w:types>
        <w:behaviors>
          <w:behavior w:val="content"/>
        </w:behaviors>
        <w:description w:val=""/>
        <w:guid w:val="{DB224C14-7149-4529-9821-D36BE833B79C}"/>
      </w:docPartPr>
      <w:docPartBody>
        <w:p>
          <w:r>
            <w:rPr>
              <w:color w:val="808080"/>
            </w:rPr>
            <w:t>单击此处输入文字。</w:t>
          </w:r>
        </w:p>
      </w:docPartBody>
    </w:docPart>
    <w:docPart>
      <w:docPartPr>
        <w:name w:val="{9dc8aa8a-cde3-4899-8c52-8df0cba9f8e8}"/>
        <w:style w:val=""/>
        <w:category>
          <w:name w:val="常规"/>
          <w:gallery w:val="placeholder"/>
        </w:category>
        <w:types>
          <w:type w:val="bbPlcHdr"/>
        </w:types>
        <w:behaviors>
          <w:behavior w:val="content"/>
        </w:behaviors>
        <w:description w:val=""/>
        <w:guid w:val="{9DC8AA8A-CDE3-4899-8C52-8DF0CBA9F8E8}"/>
      </w:docPartPr>
      <w:docPartBody>
        <w:p>
          <w:r>
            <w:rPr>
              <w:color w:val="808080"/>
            </w:rPr>
            <w:t>单击此处输入文字。</w:t>
          </w:r>
        </w:p>
      </w:docPartBody>
    </w:docPart>
    <w:docPart>
      <w:docPartPr>
        <w:name w:val="{cf4395e9-29c2-42a5-b549-c43a83eca9d0}"/>
        <w:style w:val=""/>
        <w:category>
          <w:name w:val="常规"/>
          <w:gallery w:val="placeholder"/>
        </w:category>
        <w:types>
          <w:type w:val="bbPlcHdr"/>
        </w:types>
        <w:behaviors>
          <w:behavior w:val="content"/>
        </w:behaviors>
        <w:description w:val=""/>
        <w:guid w:val="{CF4395E9-29C2-42A5-B549-C43A83ECA9D0}"/>
      </w:docPartPr>
      <w:docPartBody>
        <w:p>
          <w:r>
            <w:rPr>
              <w:color w:val="808080"/>
            </w:rPr>
            <w:t>单击此处输入文字。</w:t>
          </w:r>
        </w:p>
      </w:docPartBody>
    </w:docPart>
    <w:docPart>
      <w:docPartPr>
        <w:name w:val="{754728d3-b652-4e68-95c2-125fc9bf8901}"/>
        <w:style w:val=""/>
        <w:category>
          <w:name w:val="常规"/>
          <w:gallery w:val="placeholder"/>
        </w:category>
        <w:types>
          <w:type w:val="bbPlcHdr"/>
        </w:types>
        <w:behaviors>
          <w:behavior w:val="content"/>
        </w:behaviors>
        <w:description w:val=""/>
        <w:guid w:val="{754728D3-B652-4E68-95C2-125FC9BF8901}"/>
      </w:docPartPr>
      <w:docPartBody>
        <w:p>
          <w:r>
            <w:rPr>
              <w:color w:val="808080"/>
            </w:rPr>
            <w:t>单击此处输入文字。</w:t>
          </w:r>
        </w:p>
      </w:docPartBody>
    </w:docPart>
    <w:docPart>
      <w:docPartPr>
        <w:name w:val="{644b6393-811c-46b5-a0b3-d34a62504f2c}"/>
        <w:style w:val=""/>
        <w:category>
          <w:name w:val="常规"/>
          <w:gallery w:val="placeholder"/>
        </w:category>
        <w:types>
          <w:type w:val="bbPlcHdr"/>
        </w:types>
        <w:behaviors>
          <w:behavior w:val="content"/>
        </w:behaviors>
        <w:description w:val=""/>
        <w:guid w:val="{644B6393-811C-46B5-A0B3-D34A62504F2C}"/>
      </w:docPartPr>
      <w:docPartBody>
        <w:p>
          <w:r>
            <w:rPr>
              <w:color w:val="808080"/>
            </w:rPr>
            <w:t>单击此处输入文字。</w:t>
          </w:r>
        </w:p>
      </w:docPartBody>
    </w:docPart>
    <w:docPart>
      <w:docPartPr>
        <w:name w:val="{e6159e9a-febf-41b7-9e09-10eccf00b257}"/>
        <w:style w:val=""/>
        <w:category>
          <w:name w:val="常规"/>
          <w:gallery w:val="placeholder"/>
        </w:category>
        <w:types>
          <w:type w:val="bbPlcHdr"/>
        </w:types>
        <w:behaviors>
          <w:behavior w:val="content"/>
        </w:behaviors>
        <w:description w:val=""/>
        <w:guid w:val="{E6159E9A-FEBF-41B7-9E09-10ECCF00B257}"/>
      </w:docPartPr>
      <w:docPartBody>
        <w:p>
          <w:r>
            <w:rPr>
              <w:color w:val="808080"/>
            </w:rPr>
            <w:t>单击此处输入文字。</w:t>
          </w:r>
        </w:p>
      </w:docPartBody>
    </w:docPart>
    <w:docPart>
      <w:docPartPr>
        <w:name w:val="{381b2398-a131-4025-9fdb-5c1d98934841}"/>
        <w:style w:val=""/>
        <w:category>
          <w:name w:val="常规"/>
          <w:gallery w:val="placeholder"/>
        </w:category>
        <w:types>
          <w:type w:val="bbPlcHdr"/>
        </w:types>
        <w:behaviors>
          <w:behavior w:val="content"/>
        </w:behaviors>
        <w:description w:val=""/>
        <w:guid w:val="{381B2398-A131-4025-9FDB-5C1D98934841}"/>
      </w:docPartPr>
      <w:docPartBody>
        <w:p>
          <w:r>
            <w:rPr>
              <w:color w:val="808080"/>
            </w:rPr>
            <w:t>单击此处输入文字。</w:t>
          </w:r>
        </w:p>
      </w:docPartBody>
    </w:docPart>
    <w:docPart>
      <w:docPartPr>
        <w:name w:val="{fa3b2ca0-3b8f-46d4-b008-e25b5c784844}"/>
        <w:style w:val=""/>
        <w:category>
          <w:name w:val="常规"/>
          <w:gallery w:val="placeholder"/>
        </w:category>
        <w:types>
          <w:type w:val="bbPlcHdr"/>
        </w:types>
        <w:behaviors>
          <w:behavior w:val="content"/>
        </w:behaviors>
        <w:description w:val=""/>
        <w:guid w:val="{FA3B2CA0-3B8F-46D4-B008-E25B5C784844}"/>
      </w:docPartPr>
      <w:docPartBody>
        <w:p>
          <w:r>
            <w:rPr>
              <w:color w:val="808080"/>
            </w:rPr>
            <w:t>单击此处输入文字。</w:t>
          </w:r>
        </w:p>
      </w:docPartBody>
    </w:docPart>
    <w:docPart>
      <w:docPartPr>
        <w:name w:val="{17da66aa-439f-4fed-b15c-8fb98b7d9e4d}"/>
        <w:style w:val=""/>
        <w:category>
          <w:name w:val="常规"/>
          <w:gallery w:val="placeholder"/>
        </w:category>
        <w:types>
          <w:type w:val="bbPlcHdr"/>
        </w:types>
        <w:behaviors>
          <w:behavior w:val="content"/>
        </w:behaviors>
        <w:description w:val=""/>
        <w:guid w:val="{17DA66AA-439F-4FED-B15C-8FB98B7D9E4D}"/>
      </w:docPartPr>
      <w:docPartBody>
        <w:p>
          <w:r>
            <w:rPr>
              <w:color w:val="808080"/>
            </w:rPr>
            <w:t>单击此处输入文字。</w:t>
          </w:r>
        </w:p>
      </w:docPartBody>
    </w:docPart>
    <w:docPart>
      <w:docPartPr>
        <w:name w:val="{2b8f6f13-e8c2-4ccc-ac26-7707c671c98d}"/>
        <w:style w:val=""/>
        <w:category>
          <w:name w:val="常规"/>
          <w:gallery w:val="placeholder"/>
        </w:category>
        <w:types>
          <w:type w:val="bbPlcHdr"/>
        </w:types>
        <w:behaviors>
          <w:behavior w:val="content"/>
        </w:behaviors>
        <w:description w:val=""/>
        <w:guid w:val="{2B8F6F13-E8C2-4CCC-AC26-7707C671C98D}"/>
      </w:docPartPr>
      <w:docPartBody>
        <w:p>
          <w:r>
            <w:rPr>
              <w:color w:val="808080"/>
            </w:rPr>
            <w:t>单击此处输入文字。</w:t>
          </w:r>
        </w:p>
      </w:docPartBody>
    </w:docPart>
    <w:docPart>
      <w:docPartPr>
        <w:name w:val="{9fdbd4b2-cc95-4195-a8a3-53f80d823d2d}"/>
        <w:style w:val=""/>
        <w:category>
          <w:name w:val="常规"/>
          <w:gallery w:val="placeholder"/>
        </w:category>
        <w:types>
          <w:type w:val="bbPlcHdr"/>
        </w:types>
        <w:behaviors>
          <w:behavior w:val="content"/>
        </w:behaviors>
        <w:description w:val=""/>
        <w:guid w:val="{9FDBD4B2-CC95-4195-A8A3-53F80D823D2D}"/>
      </w:docPartPr>
      <w:docPartBody>
        <w:p>
          <w:r>
            <w:rPr>
              <w:color w:val="808080"/>
            </w:rPr>
            <w:t>单击此处输入文字。</w:t>
          </w:r>
        </w:p>
      </w:docPartBody>
    </w:docPart>
    <w:docPart>
      <w:docPartPr>
        <w:name w:val="{9a0bbe26-9b73-49fe-b2f9-1e785543d310}"/>
        <w:style w:val=""/>
        <w:category>
          <w:name w:val="常规"/>
          <w:gallery w:val="placeholder"/>
        </w:category>
        <w:types>
          <w:type w:val="bbPlcHdr"/>
        </w:types>
        <w:behaviors>
          <w:behavior w:val="content"/>
        </w:behaviors>
        <w:description w:val=""/>
        <w:guid w:val="{9A0BBE26-9B73-49FE-B2F9-1E785543D310}"/>
      </w:docPartPr>
      <w:docPartBody>
        <w:p>
          <w:r>
            <w:rPr>
              <w:color w:val="808080"/>
            </w:rPr>
            <w:t>单击此处输入文字。</w:t>
          </w:r>
        </w:p>
      </w:docPartBody>
    </w:docPart>
    <w:docPart>
      <w:docPartPr>
        <w:name w:val="{16ee2366-28b5-4d3f-8431-36c7fe98b901}"/>
        <w:style w:val=""/>
        <w:category>
          <w:name w:val="常规"/>
          <w:gallery w:val="placeholder"/>
        </w:category>
        <w:types>
          <w:type w:val="bbPlcHdr"/>
        </w:types>
        <w:behaviors>
          <w:behavior w:val="content"/>
        </w:behaviors>
        <w:description w:val=""/>
        <w:guid w:val="{16EE2366-28B5-4D3F-8431-36C7FE98B901}"/>
      </w:docPartPr>
      <w:docPartBody>
        <w:p>
          <w:r>
            <w:rPr>
              <w:color w:val="808080"/>
            </w:rPr>
            <w:t>单击此处输入文字。</w:t>
          </w:r>
        </w:p>
      </w:docPartBody>
    </w:docPart>
    <w:docPart>
      <w:docPartPr>
        <w:name w:val="{9a81b187-ee53-4284-b189-c52baf37555e}"/>
        <w:style w:val=""/>
        <w:category>
          <w:name w:val="常规"/>
          <w:gallery w:val="placeholder"/>
        </w:category>
        <w:types>
          <w:type w:val="bbPlcHdr"/>
        </w:types>
        <w:behaviors>
          <w:behavior w:val="content"/>
        </w:behaviors>
        <w:description w:val=""/>
        <w:guid w:val="{9A81B187-EE53-4284-B189-C52BAF37555E}"/>
      </w:docPartPr>
      <w:docPartBody>
        <w:p>
          <w:r>
            <w:rPr>
              <w:color w:val="808080"/>
            </w:rPr>
            <w:t>单击此处输入文字。</w:t>
          </w:r>
        </w:p>
      </w:docPartBody>
    </w:docPart>
    <w:docPart>
      <w:docPartPr>
        <w:name w:val="{62f45133-d14c-4130-ae7d-8da2355d93df}"/>
        <w:style w:val=""/>
        <w:category>
          <w:name w:val="常规"/>
          <w:gallery w:val="placeholder"/>
        </w:category>
        <w:types>
          <w:type w:val="bbPlcHdr"/>
        </w:types>
        <w:behaviors>
          <w:behavior w:val="content"/>
        </w:behaviors>
        <w:description w:val=""/>
        <w:guid w:val="{62F45133-D14C-4130-AE7D-8DA2355D93DF}"/>
      </w:docPartPr>
      <w:docPartBody>
        <w:p>
          <w:r>
            <w:rPr>
              <w:color w:val="808080"/>
            </w:rPr>
            <w:t>单击此处输入文字。</w:t>
          </w:r>
        </w:p>
      </w:docPartBody>
    </w:docPart>
    <w:docPart>
      <w:docPartPr>
        <w:name w:val="{366a097b-6407-4ebe-b006-5f86e7e51916}"/>
        <w:style w:val=""/>
        <w:category>
          <w:name w:val="常规"/>
          <w:gallery w:val="placeholder"/>
        </w:category>
        <w:types>
          <w:type w:val="bbPlcHdr"/>
        </w:types>
        <w:behaviors>
          <w:behavior w:val="content"/>
        </w:behaviors>
        <w:description w:val=""/>
        <w:guid w:val="{366A097B-6407-4EBE-B006-5F86E7E5191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7E"/>
    <w:rsid w:val="00651E7E"/>
    <w:rsid w:val="00DC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3D659-9683-470D-90DF-73EF7D57C2AA}">
  <ds:schemaRefs/>
</ds:datastoreItem>
</file>

<file path=docProps/app.xml><?xml version="1.0" encoding="utf-8"?>
<Properties xmlns="http://schemas.openxmlformats.org/officeDocument/2006/extended-properties" xmlns:vt="http://schemas.openxmlformats.org/officeDocument/2006/docPropsVTypes">
  <Template>Normal</Template>
  <Pages>50</Pages>
  <Words>4469</Words>
  <Characters>25474</Characters>
  <Lines>212</Lines>
  <Paragraphs>59</Paragraphs>
  <TotalTime>12</TotalTime>
  <ScaleCrop>false</ScaleCrop>
  <LinksUpToDate>false</LinksUpToDate>
  <CharactersWithSpaces>29884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2019-12-19T01:18:00Z</dcterms:created>
  <dc:creator>黎小华</dc:creator>
  <cp:lastModifiedBy>李志滨</cp:lastModifiedBy>
  <dcterms:modified xsi:type="dcterms:W3CDTF">2022-04-02T02:11:17Z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