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 w:line="276" w:lineRule="auto"/>
        <w:jc w:val="center"/>
        <w:rPr>
          <w:rFonts w:ascii="宋体" w:hAnsi="宋体" w:eastAsia="宋体"/>
          <w:b/>
          <w:color w:val="auto"/>
          <w:kern w:val="2"/>
          <w:sz w:val="40"/>
          <w:szCs w:val="60"/>
          <w:highlight w:val="none"/>
          <w:lang w:eastAsia="zh-CN"/>
        </w:rPr>
      </w:pPr>
    </w:p>
    <w:p>
      <w:pPr>
        <w:spacing w:before="2" w:line="276" w:lineRule="auto"/>
        <w:jc w:val="center"/>
        <w:rPr>
          <w:rFonts w:ascii="宋体" w:hAnsi="宋体" w:eastAsia="宋体"/>
          <w:b/>
          <w:color w:val="auto"/>
          <w:kern w:val="2"/>
          <w:sz w:val="40"/>
          <w:szCs w:val="60"/>
          <w:highlight w:val="none"/>
          <w:lang w:eastAsia="zh-CN"/>
        </w:rPr>
      </w:pPr>
    </w:p>
    <w:p>
      <w:pPr>
        <w:spacing w:before="2" w:line="276" w:lineRule="auto"/>
        <w:jc w:val="center"/>
        <w:rPr>
          <w:rFonts w:hint="eastAsia" w:ascii="宋体" w:hAnsi="宋体" w:eastAsia="宋体"/>
          <w:b/>
          <w:color w:val="auto"/>
          <w:kern w:val="2"/>
          <w:sz w:val="48"/>
          <w:szCs w:val="96"/>
          <w:highlight w:val="none"/>
          <w:lang w:eastAsia="zh-CN"/>
        </w:rPr>
      </w:pPr>
      <w:r>
        <w:rPr>
          <w:rFonts w:hint="eastAsia" w:ascii="宋体" w:hAnsi="宋体" w:eastAsia="宋体"/>
          <w:b/>
          <w:color w:val="auto"/>
          <w:kern w:val="2"/>
          <w:sz w:val="48"/>
          <w:szCs w:val="96"/>
          <w:highlight w:val="none"/>
          <w:lang w:eastAsia="zh-CN"/>
        </w:rPr>
        <w:t>广清产业园水利设施修复建设项目</w:t>
      </w:r>
    </w:p>
    <w:p>
      <w:pPr>
        <w:spacing w:before="2" w:line="276" w:lineRule="auto"/>
        <w:jc w:val="center"/>
        <w:rPr>
          <w:rFonts w:ascii="宋体" w:hAnsi="宋体" w:eastAsia="宋体"/>
          <w:b/>
          <w:color w:val="auto"/>
          <w:kern w:val="2"/>
          <w:sz w:val="48"/>
          <w:szCs w:val="96"/>
          <w:highlight w:val="none"/>
          <w:lang w:eastAsia="zh-CN"/>
        </w:rPr>
      </w:pPr>
      <w:r>
        <w:rPr>
          <w:rFonts w:hint="eastAsia" w:ascii="宋体" w:hAnsi="宋体" w:eastAsia="宋体"/>
          <w:b/>
          <w:color w:val="auto"/>
          <w:kern w:val="2"/>
          <w:sz w:val="48"/>
          <w:szCs w:val="96"/>
          <w:highlight w:val="none"/>
          <w:lang w:eastAsia="zh-CN"/>
        </w:rPr>
        <w:t>勘察设计</w:t>
      </w: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rPr>
          <w:rFonts w:ascii="宋体" w:hAnsi="宋体" w:eastAsia="宋体" w:cs="宋体"/>
          <w:b/>
          <w:bCs/>
          <w:color w:val="auto"/>
          <w:sz w:val="20"/>
          <w:szCs w:val="20"/>
          <w:highlight w:val="none"/>
          <w:lang w:eastAsia="zh-CN"/>
        </w:rPr>
      </w:pPr>
    </w:p>
    <w:p>
      <w:pPr>
        <w:jc w:val="center"/>
        <w:rPr>
          <w:rFonts w:ascii="宋体" w:hAnsi="宋体" w:eastAsia="宋体"/>
          <w:b/>
          <w:color w:val="auto"/>
          <w:kern w:val="2"/>
          <w:sz w:val="96"/>
          <w:szCs w:val="84"/>
          <w:highlight w:val="none"/>
          <w:lang w:eastAsia="zh-CN"/>
        </w:rPr>
      </w:pPr>
    </w:p>
    <w:p>
      <w:pPr>
        <w:jc w:val="center"/>
        <w:rPr>
          <w:rFonts w:ascii="宋体" w:hAnsi="宋体" w:eastAsia="宋体"/>
          <w:b/>
          <w:color w:val="auto"/>
          <w:kern w:val="2"/>
          <w:sz w:val="96"/>
          <w:szCs w:val="84"/>
          <w:highlight w:val="none"/>
          <w:lang w:eastAsia="zh-CN"/>
        </w:rPr>
      </w:pPr>
      <w:r>
        <w:rPr>
          <w:rFonts w:ascii="宋体" w:hAnsi="宋体" w:eastAsia="宋体"/>
          <w:b/>
          <w:color w:val="auto"/>
          <w:kern w:val="2"/>
          <w:sz w:val="96"/>
          <w:szCs w:val="84"/>
          <w:highlight w:val="none"/>
          <w:lang w:eastAsia="zh-CN"/>
        </w:rPr>
        <w:t>招标文件</w:t>
      </w:r>
    </w:p>
    <w:p>
      <w:pPr>
        <w:rPr>
          <w:rFonts w:ascii="宋体" w:hAnsi="宋体" w:eastAsia="宋体" w:cs="宋体"/>
          <w:color w:val="auto"/>
          <w:sz w:val="44"/>
          <w:szCs w:val="44"/>
          <w:highlight w:val="none"/>
          <w:lang w:eastAsia="zh-CN"/>
        </w:rPr>
      </w:pPr>
    </w:p>
    <w:p>
      <w:pPr>
        <w:rPr>
          <w:rFonts w:ascii="宋体" w:hAnsi="宋体" w:eastAsia="宋体" w:cs="宋体"/>
          <w:color w:val="auto"/>
          <w:sz w:val="44"/>
          <w:szCs w:val="44"/>
          <w:highlight w:val="none"/>
          <w:lang w:eastAsia="zh-CN"/>
        </w:rPr>
      </w:pPr>
    </w:p>
    <w:p>
      <w:pPr>
        <w:rPr>
          <w:rFonts w:ascii="宋体" w:hAnsi="宋体" w:eastAsia="宋体" w:cs="宋体"/>
          <w:color w:val="auto"/>
          <w:sz w:val="44"/>
          <w:szCs w:val="44"/>
          <w:highlight w:val="none"/>
          <w:lang w:eastAsia="zh-CN"/>
        </w:rPr>
      </w:pPr>
    </w:p>
    <w:p>
      <w:pPr>
        <w:rPr>
          <w:rFonts w:ascii="宋体" w:hAnsi="宋体" w:eastAsia="宋体" w:cs="宋体"/>
          <w:color w:val="auto"/>
          <w:sz w:val="44"/>
          <w:szCs w:val="44"/>
          <w:highlight w:val="none"/>
          <w:lang w:eastAsia="zh-CN"/>
        </w:rPr>
      </w:pPr>
    </w:p>
    <w:p>
      <w:pPr>
        <w:rPr>
          <w:rFonts w:ascii="宋体" w:hAnsi="宋体" w:eastAsia="宋体" w:cs="宋体"/>
          <w:color w:val="auto"/>
          <w:sz w:val="44"/>
          <w:szCs w:val="44"/>
          <w:highlight w:val="none"/>
          <w:lang w:eastAsia="zh-CN"/>
        </w:rPr>
      </w:pPr>
    </w:p>
    <w:p>
      <w:pPr>
        <w:spacing w:before="8"/>
        <w:rPr>
          <w:rFonts w:ascii="宋体" w:hAnsi="宋体" w:eastAsia="宋体" w:cs="宋体"/>
          <w:color w:val="auto"/>
          <w:sz w:val="33"/>
          <w:szCs w:val="33"/>
          <w:highlight w:val="none"/>
          <w:lang w:eastAsia="zh-CN"/>
        </w:rPr>
      </w:pPr>
    </w:p>
    <w:p>
      <w:pPr>
        <w:spacing w:before="8"/>
        <w:rPr>
          <w:rFonts w:ascii="宋体" w:hAnsi="宋体" w:eastAsia="宋体" w:cs="宋体"/>
          <w:color w:val="auto"/>
          <w:sz w:val="33"/>
          <w:szCs w:val="33"/>
          <w:highlight w:val="none"/>
          <w:lang w:eastAsia="zh-CN"/>
        </w:rPr>
      </w:pPr>
    </w:p>
    <w:p>
      <w:pPr>
        <w:spacing w:line="360" w:lineRule="auto"/>
        <w:ind w:left="2885" w:leftChars="435" w:hanging="1928" w:hangingChars="600"/>
        <w:rPr>
          <w:rFonts w:hint="eastAsia" w:ascii="宋体" w:hAnsi="宋体" w:eastAsia="宋体"/>
          <w:b/>
          <w:color w:val="auto"/>
          <w:sz w:val="32"/>
          <w:szCs w:val="32"/>
          <w:highlight w:val="none"/>
          <w:lang w:eastAsia="zh-CN"/>
        </w:rPr>
      </w:pPr>
      <w:r>
        <w:rPr>
          <w:rFonts w:hint="eastAsia" w:ascii="宋体" w:hAnsi="宋体" w:eastAsia="宋体"/>
          <w:b/>
          <w:color w:val="auto"/>
          <w:sz w:val="32"/>
          <w:szCs w:val="32"/>
          <w:highlight w:val="none"/>
          <w:lang w:eastAsia="zh-CN"/>
        </w:rPr>
        <w:t>招   标   人：广清经济特别合作区广清产业园管理</w:t>
      </w:r>
    </w:p>
    <w:p>
      <w:pPr>
        <w:spacing w:line="360" w:lineRule="auto"/>
        <w:ind w:left="2871" w:leftChars="1305" w:firstLine="0" w:firstLineChars="0"/>
        <w:rPr>
          <w:rFonts w:ascii="宋体" w:hAnsi="宋体" w:eastAsia="宋体"/>
          <w:b/>
          <w:color w:val="auto"/>
          <w:sz w:val="32"/>
          <w:szCs w:val="32"/>
          <w:highlight w:val="none"/>
          <w:lang w:eastAsia="zh-CN"/>
        </w:rPr>
      </w:pPr>
      <w:r>
        <w:rPr>
          <w:rFonts w:hint="eastAsia" w:ascii="宋体" w:hAnsi="宋体" w:eastAsia="宋体"/>
          <w:b/>
          <w:color w:val="auto"/>
          <w:sz w:val="32"/>
          <w:szCs w:val="32"/>
          <w:highlight w:val="none"/>
          <w:lang w:eastAsia="zh-CN"/>
        </w:rPr>
        <w:t>委员会规划建设局</w:t>
      </w:r>
    </w:p>
    <w:p>
      <w:pPr>
        <w:spacing w:line="360" w:lineRule="auto"/>
        <w:ind w:firstLine="964" w:firstLineChars="300"/>
        <w:rPr>
          <w:rFonts w:ascii="宋体" w:hAnsi="宋体" w:eastAsia="宋体"/>
          <w:b/>
          <w:color w:val="auto"/>
          <w:sz w:val="32"/>
          <w:szCs w:val="32"/>
          <w:highlight w:val="none"/>
          <w:lang w:eastAsia="zh-CN"/>
        </w:rPr>
      </w:pPr>
      <w:r>
        <w:rPr>
          <w:rFonts w:hint="eastAsia" w:ascii="宋体" w:hAnsi="宋体" w:eastAsia="宋体"/>
          <w:b/>
          <w:color w:val="auto"/>
          <w:sz w:val="32"/>
          <w:szCs w:val="32"/>
          <w:highlight w:val="none"/>
          <w:lang w:eastAsia="zh-CN"/>
        </w:rPr>
        <w:t>招标代理机构：广东合信工程项目管理有限公司</w:t>
      </w:r>
    </w:p>
    <w:p>
      <w:pPr>
        <w:tabs>
          <w:tab w:val="left" w:pos="561"/>
        </w:tabs>
        <w:spacing w:line="360" w:lineRule="auto"/>
        <w:ind w:firstLine="964" w:firstLineChars="300"/>
        <w:rPr>
          <w:rFonts w:ascii="宋体" w:hAnsi="宋体" w:eastAsia="宋体"/>
          <w:b/>
          <w:color w:val="auto"/>
          <w:sz w:val="32"/>
          <w:szCs w:val="32"/>
          <w:highlight w:val="none"/>
          <w:lang w:eastAsia="zh-CN"/>
        </w:rPr>
      </w:pPr>
      <w:r>
        <w:rPr>
          <w:rFonts w:hint="eastAsia" w:ascii="宋体" w:hAnsi="宋体" w:eastAsia="宋体"/>
          <w:b/>
          <w:color w:val="auto"/>
          <w:sz w:val="32"/>
          <w:szCs w:val="32"/>
          <w:highlight w:val="none"/>
          <w:lang w:eastAsia="zh-CN"/>
        </w:rPr>
        <w:t>日        期：202</w:t>
      </w:r>
      <w:r>
        <w:rPr>
          <w:rFonts w:hint="eastAsia" w:ascii="宋体" w:hAnsi="宋体" w:eastAsia="宋体"/>
          <w:b/>
          <w:color w:val="auto"/>
          <w:sz w:val="32"/>
          <w:szCs w:val="32"/>
          <w:highlight w:val="none"/>
          <w:lang w:val="en-US" w:eastAsia="zh-CN"/>
        </w:rPr>
        <w:t>4</w:t>
      </w:r>
      <w:r>
        <w:rPr>
          <w:rFonts w:hint="eastAsia" w:ascii="宋体" w:hAnsi="宋体" w:eastAsia="宋体"/>
          <w:b/>
          <w:color w:val="auto"/>
          <w:sz w:val="32"/>
          <w:szCs w:val="32"/>
          <w:highlight w:val="none"/>
          <w:lang w:eastAsia="zh-CN"/>
        </w:rPr>
        <w:t>年</w:t>
      </w:r>
      <w:r>
        <w:rPr>
          <w:rFonts w:hint="eastAsia" w:ascii="宋体" w:hAnsi="宋体" w:eastAsia="宋体"/>
          <w:b/>
          <w:color w:val="auto"/>
          <w:sz w:val="32"/>
          <w:szCs w:val="32"/>
          <w:highlight w:val="none"/>
          <w:lang w:val="en-US" w:eastAsia="zh-CN"/>
        </w:rPr>
        <w:t>7</w:t>
      </w:r>
      <w:r>
        <w:rPr>
          <w:rFonts w:hint="eastAsia" w:ascii="宋体" w:hAnsi="宋体" w:eastAsia="宋体"/>
          <w:b/>
          <w:color w:val="auto"/>
          <w:sz w:val="32"/>
          <w:szCs w:val="32"/>
          <w:highlight w:val="none"/>
          <w:lang w:eastAsia="zh-CN"/>
        </w:rPr>
        <w:t>月</w:t>
      </w:r>
    </w:p>
    <w:p>
      <w:pPr>
        <w:tabs>
          <w:tab w:val="left" w:pos="561"/>
          <w:tab w:val="center" w:pos="4513"/>
          <w:tab w:val="left" w:pos="5723"/>
        </w:tabs>
        <w:spacing w:line="360" w:lineRule="auto"/>
        <w:jc w:val="center"/>
        <w:rPr>
          <w:rFonts w:ascii="宋体" w:hAnsi="宋体" w:eastAsia="宋体" w:cs="宋体"/>
          <w:color w:val="auto"/>
          <w:sz w:val="24"/>
          <w:szCs w:val="24"/>
          <w:highlight w:val="none"/>
          <w:lang w:eastAsia="zh-CN"/>
        </w:rPr>
      </w:pPr>
      <w:r>
        <w:rPr>
          <w:rFonts w:ascii="宋体" w:hAnsi="宋体" w:eastAsia="宋体"/>
          <w:b/>
          <w:color w:val="auto"/>
          <w:sz w:val="32"/>
          <w:szCs w:val="32"/>
          <w:highlight w:val="none"/>
          <w:lang w:eastAsia="zh-CN"/>
        </w:rPr>
        <w:br w:type="page"/>
      </w:r>
      <w:r>
        <w:rPr>
          <w:rFonts w:ascii="宋体" w:hAnsi="宋体" w:eastAsia="宋体" w:cs="宋体"/>
          <w:b/>
          <w:bCs/>
          <w:color w:val="auto"/>
          <w:sz w:val="28"/>
          <w:szCs w:val="28"/>
          <w:highlight w:val="none"/>
          <w:lang w:eastAsia="zh-CN"/>
        </w:rPr>
        <w:t>目</w:t>
      </w:r>
      <w:r>
        <w:rPr>
          <w:rFonts w:ascii="宋体" w:hAnsi="宋体" w:eastAsia="宋体" w:cs="宋体"/>
          <w:b/>
          <w:bCs/>
          <w:color w:val="auto"/>
          <w:sz w:val="28"/>
          <w:szCs w:val="28"/>
          <w:highlight w:val="none"/>
          <w:lang w:eastAsia="zh-CN"/>
        </w:rPr>
        <w:tab/>
      </w:r>
      <w:r>
        <w:rPr>
          <w:rFonts w:ascii="宋体" w:hAnsi="宋体" w:eastAsia="宋体" w:cs="宋体"/>
          <w:b/>
          <w:bCs/>
          <w:color w:val="auto"/>
          <w:sz w:val="28"/>
          <w:szCs w:val="28"/>
          <w:highlight w:val="none"/>
          <w:lang w:eastAsia="zh-CN"/>
        </w:rPr>
        <w:t>录</w:t>
      </w:r>
    </w:p>
    <w:p>
      <w:pPr>
        <w:pStyle w:val="15"/>
        <w:tabs>
          <w:tab w:val="right" w:leader="dot" w:pos="9017"/>
        </w:tabs>
        <w:spacing w:line="360" w:lineRule="auto"/>
        <w:rPr>
          <w:rFonts w:ascii="等线" w:hAnsi="等线" w:eastAsia="等线"/>
          <w:color w:val="auto"/>
          <w:kern w:val="2"/>
          <w:sz w:val="24"/>
          <w:szCs w:val="24"/>
          <w:highlight w:val="none"/>
          <w:lang w:eastAsia="zh-CN"/>
        </w:rPr>
      </w:pPr>
      <w:r>
        <w:rPr>
          <w:rFonts w:cs="宋体"/>
          <w:color w:val="auto"/>
          <w:sz w:val="24"/>
          <w:szCs w:val="24"/>
          <w:highlight w:val="none"/>
          <w:lang w:eastAsia="zh-CN"/>
        </w:rPr>
        <w:fldChar w:fldCharType="begin"/>
      </w:r>
      <w:r>
        <w:rPr>
          <w:rFonts w:cs="宋体"/>
          <w:color w:val="auto"/>
          <w:sz w:val="24"/>
          <w:szCs w:val="24"/>
          <w:highlight w:val="none"/>
          <w:lang w:eastAsia="zh-CN"/>
        </w:rPr>
        <w:instrText xml:space="preserve"> TOC \o "1-3" \h \z \u </w:instrText>
      </w:r>
      <w:r>
        <w:rPr>
          <w:rFonts w:cs="宋体"/>
          <w:color w:val="auto"/>
          <w:sz w:val="24"/>
          <w:szCs w:val="24"/>
          <w:highlight w:val="none"/>
          <w:lang w:eastAsia="zh-CN"/>
        </w:rPr>
        <w:fldChar w:fldCharType="separate"/>
      </w:r>
      <w:r>
        <w:rPr>
          <w:color w:val="auto"/>
          <w:highlight w:val="none"/>
        </w:rPr>
        <w:fldChar w:fldCharType="begin"/>
      </w:r>
      <w:r>
        <w:rPr>
          <w:color w:val="auto"/>
          <w:highlight w:val="none"/>
        </w:rPr>
        <w:instrText xml:space="preserve"> HYPERLINK \l "_Toc109809418" </w:instrText>
      </w:r>
      <w:r>
        <w:rPr>
          <w:color w:val="auto"/>
          <w:highlight w:val="none"/>
        </w:rPr>
        <w:fldChar w:fldCharType="separate"/>
      </w:r>
      <w:r>
        <w:rPr>
          <w:rStyle w:val="22"/>
          <w:color w:val="auto"/>
          <w:sz w:val="24"/>
          <w:szCs w:val="24"/>
          <w:highlight w:val="none"/>
          <w:lang w:eastAsia="zh-CN"/>
        </w:rPr>
        <w:t>第一卷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_Toc109809418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p>
    <w:p>
      <w:pPr>
        <w:pStyle w:val="15"/>
        <w:tabs>
          <w:tab w:val="right" w:leader="dot" w:pos="9017"/>
        </w:tabs>
        <w:spacing w:line="360" w:lineRule="auto"/>
        <w:rPr>
          <w:rFonts w:ascii="等线" w:hAnsi="等线" w:eastAsia="等线"/>
          <w:color w:val="auto"/>
          <w:kern w:val="2"/>
          <w:sz w:val="24"/>
          <w:szCs w:val="24"/>
          <w:highlight w:val="none"/>
          <w:lang w:eastAsia="zh-CN"/>
        </w:rPr>
      </w:pPr>
      <w:r>
        <w:rPr>
          <w:color w:val="auto"/>
          <w:highlight w:val="none"/>
        </w:rPr>
        <w:fldChar w:fldCharType="begin"/>
      </w:r>
      <w:r>
        <w:rPr>
          <w:color w:val="auto"/>
          <w:highlight w:val="none"/>
        </w:rPr>
        <w:instrText xml:space="preserve"> HYPERLINK \l "_Toc109809419" </w:instrText>
      </w:r>
      <w:r>
        <w:rPr>
          <w:color w:val="auto"/>
          <w:highlight w:val="none"/>
        </w:rPr>
        <w:fldChar w:fldCharType="separate"/>
      </w:r>
      <w:r>
        <w:rPr>
          <w:rStyle w:val="22"/>
          <w:color w:val="auto"/>
          <w:sz w:val="24"/>
          <w:szCs w:val="24"/>
          <w:highlight w:val="none"/>
          <w:lang w:eastAsia="zh-CN"/>
        </w:rPr>
        <w:t>第一章  招标公告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_Toc109809419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pPr>
        <w:pStyle w:val="15"/>
        <w:tabs>
          <w:tab w:val="right" w:leader="dot" w:pos="9017"/>
        </w:tabs>
        <w:spacing w:line="360" w:lineRule="auto"/>
        <w:rPr>
          <w:rFonts w:ascii="等线" w:hAnsi="等线" w:eastAsia="等线"/>
          <w:color w:val="auto"/>
          <w:kern w:val="2"/>
          <w:sz w:val="24"/>
          <w:szCs w:val="24"/>
          <w:highlight w:val="none"/>
          <w:lang w:eastAsia="zh-CN"/>
        </w:rPr>
      </w:pPr>
      <w:r>
        <w:rPr>
          <w:color w:val="auto"/>
          <w:highlight w:val="none"/>
        </w:rPr>
        <w:fldChar w:fldCharType="begin"/>
      </w:r>
      <w:r>
        <w:rPr>
          <w:color w:val="auto"/>
          <w:highlight w:val="none"/>
        </w:rPr>
        <w:instrText xml:space="preserve"> HYPERLINK \l "_Toc109809420" </w:instrText>
      </w:r>
      <w:r>
        <w:rPr>
          <w:color w:val="auto"/>
          <w:highlight w:val="none"/>
        </w:rPr>
        <w:fldChar w:fldCharType="separate"/>
      </w:r>
      <w:r>
        <w:rPr>
          <w:rStyle w:val="22"/>
          <w:color w:val="auto"/>
          <w:sz w:val="24"/>
          <w:szCs w:val="24"/>
          <w:highlight w:val="none"/>
          <w:lang w:eastAsia="zh-CN"/>
        </w:rPr>
        <w:t>第二章  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_Toc109809420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pPr>
        <w:pStyle w:val="11"/>
        <w:tabs>
          <w:tab w:val="right" w:leader="dot" w:pos="9017"/>
        </w:tabs>
        <w:spacing w:line="360" w:lineRule="auto"/>
        <w:rPr>
          <w:rFonts w:ascii="等线" w:hAnsi="等线" w:eastAsia="等线"/>
          <w:color w:val="auto"/>
          <w:kern w:val="2"/>
          <w:sz w:val="24"/>
          <w:szCs w:val="24"/>
          <w:highlight w:val="none"/>
          <w:lang w:eastAsia="zh-CN"/>
        </w:rPr>
      </w:pPr>
      <w:r>
        <w:rPr>
          <w:color w:val="auto"/>
          <w:highlight w:val="none"/>
        </w:rPr>
        <w:fldChar w:fldCharType="begin"/>
      </w:r>
      <w:r>
        <w:rPr>
          <w:color w:val="auto"/>
          <w:highlight w:val="none"/>
        </w:rPr>
        <w:instrText xml:space="preserve"> HYPERLINK \l "_Toc109809421" </w:instrText>
      </w:r>
      <w:r>
        <w:rPr>
          <w:color w:val="auto"/>
          <w:highlight w:val="none"/>
        </w:rPr>
        <w:fldChar w:fldCharType="separate"/>
      </w:r>
      <w:r>
        <w:rPr>
          <w:rStyle w:val="22"/>
          <w:color w:val="auto"/>
          <w:sz w:val="24"/>
          <w:szCs w:val="24"/>
          <w:highlight w:val="none"/>
          <w:lang w:eastAsia="zh-CN"/>
        </w:rPr>
        <w:t>投标人须知前附表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_Toc109809421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pPr>
        <w:pStyle w:val="11"/>
        <w:tabs>
          <w:tab w:val="right" w:leader="dot" w:pos="9017"/>
        </w:tabs>
        <w:spacing w:line="360" w:lineRule="auto"/>
        <w:rPr>
          <w:rFonts w:hint="eastAsia" w:ascii="等线" w:hAnsi="等线" w:eastAsia="宋体"/>
          <w:color w:val="auto"/>
          <w:kern w:val="2"/>
          <w:sz w:val="24"/>
          <w:szCs w:val="24"/>
          <w:highlight w:val="none"/>
          <w:lang w:eastAsia="zh-CN"/>
        </w:rPr>
      </w:pPr>
      <w:r>
        <w:rPr>
          <w:color w:val="auto"/>
          <w:highlight w:val="none"/>
        </w:rPr>
        <w:fldChar w:fldCharType="begin"/>
      </w:r>
      <w:r>
        <w:rPr>
          <w:color w:val="auto"/>
          <w:highlight w:val="none"/>
        </w:rPr>
        <w:instrText xml:space="preserve"> HYPERLINK \l "_Toc109809422" </w:instrText>
      </w:r>
      <w:r>
        <w:rPr>
          <w:color w:val="auto"/>
          <w:highlight w:val="none"/>
        </w:rPr>
        <w:fldChar w:fldCharType="separate"/>
      </w:r>
      <w:r>
        <w:rPr>
          <w:rStyle w:val="22"/>
          <w:color w:val="auto"/>
          <w:sz w:val="24"/>
          <w:szCs w:val="24"/>
          <w:highlight w:val="none"/>
          <w:lang w:eastAsia="zh-CN"/>
        </w:rPr>
        <w:t>1. 总则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_Toc109809422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r>
        <w:rPr>
          <w:rFonts w:hint="eastAsia"/>
          <w:color w:val="auto"/>
          <w:sz w:val="24"/>
          <w:szCs w:val="24"/>
          <w:highlight w:val="none"/>
          <w:lang w:val="en-US" w:eastAsia="zh-CN"/>
        </w:rPr>
        <w:t>5</w:t>
      </w:r>
    </w:p>
    <w:p>
      <w:pPr>
        <w:pStyle w:val="11"/>
        <w:tabs>
          <w:tab w:val="right" w:leader="dot" w:pos="9017"/>
        </w:tabs>
        <w:spacing w:line="360" w:lineRule="auto"/>
        <w:rPr>
          <w:rFonts w:hint="eastAsia" w:ascii="等线" w:hAnsi="等线" w:eastAsia="宋体"/>
          <w:color w:val="auto"/>
          <w:kern w:val="2"/>
          <w:sz w:val="24"/>
          <w:szCs w:val="24"/>
          <w:highlight w:val="none"/>
          <w:lang w:eastAsia="zh-CN"/>
        </w:rPr>
      </w:pPr>
      <w:r>
        <w:rPr>
          <w:color w:val="auto"/>
          <w:highlight w:val="none"/>
        </w:rPr>
        <w:fldChar w:fldCharType="begin"/>
      </w:r>
      <w:r>
        <w:rPr>
          <w:color w:val="auto"/>
          <w:highlight w:val="none"/>
        </w:rPr>
        <w:instrText xml:space="preserve"> HYPERLINK \l "_Toc109809423" </w:instrText>
      </w:r>
      <w:r>
        <w:rPr>
          <w:color w:val="auto"/>
          <w:highlight w:val="none"/>
        </w:rPr>
        <w:fldChar w:fldCharType="separate"/>
      </w:r>
      <w:r>
        <w:rPr>
          <w:rStyle w:val="22"/>
          <w:color w:val="auto"/>
          <w:sz w:val="24"/>
          <w:szCs w:val="24"/>
          <w:highlight w:val="none"/>
          <w:lang w:eastAsia="zh-CN"/>
        </w:rPr>
        <w:t>2. 招标文件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_Toc109809423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r>
        <w:rPr>
          <w:rFonts w:hint="eastAsia"/>
          <w:color w:val="auto"/>
          <w:sz w:val="24"/>
          <w:szCs w:val="24"/>
          <w:highlight w:val="none"/>
          <w:lang w:val="en-US" w:eastAsia="zh-CN"/>
        </w:rPr>
        <w:t>8</w:t>
      </w:r>
    </w:p>
    <w:p>
      <w:pPr>
        <w:pStyle w:val="11"/>
        <w:tabs>
          <w:tab w:val="right" w:leader="dot" w:pos="9017"/>
        </w:tabs>
        <w:spacing w:line="360" w:lineRule="auto"/>
        <w:rPr>
          <w:rFonts w:hint="default" w:ascii="等线" w:hAnsi="等线" w:eastAsia="宋体"/>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"_Toc109809424" </w:instrText>
      </w:r>
      <w:r>
        <w:rPr>
          <w:color w:val="auto"/>
          <w:highlight w:val="none"/>
        </w:rPr>
        <w:fldChar w:fldCharType="separate"/>
      </w:r>
      <w:r>
        <w:rPr>
          <w:rStyle w:val="22"/>
          <w:color w:val="auto"/>
          <w:sz w:val="24"/>
          <w:szCs w:val="24"/>
          <w:highlight w:val="none"/>
          <w:lang w:eastAsia="zh-CN"/>
        </w:rPr>
        <w:t>3. 投标文件</w:t>
      </w:r>
      <w:r>
        <w:rPr>
          <w:color w:val="auto"/>
          <w:sz w:val="24"/>
          <w:szCs w:val="24"/>
          <w:highlight w:val="none"/>
        </w:rPr>
        <w:tab/>
      </w:r>
      <w:r>
        <w:rPr>
          <w:color w:val="auto"/>
          <w:sz w:val="24"/>
          <w:szCs w:val="24"/>
          <w:highlight w:val="none"/>
        </w:rPr>
        <w:fldChar w:fldCharType="end"/>
      </w:r>
      <w:r>
        <w:rPr>
          <w:rFonts w:hint="eastAsia"/>
          <w:color w:val="auto"/>
          <w:sz w:val="24"/>
          <w:szCs w:val="24"/>
          <w:highlight w:val="none"/>
          <w:lang w:val="en-US" w:eastAsia="zh-CN"/>
        </w:rPr>
        <w:t>19</w:t>
      </w:r>
    </w:p>
    <w:p>
      <w:pPr>
        <w:pStyle w:val="11"/>
        <w:tabs>
          <w:tab w:val="right" w:leader="dot" w:pos="9017"/>
        </w:tabs>
        <w:spacing w:line="360" w:lineRule="auto"/>
        <w:rPr>
          <w:rFonts w:hint="eastAsia" w:ascii="等线" w:hAnsi="等线" w:eastAsia="宋体"/>
          <w:color w:val="auto"/>
          <w:kern w:val="2"/>
          <w:sz w:val="24"/>
          <w:szCs w:val="24"/>
          <w:highlight w:val="none"/>
          <w:lang w:eastAsia="zh-CN"/>
        </w:rPr>
      </w:pPr>
      <w:r>
        <w:rPr>
          <w:color w:val="auto"/>
          <w:highlight w:val="none"/>
        </w:rPr>
        <w:fldChar w:fldCharType="begin"/>
      </w:r>
      <w:r>
        <w:rPr>
          <w:color w:val="auto"/>
          <w:highlight w:val="none"/>
        </w:rPr>
        <w:instrText xml:space="preserve"> HYPERLINK \l "_Toc109809425" </w:instrText>
      </w:r>
      <w:r>
        <w:rPr>
          <w:color w:val="auto"/>
          <w:highlight w:val="none"/>
        </w:rPr>
        <w:fldChar w:fldCharType="separate"/>
      </w:r>
      <w:r>
        <w:rPr>
          <w:rStyle w:val="22"/>
          <w:color w:val="auto"/>
          <w:sz w:val="24"/>
          <w:szCs w:val="24"/>
          <w:highlight w:val="none"/>
          <w:lang w:eastAsia="zh-CN"/>
        </w:rPr>
        <w:t>4. 投标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_Toc109809425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r>
        <w:rPr>
          <w:rFonts w:hint="eastAsia"/>
          <w:color w:val="auto"/>
          <w:sz w:val="24"/>
          <w:szCs w:val="24"/>
          <w:highlight w:val="none"/>
          <w:lang w:val="en-US" w:eastAsia="zh-CN"/>
        </w:rPr>
        <w:t>3</w:t>
      </w:r>
    </w:p>
    <w:p>
      <w:pPr>
        <w:pStyle w:val="11"/>
        <w:tabs>
          <w:tab w:val="right" w:leader="dot" w:pos="9017"/>
        </w:tabs>
        <w:spacing w:line="360" w:lineRule="auto"/>
        <w:rPr>
          <w:rFonts w:hint="eastAsia" w:ascii="等线" w:hAnsi="等线" w:eastAsia="宋体"/>
          <w:color w:val="auto"/>
          <w:kern w:val="2"/>
          <w:sz w:val="24"/>
          <w:szCs w:val="24"/>
          <w:highlight w:val="none"/>
          <w:lang w:eastAsia="zh-CN"/>
        </w:rPr>
      </w:pPr>
      <w:r>
        <w:rPr>
          <w:color w:val="auto"/>
          <w:highlight w:val="none"/>
        </w:rPr>
        <w:fldChar w:fldCharType="begin"/>
      </w:r>
      <w:r>
        <w:rPr>
          <w:color w:val="auto"/>
          <w:highlight w:val="none"/>
        </w:rPr>
        <w:instrText xml:space="preserve"> HYPERLINK \l "_Toc109809426" </w:instrText>
      </w:r>
      <w:r>
        <w:rPr>
          <w:color w:val="auto"/>
          <w:highlight w:val="none"/>
        </w:rPr>
        <w:fldChar w:fldCharType="separate"/>
      </w:r>
      <w:r>
        <w:rPr>
          <w:rStyle w:val="22"/>
          <w:color w:val="auto"/>
          <w:sz w:val="24"/>
          <w:szCs w:val="24"/>
          <w:highlight w:val="none"/>
          <w:lang w:eastAsia="zh-CN"/>
        </w:rPr>
        <w:t>5. 开标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_Toc109809426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r>
        <w:rPr>
          <w:rFonts w:hint="eastAsia"/>
          <w:color w:val="auto"/>
          <w:sz w:val="24"/>
          <w:szCs w:val="24"/>
          <w:highlight w:val="none"/>
          <w:lang w:val="en-US" w:eastAsia="zh-CN"/>
        </w:rPr>
        <w:t>4</w:t>
      </w:r>
    </w:p>
    <w:p>
      <w:pPr>
        <w:pStyle w:val="11"/>
        <w:tabs>
          <w:tab w:val="right" w:leader="dot" w:pos="9017"/>
        </w:tabs>
        <w:spacing w:line="360" w:lineRule="auto"/>
        <w:rPr>
          <w:rFonts w:hint="eastAsia" w:ascii="等线" w:hAnsi="等线" w:eastAsia="宋体"/>
          <w:color w:val="auto"/>
          <w:kern w:val="2"/>
          <w:sz w:val="24"/>
          <w:szCs w:val="24"/>
          <w:highlight w:val="none"/>
          <w:lang w:eastAsia="zh-CN"/>
        </w:rPr>
      </w:pPr>
      <w:r>
        <w:rPr>
          <w:color w:val="auto"/>
          <w:highlight w:val="none"/>
        </w:rPr>
        <w:fldChar w:fldCharType="begin"/>
      </w:r>
      <w:r>
        <w:rPr>
          <w:color w:val="auto"/>
          <w:highlight w:val="none"/>
        </w:rPr>
        <w:instrText xml:space="preserve"> HYPERLINK \l "_Toc109809427" </w:instrText>
      </w:r>
      <w:r>
        <w:rPr>
          <w:color w:val="auto"/>
          <w:highlight w:val="none"/>
        </w:rPr>
        <w:fldChar w:fldCharType="separate"/>
      </w:r>
      <w:r>
        <w:rPr>
          <w:rStyle w:val="22"/>
          <w:color w:val="auto"/>
          <w:sz w:val="24"/>
          <w:szCs w:val="24"/>
          <w:highlight w:val="none"/>
          <w:lang w:eastAsia="zh-CN"/>
        </w:rPr>
        <w:t>6. 评标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_Toc109809427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r>
        <w:rPr>
          <w:rFonts w:hint="eastAsia"/>
          <w:color w:val="auto"/>
          <w:sz w:val="24"/>
          <w:szCs w:val="24"/>
          <w:highlight w:val="none"/>
          <w:lang w:val="en-US" w:eastAsia="zh-CN"/>
        </w:rPr>
        <w:t>6</w:t>
      </w:r>
    </w:p>
    <w:p>
      <w:pPr>
        <w:pStyle w:val="11"/>
        <w:tabs>
          <w:tab w:val="right" w:leader="dot" w:pos="9017"/>
        </w:tabs>
        <w:spacing w:line="360" w:lineRule="auto"/>
        <w:rPr>
          <w:rFonts w:hint="eastAsia" w:ascii="等线" w:hAnsi="等线" w:eastAsia="宋体"/>
          <w:color w:val="auto"/>
          <w:kern w:val="2"/>
          <w:sz w:val="24"/>
          <w:szCs w:val="24"/>
          <w:highlight w:val="none"/>
          <w:lang w:eastAsia="zh-CN"/>
        </w:rPr>
      </w:pPr>
      <w:r>
        <w:rPr>
          <w:color w:val="auto"/>
          <w:highlight w:val="none"/>
        </w:rPr>
        <w:fldChar w:fldCharType="begin"/>
      </w:r>
      <w:r>
        <w:rPr>
          <w:color w:val="auto"/>
          <w:highlight w:val="none"/>
        </w:rPr>
        <w:instrText xml:space="preserve"> HYPERLINK \l "_Toc109809428" </w:instrText>
      </w:r>
      <w:r>
        <w:rPr>
          <w:color w:val="auto"/>
          <w:highlight w:val="none"/>
        </w:rPr>
        <w:fldChar w:fldCharType="separate"/>
      </w:r>
      <w:r>
        <w:rPr>
          <w:rStyle w:val="22"/>
          <w:color w:val="auto"/>
          <w:sz w:val="24"/>
          <w:szCs w:val="24"/>
          <w:highlight w:val="none"/>
          <w:lang w:eastAsia="zh-CN"/>
        </w:rPr>
        <w:t>7. 合同授予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_Toc109809428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r>
        <w:rPr>
          <w:rFonts w:hint="eastAsia"/>
          <w:color w:val="auto"/>
          <w:sz w:val="24"/>
          <w:szCs w:val="24"/>
          <w:highlight w:val="none"/>
          <w:lang w:val="en-US" w:eastAsia="zh-CN"/>
        </w:rPr>
        <w:t>6</w:t>
      </w:r>
    </w:p>
    <w:p>
      <w:pPr>
        <w:pStyle w:val="11"/>
        <w:tabs>
          <w:tab w:val="right" w:leader="dot" w:pos="9017"/>
        </w:tabs>
        <w:spacing w:line="360" w:lineRule="auto"/>
        <w:rPr>
          <w:rFonts w:hint="eastAsia" w:ascii="等线" w:hAnsi="等线" w:eastAsia="宋体"/>
          <w:color w:val="auto"/>
          <w:kern w:val="2"/>
          <w:sz w:val="24"/>
          <w:szCs w:val="24"/>
          <w:highlight w:val="none"/>
          <w:lang w:eastAsia="zh-CN"/>
        </w:rPr>
      </w:pPr>
      <w:r>
        <w:rPr>
          <w:color w:val="auto"/>
          <w:highlight w:val="none"/>
        </w:rPr>
        <w:fldChar w:fldCharType="begin"/>
      </w:r>
      <w:r>
        <w:rPr>
          <w:color w:val="auto"/>
          <w:highlight w:val="none"/>
        </w:rPr>
        <w:instrText xml:space="preserve"> HYPERLINK \l "_Toc109809429" </w:instrText>
      </w:r>
      <w:r>
        <w:rPr>
          <w:color w:val="auto"/>
          <w:highlight w:val="none"/>
        </w:rPr>
        <w:fldChar w:fldCharType="separate"/>
      </w:r>
      <w:r>
        <w:rPr>
          <w:rStyle w:val="22"/>
          <w:color w:val="auto"/>
          <w:sz w:val="24"/>
          <w:szCs w:val="24"/>
          <w:highlight w:val="none"/>
          <w:lang w:eastAsia="zh-CN"/>
        </w:rPr>
        <w:t>8. 纪律和监督</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_Toc109809429 \h </w:instrText>
      </w:r>
      <w:r>
        <w:rPr>
          <w:color w:val="auto"/>
          <w:sz w:val="24"/>
          <w:szCs w:val="24"/>
          <w:highlight w:val="none"/>
        </w:rPr>
        <w:fldChar w:fldCharType="separate"/>
      </w:r>
      <w:r>
        <w:rPr>
          <w:color w:val="auto"/>
          <w:sz w:val="24"/>
          <w:szCs w:val="24"/>
          <w:highlight w:val="none"/>
        </w:rPr>
        <w:t>2</w:t>
      </w:r>
      <w:r>
        <w:rPr>
          <w:color w:val="auto"/>
          <w:sz w:val="24"/>
          <w:szCs w:val="24"/>
          <w:highlight w:val="none"/>
        </w:rPr>
        <w:fldChar w:fldCharType="end"/>
      </w:r>
      <w:r>
        <w:rPr>
          <w:color w:val="auto"/>
          <w:sz w:val="24"/>
          <w:szCs w:val="24"/>
          <w:highlight w:val="none"/>
        </w:rPr>
        <w:fldChar w:fldCharType="end"/>
      </w:r>
      <w:r>
        <w:rPr>
          <w:rFonts w:hint="eastAsia"/>
          <w:color w:val="auto"/>
          <w:sz w:val="24"/>
          <w:szCs w:val="24"/>
          <w:highlight w:val="none"/>
          <w:lang w:val="en-US" w:eastAsia="zh-CN"/>
        </w:rPr>
        <w:t>8</w:t>
      </w:r>
    </w:p>
    <w:p>
      <w:pPr>
        <w:pStyle w:val="11"/>
        <w:tabs>
          <w:tab w:val="right" w:leader="dot" w:pos="9017"/>
        </w:tabs>
        <w:spacing w:line="360" w:lineRule="auto"/>
        <w:rPr>
          <w:rFonts w:hint="default" w:ascii="等线" w:hAnsi="等线" w:eastAsia="宋体"/>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"_Toc109809430" </w:instrText>
      </w:r>
      <w:r>
        <w:rPr>
          <w:color w:val="auto"/>
          <w:highlight w:val="none"/>
        </w:rPr>
        <w:fldChar w:fldCharType="separate"/>
      </w:r>
      <w:r>
        <w:rPr>
          <w:rStyle w:val="22"/>
          <w:color w:val="auto"/>
          <w:sz w:val="24"/>
          <w:szCs w:val="24"/>
          <w:highlight w:val="none"/>
          <w:lang w:eastAsia="zh-CN"/>
        </w:rPr>
        <w:t>9. 是否采用电子招标投标</w:t>
      </w:r>
      <w:r>
        <w:rPr>
          <w:color w:val="auto"/>
          <w:sz w:val="24"/>
          <w:szCs w:val="24"/>
          <w:highlight w:val="none"/>
        </w:rPr>
        <w:tab/>
      </w:r>
      <w:r>
        <w:rPr>
          <w:color w:val="auto"/>
          <w:sz w:val="24"/>
          <w:szCs w:val="24"/>
          <w:highlight w:val="none"/>
        </w:rPr>
        <w:fldChar w:fldCharType="end"/>
      </w:r>
      <w:r>
        <w:rPr>
          <w:rFonts w:hint="eastAsia"/>
          <w:color w:val="auto"/>
          <w:sz w:val="24"/>
          <w:szCs w:val="24"/>
          <w:highlight w:val="none"/>
          <w:lang w:val="en-US" w:eastAsia="zh-CN"/>
        </w:rPr>
        <w:t>29</w:t>
      </w:r>
    </w:p>
    <w:p>
      <w:pPr>
        <w:pStyle w:val="11"/>
        <w:tabs>
          <w:tab w:val="right" w:leader="dot" w:pos="9017"/>
        </w:tabs>
        <w:spacing w:line="360" w:lineRule="auto"/>
        <w:rPr>
          <w:rFonts w:hint="default" w:ascii="等线" w:hAnsi="等线" w:eastAsia="宋体"/>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"_Toc109809431" </w:instrText>
      </w:r>
      <w:r>
        <w:rPr>
          <w:color w:val="auto"/>
          <w:highlight w:val="none"/>
        </w:rPr>
        <w:fldChar w:fldCharType="separate"/>
      </w:r>
      <w:r>
        <w:rPr>
          <w:rStyle w:val="22"/>
          <w:color w:val="auto"/>
          <w:sz w:val="24"/>
          <w:szCs w:val="24"/>
          <w:highlight w:val="none"/>
          <w:lang w:eastAsia="zh-CN"/>
        </w:rPr>
        <w:t>10. 需要补充的其他内容</w:t>
      </w:r>
      <w:r>
        <w:rPr>
          <w:color w:val="auto"/>
          <w:sz w:val="24"/>
          <w:szCs w:val="24"/>
          <w:highlight w:val="none"/>
        </w:rPr>
        <w:tab/>
      </w:r>
      <w:r>
        <w:rPr>
          <w:color w:val="auto"/>
          <w:sz w:val="24"/>
          <w:szCs w:val="24"/>
          <w:highlight w:val="none"/>
        </w:rPr>
        <w:fldChar w:fldCharType="end"/>
      </w:r>
      <w:r>
        <w:rPr>
          <w:rFonts w:hint="eastAsia"/>
          <w:color w:val="auto"/>
          <w:sz w:val="24"/>
          <w:szCs w:val="24"/>
          <w:highlight w:val="none"/>
          <w:lang w:val="en-US" w:eastAsia="zh-CN"/>
        </w:rPr>
        <w:t>29</w:t>
      </w:r>
    </w:p>
    <w:p>
      <w:pPr>
        <w:pStyle w:val="15"/>
        <w:tabs>
          <w:tab w:val="right" w:leader="dot" w:pos="9017"/>
        </w:tabs>
        <w:spacing w:line="360" w:lineRule="auto"/>
        <w:rPr>
          <w:rFonts w:hint="eastAsia" w:ascii="等线" w:hAnsi="等线" w:eastAsia="宋体"/>
          <w:color w:val="auto"/>
          <w:kern w:val="2"/>
          <w:sz w:val="24"/>
          <w:szCs w:val="24"/>
          <w:highlight w:val="none"/>
          <w:lang w:eastAsia="zh-CN"/>
        </w:rPr>
      </w:pPr>
      <w:r>
        <w:rPr>
          <w:color w:val="auto"/>
          <w:highlight w:val="none"/>
        </w:rPr>
        <w:fldChar w:fldCharType="begin"/>
      </w:r>
      <w:r>
        <w:rPr>
          <w:color w:val="auto"/>
          <w:highlight w:val="none"/>
        </w:rPr>
        <w:instrText xml:space="preserve"> HYPERLINK \l "_Toc109809432" </w:instrText>
      </w:r>
      <w:r>
        <w:rPr>
          <w:color w:val="auto"/>
          <w:highlight w:val="none"/>
        </w:rPr>
        <w:fldChar w:fldCharType="separate"/>
      </w:r>
      <w:r>
        <w:rPr>
          <w:rStyle w:val="22"/>
          <w:color w:val="auto"/>
          <w:sz w:val="24"/>
          <w:szCs w:val="24"/>
          <w:highlight w:val="none"/>
          <w:lang w:eastAsia="zh-CN"/>
        </w:rPr>
        <w:t>第三章  评标办法（综合评估法）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_Toc109809432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r>
        <w:rPr>
          <w:rFonts w:hint="eastAsia"/>
          <w:color w:val="auto"/>
          <w:sz w:val="24"/>
          <w:szCs w:val="24"/>
          <w:highlight w:val="none"/>
          <w:lang w:val="en-US" w:eastAsia="zh-CN"/>
        </w:rPr>
        <w:t>4</w:t>
      </w:r>
    </w:p>
    <w:p>
      <w:pPr>
        <w:pStyle w:val="11"/>
        <w:tabs>
          <w:tab w:val="right" w:leader="dot" w:pos="9017"/>
        </w:tabs>
        <w:spacing w:line="360" w:lineRule="auto"/>
        <w:rPr>
          <w:rFonts w:hint="eastAsia" w:ascii="等线" w:hAnsi="等线" w:eastAsia="宋体"/>
          <w:color w:val="auto"/>
          <w:kern w:val="2"/>
          <w:sz w:val="24"/>
          <w:szCs w:val="24"/>
          <w:highlight w:val="none"/>
          <w:lang w:eastAsia="zh-CN"/>
        </w:rPr>
      </w:pPr>
      <w:r>
        <w:rPr>
          <w:color w:val="auto"/>
          <w:highlight w:val="none"/>
        </w:rPr>
        <w:fldChar w:fldCharType="begin"/>
      </w:r>
      <w:r>
        <w:rPr>
          <w:color w:val="auto"/>
          <w:highlight w:val="none"/>
        </w:rPr>
        <w:instrText xml:space="preserve"> HYPERLINK \l "_Toc109809433" </w:instrText>
      </w:r>
      <w:r>
        <w:rPr>
          <w:color w:val="auto"/>
          <w:highlight w:val="none"/>
        </w:rPr>
        <w:fldChar w:fldCharType="separate"/>
      </w:r>
      <w:r>
        <w:rPr>
          <w:rStyle w:val="22"/>
          <w:color w:val="auto"/>
          <w:sz w:val="24"/>
          <w:szCs w:val="24"/>
          <w:highlight w:val="none"/>
        </w:rPr>
        <w:t>评标办法前附表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_Toc109809433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r>
        <w:rPr>
          <w:rFonts w:hint="eastAsia"/>
          <w:color w:val="auto"/>
          <w:sz w:val="24"/>
          <w:szCs w:val="24"/>
          <w:highlight w:val="none"/>
          <w:lang w:val="en-US" w:eastAsia="zh-CN"/>
        </w:rPr>
        <w:t>4</w:t>
      </w:r>
    </w:p>
    <w:p>
      <w:pPr>
        <w:pStyle w:val="11"/>
        <w:tabs>
          <w:tab w:val="right" w:leader="dot" w:pos="9017"/>
        </w:tabs>
        <w:spacing w:line="360" w:lineRule="auto"/>
        <w:rPr>
          <w:rFonts w:hint="default" w:ascii="等线" w:hAnsi="等线" w:eastAsia="宋体"/>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"_Toc109809434" </w:instrText>
      </w:r>
      <w:r>
        <w:rPr>
          <w:color w:val="auto"/>
          <w:highlight w:val="none"/>
        </w:rPr>
        <w:fldChar w:fldCharType="separate"/>
      </w:r>
      <w:r>
        <w:rPr>
          <w:rStyle w:val="22"/>
          <w:color w:val="auto"/>
          <w:sz w:val="24"/>
          <w:szCs w:val="24"/>
          <w:highlight w:val="none"/>
          <w:lang w:eastAsia="zh-CN"/>
        </w:rPr>
        <w:t>1. 评标方法</w:t>
      </w:r>
      <w:r>
        <w:rPr>
          <w:color w:val="auto"/>
          <w:sz w:val="24"/>
          <w:szCs w:val="24"/>
          <w:highlight w:val="none"/>
        </w:rPr>
        <w:tab/>
      </w:r>
      <w:r>
        <w:rPr>
          <w:color w:val="auto"/>
          <w:sz w:val="24"/>
          <w:szCs w:val="24"/>
          <w:highlight w:val="none"/>
        </w:rPr>
        <w:fldChar w:fldCharType="end"/>
      </w:r>
      <w:r>
        <w:rPr>
          <w:rFonts w:hint="eastAsia"/>
          <w:color w:val="auto"/>
          <w:sz w:val="24"/>
          <w:szCs w:val="24"/>
          <w:highlight w:val="none"/>
          <w:lang w:val="en-US" w:eastAsia="zh-CN"/>
        </w:rPr>
        <w:t>39</w:t>
      </w:r>
    </w:p>
    <w:p>
      <w:pPr>
        <w:pStyle w:val="11"/>
        <w:tabs>
          <w:tab w:val="right" w:leader="dot" w:pos="9017"/>
        </w:tabs>
        <w:spacing w:line="360" w:lineRule="auto"/>
        <w:rPr>
          <w:rFonts w:hint="default" w:ascii="等线" w:hAnsi="等线" w:eastAsia="宋体"/>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"_Toc109809435" </w:instrText>
      </w:r>
      <w:r>
        <w:rPr>
          <w:color w:val="auto"/>
          <w:highlight w:val="none"/>
        </w:rPr>
        <w:fldChar w:fldCharType="separate"/>
      </w:r>
      <w:r>
        <w:rPr>
          <w:rStyle w:val="22"/>
          <w:color w:val="auto"/>
          <w:sz w:val="24"/>
          <w:szCs w:val="24"/>
          <w:highlight w:val="none"/>
          <w:lang w:eastAsia="zh-CN"/>
        </w:rPr>
        <w:t>2. 评审标准</w:t>
      </w:r>
      <w:r>
        <w:rPr>
          <w:color w:val="auto"/>
          <w:sz w:val="24"/>
          <w:szCs w:val="24"/>
          <w:highlight w:val="none"/>
        </w:rPr>
        <w:tab/>
      </w:r>
      <w:r>
        <w:rPr>
          <w:color w:val="auto"/>
          <w:sz w:val="24"/>
          <w:szCs w:val="24"/>
          <w:highlight w:val="none"/>
        </w:rPr>
        <w:fldChar w:fldCharType="end"/>
      </w:r>
      <w:r>
        <w:rPr>
          <w:rFonts w:hint="eastAsia"/>
          <w:color w:val="auto"/>
          <w:sz w:val="24"/>
          <w:szCs w:val="24"/>
          <w:highlight w:val="none"/>
          <w:lang w:val="en-US" w:eastAsia="zh-CN"/>
        </w:rPr>
        <w:t>39</w:t>
      </w:r>
    </w:p>
    <w:p>
      <w:pPr>
        <w:pStyle w:val="11"/>
        <w:tabs>
          <w:tab w:val="right" w:leader="dot" w:pos="9017"/>
        </w:tabs>
        <w:spacing w:line="360" w:lineRule="auto"/>
        <w:rPr>
          <w:rFonts w:hint="default" w:ascii="等线" w:hAnsi="等线" w:eastAsia="宋体"/>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"_Toc109809436" </w:instrText>
      </w:r>
      <w:r>
        <w:rPr>
          <w:color w:val="auto"/>
          <w:highlight w:val="none"/>
        </w:rPr>
        <w:fldChar w:fldCharType="separate"/>
      </w:r>
      <w:r>
        <w:rPr>
          <w:rStyle w:val="22"/>
          <w:color w:val="auto"/>
          <w:sz w:val="24"/>
          <w:szCs w:val="24"/>
          <w:highlight w:val="none"/>
          <w:lang w:eastAsia="zh-CN"/>
        </w:rPr>
        <w:t>3. 评标程序</w:t>
      </w:r>
      <w:r>
        <w:rPr>
          <w:color w:val="auto"/>
          <w:sz w:val="24"/>
          <w:szCs w:val="24"/>
          <w:highlight w:val="none"/>
        </w:rPr>
        <w:tab/>
      </w:r>
      <w:r>
        <w:rPr>
          <w:color w:val="auto"/>
          <w:sz w:val="24"/>
          <w:szCs w:val="24"/>
          <w:highlight w:val="none"/>
        </w:rPr>
        <w:fldChar w:fldCharType="end"/>
      </w:r>
      <w:r>
        <w:rPr>
          <w:rFonts w:hint="eastAsia"/>
          <w:color w:val="auto"/>
          <w:sz w:val="24"/>
          <w:szCs w:val="24"/>
          <w:highlight w:val="none"/>
          <w:lang w:val="en-US" w:eastAsia="zh-CN"/>
        </w:rPr>
        <w:t>39</w:t>
      </w:r>
    </w:p>
    <w:p>
      <w:pPr>
        <w:pStyle w:val="15"/>
        <w:tabs>
          <w:tab w:val="right" w:leader="dot" w:pos="9017"/>
        </w:tabs>
        <w:spacing w:line="360" w:lineRule="auto"/>
        <w:rPr>
          <w:rFonts w:hint="eastAsia" w:ascii="等线" w:hAnsi="等线" w:eastAsia="宋体"/>
          <w:color w:val="auto"/>
          <w:kern w:val="2"/>
          <w:sz w:val="24"/>
          <w:szCs w:val="24"/>
          <w:highlight w:val="none"/>
          <w:lang w:eastAsia="zh-CN"/>
        </w:rPr>
      </w:pPr>
      <w:r>
        <w:rPr>
          <w:color w:val="auto"/>
          <w:highlight w:val="none"/>
        </w:rPr>
        <w:fldChar w:fldCharType="begin"/>
      </w:r>
      <w:r>
        <w:rPr>
          <w:color w:val="auto"/>
          <w:highlight w:val="none"/>
        </w:rPr>
        <w:instrText xml:space="preserve"> HYPERLINK \l "_Toc109809437" </w:instrText>
      </w:r>
      <w:r>
        <w:rPr>
          <w:color w:val="auto"/>
          <w:highlight w:val="none"/>
        </w:rPr>
        <w:fldChar w:fldCharType="separate"/>
      </w:r>
      <w:r>
        <w:rPr>
          <w:rStyle w:val="22"/>
          <w:color w:val="auto"/>
          <w:sz w:val="24"/>
          <w:szCs w:val="24"/>
          <w:highlight w:val="none"/>
          <w:lang w:eastAsia="zh-CN"/>
        </w:rPr>
        <w:t>第四章  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_Toc109809437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r>
        <w:rPr>
          <w:rFonts w:hint="eastAsia"/>
          <w:color w:val="auto"/>
          <w:sz w:val="24"/>
          <w:szCs w:val="24"/>
          <w:highlight w:val="none"/>
          <w:lang w:val="en-US" w:eastAsia="zh-CN"/>
        </w:rPr>
        <w:t>2</w:t>
      </w:r>
    </w:p>
    <w:p>
      <w:pPr>
        <w:pStyle w:val="15"/>
        <w:tabs>
          <w:tab w:val="right" w:leader="dot" w:pos="9017"/>
        </w:tabs>
        <w:spacing w:line="360" w:lineRule="auto"/>
        <w:rPr>
          <w:rFonts w:hint="eastAsia" w:ascii="等线" w:hAnsi="等线" w:eastAsia="宋体"/>
          <w:color w:val="auto"/>
          <w:kern w:val="2"/>
          <w:sz w:val="24"/>
          <w:szCs w:val="24"/>
          <w:highlight w:val="none"/>
          <w:lang w:eastAsia="zh-CN"/>
        </w:rPr>
      </w:pPr>
      <w:r>
        <w:rPr>
          <w:color w:val="auto"/>
          <w:highlight w:val="none"/>
        </w:rPr>
        <w:fldChar w:fldCharType="begin"/>
      </w:r>
      <w:r>
        <w:rPr>
          <w:color w:val="auto"/>
          <w:highlight w:val="none"/>
        </w:rPr>
        <w:instrText xml:space="preserve"> HYPERLINK \l "_Toc109809438" </w:instrText>
      </w:r>
      <w:r>
        <w:rPr>
          <w:color w:val="auto"/>
          <w:highlight w:val="none"/>
        </w:rPr>
        <w:fldChar w:fldCharType="separate"/>
      </w:r>
      <w:r>
        <w:rPr>
          <w:rStyle w:val="22"/>
          <w:color w:val="auto"/>
          <w:sz w:val="24"/>
          <w:szCs w:val="24"/>
          <w:highlight w:val="none"/>
          <w:lang w:eastAsia="zh-CN"/>
        </w:rPr>
        <w:t>第二卷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_Toc109809438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r>
        <w:rPr>
          <w:rFonts w:hint="eastAsia"/>
          <w:color w:val="auto"/>
          <w:sz w:val="24"/>
          <w:szCs w:val="24"/>
          <w:highlight w:val="none"/>
          <w:lang w:val="en-US" w:eastAsia="zh-CN"/>
        </w:rPr>
        <w:t>3</w:t>
      </w:r>
    </w:p>
    <w:p>
      <w:pPr>
        <w:pStyle w:val="15"/>
        <w:tabs>
          <w:tab w:val="right" w:leader="dot" w:pos="9017"/>
        </w:tabs>
        <w:spacing w:line="360" w:lineRule="auto"/>
        <w:rPr>
          <w:rFonts w:hint="default" w:ascii="等线" w:hAnsi="等线" w:eastAsia="宋体"/>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"_Toc109809439" </w:instrText>
      </w:r>
      <w:r>
        <w:rPr>
          <w:color w:val="auto"/>
          <w:highlight w:val="none"/>
        </w:rPr>
        <w:fldChar w:fldCharType="separate"/>
      </w:r>
      <w:r>
        <w:rPr>
          <w:rStyle w:val="22"/>
          <w:rFonts w:hint="eastAsia"/>
          <w:color w:val="auto"/>
          <w:sz w:val="24"/>
          <w:szCs w:val="24"/>
          <w:highlight w:val="none"/>
          <w:lang w:eastAsia="zh-CN"/>
        </w:rPr>
        <w:t>第五章 勘察、设计需求书</w:t>
      </w:r>
      <w:r>
        <w:rPr>
          <w:color w:val="auto"/>
          <w:sz w:val="24"/>
          <w:szCs w:val="24"/>
          <w:highlight w:val="none"/>
        </w:rPr>
        <w:tab/>
      </w:r>
      <w:r>
        <w:rPr>
          <w:rFonts w:hint="eastAsia"/>
          <w:color w:val="auto"/>
          <w:sz w:val="24"/>
          <w:szCs w:val="24"/>
          <w:highlight w:val="none"/>
          <w:lang w:val="en-US" w:eastAsia="zh-CN"/>
        </w:rPr>
        <w:t>4</w:t>
      </w:r>
      <w:r>
        <w:rPr>
          <w:color w:val="auto"/>
          <w:sz w:val="24"/>
          <w:szCs w:val="24"/>
          <w:highlight w:val="none"/>
        </w:rPr>
        <w:fldChar w:fldCharType="end"/>
      </w:r>
      <w:r>
        <w:rPr>
          <w:rFonts w:hint="eastAsia"/>
          <w:color w:val="auto"/>
          <w:sz w:val="24"/>
          <w:szCs w:val="24"/>
          <w:highlight w:val="none"/>
          <w:lang w:val="en-US" w:eastAsia="zh-CN"/>
        </w:rPr>
        <w:t>4</w:t>
      </w:r>
    </w:p>
    <w:p>
      <w:pPr>
        <w:pStyle w:val="15"/>
        <w:tabs>
          <w:tab w:val="right" w:leader="dot" w:pos="9017"/>
        </w:tabs>
        <w:spacing w:line="360" w:lineRule="auto"/>
        <w:rPr>
          <w:rFonts w:hint="default" w:ascii="等线" w:hAnsi="等线" w:eastAsia="宋体"/>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"_Toc109809440" </w:instrText>
      </w:r>
      <w:r>
        <w:rPr>
          <w:color w:val="auto"/>
          <w:highlight w:val="none"/>
        </w:rPr>
        <w:fldChar w:fldCharType="separate"/>
      </w:r>
      <w:r>
        <w:rPr>
          <w:rStyle w:val="22"/>
          <w:color w:val="auto"/>
          <w:sz w:val="24"/>
          <w:szCs w:val="24"/>
          <w:highlight w:val="none"/>
          <w:lang w:eastAsia="zh-CN"/>
        </w:rPr>
        <w:t>第三卷</w:t>
      </w:r>
      <w:r>
        <w:rPr>
          <w:color w:val="auto"/>
          <w:sz w:val="24"/>
          <w:szCs w:val="24"/>
          <w:highlight w:val="none"/>
        </w:rPr>
        <w:tab/>
      </w:r>
      <w:r>
        <w:rPr>
          <w:color w:val="auto"/>
          <w:sz w:val="24"/>
          <w:szCs w:val="24"/>
          <w:highlight w:val="none"/>
        </w:rPr>
        <w:fldChar w:fldCharType="end"/>
      </w:r>
      <w:r>
        <w:rPr>
          <w:rFonts w:hint="eastAsia"/>
          <w:color w:val="auto"/>
          <w:sz w:val="24"/>
          <w:szCs w:val="24"/>
          <w:highlight w:val="none"/>
          <w:lang w:val="en-US" w:eastAsia="zh-CN"/>
        </w:rPr>
        <w:t>45</w:t>
      </w:r>
    </w:p>
    <w:p>
      <w:pPr>
        <w:pStyle w:val="15"/>
        <w:tabs>
          <w:tab w:val="right" w:leader="dot" w:pos="9017"/>
        </w:tabs>
        <w:spacing w:line="360" w:lineRule="auto"/>
        <w:rPr>
          <w:rFonts w:hint="default" w:ascii="等线" w:hAnsi="等线" w:eastAsia="宋体"/>
          <w:color w:val="auto"/>
          <w:kern w:val="2"/>
          <w:sz w:val="24"/>
          <w:szCs w:val="24"/>
          <w:highlight w:val="none"/>
          <w:lang w:val="en-US" w:eastAsia="zh-CN"/>
        </w:rPr>
      </w:pPr>
      <w:r>
        <w:rPr>
          <w:color w:val="auto"/>
          <w:highlight w:val="none"/>
        </w:rPr>
        <w:fldChar w:fldCharType="begin"/>
      </w:r>
      <w:r>
        <w:rPr>
          <w:color w:val="auto"/>
          <w:highlight w:val="none"/>
        </w:rPr>
        <w:instrText xml:space="preserve"> HYPERLINK \l "_Toc109809441" </w:instrText>
      </w:r>
      <w:r>
        <w:rPr>
          <w:color w:val="auto"/>
          <w:highlight w:val="none"/>
        </w:rPr>
        <w:fldChar w:fldCharType="separate"/>
      </w:r>
      <w:r>
        <w:rPr>
          <w:rStyle w:val="22"/>
          <w:color w:val="auto"/>
          <w:sz w:val="24"/>
          <w:szCs w:val="24"/>
          <w:highlight w:val="none"/>
          <w:lang w:eastAsia="zh-CN"/>
        </w:rPr>
        <w:t>第六章  投标文件格式</w:t>
      </w:r>
      <w:r>
        <w:rPr>
          <w:color w:val="auto"/>
          <w:sz w:val="24"/>
          <w:szCs w:val="24"/>
          <w:highlight w:val="none"/>
        </w:rPr>
        <w:tab/>
      </w:r>
      <w:r>
        <w:rPr>
          <w:color w:val="auto"/>
          <w:sz w:val="24"/>
          <w:szCs w:val="24"/>
          <w:highlight w:val="none"/>
        </w:rPr>
        <w:fldChar w:fldCharType="end"/>
      </w:r>
      <w:r>
        <w:rPr>
          <w:rFonts w:hint="eastAsia"/>
          <w:color w:val="auto"/>
          <w:sz w:val="24"/>
          <w:szCs w:val="24"/>
          <w:highlight w:val="none"/>
          <w:lang w:val="en-US" w:eastAsia="zh-CN"/>
        </w:rPr>
        <w:t>46</w:t>
      </w:r>
    </w:p>
    <w:p>
      <w:pPr>
        <w:tabs>
          <w:tab w:val="left" w:pos="561"/>
        </w:tabs>
        <w:spacing w:line="360" w:lineRule="auto"/>
        <w:jc w:val="center"/>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fldChar w:fldCharType="end"/>
      </w:r>
    </w:p>
    <w:p>
      <w:pPr>
        <w:rPr>
          <w:rFonts w:ascii="宋体" w:hAnsi="宋体" w:eastAsia="宋体" w:cs="宋体"/>
          <w:color w:val="auto"/>
          <w:sz w:val="20"/>
          <w:szCs w:val="20"/>
          <w:highlight w:val="none"/>
          <w:lang w:eastAsia="zh-CN"/>
        </w:rPr>
      </w:pPr>
      <w:r>
        <w:rPr>
          <w:rFonts w:ascii="宋体" w:hAnsi="宋体" w:eastAsia="宋体" w:cs="宋体"/>
          <w:color w:val="auto"/>
          <w:sz w:val="24"/>
          <w:szCs w:val="24"/>
          <w:highlight w:val="none"/>
          <w:lang w:eastAsia="zh-CN"/>
        </w:rPr>
        <w:br w:type="page"/>
      </w:r>
      <w:bookmarkStart w:id="0" w:name="_Toc25137978"/>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pStyle w:val="2"/>
        <w:spacing w:line="738" w:lineRule="exact"/>
        <w:ind w:right="3"/>
        <w:jc w:val="center"/>
        <w:rPr>
          <w:rFonts w:ascii="宋体" w:hAnsi="宋体" w:eastAsia="宋体"/>
          <w:color w:val="auto"/>
          <w:highlight w:val="none"/>
          <w:lang w:eastAsia="zh-CN"/>
        </w:rPr>
      </w:pPr>
      <w:bookmarkStart w:id="1" w:name="_Toc109809379"/>
      <w:bookmarkStart w:id="2" w:name="_Toc109809418"/>
      <w:r>
        <w:rPr>
          <w:rFonts w:ascii="宋体" w:hAnsi="宋体" w:eastAsia="宋体"/>
          <w:color w:val="auto"/>
          <w:highlight w:val="none"/>
          <w:lang w:eastAsia="zh-CN"/>
        </w:rPr>
        <w:t>第一卷</w:t>
      </w:r>
      <w:bookmarkEnd w:id="0"/>
      <w:bookmarkEnd w:id="1"/>
      <w:bookmarkEnd w:id="2"/>
    </w:p>
    <w:p>
      <w:pPr>
        <w:rPr>
          <w:color w:val="auto"/>
          <w:highlight w:val="none"/>
          <w:lang w:eastAsia="zh-CN"/>
        </w:rPr>
      </w:pPr>
      <w:r>
        <w:rPr>
          <w:rFonts w:ascii="宋体" w:hAnsi="宋体" w:eastAsia="宋体"/>
          <w:color w:val="auto"/>
          <w:highlight w:val="none"/>
          <w:lang w:eastAsia="zh-CN"/>
        </w:rPr>
        <w:br w:type="page"/>
      </w:r>
    </w:p>
    <w:p>
      <w:pPr>
        <w:pStyle w:val="2"/>
        <w:jc w:val="center"/>
        <w:rPr>
          <w:rFonts w:ascii="宋体" w:hAnsi="宋体" w:eastAsia="宋体"/>
          <w:color w:val="auto"/>
          <w:highlight w:val="none"/>
          <w:lang w:eastAsia="zh-CN"/>
        </w:rPr>
      </w:pPr>
      <w:bookmarkStart w:id="3" w:name="_Toc109809380"/>
      <w:bookmarkStart w:id="4" w:name="_Toc109809419"/>
      <w:bookmarkStart w:id="5" w:name="_Toc25137979"/>
      <w:r>
        <w:rPr>
          <w:rFonts w:ascii="宋体" w:hAnsi="宋体" w:eastAsia="宋体"/>
          <w:color w:val="auto"/>
          <w:highlight w:val="none"/>
          <w:lang w:eastAsia="zh-CN"/>
        </w:rPr>
        <w:t>第一章</w:t>
      </w:r>
      <w:r>
        <w:rPr>
          <w:rFonts w:hint="eastAsia" w:ascii="宋体" w:hAnsi="宋体" w:eastAsia="宋体"/>
          <w:color w:val="auto"/>
          <w:highlight w:val="none"/>
          <w:lang w:eastAsia="zh-CN"/>
        </w:rPr>
        <w:t xml:space="preserve">  </w:t>
      </w:r>
      <w:r>
        <w:rPr>
          <w:rFonts w:ascii="宋体" w:hAnsi="宋体" w:eastAsia="宋体"/>
          <w:color w:val="auto"/>
          <w:highlight w:val="none"/>
          <w:lang w:eastAsia="zh-CN"/>
        </w:rPr>
        <w:t>招标公告</w:t>
      </w:r>
      <w:bookmarkEnd w:id="3"/>
      <w:bookmarkEnd w:id="4"/>
      <w:bookmarkEnd w:id="5"/>
    </w:p>
    <w:p>
      <w:pPr>
        <w:tabs>
          <w:tab w:val="left" w:pos="561"/>
        </w:tabs>
        <w:spacing w:line="360" w:lineRule="auto"/>
        <w:jc w:val="center"/>
        <w:rPr>
          <w:rFonts w:ascii="宋体" w:hAnsi="宋体" w:eastAsia="宋体"/>
          <w:color w:val="auto"/>
          <w:highlight w:val="none"/>
          <w:lang w:eastAsia="zh-CN"/>
        </w:rPr>
      </w:pPr>
    </w:p>
    <w:p>
      <w:pPr>
        <w:tabs>
          <w:tab w:val="left" w:pos="561"/>
        </w:tabs>
        <w:jc w:val="center"/>
        <w:rPr>
          <w:rFonts w:ascii="宋体" w:hAnsi="宋体" w:eastAsia="宋体"/>
          <w:b/>
          <w:color w:val="auto"/>
          <w:sz w:val="28"/>
          <w:szCs w:val="28"/>
          <w:highlight w:val="none"/>
          <w:lang w:eastAsia="zh-CN"/>
        </w:rPr>
      </w:pPr>
      <w:r>
        <w:rPr>
          <w:rFonts w:hint="eastAsia" w:ascii="宋体" w:hAnsi="宋体" w:eastAsia="宋体"/>
          <w:b/>
          <w:color w:val="auto"/>
          <w:sz w:val="28"/>
          <w:szCs w:val="28"/>
          <w:highlight w:val="none"/>
          <w:lang w:eastAsia="zh-CN"/>
        </w:rPr>
        <w:t>（另册）</w:t>
      </w:r>
    </w:p>
    <w:p>
      <w:pPr>
        <w:pStyle w:val="2"/>
        <w:jc w:val="center"/>
        <w:rPr>
          <w:rFonts w:ascii="宋体" w:hAnsi="宋体" w:eastAsia="宋体"/>
          <w:color w:val="auto"/>
          <w:highlight w:val="none"/>
          <w:lang w:eastAsia="zh-CN"/>
        </w:rPr>
      </w:pPr>
      <w:r>
        <w:rPr>
          <w:rFonts w:ascii="宋体" w:hAnsi="宋体" w:eastAsia="宋体"/>
          <w:b w:val="0"/>
          <w:bCs w:val="0"/>
          <w:color w:val="auto"/>
          <w:sz w:val="24"/>
          <w:szCs w:val="24"/>
          <w:highlight w:val="none"/>
          <w:lang w:eastAsia="zh-CN"/>
        </w:rPr>
        <w:br w:type="page"/>
      </w:r>
      <w:bookmarkStart w:id="6" w:name="_Toc109809381"/>
      <w:bookmarkStart w:id="7" w:name="_Toc109809420"/>
      <w:r>
        <w:rPr>
          <w:rFonts w:ascii="宋体" w:hAnsi="宋体" w:eastAsia="宋体"/>
          <w:color w:val="auto"/>
          <w:highlight w:val="none"/>
          <w:lang w:eastAsia="zh-CN"/>
        </w:rPr>
        <w:t>第二章</w:t>
      </w:r>
      <w:r>
        <w:rPr>
          <w:rFonts w:hint="eastAsia" w:ascii="宋体" w:hAnsi="宋体" w:eastAsia="宋体"/>
          <w:color w:val="auto"/>
          <w:highlight w:val="none"/>
          <w:lang w:eastAsia="zh-CN"/>
        </w:rPr>
        <w:t xml:space="preserve">  </w:t>
      </w:r>
      <w:r>
        <w:rPr>
          <w:rFonts w:ascii="宋体" w:hAnsi="宋体" w:eastAsia="宋体"/>
          <w:color w:val="auto"/>
          <w:highlight w:val="none"/>
          <w:lang w:eastAsia="zh-CN"/>
        </w:rPr>
        <w:t>投标人须知</w:t>
      </w:r>
      <w:bookmarkEnd w:id="6"/>
      <w:bookmarkEnd w:id="7"/>
    </w:p>
    <w:p>
      <w:pPr>
        <w:pStyle w:val="3"/>
        <w:spacing w:beforeLines="50" w:afterLines="50"/>
        <w:ind w:left="0"/>
        <w:jc w:val="center"/>
        <w:rPr>
          <w:rFonts w:ascii="宋体" w:hAnsi="宋体" w:eastAsia="宋体" w:cs="Microsoft JhengHei"/>
          <w:b w:val="0"/>
          <w:bCs w:val="0"/>
          <w:color w:val="auto"/>
          <w:sz w:val="20"/>
          <w:szCs w:val="20"/>
          <w:highlight w:val="none"/>
          <w:lang w:eastAsia="zh-CN"/>
        </w:rPr>
      </w:pPr>
      <w:bookmarkStart w:id="8" w:name="_Toc109809421"/>
      <w:bookmarkStart w:id="9" w:name="_Toc109809382"/>
      <w:bookmarkStart w:id="10" w:name="_Toc25137981"/>
      <w:r>
        <w:rPr>
          <w:rFonts w:ascii="宋体" w:hAnsi="宋体" w:eastAsia="宋体"/>
          <w:color w:val="auto"/>
          <w:highlight w:val="none"/>
          <w:lang w:eastAsia="zh-CN"/>
        </w:rPr>
        <w:t>投标人须知前附表</w:t>
      </w:r>
      <w:bookmarkEnd w:id="8"/>
      <w:bookmarkEnd w:id="9"/>
      <w:bookmarkEnd w:id="10"/>
      <w:bookmarkStart w:id="101" w:name="_GoBack"/>
      <w:bookmarkEnd w:id="101"/>
    </w:p>
    <w:tbl>
      <w:tblPr>
        <w:tblStyle w:val="19"/>
        <w:tblpPr w:leftFromText="180" w:rightFromText="180" w:vertAnchor="text" w:horzAnchor="page" w:tblpX="1338" w:tblpY="145"/>
        <w:tblOverlap w:val="never"/>
        <w:tblW w:w="5014" w:type="pct"/>
        <w:tblInd w:w="0" w:type="dxa"/>
        <w:tblLayout w:type="autofit"/>
        <w:tblCellMar>
          <w:top w:w="0" w:type="dxa"/>
          <w:left w:w="0" w:type="dxa"/>
          <w:bottom w:w="0" w:type="dxa"/>
          <w:right w:w="0" w:type="dxa"/>
        </w:tblCellMar>
      </w:tblPr>
      <w:tblGrid>
        <w:gridCol w:w="931"/>
        <w:gridCol w:w="1665"/>
        <w:gridCol w:w="6466"/>
      </w:tblGrid>
      <w:tr>
        <w:tblPrEx>
          <w:tblCellMar>
            <w:top w:w="0" w:type="dxa"/>
            <w:left w:w="0" w:type="dxa"/>
            <w:bottom w:w="0" w:type="dxa"/>
            <w:right w:w="0" w:type="dxa"/>
          </w:tblCellMar>
        </w:tblPrEx>
        <w:trPr>
          <w:tblHeader/>
        </w:trPr>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条款号</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条款名称</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编列内容</w:t>
            </w:r>
          </w:p>
        </w:tc>
      </w:tr>
      <w:tr>
        <w:tblPrEx>
          <w:tblCellMar>
            <w:top w:w="0" w:type="dxa"/>
            <w:left w:w="0" w:type="dxa"/>
            <w:bottom w:w="0" w:type="dxa"/>
            <w:right w:w="0" w:type="dxa"/>
          </w:tblCellMar>
        </w:tblPrEx>
        <w:trPr>
          <w:trHeight w:val="1406"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1.1.2</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招标人</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名称：广清经济特别合作区广清产业园管理委员会规划建设局</w:t>
            </w:r>
          </w:p>
          <w:p>
            <w:pPr>
              <w:keepNext w:val="0"/>
              <w:keepLines w:val="0"/>
              <w:pageBreakBefore w:val="0"/>
              <w:widowControl w:val="0"/>
              <w:kinsoku/>
              <w:wordWrap/>
              <w:overflowPunct/>
              <w:topLinePunct w:val="0"/>
              <w:autoSpaceDE w:val="0"/>
              <w:autoSpaceDN w:val="0"/>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地址：广东省清远市清城区石角镇广清产业园广州路1号</w:t>
            </w:r>
          </w:p>
          <w:p>
            <w:pPr>
              <w:keepNext w:val="0"/>
              <w:keepLines w:val="0"/>
              <w:pageBreakBefore w:val="0"/>
              <w:widowControl w:val="0"/>
              <w:kinsoku/>
              <w:wordWrap/>
              <w:overflowPunct/>
              <w:topLinePunct w:val="0"/>
              <w:autoSpaceDE w:val="0"/>
              <w:autoSpaceDN w:val="0"/>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联系人：邱工</w:t>
            </w:r>
          </w:p>
          <w:p>
            <w:pPr>
              <w:pStyle w:val="23"/>
              <w:keepNext w:val="0"/>
              <w:keepLines w:val="0"/>
              <w:pageBreakBefore w:val="0"/>
              <w:widowControl w:val="0"/>
              <w:kinsoku/>
              <w:wordWrap/>
              <w:overflowPunct/>
              <w:topLinePunct w:val="0"/>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电话：0763-6979726</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1.1.3</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招标代理机构</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名称：广东合信工程项目管理有限公司</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地址：广州市天河区粤垦路611号力达广场A1栋605房</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val="en-US" w:eastAsia="zh-CN"/>
              </w:rPr>
            </w:pPr>
            <w:r>
              <w:rPr>
                <w:rFonts w:hint="eastAsia" w:ascii="方正仿宋_GB2312" w:hAnsi="方正仿宋_GB2312" w:eastAsia="方正仿宋_GB2312" w:cs="方正仿宋_GB2312"/>
                <w:color w:val="auto"/>
                <w:sz w:val="21"/>
                <w:szCs w:val="21"/>
                <w:highlight w:val="none"/>
                <w:lang w:eastAsia="zh-CN"/>
              </w:rPr>
              <w:t>联系人：黄工</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val="en-US" w:eastAsia="zh-CN"/>
              </w:rPr>
            </w:pPr>
            <w:r>
              <w:rPr>
                <w:rFonts w:hint="eastAsia" w:ascii="方正仿宋_GB2312" w:hAnsi="方正仿宋_GB2312" w:eastAsia="方正仿宋_GB2312" w:cs="方正仿宋_GB2312"/>
                <w:color w:val="auto"/>
                <w:sz w:val="21"/>
                <w:szCs w:val="21"/>
                <w:highlight w:val="none"/>
                <w:lang w:eastAsia="zh-CN"/>
              </w:rPr>
              <w:t>电话：020-89281507</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1.1.4</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招标项目名称</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广清产业园水利设施修复建设项目勘察设计</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1.1.5</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项目建设地点</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详见招标公告</w:t>
            </w:r>
            <w:r>
              <w:rPr>
                <w:rFonts w:hint="eastAsia" w:ascii="方正仿宋_GB2312" w:hAnsi="方正仿宋_GB2312" w:eastAsia="方正仿宋_GB2312" w:cs="方正仿宋_GB2312"/>
                <w:color w:val="auto"/>
                <w:kern w:val="2"/>
                <w:sz w:val="21"/>
                <w:szCs w:val="21"/>
                <w:highlight w:val="none"/>
                <w:lang w:eastAsia="zh-CN"/>
              </w:rPr>
              <w:t>及勘察、设计需求书</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1.1.6</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项目建设规模</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详见招标公告</w:t>
            </w:r>
            <w:r>
              <w:rPr>
                <w:rFonts w:hint="eastAsia" w:ascii="方正仿宋_GB2312" w:hAnsi="方正仿宋_GB2312" w:eastAsia="方正仿宋_GB2312" w:cs="方正仿宋_GB2312"/>
                <w:color w:val="auto"/>
                <w:kern w:val="2"/>
                <w:sz w:val="21"/>
                <w:szCs w:val="21"/>
                <w:highlight w:val="none"/>
                <w:lang w:eastAsia="zh-CN"/>
              </w:rPr>
              <w:t>及勘察、设计需求书</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1.1.7</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项目投资估算</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详见招标公告</w:t>
            </w:r>
            <w:r>
              <w:rPr>
                <w:rFonts w:hint="eastAsia" w:ascii="方正仿宋_GB2312" w:hAnsi="方正仿宋_GB2312" w:eastAsia="方正仿宋_GB2312" w:cs="方正仿宋_GB2312"/>
                <w:color w:val="auto"/>
                <w:kern w:val="2"/>
                <w:sz w:val="21"/>
                <w:szCs w:val="21"/>
                <w:highlight w:val="none"/>
                <w:lang w:eastAsia="zh-CN"/>
              </w:rPr>
              <w:t>及勘察、设计需求书</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1.2.1</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资金来源及比例</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val="en-US" w:eastAsia="zh-CN"/>
              </w:rPr>
              <w:t>财政资金：100%</w:t>
            </w:r>
            <w:r>
              <w:rPr>
                <w:rFonts w:hint="eastAsia" w:ascii="方正仿宋_GB2312" w:hAnsi="方正仿宋_GB2312" w:eastAsia="方正仿宋_GB2312" w:cs="方正仿宋_GB2312"/>
                <w:color w:val="auto"/>
                <w:sz w:val="21"/>
                <w:szCs w:val="21"/>
                <w:highlight w:val="none"/>
                <w:lang w:eastAsia="zh-CN"/>
              </w:rPr>
              <w:t>。</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1.2.2</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资金落实情况</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已落实</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1.3.1</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招标范围</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详见招标公告</w:t>
            </w:r>
            <w:r>
              <w:rPr>
                <w:rFonts w:hint="eastAsia" w:ascii="方正仿宋_GB2312" w:hAnsi="方正仿宋_GB2312" w:eastAsia="方正仿宋_GB2312" w:cs="方正仿宋_GB2312"/>
                <w:color w:val="auto"/>
                <w:kern w:val="2"/>
                <w:sz w:val="21"/>
                <w:szCs w:val="21"/>
                <w:highlight w:val="none"/>
                <w:lang w:eastAsia="zh-CN"/>
              </w:rPr>
              <w:t>及勘察、设计需求书</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1.3.2</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设计服务期限</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详见招标公告</w:t>
            </w:r>
            <w:r>
              <w:rPr>
                <w:rFonts w:hint="eastAsia" w:ascii="方正仿宋_GB2312" w:hAnsi="方正仿宋_GB2312" w:eastAsia="方正仿宋_GB2312" w:cs="方正仿宋_GB2312"/>
                <w:color w:val="auto"/>
                <w:kern w:val="2"/>
                <w:sz w:val="21"/>
                <w:szCs w:val="21"/>
                <w:highlight w:val="none"/>
                <w:lang w:eastAsia="zh-CN"/>
              </w:rPr>
              <w:t>及勘察、设计需求书</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1.3.3</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质量标准</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详见招标公告</w:t>
            </w:r>
            <w:r>
              <w:rPr>
                <w:rFonts w:hint="eastAsia" w:ascii="方正仿宋_GB2312" w:hAnsi="方正仿宋_GB2312" w:eastAsia="方正仿宋_GB2312" w:cs="方正仿宋_GB2312"/>
                <w:color w:val="auto"/>
                <w:kern w:val="2"/>
                <w:sz w:val="21"/>
                <w:szCs w:val="21"/>
                <w:highlight w:val="none"/>
                <w:lang w:eastAsia="zh-CN"/>
              </w:rPr>
              <w:t>及勘察、设计需求书</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1.4.1</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投标人资质条件、能力、信誉</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b/>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详见招标公告第5条 投标人资格要求</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1.4.2</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是否接受联合体投标</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□不接受</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接受，应满足下列要求：投标人可以组成联合体投标，但只接受最多由2家单位组成的联合体，组成联合体投标的须由负责设计工作的单位作为联合体投标主办方。联合体各方（包括主办方及联合体成员）不得再单独或与其他单位组成联合体参与本项目投标。出现上述情况者，其投标和与此有关的联合体的投标将被拒绝。若联合体投标的应签订联合体投标协议书（详见招标公告附件三），明确约定联合体各方拟承担的工作和责任，除联合体投标协议书须联合体各方均签字盖章外，其余文件均可由联合体主办方签字盖章。</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1.4.3</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投标人不得存在的其他情形</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（1）为招标人不具有独立法人资格的附属机构（单位）；</w:t>
            </w:r>
          </w:p>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（2）与招标人存在利害关系且可能影响招标公正性；</w:t>
            </w:r>
          </w:p>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（3）与本招标项目的其他投标人为同一个单位负责人；</w:t>
            </w:r>
          </w:p>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（4）与本招标项目的其他投标人存在控股、管理关系；</w:t>
            </w:r>
          </w:p>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（5）为本招标项目的代建人；</w:t>
            </w:r>
          </w:p>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（6）为本招标项目的招标代理机构；</w:t>
            </w:r>
          </w:p>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（7）与本招标项目的代建人或招标代理机构同为一个法定代表人；</w:t>
            </w:r>
          </w:p>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（8）与本招标项目的代建人或招标代理机构存在控股或参股关系；</w:t>
            </w:r>
          </w:p>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（9）被依法暂停或者取消投标资格；</w:t>
            </w:r>
          </w:p>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（10）被责令停产停业、暂扣或者吊销许可证、暂扣或者吊销执照；</w:t>
            </w:r>
          </w:p>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（11）进入清算程序，或被宣告破产，或其他丧失履约能力的情形；</w:t>
            </w:r>
          </w:p>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（12）在最近三年内发生重大设计质量问题（以相关行业主管部门的行政处罚决定或司法机关出具的有关法律文书为准）；</w:t>
            </w:r>
          </w:p>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（13）被工商行政管理机关在全国企业信用信息公示系统中列入严重违法失信企业名单；</w:t>
            </w:r>
          </w:p>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（14）被最高人民法院在“信用中国”网站（www.creditchina.gov.cn）或各级信用信息共享平台中列入失信被执行人名单；</w:t>
            </w:r>
          </w:p>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（15）被“信用广州”网站纳入严重失信主体名单信息；</w:t>
            </w:r>
          </w:p>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u w:val="none"/>
                <w:lang w:eastAsia="zh-CN"/>
              </w:rPr>
              <w:t>（1</w:t>
            </w:r>
            <w:r>
              <w:rPr>
                <w:rFonts w:hint="eastAsia" w:ascii="方正仿宋_GB2312" w:hAnsi="方正仿宋_GB2312" w:eastAsia="方正仿宋_GB2312" w:cs="方正仿宋_GB2312"/>
                <w:color w:val="auto"/>
                <w:sz w:val="21"/>
                <w:szCs w:val="21"/>
                <w:highlight w:val="none"/>
                <w:u w:val="none"/>
                <w:lang w:val="en-US" w:eastAsia="zh-CN"/>
              </w:rPr>
              <w:t>6</w:t>
            </w:r>
            <w:r>
              <w:rPr>
                <w:rFonts w:hint="eastAsia" w:ascii="方正仿宋_GB2312" w:hAnsi="方正仿宋_GB2312" w:eastAsia="方正仿宋_GB2312" w:cs="方正仿宋_GB2312"/>
                <w:color w:val="auto"/>
                <w:sz w:val="21"/>
                <w:szCs w:val="21"/>
                <w:highlight w:val="none"/>
                <w:u w:val="none"/>
                <w:lang w:eastAsia="zh-CN"/>
              </w:rPr>
              <w:t>）法律法规或投标人须知规定的其他情形。</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1.9.1</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踏勘现场</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■不组织</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补充说明如下：</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1）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（3）由招标人提供的资料和数据，只是为了使投标人能够利用招标人现有的资料。招标人对投标人由此而作出的推论、解释和结论概不负责。</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（4）不论投标结果如何，投标人应承担其投标文件编制与递交所涉及的一切费用，发包人对上述费用不负任何责任。</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□组织，踏勘时间：</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踏勘集中地点：</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1.10.1</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投标预备会</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■不召开</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□召开，召开时间：</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召开地点：</w:t>
            </w:r>
          </w:p>
        </w:tc>
      </w:tr>
      <w:tr>
        <w:tblPrEx>
          <w:tblCellMar>
            <w:top w:w="0" w:type="dxa"/>
            <w:left w:w="0" w:type="dxa"/>
            <w:bottom w:w="0" w:type="dxa"/>
            <w:right w:w="0" w:type="dxa"/>
          </w:tblCellMar>
        </w:tblPrEx>
        <w:tc>
          <w:tcPr>
            <w:tcW w:w="514" w:type="pct"/>
            <w:vMerge w:val="restart"/>
            <w:tcBorders>
              <w:top w:val="single" w:color="000000" w:sz="4" w:space="0"/>
              <w:left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1.10.2</w:t>
            </w:r>
          </w:p>
        </w:tc>
        <w:tc>
          <w:tcPr>
            <w:tcW w:w="918" w:type="pct"/>
            <w:vMerge w:val="restart"/>
            <w:tcBorders>
              <w:top w:val="single" w:color="000000" w:sz="4" w:space="0"/>
              <w:left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投标人在投标预备会前提出问题</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rPr>
              <w:t>时间：</w:t>
            </w:r>
            <w:r>
              <w:rPr>
                <w:rFonts w:hint="eastAsia" w:ascii="方正仿宋_GB2312" w:hAnsi="方正仿宋_GB2312" w:eastAsia="方正仿宋_GB2312" w:cs="方正仿宋_GB2312"/>
                <w:color w:val="auto"/>
                <w:sz w:val="21"/>
                <w:szCs w:val="21"/>
                <w:highlight w:val="none"/>
                <w:lang w:eastAsia="zh-CN"/>
              </w:rPr>
              <w:t>/。</w:t>
            </w:r>
          </w:p>
        </w:tc>
      </w:tr>
      <w:tr>
        <w:tblPrEx>
          <w:tblCellMar>
            <w:top w:w="0" w:type="dxa"/>
            <w:left w:w="0" w:type="dxa"/>
            <w:bottom w:w="0" w:type="dxa"/>
            <w:right w:w="0" w:type="dxa"/>
          </w:tblCellMar>
        </w:tblPrEx>
        <w:tc>
          <w:tcPr>
            <w:tcW w:w="514"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p>
        </w:tc>
        <w:tc>
          <w:tcPr>
            <w:tcW w:w="918"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rPr>
              <w:t>形式：</w:t>
            </w:r>
            <w:r>
              <w:rPr>
                <w:rFonts w:hint="eastAsia" w:ascii="方正仿宋_GB2312" w:hAnsi="方正仿宋_GB2312" w:eastAsia="方正仿宋_GB2312" w:cs="方正仿宋_GB2312"/>
                <w:color w:val="auto"/>
                <w:sz w:val="21"/>
                <w:szCs w:val="21"/>
                <w:highlight w:val="none"/>
                <w:lang w:eastAsia="zh-CN"/>
              </w:rPr>
              <w:t>/。</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1.10.3</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招标文件澄清发出的形式</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1.11.1</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分包</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autoSpaceDE w:val="0"/>
              <w:autoSpaceDN w:val="0"/>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■不允许</w:t>
            </w:r>
          </w:p>
          <w:p>
            <w:pPr>
              <w:keepNext w:val="0"/>
              <w:keepLines w:val="0"/>
              <w:pageBreakBefore w:val="0"/>
              <w:wordWrap/>
              <w:autoSpaceDE w:val="0"/>
              <w:autoSpaceDN w:val="0"/>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pacing w:val="-2"/>
                <w:sz w:val="21"/>
                <w:szCs w:val="21"/>
                <w:highlight w:val="none"/>
                <w:u w:val="single"/>
                <w:lang w:eastAsia="zh-CN"/>
              </w:rPr>
            </w:pPr>
            <w:r>
              <w:rPr>
                <w:rFonts w:hint="eastAsia" w:ascii="方正仿宋_GB2312" w:hAnsi="方正仿宋_GB2312" w:eastAsia="方正仿宋_GB2312" w:cs="方正仿宋_GB2312"/>
                <w:color w:val="auto"/>
                <w:sz w:val="21"/>
                <w:szCs w:val="21"/>
                <w:highlight w:val="none"/>
                <w:lang w:eastAsia="zh-CN"/>
              </w:rPr>
              <w:t>□允许，</w:t>
            </w:r>
            <w:r>
              <w:rPr>
                <w:rFonts w:hint="eastAsia" w:ascii="方正仿宋_GB2312" w:hAnsi="方正仿宋_GB2312" w:eastAsia="方正仿宋_GB2312" w:cs="方正仿宋_GB2312"/>
                <w:color w:val="auto"/>
                <w:spacing w:val="-2"/>
                <w:sz w:val="21"/>
                <w:szCs w:val="21"/>
                <w:highlight w:val="none"/>
                <w:lang w:eastAsia="zh-CN"/>
              </w:rPr>
              <w:t>分</w:t>
            </w:r>
            <w:r>
              <w:rPr>
                <w:rFonts w:hint="eastAsia" w:ascii="方正仿宋_GB2312" w:hAnsi="方正仿宋_GB2312" w:eastAsia="方正仿宋_GB2312" w:cs="方正仿宋_GB2312"/>
                <w:color w:val="auto"/>
                <w:sz w:val="21"/>
                <w:szCs w:val="21"/>
                <w:highlight w:val="none"/>
                <w:lang w:eastAsia="zh-CN"/>
              </w:rPr>
              <w:t>包</w:t>
            </w:r>
            <w:r>
              <w:rPr>
                <w:rFonts w:hint="eastAsia" w:ascii="方正仿宋_GB2312" w:hAnsi="方正仿宋_GB2312" w:eastAsia="方正仿宋_GB2312" w:cs="方正仿宋_GB2312"/>
                <w:color w:val="auto"/>
                <w:spacing w:val="-2"/>
                <w:sz w:val="21"/>
                <w:szCs w:val="21"/>
                <w:highlight w:val="none"/>
                <w:lang w:eastAsia="zh-CN"/>
              </w:rPr>
              <w:t>内</w:t>
            </w:r>
            <w:r>
              <w:rPr>
                <w:rFonts w:hint="eastAsia" w:ascii="方正仿宋_GB2312" w:hAnsi="方正仿宋_GB2312" w:eastAsia="方正仿宋_GB2312" w:cs="方正仿宋_GB2312"/>
                <w:color w:val="auto"/>
                <w:sz w:val="21"/>
                <w:szCs w:val="21"/>
                <w:highlight w:val="none"/>
                <w:lang w:eastAsia="zh-CN"/>
              </w:rPr>
              <w:t>容</w:t>
            </w:r>
            <w:r>
              <w:rPr>
                <w:rFonts w:hint="eastAsia" w:ascii="方正仿宋_GB2312" w:hAnsi="方正仿宋_GB2312" w:eastAsia="方正仿宋_GB2312" w:cs="方正仿宋_GB2312"/>
                <w:color w:val="auto"/>
                <w:spacing w:val="-2"/>
                <w:sz w:val="21"/>
                <w:szCs w:val="21"/>
                <w:highlight w:val="none"/>
                <w:lang w:eastAsia="zh-CN"/>
              </w:rPr>
              <w:t>要</w:t>
            </w:r>
            <w:r>
              <w:rPr>
                <w:rFonts w:hint="eastAsia" w:ascii="方正仿宋_GB2312" w:hAnsi="方正仿宋_GB2312" w:eastAsia="方正仿宋_GB2312" w:cs="方正仿宋_GB2312"/>
                <w:color w:val="auto"/>
                <w:sz w:val="21"/>
                <w:szCs w:val="21"/>
                <w:highlight w:val="none"/>
                <w:lang w:eastAsia="zh-CN"/>
              </w:rPr>
              <w:t>求：</w:t>
            </w:r>
            <w:r>
              <w:rPr>
                <w:rFonts w:hint="eastAsia" w:ascii="方正仿宋_GB2312" w:hAnsi="方正仿宋_GB2312" w:eastAsia="方正仿宋_GB2312" w:cs="方正仿宋_GB2312"/>
                <w:color w:val="auto"/>
                <w:spacing w:val="-2"/>
                <w:sz w:val="21"/>
                <w:szCs w:val="21"/>
                <w:highlight w:val="none"/>
                <w:u w:val="single"/>
                <w:lang w:eastAsia="zh-CN"/>
              </w:rPr>
              <w:t>/</w:t>
            </w:r>
          </w:p>
          <w:p>
            <w:pPr>
              <w:keepNext w:val="0"/>
              <w:keepLines w:val="0"/>
              <w:pageBreakBefore w:val="0"/>
              <w:wordWrap/>
              <w:autoSpaceDE w:val="0"/>
              <w:autoSpaceDN w:val="0"/>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分包</w:t>
            </w:r>
            <w:r>
              <w:rPr>
                <w:rFonts w:hint="eastAsia" w:ascii="方正仿宋_GB2312" w:hAnsi="方正仿宋_GB2312" w:eastAsia="方正仿宋_GB2312" w:cs="方正仿宋_GB2312"/>
                <w:color w:val="auto"/>
                <w:spacing w:val="-2"/>
                <w:sz w:val="21"/>
                <w:szCs w:val="21"/>
                <w:highlight w:val="none"/>
                <w:lang w:eastAsia="zh-CN"/>
              </w:rPr>
              <w:t>金</w:t>
            </w:r>
            <w:r>
              <w:rPr>
                <w:rFonts w:hint="eastAsia" w:ascii="方正仿宋_GB2312" w:hAnsi="方正仿宋_GB2312" w:eastAsia="方正仿宋_GB2312" w:cs="方正仿宋_GB2312"/>
                <w:color w:val="auto"/>
                <w:sz w:val="21"/>
                <w:szCs w:val="21"/>
                <w:highlight w:val="none"/>
                <w:lang w:eastAsia="zh-CN"/>
              </w:rPr>
              <w:t>额</w:t>
            </w:r>
            <w:r>
              <w:rPr>
                <w:rFonts w:hint="eastAsia" w:ascii="方正仿宋_GB2312" w:hAnsi="方正仿宋_GB2312" w:eastAsia="方正仿宋_GB2312" w:cs="方正仿宋_GB2312"/>
                <w:color w:val="auto"/>
                <w:spacing w:val="-2"/>
                <w:sz w:val="21"/>
                <w:szCs w:val="21"/>
                <w:highlight w:val="none"/>
                <w:lang w:eastAsia="zh-CN"/>
              </w:rPr>
              <w:t>要</w:t>
            </w:r>
            <w:r>
              <w:rPr>
                <w:rFonts w:hint="eastAsia" w:ascii="方正仿宋_GB2312" w:hAnsi="方正仿宋_GB2312" w:eastAsia="方正仿宋_GB2312" w:cs="方正仿宋_GB2312"/>
                <w:color w:val="auto"/>
                <w:sz w:val="21"/>
                <w:szCs w:val="21"/>
                <w:highlight w:val="none"/>
                <w:lang w:eastAsia="zh-CN"/>
              </w:rPr>
              <w:t>求：/</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对分</w:t>
            </w:r>
            <w:r>
              <w:rPr>
                <w:rFonts w:hint="eastAsia" w:ascii="方正仿宋_GB2312" w:hAnsi="方正仿宋_GB2312" w:eastAsia="方正仿宋_GB2312" w:cs="方正仿宋_GB2312"/>
                <w:color w:val="auto"/>
                <w:spacing w:val="-2"/>
                <w:sz w:val="21"/>
                <w:szCs w:val="21"/>
                <w:highlight w:val="none"/>
                <w:lang w:eastAsia="zh-CN"/>
              </w:rPr>
              <w:t>包</w:t>
            </w:r>
            <w:r>
              <w:rPr>
                <w:rFonts w:hint="eastAsia" w:ascii="方正仿宋_GB2312" w:hAnsi="方正仿宋_GB2312" w:eastAsia="方正仿宋_GB2312" w:cs="方正仿宋_GB2312"/>
                <w:color w:val="auto"/>
                <w:sz w:val="21"/>
                <w:szCs w:val="21"/>
                <w:highlight w:val="none"/>
                <w:lang w:eastAsia="zh-CN"/>
              </w:rPr>
              <w:t>人</w:t>
            </w:r>
            <w:r>
              <w:rPr>
                <w:rFonts w:hint="eastAsia" w:ascii="方正仿宋_GB2312" w:hAnsi="方正仿宋_GB2312" w:eastAsia="方正仿宋_GB2312" w:cs="方正仿宋_GB2312"/>
                <w:color w:val="auto"/>
                <w:spacing w:val="-2"/>
                <w:sz w:val="21"/>
                <w:szCs w:val="21"/>
                <w:highlight w:val="none"/>
                <w:lang w:eastAsia="zh-CN"/>
              </w:rPr>
              <w:t>的</w:t>
            </w:r>
            <w:r>
              <w:rPr>
                <w:rFonts w:hint="eastAsia" w:ascii="方正仿宋_GB2312" w:hAnsi="方正仿宋_GB2312" w:eastAsia="方正仿宋_GB2312" w:cs="方正仿宋_GB2312"/>
                <w:color w:val="auto"/>
                <w:sz w:val="21"/>
                <w:szCs w:val="21"/>
                <w:highlight w:val="none"/>
                <w:lang w:eastAsia="zh-CN"/>
              </w:rPr>
              <w:t>资</w:t>
            </w:r>
            <w:r>
              <w:rPr>
                <w:rFonts w:hint="eastAsia" w:ascii="方正仿宋_GB2312" w:hAnsi="方正仿宋_GB2312" w:eastAsia="方正仿宋_GB2312" w:cs="方正仿宋_GB2312"/>
                <w:color w:val="auto"/>
                <w:spacing w:val="-2"/>
                <w:sz w:val="21"/>
                <w:szCs w:val="21"/>
                <w:highlight w:val="none"/>
                <w:lang w:eastAsia="zh-CN"/>
              </w:rPr>
              <w:t>质</w:t>
            </w:r>
            <w:r>
              <w:rPr>
                <w:rFonts w:hint="eastAsia" w:ascii="方正仿宋_GB2312" w:hAnsi="方正仿宋_GB2312" w:eastAsia="方正仿宋_GB2312" w:cs="方正仿宋_GB2312"/>
                <w:color w:val="auto"/>
                <w:sz w:val="21"/>
                <w:szCs w:val="21"/>
                <w:highlight w:val="none"/>
                <w:lang w:eastAsia="zh-CN"/>
              </w:rPr>
              <w:t>要</w:t>
            </w:r>
            <w:r>
              <w:rPr>
                <w:rFonts w:hint="eastAsia" w:ascii="方正仿宋_GB2312" w:hAnsi="方正仿宋_GB2312" w:eastAsia="方正仿宋_GB2312" w:cs="方正仿宋_GB2312"/>
                <w:color w:val="auto"/>
                <w:spacing w:val="-2"/>
                <w:sz w:val="21"/>
                <w:szCs w:val="21"/>
                <w:highlight w:val="none"/>
                <w:lang w:eastAsia="zh-CN"/>
              </w:rPr>
              <w:t>求</w:t>
            </w:r>
            <w:r>
              <w:rPr>
                <w:rFonts w:hint="eastAsia" w:ascii="方正仿宋_GB2312" w:hAnsi="方正仿宋_GB2312" w:eastAsia="方正仿宋_GB2312" w:cs="方正仿宋_GB2312"/>
                <w:color w:val="auto"/>
                <w:sz w:val="21"/>
                <w:szCs w:val="21"/>
                <w:highlight w:val="none"/>
                <w:lang w:eastAsia="zh-CN"/>
              </w:rPr>
              <w:t>：</w:t>
            </w:r>
            <w:r>
              <w:rPr>
                <w:rFonts w:hint="eastAsia" w:ascii="方正仿宋_GB2312" w:hAnsi="方正仿宋_GB2312" w:eastAsia="方正仿宋_GB2312" w:cs="方正仿宋_GB2312"/>
                <w:color w:val="auto"/>
                <w:sz w:val="21"/>
                <w:szCs w:val="21"/>
                <w:highlight w:val="none"/>
                <w:u w:val="single"/>
                <w:lang w:eastAsia="zh-CN"/>
              </w:rPr>
              <w:t>/</w:t>
            </w:r>
            <w:r>
              <w:rPr>
                <w:rFonts w:hint="eastAsia" w:ascii="方正仿宋_GB2312" w:hAnsi="方正仿宋_GB2312" w:eastAsia="方正仿宋_GB2312" w:cs="方正仿宋_GB2312"/>
                <w:color w:val="auto"/>
                <w:sz w:val="21"/>
                <w:szCs w:val="21"/>
                <w:highlight w:val="none"/>
                <w:lang w:eastAsia="zh-CN"/>
              </w:rPr>
              <w:t>。</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1.12.1</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实质性要求和条件</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lang w:eastAsia="zh-CN"/>
              </w:rPr>
              <w:t>/。</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1.12.3</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偏差</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autoSpaceDE w:val="0"/>
              <w:autoSpaceDN w:val="0"/>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■不允许</w:t>
            </w:r>
          </w:p>
          <w:p>
            <w:pPr>
              <w:keepNext w:val="0"/>
              <w:keepLines w:val="0"/>
              <w:pageBreakBefore w:val="0"/>
              <w:wordWrap/>
              <w:autoSpaceDE w:val="0"/>
              <w:autoSpaceDN w:val="0"/>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□允许，偏差范围：</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rPr>
              <w:t>偏差幅度：</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2.1</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构成招标文件的其他资料</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w:t>
            </w:r>
          </w:p>
        </w:tc>
      </w:tr>
      <w:tr>
        <w:tblPrEx>
          <w:tblCellMar>
            <w:top w:w="0" w:type="dxa"/>
            <w:left w:w="0" w:type="dxa"/>
            <w:bottom w:w="0" w:type="dxa"/>
            <w:right w:w="0" w:type="dxa"/>
          </w:tblCellMar>
        </w:tblPrEx>
        <w:trPr>
          <w:trHeight w:val="1644" w:hRule="atLeast"/>
        </w:trPr>
        <w:tc>
          <w:tcPr>
            <w:tcW w:w="514" w:type="pct"/>
            <w:tcBorders>
              <w:top w:val="single" w:color="000000" w:sz="4" w:space="0"/>
              <w:left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2.2.1</w:t>
            </w:r>
          </w:p>
        </w:tc>
        <w:tc>
          <w:tcPr>
            <w:tcW w:w="918" w:type="pct"/>
            <w:tcBorders>
              <w:top w:val="single" w:color="000000" w:sz="4" w:space="0"/>
              <w:left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投标人要求澄清招标文件</w:t>
            </w:r>
          </w:p>
        </w:tc>
        <w:tc>
          <w:tcPr>
            <w:tcW w:w="3566" w:type="pct"/>
            <w:tcBorders>
              <w:top w:val="single" w:color="000000" w:sz="4" w:space="0"/>
              <w:left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时间：在提交投标文件截止时间18天前提出。</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u w:val="none"/>
                <w:lang w:eastAsia="zh-CN"/>
              </w:rPr>
              <w:t>形式：投标人的疑问通过广州公共资源交易中心数字交易平台提交。按照《【通用版】新电子招投标系统通用版操作指引（适用于建设工程不使用范本的各类电子标项目操作指引）》（http://www.gzggzy.cn/fwznxtbzczsc/868038.jhtml）。提问一律不得署名。</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2.2.2</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招标文件澄清发出的形式</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u w:val="single"/>
                <w:lang w:eastAsia="zh-CN"/>
              </w:rPr>
            </w:pPr>
            <w:r>
              <w:rPr>
                <w:rFonts w:hint="eastAsia" w:ascii="方正仿宋_GB2312" w:hAnsi="方正仿宋_GB2312" w:eastAsia="方正仿宋_GB2312" w:cs="方正仿宋_GB2312"/>
                <w:color w:val="auto"/>
                <w:sz w:val="21"/>
                <w:szCs w:val="21"/>
                <w:highlight w:val="none"/>
                <w:lang w:eastAsia="zh-CN"/>
              </w:rPr>
              <w:t>招标人应在递交投标文件截止时间15日前将招标文件澄清文件在广州公共资源交易中心网站“招标答疑”专区发布。不足15日的，招标人应当顺延投标文件的截止时间。</w:t>
            </w:r>
          </w:p>
        </w:tc>
      </w:tr>
      <w:tr>
        <w:tblPrEx>
          <w:tblCellMar>
            <w:top w:w="0" w:type="dxa"/>
            <w:left w:w="0" w:type="dxa"/>
            <w:bottom w:w="0" w:type="dxa"/>
            <w:right w:w="0" w:type="dxa"/>
          </w:tblCellMar>
        </w:tblPrEx>
        <w:trPr>
          <w:trHeight w:val="1996" w:hRule="atLeast"/>
        </w:trPr>
        <w:tc>
          <w:tcPr>
            <w:tcW w:w="514" w:type="pct"/>
            <w:tcBorders>
              <w:top w:val="single" w:color="000000" w:sz="4" w:space="0"/>
              <w:left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2.2.3</w:t>
            </w:r>
          </w:p>
        </w:tc>
        <w:tc>
          <w:tcPr>
            <w:tcW w:w="918" w:type="pct"/>
            <w:tcBorders>
              <w:top w:val="single" w:color="000000" w:sz="4" w:space="0"/>
              <w:left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投标人确认收到招标文件澄清</w:t>
            </w:r>
          </w:p>
        </w:tc>
        <w:tc>
          <w:tcPr>
            <w:tcW w:w="3566" w:type="pct"/>
            <w:tcBorders>
              <w:top w:val="single" w:color="000000" w:sz="4" w:space="0"/>
              <w:left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u w:val="none"/>
                <w:lang w:eastAsia="zh-CN"/>
              </w:rPr>
              <w:t>招标文件的澄清或修改在广州公共资源交易中心网站答疑专区网上公开发布，发出即视作收到，以广州公共资源交易中心数字交易平台网站发布时间作为送达时间。无需投标人确认。投标人应自行关注，招标人不再一一通知。招标文件的澄清或修改内容作为招标文件的组成部分，具有约束作用。</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auto"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2.3.1</w:t>
            </w:r>
          </w:p>
        </w:tc>
        <w:tc>
          <w:tcPr>
            <w:tcW w:w="918" w:type="pct"/>
            <w:tcBorders>
              <w:top w:val="single" w:color="000000" w:sz="4" w:space="0"/>
              <w:left w:val="single" w:color="000000" w:sz="4" w:space="0"/>
              <w:bottom w:val="single" w:color="auto"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招标文件修改发出的形式</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以补充公告或项目答疑澄清的方式在广州公共资源交易中心网站发布。</w:t>
            </w:r>
          </w:p>
        </w:tc>
      </w:tr>
      <w:tr>
        <w:tblPrEx>
          <w:tblCellMar>
            <w:top w:w="0" w:type="dxa"/>
            <w:left w:w="0" w:type="dxa"/>
            <w:bottom w:w="0" w:type="dxa"/>
            <w:right w:w="0" w:type="dxa"/>
          </w:tblCellMar>
        </w:tblPrEx>
        <w:trPr>
          <w:trHeight w:val="1669" w:hRule="atLeast"/>
        </w:trPr>
        <w:tc>
          <w:tcPr>
            <w:tcW w:w="514" w:type="pct"/>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2.3.2</w:t>
            </w:r>
          </w:p>
        </w:tc>
        <w:tc>
          <w:tcPr>
            <w:tcW w:w="918" w:type="pct"/>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投标人确认收到招标文件修改</w:t>
            </w:r>
          </w:p>
        </w:tc>
        <w:tc>
          <w:tcPr>
            <w:tcW w:w="3566" w:type="pct"/>
            <w:tcBorders>
              <w:top w:val="single" w:color="000000" w:sz="4" w:space="0"/>
              <w:left w:val="single" w:color="auto"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招标文件的澄清或修改在广州公共资源交易中心网站答疑专区网上公开发布，发出即视作收到，以广州公共资源交易中心数字交易平台网站发布时间作为送达时间。无需投标人确认。投标人应自行关注，招标人不再一一通知。招标文件的澄清或修改内容作为招标文件的组成部分，具有约束作用。</w:t>
            </w:r>
          </w:p>
        </w:tc>
      </w:tr>
      <w:tr>
        <w:tblPrEx>
          <w:tblCellMar>
            <w:top w:w="0" w:type="dxa"/>
            <w:left w:w="0" w:type="dxa"/>
            <w:bottom w:w="0" w:type="dxa"/>
            <w:right w:w="0" w:type="dxa"/>
          </w:tblCellMar>
        </w:tblPrEx>
        <w:tc>
          <w:tcPr>
            <w:tcW w:w="5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3.1.1</w:t>
            </w:r>
          </w:p>
        </w:tc>
        <w:tc>
          <w:tcPr>
            <w:tcW w:w="9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构成投标文件的其他资料</w:t>
            </w:r>
          </w:p>
        </w:tc>
        <w:tc>
          <w:tcPr>
            <w:tcW w:w="356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（1）按本招标文件规定需提交的其它所有资料；</w:t>
            </w:r>
          </w:p>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（2）投标人认为需要提交的其他资料。</w:t>
            </w:r>
          </w:p>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注：①投标人提交的投标文件必须按照招标文件所提供的投标文件格式的要求如实填写（表格可以按同样格式扩展、缩小，内容项目不能变化）。</w:t>
            </w:r>
          </w:p>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②投标文件应做到清晰、完整，文本、图纸文件大小应满足交易平台的要求。除非另有规定，否则投标文件的计量单位宜采用国际标准计量单位，尺寸齐全、准确，所有文字说明和文字标注以中文为准，报价均为人民币，时间均为北京时间。</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b/>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③每个投标人报送一个投标方案，投标文件应达到招标文件规定的深度，满足评审需要。不响应招标文件要求的投标文件可能被拒绝，责任由投标人自负。</w:t>
            </w:r>
          </w:p>
        </w:tc>
      </w:tr>
      <w:tr>
        <w:tblPrEx>
          <w:tblCellMar>
            <w:top w:w="0" w:type="dxa"/>
            <w:left w:w="0" w:type="dxa"/>
            <w:bottom w:w="0" w:type="dxa"/>
            <w:right w:w="0" w:type="dxa"/>
          </w:tblCellMar>
        </w:tblPrEx>
        <w:tc>
          <w:tcPr>
            <w:tcW w:w="514"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3.1.5</w:t>
            </w:r>
          </w:p>
          <w:p>
            <w:pPr>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（新增）</w:t>
            </w:r>
          </w:p>
        </w:tc>
        <w:tc>
          <w:tcPr>
            <w:tcW w:w="918"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保密要求</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b/>
                <w:color w:val="auto"/>
                <w:sz w:val="21"/>
                <w:szCs w:val="21"/>
                <w:highlight w:val="none"/>
                <w:lang w:eastAsia="zh-CN"/>
              </w:rPr>
            </w:pPr>
            <w:r>
              <w:rPr>
                <w:rFonts w:hint="eastAsia" w:ascii="方正仿宋_GB2312" w:hAnsi="方正仿宋_GB2312" w:eastAsia="方正仿宋_GB2312" w:cs="方正仿宋_GB2312"/>
                <w:b w:val="0"/>
                <w:bCs/>
                <w:color w:val="auto"/>
                <w:sz w:val="21"/>
                <w:szCs w:val="21"/>
                <w:highlight w:val="none"/>
                <w:lang w:eastAsia="zh-CN"/>
              </w:rPr>
              <w:t>投标人不得在技术文件</w:t>
            </w:r>
            <w:r>
              <w:rPr>
                <w:rFonts w:hint="eastAsia" w:ascii="方正仿宋_GB2312" w:hAnsi="方正仿宋_GB2312" w:eastAsia="方正仿宋_GB2312" w:cs="方正仿宋_GB2312"/>
                <w:b w:val="0"/>
                <w:bCs/>
                <w:color w:val="auto"/>
                <w:spacing w:val="-2"/>
                <w:sz w:val="21"/>
                <w:szCs w:val="21"/>
                <w:highlight w:val="none"/>
                <w:lang w:eastAsia="zh-CN"/>
              </w:rPr>
              <w:t>（含设计方案部分）</w:t>
            </w:r>
            <w:r>
              <w:rPr>
                <w:rFonts w:hint="eastAsia" w:ascii="方正仿宋_GB2312" w:hAnsi="方正仿宋_GB2312" w:eastAsia="方正仿宋_GB2312" w:cs="方正仿宋_GB2312"/>
                <w:b w:val="0"/>
                <w:bCs/>
                <w:color w:val="auto"/>
                <w:sz w:val="21"/>
                <w:szCs w:val="21"/>
                <w:highlight w:val="none"/>
                <w:lang w:eastAsia="zh-CN"/>
              </w:rPr>
              <w:t>上标注或做任何可以辨认投标人及专业技术人员身份的名称、印章、商标、图形等记认符号。</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3.2.1</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增值税税金的计算方法</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3.2.3</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报价方式</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按招标文件第六章投标文件格式进行报价</w:t>
            </w:r>
            <w:r>
              <w:rPr>
                <w:rFonts w:hint="eastAsia" w:ascii="方正仿宋_GB2312" w:hAnsi="方正仿宋_GB2312" w:eastAsia="方正仿宋_GB2312" w:cs="方正仿宋_GB2312"/>
                <w:color w:val="auto"/>
                <w:sz w:val="21"/>
                <w:szCs w:val="21"/>
                <w:highlight w:val="none"/>
                <w:u w:val="single"/>
                <w:lang w:eastAsia="zh-CN"/>
              </w:rPr>
              <w:t>，并按招标文件有关要求进行盖章上传。</w:t>
            </w:r>
            <w:r>
              <w:rPr>
                <w:rFonts w:hint="eastAsia" w:ascii="方正仿宋_GB2312" w:hAnsi="方正仿宋_GB2312" w:eastAsia="方正仿宋_GB2312" w:cs="方正仿宋_GB2312"/>
                <w:color w:val="auto"/>
                <w:sz w:val="21"/>
                <w:szCs w:val="21"/>
                <w:highlight w:val="none"/>
                <w:lang w:eastAsia="zh-CN"/>
              </w:rPr>
              <w:t>投标人根据自身企业实力自行报价。设计费报价为投标人完成本标段工程所有工作及履行合同的成本、利润、税金及风险等。</w:t>
            </w:r>
          </w:p>
        </w:tc>
      </w:tr>
      <w:tr>
        <w:tblPrEx>
          <w:tblCellMar>
            <w:top w:w="0" w:type="dxa"/>
            <w:left w:w="0" w:type="dxa"/>
            <w:bottom w:w="0" w:type="dxa"/>
            <w:right w:w="0" w:type="dxa"/>
          </w:tblCellMar>
        </w:tblPrEx>
        <w:trPr>
          <w:trHeight w:val="90"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3.2.4</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最高投标限价</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firstLine="420" w:firstLineChars="20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□无</w:t>
            </w:r>
          </w:p>
          <w:p>
            <w:pPr>
              <w:pStyle w:val="23"/>
              <w:keepNext w:val="0"/>
              <w:keepLines w:val="0"/>
              <w:pageBreakBefore w:val="0"/>
              <w:wordWrap/>
              <w:bidi w:val="0"/>
              <w:adjustRightInd w:val="0"/>
              <w:snapToGrid/>
              <w:spacing w:beforeLines="50" w:line="240" w:lineRule="auto"/>
              <w:ind w:left="110" w:leftChars="50" w:right="110" w:rightChars="50" w:firstLine="420" w:firstLineChars="200"/>
              <w:jc w:val="both"/>
              <w:textAlignment w:val="auto"/>
              <w:rPr>
                <w:rFonts w:hint="eastAsia" w:ascii="方正仿宋_GB2312" w:hAnsi="方正仿宋_GB2312" w:eastAsia="方正仿宋_GB2312" w:cs="方正仿宋_GB2312"/>
                <w:color w:val="auto"/>
                <w:sz w:val="21"/>
                <w:szCs w:val="21"/>
                <w:highlight w:val="none"/>
                <w:u w:val="single"/>
                <w:lang w:eastAsia="zh-CN"/>
              </w:rPr>
            </w:pPr>
            <w:r>
              <w:rPr>
                <w:rFonts w:hint="eastAsia" w:ascii="方正仿宋_GB2312" w:hAnsi="方正仿宋_GB2312" w:eastAsia="方正仿宋_GB2312" w:cs="方正仿宋_GB2312"/>
                <w:color w:val="auto"/>
                <w:sz w:val="21"/>
                <w:szCs w:val="21"/>
                <w:highlight w:val="none"/>
                <w:lang w:eastAsia="zh-CN"/>
              </w:rPr>
              <w:t>■有</w:t>
            </w:r>
            <w:r>
              <w:rPr>
                <w:rFonts w:hint="eastAsia" w:ascii="方正仿宋_GB2312" w:hAnsi="方正仿宋_GB2312" w:eastAsia="方正仿宋_GB2312" w:cs="方正仿宋_GB2312"/>
                <w:color w:val="auto"/>
                <w:sz w:val="21"/>
                <w:szCs w:val="21"/>
                <w:highlight w:val="none"/>
                <w:u w:val="none"/>
                <w:lang w:eastAsia="zh-CN"/>
              </w:rPr>
              <w:t>，本项目工程勘察设计费最高投标限价总价为：</w:t>
            </w:r>
            <w:r>
              <w:rPr>
                <w:rFonts w:hint="eastAsia" w:ascii="方正仿宋_GB2312" w:hAnsi="方正仿宋_GB2312" w:eastAsia="方正仿宋_GB2312" w:cs="方正仿宋_GB2312"/>
                <w:color w:val="auto"/>
                <w:sz w:val="21"/>
                <w:szCs w:val="21"/>
                <w:highlight w:val="none"/>
                <w:u w:val="none"/>
                <w:lang w:val="en-US" w:eastAsia="zh-CN"/>
              </w:rPr>
              <w:t>173.17</w:t>
            </w:r>
            <w:r>
              <w:rPr>
                <w:rFonts w:hint="eastAsia" w:ascii="方正仿宋_GB2312" w:hAnsi="方正仿宋_GB2312" w:eastAsia="方正仿宋_GB2312" w:cs="方正仿宋_GB2312"/>
                <w:color w:val="auto"/>
                <w:sz w:val="21"/>
                <w:szCs w:val="21"/>
                <w:highlight w:val="none"/>
                <w:u w:val="none"/>
                <w:lang w:eastAsia="zh-CN"/>
              </w:rPr>
              <w:t>万元（其中：工程勘察费最高投标限价为：</w:t>
            </w:r>
            <w:r>
              <w:rPr>
                <w:rFonts w:hint="eastAsia" w:ascii="方正仿宋_GB2312" w:hAnsi="方正仿宋_GB2312" w:eastAsia="方正仿宋_GB2312" w:cs="方正仿宋_GB2312"/>
                <w:color w:val="auto"/>
                <w:sz w:val="21"/>
                <w:szCs w:val="21"/>
                <w:highlight w:val="none"/>
                <w:u w:val="none"/>
                <w:lang w:val="en-US" w:eastAsia="zh-CN"/>
              </w:rPr>
              <w:t>104.61</w:t>
            </w:r>
            <w:r>
              <w:rPr>
                <w:rFonts w:hint="eastAsia" w:ascii="方正仿宋_GB2312" w:hAnsi="方正仿宋_GB2312" w:eastAsia="方正仿宋_GB2312" w:cs="方正仿宋_GB2312"/>
                <w:color w:val="auto"/>
                <w:sz w:val="21"/>
                <w:szCs w:val="21"/>
                <w:highlight w:val="none"/>
                <w:u w:val="none"/>
                <w:lang w:eastAsia="zh-CN"/>
              </w:rPr>
              <w:t>万元；工程设计费最高投标限价为：</w:t>
            </w:r>
            <w:r>
              <w:rPr>
                <w:rFonts w:hint="eastAsia" w:ascii="方正仿宋_GB2312" w:hAnsi="方正仿宋_GB2312" w:eastAsia="方正仿宋_GB2312" w:cs="方正仿宋_GB2312"/>
                <w:color w:val="auto"/>
                <w:sz w:val="21"/>
                <w:szCs w:val="21"/>
                <w:highlight w:val="none"/>
                <w:u w:val="none"/>
                <w:lang w:val="en-US" w:eastAsia="zh-CN"/>
              </w:rPr>
              <w:t>68.56</w:t>
            </w:r>
            <w:r>
              <w:rPr>
                <w:rFonts w:hint="eastAsia" w:ascii="方正仿宋_GB2312" w:hAnsi="方正仿宋_GB2312" w:eastAsia="方正仿宋_GB2312" w:cs="方正仿宋_GB2312"/>
                <w:color w:val="auto"/>
                <w:sz w:val="21"/>
                <w:szCs w:val="21"/>
                <w:highlight w:val="none"/>
                <w:u w:val="none"/>
                <w:lang w:eastAsia="zh-CN"/>
              </w:rPr>
              <w:t>万元）。投标报价总报价不能超过最高总限价，超最高总限价或勘察费限价或设计费限价的报价视为无效报价，由评标委员作废标处理。</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3.2.5</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投标报价的其他要求</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u w:val="single"/>
                <w:lang w:eastAsia="zh-CN"/>
              </w:rPr>
              <w:t>投标人必须详细审阅全部招标文件，充分考虑职责和义务，全面地理解招标文件对投标报价的要求，并按招标人提出的条件及内容进行报价。</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3.3.1</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投标有效期</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120日历天（从投标截止之日算起）</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3.4.1</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投标保证金</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autoSpaceDE w:val="0"/>
              <w:autoSpaceDN w:val="0"/>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是否</w:t>
            </w:r>
            <w:r>
              <w:rPr>
                <w:rFonts w:hint="eastAsia" w:ascii="方正仿宋_GB2312" w:hAnsi="方正仿宋_GB2312" w:eastAsia="方正仿宋_GB2312" w:cs="方正仿宋_GB2312"/>
                <w:color w:val="auto"/>
                <w:spacing w:val="-2"/>
                <w:sz w:val="21"/>
                <w:szCs w:val="21"/>
                <w:highlight w:val="none"/>
                <w:lang w:eastAsia="zh-CN"/>
              </w:rPr>
              <w:t>要</w:t>
            </w:r>
            <w:r>
              <w:rPr>
                <w:rFonts w:hint="eastAsia" w:ascii="方正仿宋_GB2312" w:hAnsi="方正仿宋_GB2312" w:eastAsia="方正仿宋_GB2312" w:cs="方正仿宋_GB2312"/>
                <w:color w:val="auto"/>
                <w:sz w:val="21"/>
                <w:szCs w:val="21"/>
                <w:highlight w:val="none"/>
                <w:lang w:eastAsia="zh-CN"/>
              </w:rPr>
              <w:t>求</w:t>
            </w:r>
            <w:r>
              <w:rPr>
                <w:rFonts w:hint="eastAsia" w:ascii="方正仿宋_GB2312" w:hAnsi="方正仿宋_GB2312" w:eastAsia="方正仿宋_GB2312" w:cs="方正仿宋_GB2312"/>
                <w:color w:val="auto"/>
                <w:spacing w:val="-2"/>
                <w:sz w:val="21"/>
                <w:szCs w:val="21"/>
                <w:highlight w:val="none"/>
                <w:lang w:eastAsia="zh-CN"/>
              </w:rPr>
              <w:t>投</w:t>
            </w:r>
            <w:r>
              <w:rPr>
                <w:rFonts w:hint="eastAsia" w:ascii="方正仿宋_GB2312" w:hAnsi="方正仿宋_GB2312" w:eastAsia="方正仿宋_GB2312" w:cs="方正仿宋_GB2312"/>
                <w:color w:val="auto"/>
                <w:sz w:val="21"/>
                <w:szCs w:val="21"/>
                <w:highlight w:val="none"/>
                <w:lang w:eastAsia="zh-CN"/>
              </w:rPr>
              <w:t>标</w:t>
            </w:r>
            <w:r>
              <w:rPr>
                <w:rFonts w:hint="eastAsia" w:ascii="方正仿宋_GB2312" w:hAnsi="方正仿宋_GB2312" w:eastAsia="方正仿宋_GB2312" w:cs="方正仿宋_GB2312"/>
                <w:color w:val="auto"/>
                <w:spacing w:val="-2"/>
                <w:sz w:val="21"/>
                <w:szCs w:val="21"/>
                <w:highlight w:val="none"/>
                <w:lang w:eastAsia="zh-CN"/>
              </w:rPr>
              <w:t>人</w:t>
            </w:r>
            <w:r>
              <w:rPr>
                <w:rFonts w:hint="eastAsia" w:ascii="方正仿宋_GB2312" w:hAnsi="方正仿宋_GB2312" w:eastAsia="方正仿宋_GB2312" w:cs="方正仿宋_GB2312"/>
                <w:color w:val="auto"/>
                <w:sz w:val="21"/>
                <w:szCs w:val="21"/>
                <w:highlight w:val="none"/>
                <w:lang w:eastAsia="zh-CN"/>
              </w:rPr>
              <w:t>递</w:t>
            </w:r>
            <w:r>
              <w:rPr>
                <w:rFonts w:hint="eastAsia" w:ascii="方正仿宋_GB2312" w:hAnsi="方正仿宋_GB2312" w:eastAsia="方正仿宋_GB2312" w:cs="方正仿宋_GB2312"/>
                <w:color w:val="auto"/>
                <w:spacing w:val="-2"/>
                <w:sz w:val="21"/>
                <w:szCs w:val="21"/>
                <w:highlight w:val="none"/>
                <w:lang w:eastAsia="zh-CN"/>
              </w:rPr>
              <w:t>交</w:t>
            </w:r>
            <w:r>
              <w:rPr>
                <w:rFonts w:hint="eastAsia" w:ascii="方正仿宋_GB2312" w:hAnsi="方正仿宋_GB2312" w:eastAsia="方正仿宋_GB2312" w:cs="方正仿宋_GB2312"/>
                <w:color w:val="auto"/>
                <w:sz w:val="21"/>
                <w:szCs w:val="21"/>
                <w:highlight w:val="none"/>
                <w:lang w:eastAsia="zh-CN"/>
              </w:rPr>
              <w:t>投</w:t>
            </w:r>
            <w:r>
              <w:rPr>
                <w:rFonts w:hint="eastAsia" w:ascii="方正仿宋_GB2312" w:hAnsi="方正仿宋_GB2312" w:eastAsia="方正仿宋_GB2312" w:cs="方正仿宋_GB2312"/>
                <w:color w:val="auto"/>
                <w:spacing w:val="-2"/>
                <w:sz w:val="21"/>
                <w:szCs w:val="21"/>
                <w:highlight w:val="none"/>
                <w:lang w:eastAsia="zh-CN"/>
              </w:rPr>
              <w:t>标</w:t>
            </w:r>
            <w:r>
              <w:rPr>
                <w:rFonts w:hint="eastAsia" w:ascii="方正仿宋_GB2312" w:hAnsi="方正仿宋_GB2312" w:eastAsia="方正仿宋_GB2312" w:cs="方正仿宋_GB2312"/>
                <w:color w:val="auto"/>
                <w:sz w:val="21"/>
                <w:szCs w:val="21"/>
                <w:highlight w:val="none"/>
                <w:lang w:eastAsia="zh-CN"/>
              </w:rPr>
              <w:t>保证</w:t>
            </w:r>
            <w:r>
              <w:rPr>
                <w:rFonts w:hint="eastAsia" w:ascii="方正仿宋_GB2312" w:hAnsi="方正仿宋_GB2312" w:eastAsia="方正仿宋_GB2312" w:cs="方正仿宋_GB2312"/>
                <w:color w:val="auto"/>
                <w:spacing w:val="-2"/>
                <w:sz w:val="21"/>
                <w:szCs w:val="21"/>
                <w:highlight w:val="none"/>
                <w:lang w:eastAsia="zh-CN"/>
              </w:rPr>
              <w:t>金</w:t>
            </w:r>
            <w:r>
              <w:rPr>
                <w:rFonts w:hint="eastAsia" w:ascii="方正仿宋_GB2312" w:hAnsi="方正仿宋_GB2312" w:eastAsia="方正仿宋_GB2312" w:cs="方正仿宋_GB2312"/>
                <w:color w:val="auto"/>
                <w:sz w:val="21"/>
                <w:szCs w:val="21"/>
                <w:highlight w:val="none"/>
                <w:lang w:eastAsia="zh-CN"/>
              </w:rPr>
              <w:t>：</w:t>
            </w:r>
          </w:p>
          <w:p>
            <w:pPr>
              <w:pStyle w:val="5"/>
              <w:keepNext w:val="0"/>
              <w:keepLines w:val="0"/>
              <w:pageBreakBefore w:val="0"/>
              <w:wordWrap/>
              <w:bidi w:val="0"/>
              <w:adjustRightInd w:val="0"/>
              <w:snapToGrid/>
              <w:spacing w:beforeLines="50" w:line="240" w:lineRule="auto"/>
              <w:ind w:left="110" w:leftChars="50" w:right="110" w:rightChars="50" w:firstLine="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■不要求</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3.4.4</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其他可以不予退还投标保证金的情形</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rPr>
              <w:t>/</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3.5</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资格审查资料的特殊要求</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topLinePunct/>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□无</w:t>
            </w:r>
          </w:p>
          <w:p>
            <w:pPr>
              <w:keepNext w:val="0"/>
              <w:keepLines w:val="0"/>
              <w:pageBreakBefore w:val="0"/>
              <w:wordWrap/>
              <w:topLinePunct/>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■有，具体要求：</w:t>
            </w:r>
          </w:p>
          <w:p>
            <w:pPr>
              <w:keepNext w:val="0"/>
              <w:keepLines w:val="0"/>
              <w:pageBreakBefore w:val="0"/>
              <w:wordWrap/>
              <w:topLinePunct/>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u w:val="single"/>
                <w:lang w:eastAsia="zh-CN"/>
              </w:rPr>
            </w:pPr>
            <w:r>
              <w:rPr>
                <w:rFonts w:hint="eastAsia" w:ascii="方正仿宋_GB2312" w:hAnsi="方正仿宋_GB2312" w:eastAsia="方正仿宋_GB2312" w:cs="方正仿宋_GB2312"/>
                <w:color w:val="auto"/>
                <w:sz w:val="21"/>
                <w:szCs w:val="21"/>
                <w:highlight w:val="none"/>
                <w:u w:val="none"/>
                <w:lang w:eastAsia="zh-CN"/>
              </w:rPr>
              <w:t>1、本招标项目不要求提供“投标人基本情况表”、“近年财务状况表”、“近年发生的诉讼及仲裁情况”、“近年完成的类似设计项目情况表”、“正在设计和新承接的项目情况表”、“拟委任的主要人员汇总表”，以上内容不作为资格审查内容；如本招标项目要求提供以上资料，则不作为资格审查内容，仅作为评标资料（如有）。</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3.5.2</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近年财务状况的年份要求</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3.5.3</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近年完成的类似项目情况的时间要求</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3.5.5</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近年发生的诉讼及仲裁情况的时间要求</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3.6.1</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是否允许递交备选投标方案</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■不允许</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□允许</w:t>
            </w:r>
          </w:p>
        </w:tc>
      </w:tr>
      <w:tr>
        <w:tblPrEx>
          <w:tblCellMar>
            <w:top w:w="0" w:type="dxa"/>
            <w:left w:w="0" w:type="dxa"/>
            <w:bottom w:w="0" w:type="dxa"/>
            <w:right w:w="0" w:type="dxa"/>
          </w:tblCellMar>
        </w:tblPrEx>
        <w:trPr>
          <w:trHeight w:val="585" w:hRule="atLeast"/>
        </w:trPr>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3.7.3（A）</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lang w:eastAsia="zh-CN"/>
              </w:rPr>
              <w:t>删除。</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3.7.3（B）</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投标文件所附证书证件要求</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ordWrap/>
              <w:topLinePunct/>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证书证件需为清晰彩色扫描件，并采用单位数字证书，按照招标文件要求在相应位置加盖电子印章。</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3.7.3（B）</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投标文件签字或盖章要求</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ordWrap/>
              <w:topLinePunct/>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u w:val="single"/>
                <w:lang w:eastAsia="zh-CN"/>
              </w:rPr>
            </w:pPr>
            <w:r>
              <w:rPr>
                <w:rFonts w:hint="eastAsia" w:ascii="方正仿宋_GB2312" w:hAnsi="方正仿宋_GB2312" w:eastAsia="方正仿宋_GB2312" w:cs="方正仿宋_GB2312"/>
                <w:color w:val="auto"/>
                <w:sz w:val="21"/>
                <w:szCs w:val="21"/>
                <w:highlight w:val="none"/>
                <w:u w:val="none"/>
                <w:lang w:eastAsia="zh-CN"/>
              </w:rPr>
              <w:t>投标文件中需法定代表人、代理人签字或盖章的，应加盖个人电子印章或在线下完成后扫描上传。投标人应采用单位数字证书，投标文件按招标文件要求在相应位置加盖电子印章。相关操作详见《【通用版】新电子招投标系统通用版操作指引（适用于建设工程不使用范本的各类电子标项目操作指引）》（http://www.gzggzy.cn/fwznxtbzczsc/868038.jhtml）。</w:t>
            </w:r>
            <w:r>
              <w:rPr>
                <w:rFonts w:hint="eastAsia" w:ascii="方正仿宋_GB2312" w:hAnsi="方正仿宋_GB2312" w:eastAsia="方正仿宋_GB2312" w:cs="方正仿宋_GB2312"/>
                <w:b/>
                <w:bCs/>
                <w:color w:val="auto"/>
                <w:sz w:val="21"/>
                <w:szCs w:val="21"/>
                <w:highlight w:val="none"/>
                <w:u w:val="none"/>
                <w:lang w:eastAsia="zh-CN"/>
              </w:rPr>
              <w:t>联合体投标的，除投标文件中的《联合体投标协议书》需联合体各方盖章、签字外，投标文件其他内容中的“投标人名称”应填写联合体各方的单位全称【格式为：（主）XXXX公司（成）XXXX公司】，但由牵头方盖章、签字即可。法定代表人证明书及授权委托证明书可由联合体牵头方出具，其中“单位”一栏可只填写联合体牵头方名称。</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3.7.4</w:t>
            </w:r>
          </w:p>
          <w:p>
            <w:pPr>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（增加）</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暗标的具体要求</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ordWrap/>
              <w:topLinePunct/>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u w:val="single"/>
                <w:lang w:eastAsia="zh-CN"/>
              </w:rPr>
            </w:pPr>
            <w:r>
              <w:rPr>
                <w:rFonts w:hint="eastAsia" w:ascii="方正仿宋_GB2312" w:hAnsi="方正仿宋_GB2312" w:eastAsia="方正仿宋_GB2312" w:cs="方正仿宋_GB2312"/>
                <w:color w:val="auto"/>
                <w:sz w:val="21"/>
                <w:szCs w:val="21"/>
                <w:highlight w:val="none"/>
                <w:lang w:eastAsia="zh-CN"/>
              </w:rPr>
              <w:t>技术标中不能辨认出投标人或其专业技术人员的身份。不在设计方案上标注或做任何可以辨认投标人及专业技术人员身份的名称、印章、商标、图形等记认符号。</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4.1.1（A）</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ordWrap/>
              <w:topLinePunct/>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u w:val="single"/>
                <w:lang w:eastAsia="zh-CN"/>
              </w:rPr>
            </w:pPr>
            <w:r>
              <w:rPr>
                <w:rFonts w:hint="eastAsia" w:ascii="方正仿宋_GB2312" w:hAnsi="方正仿宋_GB2312" w:eastAsia="方正仿宋_GB2312" w:cs="方正仿宋_GB2312"/>
                <w:color w:val="auto"/>
                <w:sz w:val="21"/>
                <w:szCs w:val="21"/>
                <w:highlight w:val="none"/>
                <w:u w:val="none"/>
                <w:lang w:eastAsia="zh-CN"/>
              </w:rPr>
              <w:t>删除。</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4.1.1（B）</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投标文件加密要求</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网上递交的电子投标文件须进行加密。未按要求加密的投标文件，交易平台将予以拒收。具体操作详见《【通用版】新电子招投标系统通用版操作指引（适用于建设工程不使用范本的各类电子标项目操作指引）》（http://www.gzggzy.cn/fwznxtbzczsc/868038.jhtml）。</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b/>
                <w:color w:val="auto"/>
                <w:sz w:val="21"/>
                <w:szCs w:val="21"/>
                <w:highlight w:val="none"/>
              </w:rPr>
            </w:pPr>
            <w:r>
              <w:rPr>
                <w:rFonts w:hint="eastAsia" w:ascii="方正仿宋_GB2312" w:hAnsi="方正仿宋_GB2312" w:eastAsia="方正仿宋_GB2312" w:cs="方正仿宋_GB2312"/>
                <w:b/>
                <w:color w:val="auto"/>
                <w:sz w:val="21"/>
                <w:szCs w:val="21"/>
                <w:highlight w:val="none"/>
              </w:rPr>
              <w:t>4.1.2</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b/>
                <w:color w:val="auto"/>
                <w:sz w:val="21"/>
                <w:szCs w:val="21"/>
                <w:highlight w:val="none"/>
              </w:rPr>
            </w:pPr>
            <w:r>
              <w:rPr>
                <w:rFonts w:hint="eastAsia" w:ascii="方正仿宋_GB2312" w:hAnsi="方正仿宋_GB2312" w:eastAsia="方正仿宋_GB2312" w:cs="方正仿宋_GB2312"/>
                <w:b/>
                <w:color w:val="auto"/>
                <w:sz w:val="21"/>
                <w:szCs w:val="21"/>
                <w:highlight w:val="none"/>
              </w:rPr>
              <w:t>封套上应载明的信息</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b w:val="0"/>
                <w:bCs/>
                <w:color w:val="auto"/>
                <w:sz w:val="21"/>
                <w:szCs w:val="21"/>
                <w:highlight w:val="none"/>
                <w:lang w:eastAsia="zh-CN"/>
              </w:rPr>
            </w:pPr>
            <w:r>
              <w:rPr>
                <w:rFonts w:hint="eastAsia" w:ascii="方正仿宋_GB2312" w:hAnsi="方正仿宋_GB2312" w:eastAsia="方正仿宋_GB2312" w:cs="方正仿宋_GB2312"/>
                <w:b w:val="0"/>
                <w:bCs/>
                <w:color w:val="auto"/>
                <w:sz w:val="21"/>
                <w:szCs w:val="21"/>
                <w:highlight w:val="none"/>
                <w:lang w:eastAsia="zh-CN"/>
              </w:rPr>
              <w:t>对递交的备用投标文件电子光盘及保密信封要求封装。</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b w:val="0"/>
                <w:bCs/>
                <w:color w:val="auto"/>
                <w:sz w:val="21"/>
                <w:szCs w:val="21"/>
                <w:highlight w:val="none"/>
                <w:lang w:eastAsia="zh-CN"/>
              </w:rPr>
            </w:pPr>
            <w:r>
              <w:rPr>
                <w:rFonts w:hint="eastAsia" w:ascii="方正仿宋_GB2312" w:hAnsi="方正仿宋_GB2312" w:eastAsia="方正仿宋_GB2312" w:cs="方正仿宋_GB2312"/>
                <w:b w:val="0"/>
                <w:bCs/>
                <w:color w:val="auto"/>
                <w:sz w:val="21"/>
                <w:szCs w:val="21"/>
                <w:highlight w:val="none"/>
                <w:lang w:eastAsia="zh-CN"/>
              </w:rPr>
              <w:t>（1）商务文件封套上应载明：</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b w:val="0"/>
                <w:bCs/>
                <w:color w:val="auto"/>
                <w:sz w:val="21"/>
                <w:szCs w:val="21"/>
                <w:highlight w:val="none"/>
                <w:lang w:eastAsia="zh-CN"/>
              </w:rPr>
            </w:pPr>
            <w:r>
              <w:rPr>
                <w:rFonts w:hint="eastAsia" w:ascii="方正仿宋_GB2312" w:hAnsi="方正仿宋_GB2312" w:eastAsia="方正仿宋_GB2312" w:cs="方正仿宋_GB2312"/>
                <w:b w:val="0"/>
                <w:bCs/>
                <w:color w:val="auto"/>
                <w:sz w:val="21"/>
                <w:szCs w:val="21"/>
                <w:highlight w:val="none"/>
                <w:lang w:eastAsia="zh-CN"/>
              </w:rPr>
              <w:t>招标人名称：</w:t>
            </w:r>
            <w:r>
              <w:rPr>
                <w:rFonts w:hint="eastAsia" w:ascii="方正仿宋_GB2312" w:hAnsi="方正仿宋_GB2312" w:eastAsia="方正仿宋_GB2312" w:cs="方正仿宋_GB2312"/>
                <w:b w:val="0"/>
                <w:bCs/>
                <w:color w:val="auto"/>
                <w:sz w:val="21"/>
                <w:szCs w:val="21"/>
                <w:highlight w:val="none"/>
                <w:u w:val="single"/>
                <w:lang w:eastAsia="zh-CN"/>
              </w:rPr>
              <w:t xml:space="preserve">                   </w:t>
            </w:r>
          </w:p>
          <w:p>
            <w:pPr>
              <w:pStyle w:val="23"/>
              <w:keepNext w:val="0"/>
              <w:keepLines w:val="0"/>
              <w:pageBreakBefore w:val="0"/>
              <w:tabs>
                <w:tab w:val="left" w:pos="1157"/>
              </w:tabs>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b w:val="0"/>
                <w:bCs/>
                <w:color w:val="auto"/>
                <w:sz w:val="21"/>
                <w:szCs w:val="21"/>
                <w:highlight w:val="none"/>
                <w:lang w:eastAsia="zh-CN"/>
              </w:rPr>
            </w:pPr>
            <w:r>
              <w:rPr>
                <w:rFonts w:hint="eastAsia" w:ascii="方正仿宋_GB2312" w:hAnsi="方正仿宋_GB2312" w:eastAsia="方正仿宋_GB2312" w:cs="方正仿宋_GB2312"/>
                <w:b w:val="0"/>
                <w:bCs/>
                <w:color w:val="auto"/>
                <w:sz w:val="21"/>
                <w:szCs w:val="21"/>
                <w:highlight w:val="none"/>
                <w:u w:val="single"/>
                <w:lang w:eastAsia="zh-CN"/>
              </w:rPr>
              <w:t xml:space="preserve">     （项目名称）        </w:t>
            </w:r>
            <w:r>
              <w:rPr>
                <w:rFonts w:hint="eastAsia" w:ascii="方正仿宋_GB2312" w:hAnsi="方正仿宋_GB2312" w:eastAsia="方正仿宋_GB2312" w:cs="方正仿宋_GB2312"/>
                <w:b w:val="0"/>
                <w:bCs/>
                <w:color w:val="auto"/>
                <w:sz w:val="21"/>
                <w:szCs w:val="21"/>
                <w:highlight w:val="none"/>
                <w:lang w:eastAsia="zh-CN"/>
              </w:rPr>
              <w:t>商务文件</w:t>
            </w:r>
          </w:p>
          <w:p>
            <w:pPr>
              <w:pStyle w:val="23"/>
              <w:keepNext w:val="0"/>
              <w:keepLines w:val="0"/>
              <w:pageBreakBefore w:val="0"/>
              <w:tabs>
                <w:tab w:val="left" w:pos="1157"/>
              </w:tabs>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b w:val="0"/>
                <w:bCs/>
                <w:color w:val="auto"/>
                <w:sz w:val="21"/>
                <w:szCs w:val="21"/>
                <w:highlight w:val="none"/>
                <w:lang w:eastAsia="zh-CN"/>
              </w:rPr>
            </w:pPr>
            <w:r>
              <w:rPr>
                <w:rFonts w:hint="eastAsia" w:ascii="方正仿宋_GB2312" w:hAnsi="方正仿宋_GB2312" w:eastAsia="方正仿宋_GB2312" w:cs="方正仿宋_GB2312"/>
                <w:b w:val="0"/>
                <w:bCs/>
                <w:color w:val="auto"/>
                <w:sz w:val="21"/>
                <w:szCs w:val="21"/>
                <w:highlight w:val="none"/>
                <w:lang w:eastAsia="zh-CN"/>
              </w:rPr>
              <w:t>投标人名称：</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b w:val="0"/>
                <w:bCs/>
                <w:color w:val="auto"/>
                <w:sz w:val="21"/>
                <w:szCs w:val="21"/>
                <w:highlight w:val="none"/>
                <w:lang w:eastAsia="zh-CN"/>
              </w:rPr>
            </w:pPr>
            <w:r>
              <w:rPr>
                <w:rFonts w:hint="eastAsia" w:ascii="方正仿宋_GB2312" w:hAnsi="方正仿宋_GB2312" w:eastAsia="方正仿宋_GB2312" w:cs="方正仿宋_GB2312"/>
                <w:b w:val="0"/>
                <w:bCs/>
                <w:color w:val="auto"/>
                <w:sz w:val="21"/>
                <w:szCs w:val="21"/>
                <w:highlight w:val="none"/>
                <w:lang w:eastAsia="zh-CN"/>
              </w:rPr>
              <w:t>（2）技术文件封套上应载明：</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b w:val="0"/>
                <w:bCs/>
                <w:color w:val="auto"/>
                <w:sz w:val="21"/>
                <w:szCs w:val="21"/>
                <w:highlight w:val="none"/>
                <w:lang w:eastAsia="zh-CN"/>
              </w:rPr>
            </w:pPr>
            <w:r>
              <w:rPr>
                <w:rFonts w:hint="eastAsia" w:ascii="方正仿宋_GB2312" w:hAnsi="方正仿宋_GB2312" w:eastAsia="方正仿宋_GB2312" w:cs="方正仿宋_GB2312"/>
                <w:b w:val="0"/>
                <w:bCs/>
                <w:color w:val="auto"/>
                <w:sz w:val="21"/>
                <w:szCs w:val="21"/>
                <w:highlight w:val="none"/>
                <w:lang w:eastAsia="zh-CN"/>
              </w:rPr>
              <w:t>招标人名称：</w:t>
            </w:r>
            <w:r>
              <w:rPr>
                <w:rFonts w:hint="eastAsia" w:ascii="方正仿宋_GB2312" w:hAnsi="方正仿宋_GB2312" w:eastAsia="方正仿宋_GB2312" w:cs="方正仿宋_GB2312"/>
                <w:b w:val="0"/>
                <w:bCs/>
                <w:color w:val="auto"/>
                <w:sz w:val="21"/>
                <w:szCs w:val="21"/>
                <w:highlight w:val="none"/>
                <w:u w:val="single"/>
                <w:lang w:eastAsia="zh-CN"/>
              </w:rPr>
              <w:t xml:space="preserve">                   </w:t>
            </w:r>
          </w:p>
          <w:p>
            <w:pPr>
              <w:pStyle w:val="23"/>
              <w:keepNext w:val="0"/>
              <w:keepLines w:val="0"/>
              <w:pageBreakBefore w:val="0"/>
              <w:tabs>
                <w:tab w:val="left" w:pos="734"/>
                <w:tab w:val="left" w:pos="1365"/>
                <w:tab w:val="left" w:pos="1994"/>
                <w:tab w:val="left" w:pos="2623"/>
              </w:tabs>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b w:val="0"/>
                <w:bCs/>
                <w:color w:val="auto"/>
                <w:sz w:val="21"/>
                <w:szCs w:val="21"/>
                <w:highlight w:val="none"/>
                <w:lang w:eastAsia="zh-CN"/>
              </w:rPr>
            </w:pPr>
            <w:r>
              <w:rPr>
                <w:rFonts w:hint="eastAsia" w:ascii="方正仿宋_GB2312" w:hAnsi="方正仿宋_GB2312" w:eastAsia="方正仿宋_GB2312" w:cs="方正仿宋_GB2312"/>
                <w:b w:val="0"/>
                <w:bCs/>
                <w:color w:val="auto"/>
                <w:sz w:val="21"/>
                <w:szCs w:val="21"/>
                <w:highlight w:val="none"/>
                <w:u w:val="single"/>
                <w:lang w:eastAsia="zh-CN"/>
              </w:rPr>
              <w:t xml:space="preserve">     （项目名称）        </w:t>
            </w:r>
            <w:r>
              <w:rPr>
                <w:rFonts w:hint="eastAsia" w:ascii="方正仿宋_GB2312" w:hAnsi="方正仿宋_GB2312" w:eastAsia="方正仿宋_GB2312" w:cs="方正仿宋_GB2312"/>
                <w:b w:val="0"/>
                <w:bCs/>
                <w:color w:val="auto"/>
                <w:sz w:val="21"/>
                <w:szCs w:val="21"/>
                <w:highlight w:val="none"/>
                <w:lang w:eastAsia="zh-CN"/>
              </w:rPr>
              <w:t>技术文件</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b w:val="0"/>
                <w:bCs/>
                <w:color w:val="auto"/>
                <w:sz w:val="21"/>
                <w:szCs w:val="21"/>
                <w:highlight w:val="none"/>
                <w:lang w:eastAsia="zh-CN"/>
              </w:rPr>
            </w:pPr>
            <w:r>
              <w:rPr>
                <w:rFonts w:hint="eastAsia" w:ascii="方正仿宋_GB2312" w:hAnsi="方正仿宋_GB2312" w:eastAsia="方正仿宋_GB2312" w:cs="方正仿宋_GB2312"/>
                <w:b w:val="0"/>
                <w:bCs/>
                <w:color w:val="auto"/>
                <w:sz w:val="21"/>
                <w:szCs w:val="21"/>
                <w:highlight w:val="none"/>
                <w:lang w:eastAsia="zh-CN"/>
              </w:rPr>
              <w:t>（3）保密信封封套上应载明：</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b w:val="0"/>
                <w:bCs/>
                <w:color w:val="auto"/>
                <w:sz w:val="21"/>
                <w:szCs w:val="21"/>
                <w:highlight w:val="none"/>
                <w:lang w:eastAsia="zh-CN"/>
              </w:rPr>
            </w:pPr>
            <w:r>
              <w:rPr>
                <w:rFonts w:hint="eastAsia" w:ascii="方正仿宋_GB2312" w:hAnsi="方正仿宋_GB2312" w:eastAsia="方正仿宋_GB2312" w:cs="方正仿宋_GB2312"/>
                <w:b w:val="0"/>
                <w:bCs/>
                <w:color w:val="auto"/>
                <w:sz w:val="21"/>
                <w:szCs w:val="21"/>
                <w:highlight w:val="none"/>
                <w:lang w:eastAsia="zh-CN"/>
              </w:rPr>
              <w:t>招标人名称：</w:t>
            </w:r>
            <w:r>
              <w:rPr>
                <w:rFonts w:hint="eastAsia" w:ascii="方正仿宋_GB2312" w:hAnsi="方正仿宋_GB2312" w:eastAsia="方正仿宋_GB2312" w:cs="方正仿宋_GB2312"/>
                <w:b w:val="0"/>
                <w:bCs/>
                <w:color w:val="auto"/>
                <w:sz w:val="21"/>
                <w:szCs w:val="21"/>
                <w:highlight w:val="none"/>
                <w:u w:val="single"/>
                <w:lang w:eastAsia="zh-CN"/>
              </w:rPr>
              <w:t xml:space="preserve">                   </w:t>
            </w:r>
          </w:p>
          <w:p>
            <w:pPr>
              <w:pStyle w:val="23"/>
              <w:keepNext w:val="0"/>
              <w:keepLines w:val="0"/>
              <w:pageBreakBefore w:val="0"/>
              <w:tabs>
                <w:tab w:val="left" w:pos="734"/>
                <w:tab w:val="left" w:pos="1365"/>
                <w:tab w:val="left" w:pos="1994"/>
                <w:tab w:val="left" w:pos="2623"/>
              </w:tabs>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b w:val="0"/>
                <w:bCs/>
                <w:color w:val="auto"/>
                <w:sz w:val="21"/>
                <w:szCs w:val="21"/>
                <w:highlight w:val="none"/>
                <w:lang w:eastAsia="zh-CN"/>
              </w:rPr>
            </w:pPr>
            <w:r>
              <w:rPr>
                <w:rFonts w:hint="eastAsia" w:ascii="方正仿宋_GB2312" w:hAnsi="方正仿宋_GB2312" w:eastAsia="方正仿宋_GB2312" w:cs="方正仿宋_GB2312"/>
                <w:b w:val="0"/>
                <w:bCs/>
                <w:color w:val="auto"/>
                <w:sz w:val="21"/>
                <w:szCs w:val="21"/>
                <w:highlight w:val="none"/>
                <w:u w:val="single"/>
                <w:lang w:eastAsia="zh-CN"/>
              </w:rPr>
              <w:t xml:space="preserve">     （项目名称）        </w:t>
            </w:r>
            <w:r>
              <w:rPr>
                <w:rFonts w:hint="eastAsia" w:ascii="方正仿宋_GB2312" w:hAnsi="方正仿宋_GB2312" w:eastAsia="方正仿宋_GB2312" w:cs="方正仿宋_GB2312"/>
                <w:b w:val="0"/>
                <w:bCs/>
                <w:color w:val="auto"/>
                <w:sz w:val="21"/>
                <w:szCs w:val="21"/>
                <w:highlight w:val="none"/>
                <w:lang w:eastAsia="zh-CN"/>
              </w:rPr>
              <w:t>保密信封</w:t>
            </w:r>
          </w:p>
          <w:p>
            <w:pPr>
              <w:pStyle w:val="23"/>
              <w:keepNext w:val="0"/>
              <w:keepLines w:val="0"/>
              <w:pageBreakBefore w:val="0"/>
              <w:tabs>
                <w:tab w:val="left" w:pos="734"/>
                <w:tab w:val="left" w:pos="1365"/>
                <w:tab w:val="left" w:pos="1994"/>
                <w:tab w:val="left" w:pos="2623"/>
              </w:tabs>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b/>
                <w:color w:val="auto"/>
                <w:sz w:val="21"/>
                <w:szCs w:val="21"/>
                <w:highlight w:val="none"/>
                <w:lang w:eastAsia="zh-CN"/>
              </w:rPr>
            </w:pPr>
            <w:r>
              <w:rPr>
                <w:rFonts w:hint="eastAsia" w:ascii="方正仿宋_GB2312" w:hAnsi="方正仿宋_GB2312" w:eastAsia="方正仿宋_GB2312" w:cs="方正仿宋_GB2312"/>
                <w:b w:val="0"/>
                <w:bCs/>
                <w:color w:val="auto"/>
                <w:sz w:val="21"/>
                <w:szCs w:val="21"/>
                <w:highlight w:val="none"/>
                <w:lang w:eastAsia="zh-CN"/>
              </w:rPr>
              <w:t>注：如提交技术方案文件备用光盘及保密信封的，封面及封口不需要盖章。</w:t>
            </w:r>
            <w:r>
              <w:rPr>
                <w:rFonts w:hint="eastAsia" w:ascii="方正仿宋_GB2312" w:hAnsi="方正仿宋_GB2312" w:eastAsia="方正仿宋_GB2312" w:cs="方正仿宋_GB2312"/>
                <w:b/>
                <w:color w:val="auto"/>
                <w:sz w:val="21"/>
                <w:szCs w:val="21"/>
                <w:highlight w:val="none"/>
                <w:lang w:eastAsia="zh-CN"/>
              </w:rPr>
              <w:t>投标人也可不提交投标文件光盘（备用）及保密信封（备用）</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4.2.1</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投标截止时间</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u w:val="single"/>
                <w:lang w:eastAsia="zh-CN"/>
              </w:rPr>
            </w:pPr>
            <w:r>
              <w:rPr>
                <w:rFonts w:hint="eastAsia" w:ascii="方正仿宋_GB2312" w:hAnsi="方正仿宋_GB2312" w:eastAsia="方正仿宋_GB2312" w:cs="方正仿宋_GB2312"/>
                <w:color w:val="auto"/>
                <w:sz w:val="21"/>
                <w:szCs w:val="21"/>
                <w:highlight w:val="none"/>
                <w:u w:val="single"/>
                <w:lang w:eastAsia="zh-CN"/>
              </w:rPr>
              <w:t>202</w:t>
            </w:r>
            <w:r>
              <w:rPr>
                <w:rFonts w:hint="eastAsia" w:ascii="方正仿宋_GB2312" w:hAnsi="方正仿宋_GB2312" w:eastAsia="方正仿宋_GB2312" w:cs="方正仿宋_GB2312"/>
                <w:color w:val="auto"/>
                <w:sz w:val="21"/>
                <w:szCs w:val="21"/>
                <w:highlight w:val="none"/>
                <w:u w:val="single"/>
                <w:lang w:val="en-US" w:eastAsia="zh-CN"/>
              </w:rPr>
              <w:t>4</w:t>
            </w:r>
            <w:r>
              <w:rPr>
                <w:rFonts w:hint="eastAsia" w:ascii="方正仿宋_GB2312" w:hAnsi="方正仿宋_GB2312" w:eastAsia="方正仿宋_GB2312" w:cs="方正仿宋_GB2312"/>
                <w:color w:val="auto"/>
                <w:sz w:val="21"/>
                <w:szCs w:val="21"/>
                <w:highlight w:val="none"/>
                <w:u w:val="single"/>
                <w:lang w:eastAsia="zh-CN"/>
              </w:rPr>
              <w:t>年   月    日  时  分</w:t>
            </w:r>
          </w:p>
          <w:p>
            <w:pPr>
              <w:pStyle w:val="23"/>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（详见广州公共资源交易中心网站信息。具体时间可以到广州公共资源交易中心交易平台“建设工程→项目查询（日程安排、答疑纪要）”输入本项目编号或项目名称进行查询。）</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4.2.2（A）</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递交投标文件地点</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删除</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4.2.2（</w:t>
            </w:r>
            <w:r>
              <w:rPr>
                <w:rFonts w:hint="eastAsia" w:ascii="方正仿宋_GB2312" w:hAnsi="方正仿宋_GB2312" w:eastAsia="方正仿宋_GB2312" w:cs="方正仿宋_GB2312"/>
                <w:color w:val="auto"/>
                <w:sz w:val="21"/>
                <w:szCs w:val="21"/>
                <w:highlight w:val="none"/>
                <w:lang w:eastAsia="zh-CN"/>
              </w:rPr>
              <w:t>B</w:t>
            </w:r>
            <w:r>
              <w:rPr>
                <w:rFonts w:hint="eastAsia" w:ascii="方正仿宋_GB2312" w:hAnsi="方正仿宋_GB2312" w:eastAsia="方正仿宋_GB2312" w:cs="方正仿宋_GB2312"/>
                <w:color w:val="auto"/>
                <w:sz w:val="21"/>
                <w:szCs w:val="21"/>
                <w:highlight w:val="none"/>
              </w:rPr>
              <w:t>）</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rPr>
              <w:t>递交投标文件</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1、投标人登录广州公共资源交易中心交易平台递交电子投标文件。</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2、投标人完成电子投标文件上传后，交易平台即时向投标人发出递交回执通知。递交时间以递交回执通知载明的传输完成时间为准。</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val="en-US" w:eastAsia="zh-CN"/>
              </w:rPr>
              <w:t>3</w:t>
            </w:r>
            <w:r>
              <w:rPr>
                <w:rFonts w:hint="eastAsia" w:ascii="方正仿宋_GB2312" w:hAnsi="方正仿宋_GB2312" w:eastAsia="方正仿宋_GB2312" w:cs="方正仿宋_GB2312"/>
                <w:color w:val="auto"/>
                <w:sz w:val="21"/>
                <w:szCs w:val="21"/>
                <w:highlight w:val="none"/>
                <w:lang w:eastAsia="zh-CN"/>
              </w:rPr>
              <w:t>、逾期送达的投标文件，交易平台将予以拒收。</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4.2.3</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投标文件是否退还</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■否</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□是，退还时间：</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4.2.6（</w:t>
            </w:r>
            <w:r>
              <w:rPr>
                <w:rFonts w:hint="eastAsia" w:ascii="方正仿宋_GB2312" w:hAnsi="方正仿宋_GB2312" w:eastAsia="方正仿宋_GB2312" w:cs="方正仿宋_GB2312"/>
                <w:color w:val="auto"/>
                <w:sz w:val="21"/>
                <w:szCs w:val="21"/>
                <w:highlight w:val="none"/>
                <w:lang w:eastAsia="zh-CN"/>
              </w:rPr>
              <w:t>增加</w:t>
            </w:r>
            <w:r>
              <w:rPr>
                <w:rFonts w:hint="eastAsia" w:ascii="方正仿宋_GB2312" w:hAnsi="方正仿宋_GB2312" w:eastAsia="方正仿宋_GB2312" w:cs="方正仿宋_GB2312"/>
                <w:color w:val="auto"/>
                <w:sz w:val="21"/>
                <w:szCs w:val="21"/>
                <w:highlight w:val="none"/>
              </w:rPr>
              <w:t>）</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投标时间</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1、投标截止时间自本工程招标公告发布之日起计。</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2、具体投标截止时间以招标人（招标代理机构）的最新通知为准，请各投标人留意交易平台网站发布的本工程相关信息。</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3、到投标截止时间止，招标人收到的投标文件少于3家的，招标人将重新组织招标。</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rPr>
              <w:t>4.3</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投标文件的修改与撤回</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1、在规定的投标截止时间前，投标人可以修改或撤回已递交的投标文件。</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2、投标人修改或撤回已递交的投标文件，需在交易平台发出撤回通知，并按要求加盖电子印章。电子招标投标交易平台收到通知后，即时向投标人发布确认回执通知。</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3、修改后再次递交的，按4.2.2（B）的规定执行。</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4、在投标截止时间后，投标人不得补充、修改或更换投标文件。</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5.1（A）</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开标时间和地点</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删除。</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5.1（B）</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开标时间和地点</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开标时间：同投标截止时间</w:t>
            </w:r>
          </w:p>
          <w:p>
            <w:pPr>
              <w:pStyle w:val="23"/>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开标地点：具体时间和地点可以到广州公共资源交易中心交易平台“建设工程→项目查询（日程安排、答疑纪要）”输入本项目编号或项目名称进行查询。</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5.2（</w:t>
            </w:r>
            <w:r>
              <w:rPr>
                <w:rFonts w:hint="eastAsia" w:ascii="方正仿宋_GB2312" w:hAnsi="方正仿宋_GB2312" w:eastAsia="方正仿宋_GB2312" w:cs="方正仿宋_GB2312"/>
                <w:color w:val="auto"/>
                <w:sz w:val="21"/>
                <w:szCs w:val="21"/>
                <w:highlight w:val="none"/>
                <w:lang w:eastAsia="zh-CN"/>
              </w:rPr>
              <w:t>B</w:t>
            </w:r>
            <w:r>
              <w:rPr>
                <w:rFonts w:hint="eastAsia" w:ascii="方正仿宋_GB2312" w:hAnsi="方正仿宋_GB2312" w:eastAsia="方正仿宋_GB2312" w:cs="方正仿宋_GB2312"/>
                <w:color w:val="auto"/>
                <w:sz w:val="21"/>
                <w:szCs w:val="21"/>
                <w:highlight w:val="none"/>
              </w:rPr>
              <w:t>）</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开标程序</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1、在投标截止时间后半小时内，投标人通过递交投标文件的交易平台对已递交的电子投标文件进行解密。投标人完成解密后，再由招标人进行解密。解密完成后，公布招标项目名称、投标人名称等相关信息。未在规定时间内解密的投标文件不参与开标、评标。</w:t>
            </w:r>
          </w:p>
          <w:p>
            <w:pPr>
              <w:pStyle w:val="23"/>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2、截标后，开标开始时间因故推迟的，相关评标信息仍以原定的开标开始时间的信息为准。</w:t>
            </w:r>
          </w:p>
          <w:p>
            <w:pPr>
              <w:pStyle w:val="23"/>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3、备用光盘的读取按10.7的规定执行。</w:t>
            </w:r>
          </w:p>
          <w:p>
            <w:pPr>
              <w:pStyle w:val="23"/>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4、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pStyle w:val="23"/>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5、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pStyle w:val="23"/>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6、参加现场开标的投标人对开标结果有异议的，应当在开标现场提出，招标人应当当场作出答复，并制作记录。</w:t>
            </w:r>
          </w:p>
          <w:p>
            <w:pPr>
              <w:pStyle w:val="23"/>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7、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pStyle w:val="23"/>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8、投标人未参加开标或在规定的时间内未提出异议的，视为对开标无异议。</w:t>
            </w:r>
          </w:p>
          <w:p>
            <w:pPr>
              <w:pStyle w:val="23"/>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9、开标时，两个（含两个）以上的投标人加密打包投标文件电脑机器特征码一致的，不参与下一程序，并由评标委员会否决其投标。</w:t>
            </w:r>
          </w:p>
          <w:p>
            <w:pPr>
              <w:pStyle w:val="23"/>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b/>
                <w:bCs/>
                <w:color w:val="auto"/>
                <w:sz w:val="21"/>
                <w:szCs w:val="21"/>
                <w:highlight w:val="none"/>
                <w:u w:val="single"/>
                <w:lang w:eastAsia="zh-CN"/>
              </w:rPr>
            </w:pPr>
            <w:r>
              <w:rPr>
                <w:rFonts w:hint="eastAsia" w:ascii="方正仿宋_GB2312" w:hAnsi="方正仿宋_GB2312" w:eastAsia="方正仿宋_GB2312" w:cs="方正仿宋_GB2312"/>
                <w:b w:val="0"/>
                <w:bCs w:val="0"/>
                <w:color w:val="auto"/>
                <w:sz w:val="21"/>
                <w:szCs w:val="21"/>
                <w:highlight w:val="none"/>
                <w:u w:val="none"/>
                <w:lang w:eastAsia="zh-CN"/>
              </w:rPr>
              <w:t>10、技术文件开标时不得开启，在评标时由交易平台随机编号后开启，交由评标委员会进行评审。编号所对应的投标人在投票结束前不得告知评标委员会、交易平台工作人员、招标人或招标代理机构。</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6.1.1</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评标委员会的组建</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tabs>
                <w:tab w:val="left" w:pos="2309"/>
                <w:tab w:val="left" w:pos="2729"/>
                <w:tab w:val="left" w:pos="3826"/>
              </w:tabs>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pacing w:val="-2"/>
                <w:sz w:val="21"/>
                <w:szCs w:val="21"/>
                <w:highlight w:val="none"/>
                <w:lang w:eastAsia="zh-CN"/>
              </w:rPr>
              <w:t>评标委员会构成：</w:t>
            </w:r>
            <w:r>
              <w:rPr>
                <w:rFonts w:hint="eastAsia" w:ascii="方正仿宋_GB2312" w:hAnsi="方正仿宋_GB2312" w:eastAsia="方正仿宋_GB2312" w:cs="方正仿宋_GB2312"/>
                <w:color w:val="auto"/>
                <w:spacing w:val="-2"/>
                <w:sz w:val="21"/>
                <w:szCs w:val="21"/>
                <w:highlight w:val="none"/>
                <w:u w:val="single"/>
                <w:lang w:eastAsia="zh-CN"/>
              </w:rPr>
              <w:t>评标委员会由广东省综合评标评审专家库随机抽取的</w:t>
            </w:r>
            <w:r>
              <w:rPr>
                <w:rFonts w:hint="eastAsia" w:ascii="方正仿宋_GB2312" w:hAnsi="方正仿宋_GB2312" w:eastAsia="方正仿宋_GB2312" w:cs="方正仿宋_GB2312"/>
                <w:color w:val="auto"/>
                <w:spacing w:val="-2"/>
                <w:sz w:val="21"/>
                <w:szCs w:val="21"/>
                <w:highlight w:val="none"/>
                <w:u w:val="single"/>
                <w:lang w:val="en-US" w:eastAsia="zh-CN"/>
              </w:rPr>
              <w:t>5</w:t>
            </w:r>
            <w:r>
              <w:rPr>
                <w:rFonts w:hint="eastAsia" w:ascii="方正仿宋_GB2312" w:hAnsi="方正仿宋_GB2312" w:eastAsia="方正仿宋_GB2312" w:cs="方正仿宋_GB2312"/>
                <w:color w:val="auto"/>
                <w:spacing w:val="-2"/>
                <w:sz w:val="21"/>
                <w:szCs w:val="21"/>
                <w:highlight w:val="none"/>
                <w:u w:val="single"/>
                <w:lang w:eastAsia="zh-CN"/>
              </w:rPr>
              <w:t>名专家组成</w:t>
            </w:r>
            <w:r>
              <w:rPr>
                <w:rFonts w:hint="eastAsia" w:ascii="方正仿宋_GB2312" w:hAnsi="方正仿宋_GB2312" w:eastAsia="方正仿宋_GB2312" w:cs="方正仿宋_GB2312"/>
                <w:color w:val="auto"/>
                <w:spacing w:val="-2"/>
                <w:sz w:val="21"/>
                <w:szCs w:val="21"/>
                <w:highlight w:val="none"/>
                <w:lang w:eastAsia="zh-CN"/>
              </w:rPr>
              <w:t>。</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6.3.2</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评标委员会推荐中标候选人的人数</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推荐3名中标候选人。</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7.1</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中标候选人公示媒介及期限</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tabs>
                <w:tab w:val="left" w:pos="2100"/>
              </w:tabs>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公示媒介：中国招标投标公共服务平台、广东省招标投标监管网、广州公共资源交易中心网</w:t>
            </w:r>
          </w:p>
          <w:p>
            <w:pPr>
              <w:pStyle w:val="23"/>
              <w:keepNext w:val="0"/>
              <w:keepLines w:val="0"/>
              <w:pageBreakBefore w:val="0"/>
              <w:tabs>
                <w:tab w:val="left" w:pos="2100"/>
              </w:tabs>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pacing w:val="-2"/>
                <w:sz w:val="21"/>
                <w:szCs w:val="21"/>
                <w:highlight w:val="none"/>
              </w:rPr>
              <w:t>公示期限：</w:t>
            </w:r>
            <w:r>
              <w:rPr>
                <w:rFonts w:hint="eastAsia" w:ascii="方正仿宋_GB2312" w:hAnsi="方正仿宋_GB2312" w:eastAsia="方正仿宋_GB2312" w:cs="方正仿宋_GB2312"/>
                <w:color w:val="auto"/>
                <w:spacing w:val="-2"/>
                <w:sz w:val="21"/>
                <w:szCs w:val="21"/>
                <w:highlight w:val="none"/>
                <w:u w:val="single" w:color="000000"/>
                <w:lang w:eastAsia="zh-CN"/>
              </w:rPr>
              <w:t>3</w:t>
            </w:r>
            <w:r>
              <w:rPr>
                <w:rFonts w:hint="eastAsia" w:ascii="方正仿宋_GB2312" w:hAnsi="方正仿宋_GB2312" w:eastAsia="方正仿宋_GB2312" w:cs="方正仿宋_GB2312"/>
                <w:color w:val="auto"/>
                <w:sz w:val="21"/>
                <w:szCs w:val="21"/>
                <w:highlight w:val="none"/>
              </w:rPr>
              <w:t>日</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7.4</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是否授权评标委员会确定中标人</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□是</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■否：（1）招标人的招标领导小组根据评标报告，最终审定中标人。</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（2）依法必须进行公开招标的项目，招标人应当确定排名第一的中标候选人为中标人。</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7.6</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技术成果经济补偿</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本次招标对未中标人投标文件中的技术成果不给予经济补偿。</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7.7.1</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履约保证金</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val="0"/>
              <w:wordWrap/>
              <w:overflowPunct w:val="0"/>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是否要求中标人提交履约保证金：</w:t>
            </w:r>
          </w:p>
          <w:p>
            <w:pPr>
              <w:pStyle w:val="7"/>
              <w:keepNext w:val="0"/>
              <w:keepLines w:val="0"/>
              <w:pageBreakBefore w:val="0"/>
              <w:wordWrap/>
              <w:topLinePunct/>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pacing w:val="-1"/>
                <w:sz w:val="21"/>
                <w:szCs w:val="21"/>
                <w:highlight w:val="none"/>
                <w:lang w:eastAsia="zh-CN"/>
              </w:rPr>
              <w:t>■</w:t>
            </w:r>
            <w:r>
              <w:rPr>
                <w:rFonts w:hint="eastAsia" w:ascii="方正仿宋_GB2312" w:hAnsi="方正仿宋_GB2312" w:eastAsia="方正仿宋_GB2312" w:cs="方正仿宋_GB2312"/>
                <w:color w:val="auto"/>
                <w:sz w:val="21"/>
                <w:szCs w:val="21"/>
                <w:highlight w:val="none"/>
                <w:lang w:eastAsia="zh-CN"/>
              </w:rPr>
              <w:t>要求，履约保证金的形式：</w:t>
            </w:r>
            <w:r>
              <w:rPr>
                <w:rFonts w:hint="eastAsia" w:ascii="方正仿宋_GB2312" w:hAnsi="方正仿宋_GB2312" w:eastAsia="方正仿宋_GB2312" w:cs="方正仿宋_GB2312"/>
                <w:color w:val="auto"/>
                <w:sz w:val="21"/>
                <w:szCs w:val="21"/>
                <w:highlight w:val="none"/>
                <w:u w:val="none"/>
                <w:lang w:eastAsia="zh-CN"/>
              </w:rPr>
              <w:t>履约担保函、工程保证保险或转账形式提交。（履约担保函应由在中国注册的银行开具）</w:t>
            </w:r>
          </w:p>
          <w:p>
            <w:pPr>
              <w:pStyle w:val="16"/>
              <w:keepNext w:val="0"/>
              <w:keepLines w:val="0"/>
              <w:pageBreakBefore w:val="0"/>
              <w:wordWrap/>
              <w:topLinePunct/>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val="en-US" w:eastAsia="zh-CN"/>
              </w:rPr>
            </w:pPr>
            <w:r>
              <w:rPr>
                <w:rFonts w:hint="eastAsia" w:ascii="方正仿宋_GB2312" w:hAnsi="方正仿宋_GB2312" w:eastAsia="方正仿宋_GB2312" w:cs="方正仿宋_GB2312"/>
                <w:color w:val="auto"/>
                <w:sz w:val="21"/>
                <w:szCs w:val="21"/>
                <w:highlight w:val="none"/>
              </w:rPr>
              <w:t>履约保证金的金额：签约勘察合同暂定价的10%，</w:t>
            </w:r>
            <w:r>
              <w:rPr>
                <w:rFonts w:hint="eastAsia" w:ascii="方正仿宋_GB2312" w:hAnsi="方正仿宋_GB2312" w:eastAsia="方正仿宋_GB2312" w:cs="方正仿宋_GB2312"/>
                <w:color w:val="auto"/>
                <w:sz w:val="21"/>
                <w:szCs w:val="21"/>
                <w:highlight w:val="none"/>
                <w:lang w:val="en-US" w:eastAsia="zh-CN"/>
              </w:rPr>
              <w:t>履约保证金递交时间及其他要求详见合同。</w:t>
            </w:r>
          </w:p>
          <w:p>
            <w:pPr>
              <w:pStyle w:val="23"/>
              <w:keepNext w:val="0"/>
              <w:keepLines w:val="0"/>
              <w:pageBreakBefore w:val="0"/>
              <w:kinsoku w:val="0"/>
              <w:wordWrap/>
              <w:overflowPunct w:val="0"/>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kern w:val="2"/>
                <w:sz w:val="21"/>
                <w:szCs w:val="21"/>
                <w:highlight w:val="none"/>
              </w:rPr>
              <w:t>□不要求</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9</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是否采用电子招标投标</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□否</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■是，具体要求：</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u w:val="single"/>
                <w:lang w:eastAsia="zh-CN"/>
              </w:rPr>
            </w:pPr>
            <w:r>
              <w:rPr>
                <w:rFonts w:hint="eastAsia" w:ascii="方正仿宋_GB2312" w:hAnsi="方正仿宋_GB2312" w:eastAsia="方正仿宋_GB2312" w:cs="方正仿宋_GB2312"/>
                <w:color w:val="auto"/>
                <w:sz w:val="21"/>
                <w:szCs w:val="21"/>
                <w:highlight w:val="none"/>
                <w:u w:val="single"/>
                <w:lang w:eastAsia="zh-CN"/>
              </w:rPr>
              <w:t>1、具体操作详见附件《【通用版】新电子招投标系统通用版操作指引（适用于建设工程不使用范本的各类电子标项目操作指引）》（http://www.gzggzy.cn/fwznxtbzczsc/868038.jhtml）。</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2、提交投标文件光盘备用</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投标人可制作非加密的</w:t>
            </w:r>
            <w:r>
              <w:rPr>
                <w:rFonts w:hint="eastAsia" w:ascii="方正仿宋_GB2312" w:hAnsi="方正仿宋_GB2312" w:eastAsia="方正仿宋_GB2312" w:cs="方正仿宋_GB2312"/>
                <w:color w:val="auto"/>
                <w:spacing w:val="-2"/>
                <w:sz w:val="21"/>
                <w:szCs w:val="21"/>
                <w:highlight w:val="none"/>
                <w:u w:val="none"/>
                <w:lang w:eastAsia="zh-CN"/>
              </w:rPr>
              <w:t>商务文件光盘、技术文件光盘各1个</w:t>
            </w:r>
            <w:r>
              <w:rPr>
                <w:rFonts w:hint="eastAsia" w:ascii="方正仿宋_GB2312" w:hAnsi="方正仿宋_GB2312" w:eastAsia="方正仿宋_GB2312" w:cs="方正仿宋_GB2312"/>
                <w:color w:val="auto"/>
                <w:sz w:val="21"/>
                <w:szCs w:val="21"/>
                <w:highlight w:val="none"/>
                <w:u w:val="none"/>
                <w:lang w:eastAsia="zh-CN"/>
              </w:rPr>
              <w:t>及制作保密信封（1个），在招标公告规定的时间、地点提交备用。</w:t>
            </w:r>
            <w:r>
              <w:rPr>
                <w:rFonts w:hint="eastAsia" w:ascii="方正仿宋_GB2312" w:hAnsi="方正仿宋_GB2312" w:eastAsia="方正仿宋_GB2312" w:cs="方正仿宋_GB2312"/>
                <w:b/>
                <w:color w:val="auto"/>
                <w:sz w:val="21"/>
                <w:szCs w:val="21"/>
                <w:highlight w:val="none"/>
                <w:u w:val="none"/>
                <w:lang w:eastAsia="zh-CN"/>
              </w:rPr>
              <w:t>刻录好的投标文件光盘及保密信封密封在密封袋中。密封袋上应写明项目名称和招标人名称。</w:t>
            </w:r>
            <w:r>
              <w:rPr>
                <w:rFonts w:hint="eastAsia" w:ascii="方正仿宋_GB2312" w:hAnsi="方正仿宋_GB2312" w:eastAsia="方正仿宋_GB2312" w:cs="方正仿宋_GB2312"/>
                <w:color w:val="auto"/>
                <w:sz w:val="21"/>
                <w:szCs w:val="21"/>
                <w:highlight w:val="none"/>
                <w:u w:val="none"/>
                <w:lang w:eastAsia="zh-CN"/>
              </w:rPr>
              <w:t>递交的投标文件光盘（备用）不得加密。备用光盘无法读取或导入的，则视为未提交投标文件光盘（备用）。如果投标人没有按规定通过交易平台网上递交电子投标文件的，不再读取提交的光盘及开启保密信封。投标人也可不提交投标文件光盘（备用）及保密信封（备用）。</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3、补救方案</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（1）投标文件解密失败的补救方案：</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在规定时间内，因投标人之外原因（指网络瘫痪、服务器损坏、交易系统故障短期无法恢复等因素）导致的电子投标文件解密失败，在开标现场读取光盘内容，继续开标程序。评标委员会对其投标文件的评审以光盘内容为准。因投标人原因解密失败且未递交电子光盘或递交的电子光盘不能读取的，视为撤回投标文件。</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u w:val="none"/>
                <w:lang w:eastAsia="zh-CN"/>
              </w:rPr>
            </w:pPr>
            <w:r>
              <w:rPr>
                <w:rFonts w:hint="eastAsia" w:ascii="方正仿宋_GB2312" w:hAnsi="方正仿宋_GB2312" w:eastAsia="方正仿宋_GB2312" w:cs="方正仿宋_GB2312"/>
                <w:color w:val="auto"/>
                <w:sz w:val="21"/>
                <w:szCs w:val="21"/>
                <w:highlight w:val="none"/>
                <w:u w:val="none"/>
                <w:lang w:eastAsia="zh-CN"/>
              </w:rPr>
              <w:t>（2）评标时突发情况的补救方案</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u w:val="single"/>
                <w:lang w:eastAsia="zh-CN"/>
              </w:rPr>
            </w:pPr>
            <w:r>
              <w:rPr>
                <w:rFonts w:hint="eastAsia" w:ascii="方正仿宋_GB2312" w:hAnsi="方正仿宋_GB2312" w:eastAsia="方正仿宋_GB2312" w:cs="方正仿宋_GB2312"/>
                <w:color w:val="auto"/>
                <w:sz w:val="21"/>
                <w:szCs w:val="21"/>
                <w:highlight w:val="none"/>
                <w:u w:val="single"/>
                <w:lang w:eastAsia="zh-CN"/>
              </w:rPr>
              <w:t>若遇不可抗力发生（如：网络瘫痪、服务器损坏、交易系统故障短期无法恢复等因素），由评标委员会开启递交的全部投标文件光盘，并按光盘内容进行评审。</w:t>
            </w:r>
          </w:p>
          <w:p>
            <w:pPr>
              <w:pStyle w:val="23"/>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u w:val="single"/>
                <w:lang w:eastAsia="zh-CN"/>
              </w:rPr>
              <w:t>（3）除发生上述情况外，开标评标均以投标人通过交易平台网上递交的电子投标文件为准。</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10</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需要补充的其他内容</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both"/>
              <w:textAlignment w:val="auto"/>
              <w:rPr>
                <w:rFonts w:hint="eastAsia" w:ascii="方正仿宋_GB2312" w:hAnsi="方正仿宋_GB2312" w:eastAsia="方正仿宋_GB2312" w:cs="方正仿宋_GB2312"/>
                <w:color w:val="auto"/>
                <w:sz w:val="21"/>
                <w:szCs w:val="21"/>
                <w:highlight w:val="none"/>
                <w:lang w:eastAsia="zh-CN"/>
              </w:rPr>
            </w:pP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10.1</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特别提示</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宋体" w:hAnsi="宋体" w:eastAsia="宋体"/>
                <w:color w:val="auto"/>
                <w:sz w:val="21"/>
                <w:szCs w:val="21"/>
                <w:highlight w:val="none"/>
                <w:u w:val="single"/>
                <w:lang w:eastAsia="zh-CN"/>
              </w:rPr>
              <w:t>/</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10.2</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招标失败的情形</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本项目采用资格后审方式，满足资格审查合格条件或通过初步评审的投标申请人不足3名时为招标失败。招标人分析招标失败原因，修正招标方案，报有关管理部门核准后，重新组织招标。</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10.3</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投标文件公开</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pacing w:val="-2"/>
                <w:sz w:val="21"/>
                <w:szCs w:val="21"/>
                <w:highlight w:val="none"/>
                <w:u w:val="none"/>
                <w:lang w:eastAsia="zh-CN"/>
              </w:rPr>
              <w:t>在产生中标候选人后，招标人将中标候选人的投标文件商务部分的电子版（报价清单、方案等涉及商业秘密的内容除外）在广州公共资源交易中心网站等法定媒介公开。</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10.4</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rPr>
              <w:t>其他</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1、招标公告、招标文件、答疑纪要等招标资料全部发布在广州公共资源交易中心网站，由投标人自行下载查阅。</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2、投标截止时间、开标时间和地点：发布在广州公共资源交易中心网站（具体在网站主页“服务指南”中“交易活动安排”栏目上以“项目名称”或“项目编号”进行查询）。</w:t>
            </w:r>
          </w:p>
          <w:p>
            <w:pPr>
              <w:keepNext w:val="0"/>
              <w:keepLines w:val="0"/>
              <w:pageBreakBefore w:val="0"/>
              <w:wordWrap/>
              <w:autoSpaceDE w:val="0"/>
              <w:autoSpaceDN w:val="0"/>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3、中标后，中标单位须提交与网上上传电子投标文件完全一致的纸质投标文件（加盖公章）给招标单位。</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4、本工程采用全电子化资格后审方式，具体要求详见《【通用版】新电子招投标系统通用版操作指引（适用于建设工程不使用范本的各类电子标项目操作指引）》（http://www.gzggzy.cn/fwznxtbzczsc/868038.jhtml）。</w:t>
            </w:r>
          </w:p>
          <w:p>
            <w:pPr>
              <w:keepNext w:val="0"/>
              <w:keepLines w:val="0"/>
              <w:pageBreakBefore w:val="0"/>
              <w:wordWrap/>
              <w:autoSpaceDE w:val="0"/>
              <w:autoSpaceDN w:val="0"/>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5.本项目的广州公共资源交易中心收取的交易服务费由</w:t>
            </w:r>
            <w:r>
              <w:rPr>
                <w:rFonts w:hint="eastAsia" w:ascii="方正仿宋_GB2312" w:hAnsi="方正仿宋_GB2312" w:eastAsia="方正仿宋_GB2312" w:cs="方正仿宋_GB2312"/>
                <w:color w:val="auto"/>
                <w:sz w:val="21"/>
                <w:szCs w:val="21"/>
                <w:highlight w:val="none"/>
                <w:lang w:val="en-US" w:eastAsia="zh-CN"/>
              </w:rPr>
              <w:t>招标人委托</w:t>
            </w:r>
            <w:r>
              <w:rPr>
                <w:rFonts w:hint="eastAsia" w:ascii="方正仿宋_GB2312" w:hAnsi="方正仿宋_GB2312" w:eastAsia="方正仿宋_GB2312" w:cs="方正仿宋_GB2312"/>
                <w:color w:val="auto"/>
                <w:sz w:val="21"/>
                <w:szCs w:val="21"/>
                <w:highlight w:val="none"/>
                <w:lang w:eastAsia="zh-CN"/>
              </w:rPr>
              <w:t>中标人支付，</w:t>
            </w:r>
            <w:r>
              <w:rPr>
                <w:rFonts w:hint="eastAsia" w:ascii="方正仿宋_GB2312" w:hAnsi="方正仿宋_GB2312" w:eastAsia="方正仿宋_GB2312" w:cs="方正仿宋_GB2312"/>
                <w:color w:val="auto"/>
                <w:sz w:val="21"/>
                <w:szCs w:val="21"/>
                <w:highlight w:val="none"/>
                <w:lang w:val="en-US" w:eastAsia="zh-CN"/>
              </w:rPr>
              <w:t>视同包含在</w:t>
            </w:r>
            <w:r>
              <w:rPr>
                <w:rFonts w:hint="eastAsia" w:ascii="方正仿宋_GB2312" w:hAnsi="方正仿宋_GB2312" w:eastAsia="方正仿宋_GB2312" w:cs="方正仿宋_GB2312"/>
                <w:color w:val="auto"/>
                <w:sz w:val="21"/>
                <w:szCs w:val="21"/>
                <w:highlight w:val="none"/>
                <w:lang w:eastAsia="zh-CN"/>
              </w:rPr>
              <w:t>投标报价中，招标人不另行支付。中标人应在领取中标通知书前按招标代理的要求及时向广州公共资源交易中心缴交交易服务费，未按要求缴交或支付的，招标人有权取消其中标资格。</w:t>
            </w:r>
          </w:p>
        </w:tc>
      </w:tr>
      <w:tr>
        <w:tblPrEx>
          <w:tblCellMar>
            <w:top w:w="0" w:type="dxa"/>
            <w:left w:w="0" w:type="dxa"/>
            <w:bottom w:w="0" w:type="dxa"/>
            <w:right w:w="0" w:type="dxa"/>
          </w:tblCellMar>
        </w:tblPrEx>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10.5</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jc w:val="center"/>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lang w:eastAsia="zh-CN"/>
              </w:rPr>
              <w:t>否决投标</w:t>
            </w:r>
          </w:p>
        </w:tc>
        <w:tc>
          <w:tcPr>
            <w:tcW w:w="35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10.5.1投标人有下列情况之一的，评标委员会应当否决其投标：</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（1）投标人与招标人、评标委员会成员或者其他投标人串通投标；</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（2）投标人之间存在《广东省实施&lt;中华人民共和国招标投标法&gt;》第十六条所禁止的情形的；</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10.5.2有下列情况之一的，评标委员会应当否决其投标：</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（1）《投标书》未加盖投标人公章，也未经法定代表人或者其授权代表签字（或盖章）；</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（2）《投标书》包含有招标人不能接受的偏差，并且投标人拒绝书面撤回偏差；</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（3）《投标</w:t>
            </w:r>
            <w:r>
              <w:rPr>
                <w:rFonts w:hint="eastAsia" w:ascii="方正仿宋_GB2312" w:hAnsi="方正仿宋_GB2312" w:eastAsia="方正仿宋_GB2312" w:cs="方正仿宋_GB2312"/>
                <w:color w:val="auto"/>
                <w:sz w:val="21"/>
                <w:szCs w:val="21"/>
                <w:highlight w:val="none"/>
                <w:lang w:val="en-US" w:eastAsia="zh-CN"/>
              </w:rPr>
              <w:t>申请</w:t>
            </w:r>
            <w:r>
              <w:rPr>
                <w:rFonts w:hint="eastAsia" w:ascii="方正仿宋_GB2312" w:hAnsi="方正仿宋_GB2312" w:eastAsia="方正仿宋_GB2312" w:cs="方正仿宋_GB2312"/>
                <w:color w:val="auto"/>
                <w:sz w:val="21"/>
                <w:szCs w:val="21"/>
                <w:highlight w:val="none"/>
                <w:lang w:eastAsia="zh-CN"/>
              </w:rPr>
              <w:t>人声明》未按规定格式填写或未加盖投标人公章；</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（4）未满足招标公告“投标人资格要求”的；</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（5）未满足第三章评标办法（综合评估法）评标办法前附表中的“形式评审标准”或“资格评审标准”或“资信业绩响应性评审标准”或“设计方案（暗标）响应性评审标准”的。</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10.5.3投标文件有下列情况之一的，评标委员会应当否决其投标：</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（1）投标人与其他投标人加密打包投标文件电脑机器特征码一致的；</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（2）投标人在设计方案内标注名称、印章、商标、图形等记认符号，使人辨认出投标人或其专业技术人员的身份；</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（3）投标人之间存在《广东省实施&lt;中华人民共和国招标投标法&gt;》第十六条所禁止的情形的；</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（4）投标报价高于最高投标限价的；</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10.5.4投标人有下列情况之一的，视为串通投标：</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（1）递交投标文件前，投标人私下向招标人或其雇员出示或告知投标文件内容；</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（2）评标表决结束前，投标人私下向评标委员会成员出示或告知投标文件内容；</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（3）评标结果揭晓前，投标人与招标人就投标价格、投标方案等实质性内容进行谈判。</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10.5.5发生下列情形之一的，招标人应当重新组织招标：</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（1）递交投标文件或通过资格审查的投标人不足三人；</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（2）所有投标被否决，或者经评议有效投标的投标人少于三人；</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（3）经项目审批部门会同行业主管部门裁定招标投标结果无效；</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10.5.6否决投标的决定由评标委员会作出，其他投标人无权干涉。</w:t>
            </w:r>
          </w:p>
          <w:p>
            <w:pPr>
              <w:keepNext w:val="0"/>
              <w:keepLines w:val="0"/>
              <w:pageBreakBefore w:val="0"/>
              <w:wordWrap/>
              <w:bidi w:val="0"/>
              <w:adjustRightInd w:val="0"/>
              <w:snapToGrid/>
              <w:spacing w:beforeLines="50" w:line="240" w:lineRule="auto"/>
              <w:ind w:left="110" w:leftChars="50" w:right="110" w:rightChars="5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10.5.7投标文件如果隐瞒不符合评审标准的事实，一切法律责任由投标人承担。</w:t>
            </w:r>
          </w:p>
        </w:tc>
      </w:tr>
    </w:tbl>
    <w:p>
      <w:pPr>
        <w:spacing w:before="12"/>
        <w:rPr>
          <w:rFonts w:ascii="宋体" w:hAnsi="宋体" w:eastAsia="宋体" w:cs="Microsoft JhengHei"/>
          <w:b/>
          <w:bCs/>
          <w:color w:val="auto"/>
          <w:sz w:val="12"/>
          <w:szCs w:val="12"/>
          <w:highlight w:val="none"/>
          <w:lang w:eastAsia="zh-CN"/>
        </w:rPr>
      </w:pPr>
    </w:p>
    <w:p>
      <w:pPr>
        <w:spacing w:line="360" w:lineRule="auto"/>
        <w:rPr>
          <w:rFonts w:ascii="宋体" w:hAnsi="宋体" w:eastAsia="宋体"/>
          <w:color w:val="auto"/>
          <w:highlight w:val="none"/>
          <w:lang w:eastAsia="zh-CN"/>
        </w:rPr>
      </w:pPr>
    </w:p>
    <w:p>
      <w:pPr>
        <w:spacing w:line="360" w:lineRule="auto"/>
        <w:jc w:val="both"/>
        <w:rPr>
          <w:rFonts w:ascii="宋体" w:hAnsi="宋体" w:eastAsia="宋体"/>
          <w:color w:val="auto"/>
          <w:sz w:val="21"/>
          <w:szCs w:val="21"/>
          <w:highlight w:val="none"/>
          <w:lang w:eastAsia="zh-CN"/>
        </w:rPr>
      </w:pPr>
      <w:r>
        <w:rPr>
          <w:rFonts w:ascii="宋体" w:hAnsi="宋体" w:eastAsia="宋体"/>
          <w:color w:val="auto"/>
          <w:highlight w:val="none"/>
          <w:lang w:eastAsia="zh-CN"/>
        </w:rPr>
        <w:br w:type="page"/>
      </w:r>
    </w:p>
    <w:p>
      <w:pPr>
        <w:pStyle w:val="3"/>
        <w:spacing w:line="443" w:lineRule="exact"/>
        <w:ind w:right="44"/>
        <w:jc w:val="both"/>
        <w:rPr>
          <w:rFonts w:ascii="宋体" w:hAnsi="宋体" w:eastAsia="宋体"/>
          <w:b w:val="0"/>
          <w:bCs w:val="0"/>
          <w:color w:val="auto"/>
          <w:sz w:val="21"/>
          <w:szCs w:val="21"/>
          <w:highlight w:val="none"/>
          <w:lang w:eastAsia="zh-CN"/>
        </w:rPr>
      </w:pPr>
      <w:bookmarkStart w:id="11" w:name="_Toc109809422"/>
      <w:bookmarkStart w:id="12" w:name="_Toc25137982"/>
      <w:bookmarkStart w:id="13" w:name="_Toc109809383"/>
      <w:r>
        <w:rPr>
          <w:rFonts w:ascii="宋体" w:hAnsi="宋体" w:eastAsia="宋体"/>
          <w:color w:val="auto"/>
          <w:sz w:val="21"/>
          <w:szCs w:val="21"/>
          <w:highlight w:val="none"/>
          <w:lang w:eastAsia="zh-CN"/>
        </w:rPr>
        <w:t>1. 总则</w:t>
      </w:r>
      <w:bookmarkEnd w:id="11"/>
      <w:bookmarkEnd w:id="12"/>
      <w:bookmarkEnd w:id="13"/>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1.1招标项目概况</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1.1.1</w:t>
      </w:r>
      <w:r>
        <w:rPr>
          <w:color w:val="auto"/>
          <w:spacing w:val="-8"/>
          <w:highlight w:val="none"/>
          <w:lang w:eastAsia="zh-CN"/>
        </w:rPr>
        <w:t>根据《中华人民共和国招标投标法》、《中华人民共和国招标投标法实施条例》等有关</w:t>
      </w:r>
      <w:r>
        <w:rPr>
          <w:color w:val="auto"/>
          <w:highlight w:val="none"/>
          <w:lang w:eastAsia="zh-CN"/>
        </w:rPr>
        <w:t>法律、法规和规章的规定，本招标项目已具备招标条件，现对设计进行招标。</w:t>
      </w:r>
    </w:p>
    <w:p>
      <w:pPr>
        <w:pStyle w:val="8"/>
        <w:spacing w:line="360" w:lineRule="auto"/>
        <w:ind w:left="0" w:firstLine="420" w:firstLineChars="200"/>
        <w:jc w:val="both"/>
        <w:rPr>
          <w:color w:val="auto"/>
          <w:highlight w:val="none"/>
          <w:lang w:eastAsia="zh-CN"/>
        </w:rPr>
      </w:pPr>
      <w:r>
        <w:rPr>
          <w:color w:val="auto"/>
          <w:highlight w:val="none"/>
          <w:lang w:eastAsia="zh-CN"/>
        </w:rPr>
        <w:t>1.1.2招标人：见投标人须知前附表。</w:t>
      </w:r>
    </w:p>
    <w:p>
      <w:pPr>
        <w:pStyle w:val="8"/>
        <w:spacing w:line="360" w:lineRule="auto"/>
        <w:ind w:left="0" w:firstLine="420" w:firstLineChars="200"/>
        <w:jc w:val="both"/>
        <w:rPr>
          <w:color w:val="auto"/>
          <w:highlight w:val="none"/>
          <w:lang w:eastAsia="zh-CN"/>
        </w:rPr>
      </w:pPr>
      <w:r>
        <w:rPr>
          <w:color w:val="auto"/>
          <w:highlight w:val="none"/>
          <w:lang w:eastAsia="zh-CN"/>
        </w:rPr>
        <w:t>1.1.3招标代理机构：见投标人须知前附表。</w:t>
      </w:r>
    </w:p>
    <w:p>
      <w:pPr>
        <w:pStyle w:val="8"/>
        <w:spacing w:line="360" w:lineRule="auto"/>
        <w:ind w:left="0" w:firstLine="420" w:firstLineChars="200"/>
        <w:jc w:val="both"/>
        <w:rPr>
          <w:color w:val="auto"/>
          <w:highlight w:val="none"/>
          <w:lang w:eastAsia="zh-CN"/>
        </w:rPr>
      </w:pPr>
      <w:r>
        <w:rPr>
          <w:color w:val="auto"/>
          <w:highlight w:val="none"/>
          <w:lang w:eastAsia="zh-CN"/>
        </w:rPr>
        <w:t>1.1.4招标项目名称：见投标人须知前附表。</w:t>
      </w:r>
    </w:p>
    <w:p>
      <w:pPr>
        <w:pStyle w:val="8"/>
        <w:spacing w:line="360" w:lineRule="auto"/>
        <w:ind w:left="0" w:firstLine="420" w:firstLineChars="200"/>
        <w:jc w:val="both"/>
        <w:rPr>
          <w:color w:val="auto"/>
          <w:highlight w:val="none"/>
          <w:lang w:eastAsia="zh-CN"/>
        </w:rPr>
      </w:pPr>
      <w:r>
        <w:rPr>
          <w:color w:val="auto"/>
          <w:highlight w:val="none"/>
          <w:lang w:eastAsia="zh-CN"/>
        </w:rPr>
        <w:t>1.1.5项目建设地点：见投标人须知前附表。</w:t>
      </w:r>
    </w:p>
    <w:p>
      <w:pPr>
        <w:pStyle w:val="8"/>
        <w:spacing w:line="360" w:lineRule="auto"/>
        <w:ind w:left="0" w:firstLine="420" w:firstLineChars="200"/>
        <w:jc w:val="both"/>
        <w:rPr>
          <w:color w:val="auto"/>
          <w:highlight w:val="none"/>
          <w:lang w:eastAsia="zh-CN"/>
        </w:rPr>
      </w:pPr>
      <w:r>
        <w:rPr>
          <w:color w:val="auto"/>
          <w:highlight w:val="none"/>
          <w:lang w:eastAsia="zh-CN"/>
        </w:rPr>
        <w:t>1.1.6项目建设规模：见投标人须知前附表。</w:t>
      </w:r>
    </w:p>
    <w:p>
      <w:pPr>
        <w:pStyle w:val="8"/>
        <w:spacing w:line="360" w:lineRule="auto"/>
        <w:ind w:left="0" w:firstLine="420" w:firstLineChars="200"/>
        <w:jc w:val="both"/>
        <w:rPr>
          <w:color w:val="auto"/>
          <w:highlight w:val="none"/>
          <w:lang w:eastAsia="zh-CN"/>
        </w:rPr>
      </w:pPr>
      <w:r>
        <w:rPr>
          <w:color w:val="auto"/>
          <w:highlight w:val="none"/>
          <w:lang w:eastAsia="zh-CN"/>
        </w:rPr>
        <w:t>1.1.7项目投资估算：见投标人须知前附表。</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1.2招标项目的资金来源和落实情况</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1.2.1资金来源及比例：见投标人须知前附表。</w:t>
      </w:r>
    </w:p>
    <w:p>
      <w:pPr>
        <w:pStyle w:val="8"/>
        <w:spacing w:line="360" w:lineRule="auto"/>
        <w:ind w:left="0" w:firstLine="420" w:firstLineChars="200"/>
        <w:jc w:val="both"/>
        <w:rPr>
          <w:color w:val="auto"/>
          <w:highlight w:val="none"/>
          <w:lang w:eastAsia="zh-CN"/>
        </w:rPr>
      </w:pPr>
      <w:r>
        <w:rPr>
          <w:color w:val="auto"/>
          <w:highlight w:val="none"/>
          <w:lang w:eastAsia="zh-CN"/>
        </w:rPr>
        <w:t>1.2.2资金落实情况：见投标人须知前附表。</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1.3招标范围、设计服务期限和质量标准</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1.3.1招标范围：见投标人须知前附表。</w:t>
      </w:r>
    </w:p>
    <w:p>
      <w:pPr>
        <w:pStyle w:val="8"/>
        <w:spacing w:line="360" w:lineRule="auto"/>
        <w:ind w:left="0" w:firstLine="420" w:firstLineChars="200"/>
        <w:jc w:val="both"/>
        <w:rPr>
          <w:color w:val="auto"/>
          <w:highlight w:val="none"/>
          <w:lang w:eastAsia="zh-CN"/>
        </w:rPr>
      </w:pPr>
      <w:r>
        <w:rPr>
          <w:color w:val="auto"/>
          <w:highlight w:val="none"/>
          <w:lang w:eastAsia="zh-CN"/>
        </w:rPr>
        <w:t>1.3.2设计服务期限：见投标人须知前附表。</w:t>
      </w:r>
    </w:p>
    <w:p>
      <w:pPr>
        <w:pStyle w:val="8"/>
        <w:spacing w:line="360" w:lineRule="auto"/>
        <w:ind w:left="0" w:firstLine="420" w:firstLineChars="200"/>
        <w:jc w:val="both"/>
        <w:rPr>
          <w:color w:val="auto"/>
          <w:highlight w:val="none"/>
          <w:lang w:eastAsia="zh-CN"/>
        </w:rPr>
      </w:pPr>
      <w:r>
        <w:rPr>
          <w:color w:val="auto"/>
          <w:highlight w:val="none"/>
          <w:lang w:eastAsia="zh-CN"/>
        </w:rPr>
        <w:t>1.3.3质量标准：见投标人须知前附表。</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1.4投标人资格要求</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1.4.1投标人应具备承担本招标项目资质条件、能力和信誉：</w:t>
      </w:r>
    </w:p>
    <w:p>
      <w:pPr>
        <w:pStyle w:val="8"/>
        <w:spacing w:line="360" w:lineRule="auto"/>
        <w:ind w:left="0" w:firstLine="420" w:firstLineChars="200"/>
        <w:jc w:val="both"/>
        <w:rPr>
          <w:color w:val="auto"/>
          <w:highlight w:val="none"/>
          <w:lang w:eastAsia="zh-CN"/>
        </w:rPr>
      </w:pPr>
      <w:r>
        <w:rPr>
          <w:color w:val="auto"/>
          <w:highlight w:val="none"/>
          <w:lang w:eastAsia="zh-CN"/>
        </w:rPr>
        <w:t>（1）资质要求：见投标人须知前附表；</w:t>
      </w:r>
    </w:p>
    <w:p>
      <w:pPr>
        <w:pStyle w:val="8"/>
        <w:spacing w:line="360" w:lineRule="auto"/>
        <w:ind w:left="0" w:firstLine="420" w:firstLineChars="200"/>
        <w:jc w:val="both"/>
        <w:rPr>
          <w:strike/>
          <w:color w:val="auto"/>
          <w:highlight w:val="none"/>
          <w:lang w:eastAsia="zh-CN"/>
        </w:rPr>
      </w:pPr>
      <w:r>
        <w:rPr>
          <w:strike/>
          <w:color w:val="auto"/>
          <w:highlight w:val="none"/>
          <w:lang w:eastAsia="zh-CN"/>
        </w:rPr>
        <w:t>（2）财务要求：见投标人须知前附表；</w:t>
      </w:r>
    </w:p>
    <w:p>
      <w:pPr>
        <w:pStyle w:val="8"/>
        <w:spacing w:line="360" w:lineRule="auto"/>
        <w:ind w:left="0" w:firstLine="420" w:firstLineChars="200"/>
        <w:jc w:val="both"/>
        <w:rPr>
          <w:strike/>
          <w:color w:val="auto"/>
          <w:highlight w:val="none"/>
          <w:lang w:eastAsia="zh-CN"/>
        </w:rPr>
      </w:pPr>
      <w:r>
        <w:rPr>
          <w:strike/>
          <w:color w:val="auto"/>
          <w:highlight w:val="none"/>
          <w:lang w:eastAsia="zh-CN"/>
        </w:rPr>
        <w:t>（3）业绩要求：见投标人须知前附表；</w:t>
      </w:r>
    </w:p>
    <w:p>
      <w:pPr>
        <w:pStyle w:val="8"/>
        <w:spacing w:line="360" w:lineRule="auto"/>
        <w:ind w:left="0" w:firstLine="420" w:firstLineChars="200"/>
        <w:jc w:val="both"/>
        <w:rPr>
          <w:strike/>
          <w:color w:val="auto"/>
          <w:highlight w:val="none"/>
          <w:lang w:eastAsia="zh-CN"/>
        </w:rPr>
      </w:pPr>
      <w:r>
        <w:rPr>
          <w:strike/>
          <w:color w:val="auto"/>
          <w:highlight w:val="none"/>
          <w:lang w:eastAsia="zh-CN"/>
        </w:rPr>
        <w:t>（4）信誉要求：见投标人须知前附表；</w:t>
      </w:r>
    </w:p>
    <w:p>
      <w:pPr>
        <w:pStyle w:val="8"/>
        <w:spacing w:line="360" w:lineRule="auto"/>
        <w:ind w:left="0" w:firstLine="420" w:firstLineChars="200"/>
        <w:jc w:val="both"/>
        <w:rPr>
          <w:color w:val="auto"/>
          <w:highlight w:val="none"/>
          <w:lang w:eastAsia="zh-CN"/>
        </w:rPr>
      </w:pPr>
      <w:r>
        <w:rPr>
          <w:color w:val="auto"/>
          <w:highlight w:val="none"/>
          <w:lang w:eastAsia="zh-CN"/>
        </w:rPr>
        <w:t>（5）项目负责人的资格要求：见投标人须知前附表；</w:t>
      </w:r>
    </w:p>
    <w:p>
      <w:pPr>
        <w:pStyle w:val="8"/>
        <w:spacing w:line="360" w:lineRule="auto"/>
        <w:ind w:left="0" w:firstLine="420" w:firstLineChars="200"/>
        <w:jc w:val="both"/>
        <w:rPr>
          <w:strike/>
          <w:color w:val="auto"/>
          <w:highlight w:val="none"/>
          <w:lang w:eastAsia="zh-CN"/>
        </w:rPr>
      </w:pPr>
      <w:r>
        <w:rPr>
          <w:strike/>
          <w:color w:val="auto"/>
          <w:highlight w:val="none"/>
          <w:lang w:eastAsia="zh-CN"/>
        </w:rPr>
        <w:t>（6）其他主要人员要求：见投标人须知前附表。</w:t>
      </w:r>
    </w:p>
    <w:p>
      <w:pPr>
        <w:pStyle w:val="8"/>
        <w:spacing w:line="360" w:lineRule="auto"/>
        <w:ind w:left="0" w:firstLine="420" w:firstLineChars="200"/>
        <w:jc w:val="both"/>
        <w:rPr>
          <w:color w:val="auto"/>
          <w:highlight w:val="none"/>
          <w:lang w:eastAsia="zh-CN"/>
        </w:rPr>
      </w:pPr>
      <w:r>
        <w:rPr>
          <w:rFonts w:hint="eastAsia"/>
          <w:color w:val="auto"/>
          <w:highlight w:val="none"/>
          <w:lang w:eastAsia="zh-CN"/>
        </w:rPr>
        <w:t>（7）</w:t>
      </w:r>
      <w:r>
        <w:rPr>
          <w:color w:val="auto"/>
          <w:highlight w:val="none"/>
          <w:lang w:eastAsia="zh-CN"/>
        </w:rPr>
        <w:t>其他要求：见投标人须知前附表。</w:t>
      </w:r>
    </w:p>
    <w:p>
      <w:pPr>
        <w:pStyle w:val="8"/>
        <w:spacing w:line="360" w:lineRule="auto"/>
        <w:ind w:left="0" w:firstLine="420" w:firstLineChars="200"/>
        <w:jc w:val="both"/>
        <w:rPr>
          <w:color w:val="auto"/>
          <w:highlight w:val="none"/>
          <w:lang w:eastAsia="zh-CN"/>
        </w:rPr>
      </w:pPr>
      <w:r>
        <w:rPr>
          <w:color w:val="auto"/>
          <w:highlight w:val="none"/>
          <w:lang w:eastAsia="zh-CN"/>
        </w:rPr>
        <w:t>需要提交的相关证明材料见本章第3.5款的规定。</w:t>
      </w:r>
    </w:p>
    <w:p>
      <w:pPr>
        <w:pStyle w:val="8"/>
        <w:spacing w:line="360" w:lineRule="auto"/>
        <w:ind w:left="0" w:firstLine="420" w:firstLineChars="200"/>
        <w:jc w:val="both"/>
        <w:rPr>
          <w:color w:val="auto"/>
          <w:highlight w:val="none"/>
          <w:lang w:eastAsia="zh-CN"/>
        </w:rPr>
      </w:pPr>
      <w:r>
        <w:rPr>
          <w:color w:val="auto"/>
          <w:highlight w:val="none"/>
          <w:lang w:eastAsia="zh-CN"/>
        </w:rPr>
        <w:t>1.4.2 投标人须知前附表规定接受联合体投标的，联合体除应符合本章第1.4.1项和投标人须知前附表的要求外，还应遵守以下规定：</w:t>
      </w:r>
    </w:p>
    <w:p>
      <w:pPr>
        <w:pStyle w:val="8"/>
        <w:spacing w:line="360" w:lineRule="auto"/>
        <w:ind w:left="0" w:firstLine="420" w:firstLineChars="200"/>
        <w:jc w:val="both"/>
        <w:rPr>
          <w:rFonts w:hint="eastAsia"/>
          <w:color w:val="auto"/>
          <w:highlight w:val="none"/>
          <w:lang w:eastAsia="zh-CN"/>
        </w:rPr>
      </w:pPr>
      <w:r>
        <w:rPr>
          <w:rFonts w:hint="eastAsia"/>
          <w:color w:val="auto"/>
          <w:highlight w:val="none"/>
          <w:lang w:eastAsia="zh-CN"/>
        </w:rPr>
        <w:t>（1）为招标人不具有独立法人资格的附属机构（单位）；</w:t>
      </w:r>
    </w:p>
    <w:p>
      <w:pPr>
        <w:pStyle w:val="8"/>
        <w:spacing w:line="360" w:lineRule="auto"/>
        <w:ind w:left="0" w:firstLine="420" w:firstLineChars="200"/>
        <w:jc w:val="both"/>
        <w:rPr>
          <w:rFonts w:hint="eastAsia"/>
          <w:color w:val="auto"/>
          <w:highlight w:val="none"/>
          <w:lang w:eastAsia="zh-CN"/>
        </w:rPr>
      </w:pPr>
      <w:r>
        <w:rPr>
          <w:rFonts w:hint="eastAsia"/>
          <w:color w:val="auto"/>
          <w:highlight w:val="none"/>
          <w:lang w:eastAsia="zh-CN"/>
        </w:rPr>
        <w:t>（2）与招标人存在利害关系且可能影响招标公正性；</w:t>
      </w:r>
    </w:p>
    <w:p>
      <w:pPr>
        <w:pStyle w:val="8"/>
        <w:spacing w:line="360" w:lineRule="auto"/>
        <w:ind w:left="0" w:firstLine="420" w:firstLineChars="200"/>
        <w:jc w:val="both"/>
        <w:rPr>
          <w:rFonts w:hint="eastAsia"/>
          <w:color w:val="auto"/>
          <w:highlight w:val="none"/>
          <w:lang w:eastAsia="zh-CN"/>
        </w:rPr>
      </w:pPr>
      <w:r>
        <w:rPr>
          <w:rFonts w:hint="eastAsia"/>
          <w:color w:val="auto"/>
          <w:highlight w:val="none"/>
          <w:lang w:eastAsia="zh-CN"/>
        </w:rPr>
        <w:t>（3）与本招标项目的其他投标人为同一个单位负责人；</w:t>
      </w:r>
    </w:p>
    <w:p>
      <w:pPr>
        <w:pStyle w:val="8"/>
        <w:spacing w:line="360" w:lineRule="auto"/>
        <w:ind w:left="0" w:firstLine="420" w:firstLineChars="200"/>
        <w:jc w:val="both"/>
        <w:rPr>
          <w:rFonts w:hint="eastAsia"/>
          <w:color w:val="auto"/>
          <w:highlight w:val="none"/>
          <w:lang w:eastAsia="zh-CN"/>
        </w:rPr>
      </w:pPr>
      <w:r>
        <w:rPr>
          <w:rFonts w:hint="eastAsia"/>
          <w:color w:val="auto"/>
          <w:highlight w:val="none"/>
          <w:lang w:eastAsia="zh-CN"/>
        </w:rPr>
        <w:t>（4）与本招标项目的其他投标人存在控股、管理关系；</w:t>
      </w:r>
    </w:p>
    <w:p>
      <w:pPr>
        <w:pStyle w:val="8"/>
        <w:spacing w:line="360" w:lineRule="auto"/>
        <w:ind w:left="0" w:firstLine="420" w:firstLineChars="200"/>
        <w:jc w:val="both"/>
        <w:rPr>
          <w:rFonts w:hint="eastAsia"/>
          <w:color w:val="auto"/>
          <w:highlight w:val="none"/>
          <w:lang w:eastAsia="zh-CN"/>
        </w:rPr>
      </w:pPr>
      <w:r>
        <w:rPr>
          <w:rFonts w:hint="eastAsia"/>
          <w:color w:val="auto"/>
          <w:highlight w:val="none"/>
          <w:lang w:eastAsia="zh-CN"/>
        </w:rPr>
        <w:t>（5）为本招标项目的代建人；</w:t>
      </w:r>
    </w:p>
    <w:p>
      <w:pPr>
        <w:pStyle w:val="8"/>
        <w:spacing w:line="360" w:lineRule="auto"/>
        <w:ind w:left="0" w:firstLine="420" w:firstLineChars="200"/>
        <w:jc w:val="both"/>
        <w:rPr>
          <w:rFonts w:hint="eastAsia"/>
          <w:color w:val="auto"/>
          <w:highlight w:val="none"/>
          <w:lang w:eastAsia="zh-CN"/>
        </w:rPr>
      </w:pPr>
      <w:r>
        <w:rPr>
          <w:rFonts w:hint="eastAsia"/>
          <w:color w:val="auto"/>
          <w:highlight w:val="none"/>
          <w:lang w:eastAsia="zh-CN"/>
        </w:rPr>
        <w:t>（6）为本招标项目的招标代理机构；</w:t>
      </w:r>
    </w:p>
    <w:p>
      <w:pPr>
        <w:pStyle w:val="8"/>
        <w:spacing w:line="360" w:lineRule="auto"/>
        <w:ind w:left="0" w:firstLine="420" w:firstLineChars="200"/>
        <w:jc w:val="both"/>
        <w:rPr>
          <w:rFonts w:hint="eastAsia"/>
          <w:color w:val="auto"/>
          <w:highlight w:val="none"/>
          <w:lang w:eastAsia="zh-CN"/>
        </w:rPr>
      </w:pPr>
      <w:r>
        <w:rPr>
          <w:rFonts w:hint="eastAsia"/>
          <w:color w:val="auto"/>
          <w:highlight w:val="none"/>
          <w:lang w:eastAsia="zh-CN"/>
        </w:rPr>
        <w:t>（7）与本招标项目的代建人或招标代理机构同为一个法定代表人；</w:t>
      </w:r>
    </w:p>
    <w:p>
      <w:pPr>
        <w:pStyle w:val="8"/>
        <w:spacing w:line="360" w:lineRule="auto"/>
        <w:ind w:left="0" w:firstLine="420" w:firstLineChars="200"/>
        <w:jc w:val="both"/>
        <w:rPr>
          <w:rFonts w:hint="eastAsia"/>
          <w:color w:val="auto"/>
          <w:highlight w:val="none"/>
          <w:lang w:eastAsia="zh-CN"/>
        </w:rPr>
      </w:pPr>
      <w:r>
        <w:rPr>
          <w:rFonts w:hint="eastAsia"/>
          <w:color w:val="auto"/>
          <w:highlight w:val="none"/>
          <w:lang w:eastAsia="zh-CN"/>
        </w:rPr>
        <w:t>（8）与本招标项目的代建人或招标代理机构存在控股或参股关系；</w:t>
      </w:r>
    </w:p>
    <w:p>
      <w:pPr>
        <w:pStyle w:val="8"/>
        <w:spacing w:line="360" w:lineRule="auto"/>
        <w:ind w:left="0" w:firstLine="420" w:firstLineChars="200"/>
        <w:jc w:val="both"/>
        <w:rPr>
          <w:rFonts w:hint="eastAsia"/>
          <w:color w:val="auto"/>
          <w:highlight w:val="none"/>
          <w:lang w:eastAsia="zh-CN"/>
        </w:rPr>
      </w:pPr>
      <w:r>
        <w:rPr>
          <w:rFonts w:hint="eastAsia"/>
          <w:color w:val="auto"/>
          <w:highlight w:val="none"/>
          <w:lang w:eastAsia="zh-CN"/>
        </w:rPr>
        <w:t>（9）被依法暂停或者取消投标资格；</w:t>
      </w:r>
    </w:p>
    <w:p>
      <w:pPr>
        <w:pStyle w:val="8"/>
        <w:spacing w:line="360" w:lineRule="auto"/>
        <w:ind w:left="0" w:firstLine="420" w:firstLineChars="200"/>
        <w:jc w:val="both"/>
        <w:rPr>
          <w:rFonts w:hint="eastAsia"/>
          <w:color w:val="auto"/>
          <w:highlight w:val="none"/>
          <w:lang w:eastAsia="zh-CN"/>
        </w:rPr>
      </w:pPr>
      <w:r>
        <w:rPr>
          <w:rFonts w:hint="eastAsia"/>
          <w:color w:val="auto"/>
          <w:highlight w:val="none"/>
          <w:lang w:eastAsia="zh-CN"/>
        </w:rPr>
        <w:t>（10）被责令停产停业、暂扣或者吊销许可证、暂扣或者吊销执照；</w:t>
      </w:r>
    </w:p>
    <w:p>
      <w:pPr>
        <w:pStyle w:val="8"/>
        <w:spacing w:line="360" w:lineRule="auto"/>
        <w:ind w:left="0" w:firstLine="420" w:firstLineChars="200"/>
        <w:jc w:val="both"/>
        <w:rPr>
          <w:rFonts w:hint="eastAsia"/>
          <w:color w:val="auto"/>
          <w:highlight w:val="none"/>
          <w:lang w:eastAsia="zh-CN"/>
        </w:rPr>
      </w:pPr>
      <w:r>
        <w:rPr>
          <w:rFonts w:hint="eastAsia"/>
          <w:color w:val="auto"/>
          <w:highlight w:val="none"/>
          <w:lang w:eastAsia="zh-CN"/>
        </w:rPr>
        <w:t>（11）进入清算程序，或被宣告破产，或其他丧失履约能力的情形；</w:t>
      </w:r>
    </w:p>
    <w:p>
      <w:pPr>
        <w:pStyle w:val="8"/>
        <w:spacing w:line="360" w:lineRule="auto"/>
        <w:ind w:left="0" w:firstLine="420" w:firstLineChars="200"/>
        <w:jc w:val="both"/>
        <w:rPr>
          <w:rFonts w:hint="eastAsia"/>
          <w:color w:val="auto"/>
          <w:highlight w:val="none"/>
          <w:lang w:eastAsia="zh-CN"/>
        </w:rPr>
      </w:pPr>
      <w:r>
        <w:rPr>
          <w:rFonts w:hint="eastAsia"/>
          <w:color w:val="auto"/>
          <w:highlight w:val="none"/>
          <w:lang w:eastAsia="zh-CN"/>
        </w:rPr>
        <w:t>（12）在最近三年内发生重大设计质量问题（以相关行业主管部门的行政处罚决定或司法机关出具的有关法律文书为准）；</w:t>
      </w:r>
    </w:p>
    <w:p>
      <w:pPr>
        <w:pStyle w:val="8"/>
        <w:spacing w:line="360" w:lineRule="auto"/>
        <w:ind w:left="0" w:firstLine="420" w:firstLineChars="200"/>
        <w:jc w:val="both"/>
        <w:rPr>
          <w:rFonts w:hint="eastAsia"/>
          <w:color w:val="auto"/>
          <w:highlight w:val="none"/>
          <w:lang w:eastAsia="zh-CN"/>
        </w:rPr>
      </w:pPr>
      <w:r>
        <w:rPr>
          <w:rFonts w:hint="eastAsia"/>
          <w:color w:val="auto"/>
          <w:highlight w:val="none"/>
          <w:lang w:eastAsia="zh-CN"/>
        </w:rPr>
        <w:t>（13）被工商行政管理机关在全国企业信用信息公示系统中列入严重违法失信企业名单；</w:t>
      </w:r>
    </w:p>
    <w:p>
      <w:pPr>
        <w:pStyle w:val="8"/>
        <w:spacing w:line="360" w:lineRule="auto"/>
        <w:ind w:left="0" w:firstLine="420" w:firstLineChars="200"/>
        <w:jc w:val="both"/>
        <w:rPr>
          <w:rFonts w:hint="eastAsia"/>
          <w:color w:val="auto"/>
          <w:highlight w:val="none"/>
          <w:lang w:eastAsia="zh-CN"/>
        </w:rPr>
      </w:pPr>
      <w:r>
        <w:rPr>
          <w:rFonts w:hint="eastAsia"/>
          <w:color w:val="auto"/>
          <w:highlight w:val="none"/>
          <w:lang w:eastAsia="zh-CN"/>
        </w:rPr>
        <w:t>（14）被最高人民法院在“信用中国”网站（www.creditchina.gov.cn）或各级信用信息共享平台中列入失信被执行人名单；</w:t>
      </w:r>
    </w:p>
    <w:p>
      <w:pPr>
        <w:pStyle w:val="8"/>
        <w:spacing w:line="360" w:lineRule="auto"/>
        <w:ind w:left="0" w:firstLine="420" w:firstLineChars="200"/>
        <w:jc w:val="both"/>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（15）被“信用广州”网站纳入严重失信主体名单信息；</w:t>
      </w:r>
    </w:p>
    <w:p>
      <w:pPr>
        <w:pStyle w:val="8"/>
        <w:ind w:left="0" w:firstLine="420" w:firstLineChars="200"/>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lang w:eastAsia="zh-CN"/>
        </w:rPr>
        <w:t>（</w:t>
      </w:r>
      <w:r>
        <w:rPr>
          <w:rFonts w:hint="eastAsia" w:ascii="宋体" w:hAnsi="宋体" w:eastAsia="宋体" w:cs="Times New Roman"/>
          <w:color w:val="auto"/>
          <w:sz w:val="21"/>
          <w:szCs w:val="21"/>
          <w:highlight w:val="none"/>
          <w:lang w:eastAsia="zh-CN"/>
        </w:rPr>
        <w:t>16</w:t>
      </w:r>
      <w:r>
        <w:rPr>
          <w:rFonts w:hint="eastAsia" w:ascii="宋体" w:hAnsi="宋体" w:eastAsia="宋体" w:cs="Times New Roman"/>
          <w:color w:val="auto"/>
          <w:highlight w:val="none"/>
          <w:lang w:eastAsia="zh-CN"/>
        </w:rPr>
        <w:t>）法律法规或投标人须知规定的其他情形。</w:t>
      </w:r>
    </w:p>
    <w:p>
      <w:pPr>
        <w:pStyle w:val="18"/>
        <w:rPr>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1.5费用承担</w:t>
      </w:r>
    </w:p>
    <w:p>
      <w:pPr>
        <w:spacing w:line="360" w:lineRule="auto"/>
        <w:jc w:val="both"/>
        <w:rPr>
          <w:rFonts w:ascii="宋体" w:hAnsi="宋体" w:eastAsia="宋体"/>
          <w:color w:val="auto"/>
          <w:sz w:val="21"/>
          <w:szCs w:val="21"/>
          <w:highlight w:val="none"/>
          <w:lang w:eastAsia="zh-CN"/>
        </w:rPr>
      </w:pPr>
    </w:p>
    <w:p>
      <w:pPr>
        <w:pStyle w:val="8"/>
        <w:spacing w:line="360" w:lineRule="auto"/>
        <w:ind w:left="396" w:leftChars="180" w:firstLine="0" w:firstLineChars="0"/>
        <w:jc w:val="both"/>
        <w:rPr>
          <w:color w:val="auto"/>
          <w:highlight w:val="none"/>
          <w:lang w:eastAsia="zh-CN"/>
        </w:rPr>
      </w:pPr>
      <w:r>
        <w:rPr>
          <w:rFonts w:hint="eastAsia"/>
          <w:color w:val="auto"/>
          <w:highlight w:val="none"/>
          <w:lang w:val="en-US" w:eastAsia="zh-CN"/>
        </w:rPr>
        <w:t>1.5.1</w:t>
      </w:r>
      <w:r>
        <w:rPr>
          <w:color w:val="auto"/>
          <w:highlight w:val="none"/>
          <w:lang w:eastAsia="zh-CN"/>
        </w:rPr>
        <w:t>投标人准备和参加投标活动发生的费用自理。</w:t>
      </w:r>
    </w:p>
    <w:p>
      <w:pPr>
        <w:pStyle w:val="8"/>
        <w:spacing w:line="360" w:lineRule="auto"/>
        <w:ind w:left="396" w:leftChars="180" w:firstLine="0" w:firstLineChars="0"/>
        <w:jc w:val="both"/>
        <w:rPr>
          <w:rFonts w:hint="eastAsia"/>
          <w:color w:val="auto"/>
          <w:highlight w:val="none"/>
          <w:lang w:eastAsia="zh-CN"/>
        </w:rPr>
      </w:pPr>
      <w:r>
        <w:rPr>
          <w:rFonts w:hint="eastAsia"/>
          <w:color w:val="auto"/>
          <w:highlight w:val="none"/>
          <w:lang w:eastAsia="zh-CN"/>
        </w:rPr>
        <w:t xml:space="preserve">1.5.2 本项目不设设计方案成果补偿。 </w:t>
      </w:r>
    </w:p>
    <w:p>
      <w:pPr>
        <w:pStyle w:val="8"/>
        <w:spacing w:line="360" w:lineRule="auto"/>
        <w:ind w:left="0" w:firstLine="420" w:firstLineChars="200"/>
        <w:jc w:val="both"/>
        <w:rPr>
          <w:color w:val="auto"/>
          <w:highlight w:val="none"/>
          <w:lang w:eastAsia="zh-CN"/>
        </w:rPr>
      </w:pPr>
      <w:r>
        <w:rPr>
          <w:rFonts w:hint="eastAsia"/>
          <w:color w:val="auto"/>
          <w:highlight w:val="none"/>
          <w:lang w:eastAsia="zh-CN"/>
        </w:rPr>
        <w:t>1.5.3 中标人应根据有关规定，向广州公共资源交易中心交纳中标服务费。</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1.6保密</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参与招标投标活动的各方应对招标文件和投标文件中的商业和技术等秘密保密，否则应承担相应的法律责任。</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1.7语言文字</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招标投标文件使用的语言文字为中文。专用术语使用外文的，应附有中文注释。</w:t>
      </w:r>
    </w:p>
    <w:p>
      <w:pPr>
        <w:pStyle w:val="8"/>
        <w:spacing w:line="360" w:lineRule="auto"/>
        <w:ind w:left="0" w:firstLine="420" w:firstLineChars="200"/>
        <w:jc w:val="both"/>
        <w:rPr>
          <w:color w:val="auto"/>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1.8计量单位</w:t>
      </w:r>
    </w:p>
    <w:p>
      <w:pPr>
        <w:spacing w:line="360" w:lineRule="auto"/>
        <w:jc w:val="both"/>
        <w:rPr>
          <w:rFonts w:ascii="宋体" w:hAnsi="宋体" w:eastAsia="宋体"/>
          <w:color w:val="auto"/>
          <w:sz w:val="21"/>
          <w:szCs w:val="21"/>
          <w:highlight w:val="none"/>
          <w:lang w:eastAsia="zh-CN"/>
        </w:rPr>
      </w:pPr>
    </w:p>
    <w:p>
      <w:pPr>
        <w:spacing w:line="360" w:lineRule="auto"/>
        <w:ind w:left="418" w:leftChars="180" w:hanging="22" w:hangingChars="10"/>
        <w:rPr>
          <w:color w:val="auto"/>
          <w:sz w:val="21"/>
          <w:szCs w:val="21"/>
          <w:highlight w:val="none"/>
          <w:lang w:eastAsia="zh-CN"/>
        </w:rPr>
      </w:pPr>
      <w:r>
        <w:rPr>
          <w:rFonts w:hint="eastAsia" w:ascii="宋体" w:hAnsi="宋体" w:cs="宋体"/>
          <w:color w:val="000000"/>
          <w:kern w:val="1"/>
          <w:sz w:val="22"/>
          <w:szCs w:val="22"/>
          <w:highlight w:val="none"/>
          <w:u w:val="none"/>
          <w:lang w:eastAsia="zh-CN"/>
        </w:rPr>
        <w:t>1.8.1</w:t>
      </w:r>
      <w:r>
        <w:rPr>
          <w:rFonts w:hint="eastAsia" w:ascii="宋体" w:hAnsi="宋体" w:cs="宋体"/>
          <w:color w:val="000000"/>
          <w:kern w:val="1"/>
          <w:highlight w:val="none"/>
          <w:u w:val="none"/>
          <w:lang w:eastAsia="zh-CN"/>
        </w:rPr>
        <w:t>所有</w:t>
      </w:r>
      <w:r>
        <w:rPr>
          <w:color w:val="auto"/>
          <w:sz w:val="21"/>
          <w:szCs w:val="21"/>
          <w:highlight w:val="none"/>
          <w:lang w:eastAsia="zh-CN"/>
        </w:rPr>
        <w:t>计量均采用中华人民共和国法定计量单位。</w:t>
      </w:r>
    </w:p>
    <w:p>
      <w:pPr>
        <w:spacing w:line="360" w:lineRule="auto"/>
        <w:ind w:left="417" w:leftChars="180" w:hanging="21" w:hangingChars="10"/>
        <w:rPr>
          <w:rFonts w:ascii="Times New Roman" w:hAnsi="Times New Roman" w:cs="Times New Roman"/>
          <w:color w:val="auto"/>
          <w:kern w:val="0"/>
          <w:sz w:val="21"/>
          <w:szCs w:val="21"/>
          <w:highlight w:val="none"/>
          <w:u w:val="single"/>
          <w:lang w:eastAsia="zh-CN"/>
        </w:rPr>
      </w:pPr>
      <w:r>
        <w:rPr>
          <w:rFonts w:hint="default" w:ascii="Times New Roman" w:hAnsi="Times New Roman" w:cs="Times New Roman"/>
          <w:color w:val="auto"/>
          <w:kern w:val="0"/>
          <w:sz w:val="21"/>
          <w:szCs w:val="21"/>
          <w:highlight w:val="none"/>
          <w:u w:val="single"/>
          <w:lang w:eastAsia="zh-CN"/>
        </w:rPr>
        <w:t>1.8.2 本工程投标报价采用的币种为人民币。</w:t>
      </w:r>
    </w:p>
    <w:p>
      <w:pPr>
        <w:pStyle w:val="4"/>
        <w:ind w:right="44"/>
        <w:jc w:val="both"/>
        <w:rPr>
          <w:b/>
          <w:bCs/>
          <w:color w:val="auto"/>
          <w:sz w:val="21"/>
          <w:szCs w:val="21"/>
          <w:highlight w:val="none"/>
          <w:lang w:eastAsia="zh-CN"/>
        </w:rPr>
      </w:pPr>
      <w:r>
        <w:rPr>
          <w:b/>
          <w:bCs/>
          <w:color w:val="auto"/>
          <w:sz w:val="21"/>
          <w:szCs w:val="21"/>
          <w:highlight w:val="none"/>
          <w:lang w:eastAsia="zh-CN"/>
        </w:rPr>
        <w:t>1.9踏勘现场</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u w:val="none"/>
          <w:lang w:eastAsia="zh-CN"/>
        </w:rPr>
      </w:pPr>
      <w:r>
        <w:rPr>
          <w:rFonts w:hint="eastAsia"/>
          <w:color w:val="auto"/>
          <w:highlight w:val="none"/>
          <w:u w:val="none"/>
          <w:lang w:eastAsia="zh-CN"/>
        </w:rPr>
        <w:t>不组织</w:t>
      </w:r>
      <w:r>
        <w:rPr>
          <w:rFonts w:cs="宋体"/>
          <w:color w:val="auto"/>
          <w:highlight w:val="none"/>
          <w:u w:val="none"/>
          <w:lang w:eastAsia="zh-CN"/>
        </w:rPr>
        <w:t>踏勘现场。</w:t>
      </w:r>
      <w:r>
        <w:rPr>
          <w:rFonts w:hint="eastAsia" w:cs="宋体"/>
          <w:color w:val="auto"/>
          <w:highlight w:val="none"/>
          <w:u w:val="none"/>
          <w:lang w:eastAsia="zh-CN"/>
        </w:rPr>
        <w:t>补充说明如下：</w:t>
      </w:r>
    </w:p>
    <w:p>
      <w:pPr>
        <w:pStyle w:val="8"/>
        <w:spacing w:line="360" w:lineRule="auto"/>
        <w:ind w:left="0" w:firstLine="420" w:firstLineChars="200"/>
        <w:jc w:val="both"/>
        <w:rPr>
          <w:color w:val="auto"/>
          <w:highlight w:val="none"/>
          <w:u w:val="none"/>
          <w:lang w:eastAsia="zh-CN"/>
        </w:rPr>
      </w:pPr>
      <w:r>
        <w:rPr>
          <w:rFonts w:hint="eastAsia" w:cs="宋体"/>
          <w:color w:val="auto"/>
          <w:highlight w:val="none"/>
          <w:u w:val="none"/>
          <w:lang w:eastAsia="zh-CN"/>
        </w:rPr>
        <w:t>（</w:t>
      </w:r>
      <w:r>
        <w:rPr>
          <w:color w:val="auto"/>
          <w:highlight w:val="none"/>
          <w:u w:val="none"/>
          <w:lang w:eastAsia="zh-CN"/>
        </w:rPr>
        <w:t>1</w:t>
      </w:r>
      <w:r>
        <w:rPr>
          <w:rFonts w:hint="eastAsia" w:cs="宋体"/>
          <w:color w:val="auto"/>
          <w:highlight w:val="none"/>
          <w:u w:val="none"/>
          <w:lang w:eastAsia="zh-CN"/>
        </w:rPr>
        <w:t>）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pPr>
        <w:pStyle w:val="8"/>
        <w:spacing w:line="360" w:lineRule="auto"/>
        <w:ind w:left="0" w:firstLine="420" w:firstLineChars="200"/>
        <w:jc w:val="both"/>
        <w:rPr>
          <w:color w:val="auto"/>
          <w:highlight w:val="none"/>
          <w:u w:val="none"/>
          <w:lang w:eastAsia="zh-CN"/>
        </w:rPr>
      </w:pPr>
      <w:r>
        <w:rPr>
          <w:rFonts w:hint="eastAsia" w:cs="宋体"/>
          <w:color w:val="auto"/>
          <w:highlight w:val="none"/>
          <w:u w:val="none"/>
          <w:lang w:eastAsia="zh-CN"/>
        </w:rPr>
        <w:t>（</w:t>
      </w:r>
      <w:r>
        <w:rPr>
          <w:color w:val="auto"/>
          <w:highlight w:val="none"/>
          <w:u w:val="none"/>
          <w:lang w:eastAsia="zh-CN"/>
        </w:rPr>
        <w:t>2</w:t>
      </w:r>
      <w:r>
        <w:rPr>
          <w:rFonts w:hint="eastAsia" w:cs="宋体"/>
          <w:color w:val="auto"/>
          <w:highlight w:val="none"/>
          <w:u w:val="none"/>
          <w:lang w:eastAsia="zh-CN"/>
        </w:rPr>
        <w:t>）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pPr>
        <w:pStyle w:val="8"/>
        <w:spacing w:line="360" w:lineRule="auto"/>
        <w:ind w:left="0" w:firstLine="420" w:firstLineChars="200"/>
        <w:jc w:val="both"/>
        <w:rPr>
          <w:color w:val="auto"/>
          <w:highlight w:val="none"/>
          <w:u w:val="none"/>
          <w:lang w:eastAsia="zh-CN"/>
        </w:rPr>
      </w:pPr>
      <w:r>
        <w:rPr>
          <w:rFonts w:hint="eastAsia" w:cs="宋体"/>
          <w:color w:val="auto"/>
          <w:highlight w:val="none"/>
          <w:u w:val="none"/>
          <w:lang w:eastAsia="zh-CN"/>
        </w:rPr>
        <w:t>（</w:t>
      </w:r>
      <w:r>
        <w:rPr>
          <w:color w:val="auto"/>
          <w:highlight w:val="none"/>
          <w:u w:val="none"/>
          <w:lang w:eastAsia="zh-CN"/>
        </w:rPr>
        <w:t>3</w:t>
      </w:r>
      <w:r>
        <w:rPr>
          <w:rFonts w:hint="eastAsia" w:cs="宋体"/>
          <w:color w:val="auto"/>
          <w:highlight w:val="none"/>
          <w:u w:val="none"/>
          <w:lang w:eastAsia="zh-CN"/>
        </w:rPr>
        <w:t>）由招标人提供的资料和数据，只是为了使投标人能够利用招标人现有的资料。招标人对投标人由此而作出的推论、解释和结论概不负责。</w:t>
      </w:r>
    </w:p>
    <w:p>
      <w:pPr>
        <w:pStyle w:val="8"/>
        <w:spacing w:line="360" w:lineRule="auto"/>
        <w:ind w:left="0" w:firstLine="420" w:firstLineChars="200"/>
        <w:jc w:val="both"/>
        <w:rPr>
          <w:rFonts w:cs="宋体"/>
          <w:color w:val="auto"/>
          <w:highlight w:val="none"/>
          <w:u w:val="none"/>
          <w:lang w:eastAsia="zh-CN"/>
        </w:rPr>
      </w:pPr>
      <w:r>
        <w:rPr>
          <w:rFonts w:hint="eastAsia" w:cs="宋体"/>
          <w:color w:val="auto"/>
          <w:highlight w:val="none"/>
          <w:u w:val="none"/>
          <w:lang w:eastAsia="zh-CN"/>
        </w:rPr>
        <w:t>（</w:t>
      </w:r>
      <w:r>
        <w:rPr>
          <w:color w:val="auto"/>
          <w:highlight w:val="none"/>
          <w:u w:val="none"/>
          <w:lang w:eastAsia="zh-CN"/>
        </w:rPr>
        <w:t>4</w:t>
      </w:r>
      <w:r>
        <w:rPr>
          <w:rFonts w:hint="eastAsia" w:cs="宋体"/>
          <w:color w:val="auto"/>
          <w:highlight w:val="none"/>
          <w:u w:val="none"/>
          <w:lang w:eastAsia="zh-CN"/>
        </w:rPr>
        <w:t>）不论投标结果如何，投标人应承担其投标文件编制与递交所涉及的一切费用，发包人对上述费用不负任何责任。</w:t>
      </w:r>
    </w:p>
    <w:p>
      <w:pPr>
        <w:pStyle w:val="8"/>
        <w:spacing w:line="360" w:lineRule="auto"/>
        <w:ind w:left="0" w:firstLine="420" w:firstLineChars="200"/>
        <w:jc w:val="both"/>
        <w:rPr>
          <w:strike/>
          <w:color w:val="auto"/>
          <w:highlight w:val="none"/>
          <w:u w:val="none"/>
          <w:lang w:eastAsia="zh-CN"/>
        </w:rPr>
      </w:pPr>
      <w:r>
        <w:rPr>
          <w:strike/>
          <w:color w:val="auto"/>
          <w:highlight w:val="none"/>
          <w:u w:val="none"/>
          <w:lang w:eastAsia="zh-CN"/>
        </w:rPr>
        <w:t>1.9.1投标人须知前附表规定组织踏勘现场的，招标人按投标人须知前附表规定的时间、地点组织投标人踏勘项目现场。部分投标人未按时参加踏勘现场的，不影响踏勘现场的正常进行。</w:t>
      </w:r>
    </w:p>
    <w:p>
      <w:pPr>
        <w:pStyle w:val="8"/>
        <w:spacing w:line="360" w:lineRule="auto"/>
        <w:ind w:left="0" w:firstLine="420" w:firstLineChars="200"/>
        <w:jc w:val="both"/>
        <w:rPr>
          <w:strike/>
          <w:color w:val="auto"/>
          <w:highlight w:val="none"/>
          <w:u w:val="none"/>
          <w:lang w:eastAsia="zh-CN"/>
        </w:rPr>
      </w:pPr>
      <w:r>
        <w:rPr>
          <w:strike/>
          <w:color w:val="auto"/>
          <w:highlight w:val="none"/>
          <w:u w:val="none"/>
          <w:lang w:eastAsia="zh-CN"/>
        </w:rPr>
        <w:t>1.9.2投标人踏勘现场发生的费用自理。</w:t>
      </w:r>
    </w:p>
    <w:p>
      <w:pPr>
        <w:pStyle w:val="8"/>
        <w:spacing w:line="360" w:lineRule="auto"/>
        <w:ind w:left="0" w:firstLine="420" w:firstLineChars="200"/>
        <w:jc w:val="both"/>
        <w:rPr>
          <w:strike/>
          <w:color w:val="auto"/>
          <w:highlight w:val="none"/>
          <w:u w:val="none"/>
          <w:lang w:eastAsia="zh-CN"/>
        </w:rPr>
      </w:pPr>
      <w:r>
        <w:rPr>
          <w:strike/>
          <w:color w:val="auto"/>
          <w:highlight w:val="none"/>
          <w:u w:val="none"/>
          <w:lang w:eastAsia="zh-CN"/>
        </w:rPr>
        <w:t>1.9.3除招标人的原因外，投标人自行负责在踏勘现场中所发生的人员伤亡和财产损失。</w:t>
      </w:r>
    </w:p>
    <w:p>
      <w:pPr>
        <w:pStyle w:val="8"/>
        <w:spacing w:line="360" w:lineRule="auto"/>
        <w:ind w:left="0" w:firstLine="420" w:firstLineChars="200"/>
        <w:jc w:val="both"/>
        <w:rPr>
          <w:color w:val="auto"/>
          <w:highlight w:val="none"/>
          <w:u w:val="none"/>
          <w:lang w:eastAsia="zh-CN"/>
        </w:rPr>
      </w:pPr>
      <w:r>
        <w:rPr>
          <w:strike/>
          <w:color w:val="auto"/>
          <w:highlight w:val="none"/>
          <w:u w:val="none"/>
          <w:lang w:eastAsia="zh-CN"/>
        </w:rPr>
        <w:t>1.9.4招标人在踏勘现场中介绍的工程场地和相关的周边环境情况，供投标人在编制投标文件时参考，招标人不对投标人据此作出的判断和决策负责。</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1.10投标预备会</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strike/>
          <w:color w:val="auto"/>
          <w:highlight w:val="none"/>
          <w:lang w:eastAsia="zh-CN"/>
        </w:rPr>
      </w:pPr>
      <w:r>
        <w:rPr>
          <w:color w:val="auto"/>
          <w:highlight w:val="none"/>
          <w:lang w:eastAsia="zh-CN"/>
        </w:rPr>
        <w:t>不召开。</w:t>
      </w:r>
      <w:r>
        <w:rPr>
          <w:strike/>
          <w:color w:val="auto"/>
          <w:highlight w:val="none"/>
          <w:lang w:eastAsia="zh-CN"/>
        </w:rPr>
        <w:t>1.10.1投标人须知前附表规定召开投标预备会的，招标人按投标人须知前附表规定的时间和地点召开投标预备会，澄清投标人提出的问题。</w:t>
      </w:r>
    </w:p>
    <w:p>
      <w:pPr>
        <w:pStyle w:val="8"/>
        <w:spacing w:line="360" w:lineRule="auto"/>
        <w:ind w:left="0" w:firstLine="420" w:firstLineChars="200"/>
        <w:jc w:val="both"/>
        <w:rPr>
          <w:strike/>
          <w:color w:val="auto"/>
          <w:highlight w:val="none"/>
          <w:lang w:eastAsia="zh-CN"/>
        </w:rPr>
      </w:pPr>
      <w:r>
        <w:rPr>
          <w:strike/>
          <w:color w:val="auto"/>
          <w:highlight w:val="none"/>
          <w:lang w:eastAsia="zh-CN"/>
        </w:rPr>
        <w:t>1.10.2投标人应按投标人须知前附表规定的时间和形式将提出的问题送达招标人，以便招标人在会议期间澄清。</w:t>
      </w:r>
    </w:p>
    <w:p>
      <w:pPr>
        <w:pStyle w:val="8"/>
        <w:spacing w:line="360" w:lineRule="auto"/>
        <w:ind w:left="0" w:firstLine="420" w:firstLineChars="200"/>
        <w:jc w:val="both"/>
        <w:rPr>
          <w:color w:val="auto"/>
          <w:highlight w:val="none"/>
          <w:lang w:eastAsia="zh-CN"/>
        </w:rPr>
      </w:pPr>
      <w:r>
        <w:rPr>
          <w:strike/>
          <w:color w:val="auto"/>
          <w:highlight w:val="none"/>
          <w:lang w:eastAsia="zh-CN"/>
        </w:rPr>
        <w:t>1.10.3投标预备会后，招标人将对投标人所提问题的澄清，以投标人须知前附表规定的形式通知所有购买招标文件的投标人。该澄清内容为招标文件的组成部分。</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1.11分包</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1.11.1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pPr>
        <w:pStyle w:val="8"/>
        <w:spacing w:line="360" w:lineRule="auto"/>
        <w:ind w:left="0" w:firstLine="420" w:firstLineChars="200"/>
        <w:jc w:val="both"/>
        <w:rPr>
          <w:color w:val="auto"/>
          <w:highlight w:val="none"/>
          <w:lang w:eastAsia="zh-CN"/>
        </w:rPr>
      </w:pPr>
      <w:r>
        <w:rPr>
          <w:color w:val="auto"/>
          <w:highlight w:val="none"/>
          <w:lang w:eastAsia="zh-CN"/>
        </w:rPr>
        <w:t>1.11.2中标人不得向他人转让中标项目，接受分包的人不得再次分包。中标人应当就分包项目向招标人负责，接受分包的人就分包项目承担连带责任。</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1.12响应和偏差</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1.12.1投标文件应当对招标文件的实质性要求和条件作出满足性或更有利于招标人的响应，否则，投标人的投标将被否决。实质性要求和条件见投标人须知前附表。</w:t>
      </w:r>
    </w:p>
    <w:p>
      <w:pPr>
        <w:pStyle w:val="8"/>
        <w:spacing w:line="360" w:lineRule="auto"/>
        <w:ind w:left="0" w:firstLine="420" w:firstLineChars="200"/>
        <w:jc w:val="both"/>
        <w:rPr>
          <w:color w:val="auto"/>
          <w:highlight w:val="none"/>
          <w:lang w:eastAsia="zh-CN"/>
        </w:rPr>
      </w:pPr>
      <w:r>
        <w:rPr>
          <w:color w:val="auto"/>
          <w:highlight w:val="none"/>
          <w:lang w:eastAsia="zh-CN"/>
        </w:rPr>
        <w:t>1.12.2投标人应根据招标文件的要求提供投标勘察设计方案等内容以对招标文件作出响应。</w:t>
      </w:r>
    </w:p>
    <w:p>
      <w:pPr>
        <w:pStyle w:val="8"/>
        <w:spacing w:line="360" w:lineRule="auto"/>
        <w:ind w:left="0" w:firstLine="420" w:firstLineChars="200"/>
        <w:jc w:val="both"/>
        <w:rPr>
          <w:color w:val="auto"/>
          <w:highlight w:val="none"/>
          <w:lang w:eastAsia="zh-CN"/>
        </w:rPr>
      </w:pPr>
      <w:r>
        <w:rPr>
          <w:color w:val="auto"/>
          <w:highlight w:val="none"/>
          <w:lang w:eastAsia="zh-CN"/>
        </w:rPr>
        <w:t>1.12.3投标人须知前附表允许投标文件偏离招标文件某些要求的，偏差应当符合招标文件规定的偏差范围和幅度。</w:t>
      </w:r>
    </w:p>
    <w:p>
      <w:pPr>
        <w:spacing w:line="360" w:lineRule="auto"/>
        <w:jc w:val="both"/>
        <w:rPr>
          <w:rFonts w:ascii="宋体" w:hAnsi="宋体" w:eastAsia="宋体"/>
          <w:color w:val="auto"/>
          <w:sz w:val="21"/>
          <w:szCs w:val="21"/>
          <w:highlight w:val="none"/>
          <w:lang w:eastAsia="zh-CN"/>
        </w:rPr>
      </w:pPr>
      <w:bookmarkStart w:id="14" w:name="_Toc25137983"/>
    </w:p>
    <w:p>
      <w:pPr>
        <w:pStyle w:val="3"/>
        <w:spacing w:line="443" w:lineRule="exact"/>
        <w:ind w:right="44"/>
        <w:jc w:val="both"/>
        <w:rPr>
          <w:rFonts w:ascii="宋体" w:hAnsi="宋体" w:eastAsia="宋体"/>
          <w:color w:val="auto"/>
          <w:sz w:val="21"/>
          <w:szCs w:val="21"/>
          <w:highlight w:val="none"/>
          <w:lang w:eastAsia="zh-CN"/>
        </w:rPr>
      </w:pPr>
      <w:bookmarkStart w:id="15" w:name="_Toc109809384"/>
      <w:bookmarkStart w:id="16" w:name="_Toc109809423"/>
      <w:r>
        <w:rPr>
          <w:rFonts w:ascii="宋体" w:hAnsi="宋体" w:eastAsia="宋体"/>
          <w:color w:val="auto"/>
          <w:sz w:val="21"/>
          <w:szCs w:val="21"/>
          <w:highlight w:val="none"/>
          <w:lang w:eastAsia="zh-CN"/>
        </w:rPr>
        <w:t>2. 招标文件</w:t>
      </w:r>
      <w:bookmarkEnd w:id="14"/>
      <w:bookmarkEnd w:id="15"/>
      <w:bookmarkEnd w:id="16"/>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2.1招标文件的组成</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本招标文件包括：</w:t>
      </w:r>
    </w:p>
    <w:p>
      <w:pPr>
        <w:pStyle w:val="8"/>
        <w:spacing w:line="360" w:lineRule="auto"/>
        <w:ind w:left="0" w:firstLine="420" w:firstLineChars="200"/>
        <w:jc w:val="both"/>
        <w:rPr>
          <w:color w:val="auto"/>
          <w:highlight w:val="none"/>
          <w:lang w:eastAsia="zh-CN"/>
        </w:rPr>
      </w:pPr>
      <w:r>
        <w:rPr>
          <w:color w:val="auto"/>
          <w:highlight w:val="none"/>
          <w:lang w:eastAsia="zh-CN"/>
        </w:rPr>
        <w:t>（1）招标公告（或投标邀请书）；</w:t>
      </w:r>
    </w:p>
    <w:p>
      <w:pPr>
        <w:pStyle w:val="8"/>
        <w:spacing w:line="360" w:lineRule="auto"/>
        <w:ind w:left="0" w:firstLine="420" w:firstLineChars="200"/>
        <w:jc w:val="both"/>
        <w:rPr>
          <w:color w:val="auto"/>
          <w:highlight w:val="none"/>
          <w:lang w:eastAsia="zh-CN"/>
        </w:rPr>
      </w:pPr>
      <w:r>
        <w:rPr>
          <w:color w:val="auto"/>
          <w:highlight w:val="none"/>
          <w:lang w:eastAsia="zh-CN"/>
        </w:rPr>
        <w:t>（2）投标人须知；</w:t>
      </w:r>
    </w:p>
    <w:p>
      <w:pPr>
        <w:pStyle w:val="8"/>
        <w:spacing w:line="360" w:lineRule="auto"/>
        <w:ind w:left="0" w:firstLine="420" w:firstLineChars="200"/>
        <w:jc w:val="both"/>
        <w:rPr>
          <w:color w:val="auto"/>
          <w:highlight w:val="none"/>
          <w:lang w:eastAsia="zh-CN"/>
        </w:rPr>
      </w:pPr>
      <w:r>
        <w:rPr>
          <w:color w:val="auto"/>
          <w:highlight w:val="none"/>
          <w:lang w:eastAsia="zh-CN"/>
        </w:rPr>
        <w:t>（3）评标办法；</w:t>
      </w:r>
    </w:p>
    <w:p>
      <w:pPr>
        <w:pStyle w:val="8"/>
        <w:spacing w:line="360" w:lineRule="auto"/>
        <w:ind w:left="0" w:firstLine="420" w:firstLineChars="200"/>
        <w:jc w:val="both"/>
        <w:rPr>
          <w:color w:val="auto"/>
          <w:highlight w:val="none"/>
          <w:lang w:eastAsia="zh-CN"/>
        </w:rPr>
      </w:pPr>
      <w:r>
        <w:rPr>
          <w:color w:val="auto"/>
          <w:highlight w:val="none"/>
          <w:lang w:eastAsia="zh-CN"/>
        </w:rPr>
        <w:t>（4）合同条款及格式；</w:t>
      </w:r>
    </w:p>
    <w:p>
      <w:pPr>
        <w:pStyle w:val="8"/>
        <w:spacing w:line="360" w:lineRule="auto"/>
        <w:ind w:left="0" w:firstLine="420" w:firstLineChars="200"/>
        <w:jc w:val="both"/>
        <w:rPr>
          <w:color w:val="auto"/>
          <w:highlight w:val="none"/>
          <w:lang w:eastAsia="zh-CN"/>
        </w:rPr>
      </w:pPr>
      <w:r>
        <w:rPr>
          <w:color w:val="auto"/>
          <w:highlight w:val="none"/>
          <w:lang w:eastAsia="zh-CN"/>
        </w:rPr>
        <w:t>（5）发包人要求；</w:t>
      </w:r>
    </w:p>
    <w:p>
      <w:pPr>
        <w:pStyle w:val="8"/>
        <w:spacing w:line="360" w:lineRule="auto"/>
        <w:ind w:left="0" w:firstLine="420" w:firstLineChars="200"/>
        <w:jc w:val="both"/>
        <w:rPr>
          <w:color w:val="auto"/>
          <w:highlight w:val="none"/>
          <w:lang w:eastAsia="zh-CN"/>
        </w:rPr>
      </w:pPr>
      <w:r>
        <w:rPr>
          <w:color w:val="auto"/>
          <w:highlight w:val="none"/>
          <w:lang w:eastAsia="zh-CN"/>
        </w:rPr>
        <w:t>（6）投标文件格式；</w:t>
      </w:r>
    </w:p>
    <w:p>
      <w:pPr>
        <w:pStyle w:val="8"/>
        <w:spacing w:line="360" w:lineRule="auto"/>
        <w:ind w:left="0" w:firstLine="420" w:firstLineChars="200"/>
        <w:jc w:val="both"/>
        <w:rPr>
          <w:color w:val="auto"/>
          <w:highlight w:val="none"/>
          <w:lang w:eastAsia="zh-CN"/>
        </w:rPr>
      </w:pPr>
      <w:r>
        <w:rPr>
          <w:color w:val="auto"/>
          <w:highlight w:val="none"/>
          <w:lang w:eastAsia="zh-CN"/>
        </w:rPr>
        <w:t>（7）投标人须知前附表规定的其他资料。</w:t>
      </w:r>
    </w:p>
    <w:p>
      <w:pPr>
        <w:pStyle w:val="8"/>
        <w:spacing w:line="360" w:lineRule="auto"/>
        <w:ind w:left="0" w:firstLine="420" w:firstLineChars="200"/>
        <w:jc w:val="both"/>
        <w:rPr>
          <w:color w:val="auto"/>
          <w:highlight w:val="none"/>
          <w:lang w:eastAsia="zh-CN"/>
        </w:rPr>
      </w:pPr>
      <w:r>
        <w:rPr>
          <w:color w:val="auto"/>
          <w:highlight w:val="none"/>
          <w:lang w:eastAsia="zh-CN"/>
        </w:rPr>
        <w:t>本章第2.2款和第2.3款对招标文件所作的澄清、修改，构成招标文件的组成部分。</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2.2招标文件的澄清</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Style w:val="8"/>
        <w:spacing w:line="360" w:lineRule="auto"/>
        <w:ind w:left="0" w:firstLine="420" w:firstLineChars="200"/>
        <w:jc w:val="both"/>
        <w:rPr>
          <w:color w:val="auto"/>
          <w:highlight w:val="none"/>
          <w:lang w:eastAsia="zh-CN"/>
        </w:rPr>
      </w:pPr>
      <w:r>
        <w:rPr>
          <w:color w:val="auto"/>
          <w:highlight w:val="none"/>
          <w:lang w:eastAsia="zh-CN"/>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pStyle w:val="8"/>
        <w:spacing w:line="360" w:lineRule="auto"/>
        <w:ind w:left="0" w:firstLine="420" w:firstLineChars="200"/>
        <w:jc w:val="both"/>
        <w:rPr>
          <w:color w:val="auto"/>
          <w:highlight w:val="none"/>
          <w:lang w:eastAsia="zh-CN"/>
        </w:rPr>
      </w:pPr>
      <w:r>
        <w:rPr>
          <w:color w:val="auto"/>
          <w:highlight w:val="none"/>
          <w:lang w:eastAsia="zh-CN"/>
        </w:rPr>
        <w:t>2.2.3投标人在收到澄清后，应按投标人须知前附表规定的时间和形式通知招标人，确认已收到该澄清。</w:t>
      </w:r>
    </w:p>
    <w:p>
      <w:pPr>
        <w:pStyle w:val="8"/>
        <w:spacing w:line="360" w:lineRule="auto"/>
        <w:ind w:left="0" w:firstLine="420" w:firstLineChars="200"/>
        <w:jc w:val="both"/>
        <w:rPr>
          <w:color w:val="auto"/>
          <w:highlight w:val="none"/>
          <w:lang w:eastAsia="zh-CN"/>
        </w:rPr>
      </w:pPr>
      <w:r>
        <w:rPr>
          <w:color w:val="auto"/>
          <w:highlight w:val="none"/>
          <w:lang w:eastAsia="zh-CN"/>
        </w:rPr>
        <w:t>2.2.4 除非招标人认为确有必要答复，否则，招标人有权拒绝回复投标人在本章第 2.2.1项规定的时间后的任何澄清要求。</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2.3招标文件的修改</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2.3.1招标人以投标人须知前附表规定的形式修改招标文件，并通知所有已购买招标文件的</w:t>
      </w:r>
    </w:p>
    <w:p>
      <w:pPr>
        <w:pStyle w:val="8"/>
        <w:spacing w:line="360" w:lineRule="auto"/>
        <w:ind w:left="0" w:firstLine="420" w:firstLineChars="200"/>
        <w:jc w:val="both"/>
        <w:rPr>
          <w:color w:val="auto"/>
          <w:highlight w:val="none"/>
          <w:lang w:eastAsia="zh-CN"/>
        </w:rPr>
      </w:pPr>
      <w:r>
        <w:rPr>
          <w:color w:val="auto"/>
          <w:highlight w:val="none"/>
          <w:lang w:eastAsia="zh-CN"/>
        </w:rPr>
        <w:t>投标人。修改招标文件的时间距本章第4.2.1项规定的投标截止时间不足15日的，并且修改内容可能影响投标文件编制的，将相应延长投标截止时间。</w:t>
      </w:r>
    </w:p>
    <w:p>
      <w:pPr>
        <w:pStyle w:val="8"/>
        <w:spacing w:line="360" w:lineRule="auto"/>
        <w:ind w:left="0" w:firstLine="420" w:firstLineChars="200"/>
        <w:jc w:val="both"/>
        <w:rPr>
          <w:color w:val="auto"/>
          <w:highlight w:val="none"/>
          <w:lang w:eastAsia="zh-CN"/>
        </w:rPr>
      </w:pPr>
      <w:r>
        <w:rPr>
          <w:color w:val="auto"/>
          <w:highlight w:val="none"/>
          <w:lang w:eastAsia="zh-CN"/>
        </w:rPr>
        <w:t>2.3.2投标人收到修改内容后，应按投标人须知前附表规定的时间和形式通知招标人，确认已收到该修改。</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2.4招标文件的异议</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投标人或者其他利害关系人对招标文件有异议的，应当在投标截止时间10日前以书面形式提出。招标人将在收到异议之日起3日内作出答复；作出答复前，将暂停招标投标活动。</w:t>
      </w:r>
    </w:p>
    <w:p>
      <w:pPr>
        <w:spacing w:line="360" w:lineRule="auto"/>
        <w:jc w:val="both"/>
        <w:rPr>
          <w:rFonts w:ascii="宋体" w:hAnsi="宋体" w:eastAsia="宋体"/>
          <w:color w:val="auto"/>
          <w:sz w:val="21"/>
          <w:szCs w:val="21"/>
          <w:highlight w:val="none"/>
          <w:lang w:eastAsia="zh-CN"/>
        </w:rPr>
      </w:pPr>
      <w:bookmarkStart w:id="17" w:name="_Toc25137984"/>
    </w:p>
    <w:p>
      <w:pPr>
        <w:pStyle w:val="3"/>
        <w:spacing w:line="443" w:lineRule="exact"/>
        <w:ind w:right="44"/>
        <w:jc w:val="both"/>
        <w:rPr>
          <w:rFonts w:ascii="宋体" w:hAnsi="宋体" w:eastAsia="宋体"/>
          <w:color w:val="auto"/>
          <w:sz w:val="21"/>
          <w:szCs w:val="21"/>
          <w:highlight w:val="none"/>
          <w:lang w:eastAsia="zh-CN"/>
        </w:rPr>
      </w:pPr>
      <w:bookmarkStart w:id="18" w:name="_Toc109809424"/>
      <w:bookmarkStart w:id="19" w:name="_Toc109809385"/>
      <w:r>
        <w:rPr>
          <w:rFonts w:ascii="宋体" w:hAnsi="宋体" w:eastAsia="宋体"/>
          <w:color w:val="auto"/>
          <w:sz w:val="21"/>
          <w:szCs w:val="21"/>
          <w:highlight w:val="none"/>
          <w:lang w:eastAsia="zh-CN"/>
        </w:rPr>
        <w:t>3. 投标文件</w:t>
      </w:r>
      <w:bookmarkEnd w:id="17"/>
      <w:bookmarkEnd w:id="18"/>
      <w:bookmarkEnd w:id="19"/>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3.1投标文件的组成</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 xml:space="preserve">3.1.1 </w:t>
      </w:r>
      <w:r>
        <w:rPr>
          <w:rFonts w:hint="eastAsia" w:cs="宋体"/>
          <w:color w:val="auto"/>
          <w:highlight w:val="none"/>
          <w:lang w:eastAsia="zh-CN"/>
        </w:rPr>
        <w:t>投标文件应包括下列内容：</w:t>
      </w:r>
    </w:p>
    <w:p>
      <w:pPr>
        <w:pStyle w:val="8"/>
        <w:spacing w:line="360" w:lineRule="auto"/>
        <w:ind w:left="0" w:firstLine="420" w:firstLineChars="200"/>
        <w:jc w:val="both"/>
        <w:rPr>
          <w:strike/>
          <w:color w:val="auto"/>
          <w:highlight w:val="none"/>
          <w:lang w:eastAsia="zh-CN"/>
        </w:rPr>
      </w:pPr>
      <w:r>
        <w:rPr>
          <w:rFonts w:hint="eastAsia" w:cs="宋体"/>
          <w:strike/>
          <w:color w:val="auto"/>
          <w:highlight w:val="none"/>
          <w:lang w:eastAsia="zh-CN"/>
        </w:rPr>
        <w:t>（</w:t>
      </w:r>
      <w:r>
        <w:rPr>
          <w:strike/>
          <w:color w:val="auto"/>
          <w:highlight w:val="none"/>
          <w:lang w:eastAsia="zh-CN"/>
        </w:rPr>
        <w:t>1</w:t>
      </w:r>
      <w:r>
        <w:rPr>
          <w:rFonts w:hint="eastAsia" w:cs="宋体"/>
          <w:strike/>
          <w:color w:val="auto"/>
          <w:highlight w:val="none"/>
          <w:lang w:eastAsia="zh-CN"/>
        </w:rPr>
        <w:t>）投标函及投标函附录；</w:t>
      </w:r>
    </w:p>
    <w:p>
      <w:pPr>
        <w:pStyle w:val="8"/>
        <w:spacing w:line="360" w:lineRule="auto"/>
        <w:ind w:left="0" w:firstLine="420" w:firstLineChars="200"/>
        <w:jc w:val="both"/>
        <w:rPr>
          <w:strike/>
          <w:color w:val="auto"/>
          <w:highlight w:val="none"/>
          <w:lang w:eastAsia="zh-CN"/>
        </w:rPr>
      </w:pPr>
      <w:r>
        <w:rPr>
          <w:rFonts w:hint="eastAsia" w:cs="宋体"/>
          <w:strike/>
          <w:color w:val="auto"/>
          <w:highlight w:val="none"/>
          <w:lang w:eastAsia="zh-CN"/>
        </w:rPr>
        <w:t>（</w:t>
      </w:r>
      <w:r>
        <w:rPr>
          <w:strike/>
          <w:color w:val="auto"/>
          <w:highlight w:val="none"/>
          <w:lang w:eastAsia="zh-CN"/>
        </w:rPr>
        <w:t>2</w:t>
      </w:r>
      <w:r>
        <w:rPr>
          <w:rFonts w:hint="eastAsia" w:cs="宋体"/>
          <w:strike/>
          <w:color w:val="auto"/>
          <w:highlight w:val="none"/>
          <w:lang w:eastAsia="zh-CN"/>
        </w:rPr>
        <w:t>）法定代表人身份证明或附有法定代表人身份证明的授权委托书；</w:t>
      </w:r>
    </w:p>
    <w:p>
      <w:pPr>
        <w:pStyle w:val="8"/>
        <w:spacing w:line="360" w:lineRule="auto"/>
        <w:ind w:left="0" w:firstLine="420" w:firstLineChars="200"/>
        <w:jc w:val="both"/>
        <w:rPr>
          <w:strike/>
          <w:color w:val="auto"/>
          <w:highlight w:val="none"/>
          <w:lang w:eastAsia="zh-CN"/>
        </w:rPr>
      </w:pPr>
      <w:r>
        <w:rPr>
          <w:rFonts w:hint="eastAsia" w:cs="宋体"/>
          <w:strike/>
          <w:color w:val="auto"/>
          <w:highlight w:val="none"/>
          <w:lang w:eastAsia="zh-CN"/>
        </w:rPr>
        <w:t>（</w:t>
      </w:r>
      <w:r>
        <w:rPr>
          <w:strike/>
          <w:color w:val="auto"/>
          <w:highlight w:val="none"/>
          <w:lang w:eastAsia="zh-CN"/>
        </w:rPr>
        <w:t>3</w:t>
      </w:r>
      <w:r>
        <w:rPr>
          <w:rFonts w:hint="eastAsia" w:cs="宋体"/>
          <w:strike/>
          <w:color w:val="auto"/>
          <w:highlight w:val="none"/>
          <w:lang w:eastAsia="zh-CN"/>
        </w:rPr>
        <w:t>）联合体协议书；</w:t>
      </w:r>
    </w:p>
    <w:p>
      <w:pPr>
        <w:pStyle w:val="8"/>
        <w:spacing w:line="360" w:lineRule="auto"/>
        <w:ind w:left="0" w:firstLine="420" w:firstLineChars="200"/>
        <w:jc w:val="both"/>
        <w:rPr>
          <w:strike/>
          <w:color w:val="auto"/>
          <w:highlight w:val="none"/>
          <w:lang w:eastAsia="zh-CN"/>
        </w:rPr>
      </w:pPr>
      <w:r>
        <w:rPr>
          <w:rFonts w:hint="eastAsia" w:cs="宋体"/>
          <w:strike/>
          <w:color w:val="auto"/>
          <w:highlight w:val="none"/>
          <w:lang w:eastAsia="zh-CN"/>
        </w:rPr>
        <w:t>（</w:t>
      </w:r>
      <w:r>
        <w:rPr>
          <w:strike/>
          <w:color w:val="auto"/>
          <w:highlight w:val="none"/>
          <w:lang w:eastAsia="zh-CN"/>
        </w:rPr>
        <w:t>4</w:t>
      </w:r>
      <w:r>
        <w:rPr>
          <w:rFonts w:hint="eastAsia" w:cs="宋体"/>
          <w:strike/>
          <w:color w:val="auto"/>
          <w:highlight w:val="none"/>
          <w:lang w:eastAsia="zh-CN"/>
        </w:rPr>
        <w:t>）投标保证金；</w:t>
      </w:r>
    </w:p>
    <w:p>
      <w:pPr>
        <w:pStyle w:val="8"/>
        <w:spacing w:line="360" w:lineRule="auto"/>
        <w:ind w:left="0" w:firstLine="420" w:firstLineChars="200"/>
        <w:jc w:val="both"/>
        <w:rPr>
          <w:rFonts w:cs="宋体"/>
          <w:strike/>
          <w:color w:val="auto"/>
          <w:highlight w:val="none"/>
          <w:lang w:eastAsia="zh-CN"/>
        </w:rPr>
      </w:pPr>
      <w:r>
        <w:rPr>
          <w:rFonts w:cs="宋体"/>
          <w:strike/>
          <w:color w:val="auto"/>
          <w:highlight w:val="none"/>
          <w:lang w:eastAsia="zh-CN"/>
        </w:rPr>
        <w:t>（5）设计费用清单；</w:t>
      </w:r>
    </w:p>
    <w:p>
      <w:pPr>
        <w:pStyle w:val="8"/>
        <w:spacing w:line="360" w:lineRule="auto"/>
        <w:ind w:left="0" w:firstLine="420" w:firstLineChars="200"/>
        <w:jc w:val="both"/>
        <w:rPr>
          <w:rFonts w:cs="宋体"/>
          <w:strike/>
          <w:color w:val="auto"/>
          <w:highlight w:val="none"/>
          <w:lang w:eastAsia="zh-CN"/>
        </w:rPr>
      </w:pPr>
      <w:r>
        <w:rPr>
          <w:rFonts w:cs="宋体"/>
          <w:strike/>
          <w:color w:val="auto"/>
          <w:highlight w:val="none"/>
          <w:lang w:eastAsia="zh-CN"/>
        </w:rPr>
        <w:t>（6）资格审查资料；</w:t>
      </w:r>
    </w:p>
    <w:p>
      <w:pPr>
        <w:pStyle w:val="8"/>
        <w:spacing w:line="360" w:lineRule="auto"/>
        <w:ind w:left="0" w:firstLine="420" w:firstLineChars="200"/>
        <w:jc w:val="both"/>
        <w:rPr>
          <w:rFonts w:cs="宋体"/>
          <w:strike/>
          <w:color w:val="auto"/>
          <w:highlight w:val="none"/>
          <w:lang w:eastAsia="zh-CN"/>
        </w:rPr>
      </w:pPr>
      <w:r>
        <w:rPr>
          <w:rFonts w:cs="宋体"/>
          <w:strike/>
          <w:color w:val="auto"/>
          <w:highlight w:val="none"/>
          <w:lang w:eastAsia="zh-CN"/>
        </w:rPr>
        <w:t>（7）勘察设计方案；</w:t>
      </w:r>
    </w:p>
    <w:p>
      <w:pPr>
        <w:pStyle w:val="8"/>
        <w:spacing w:line="360" w:lineRule="auto"/>
        <w:ind w:left="0" w:firstLine="420" w:firstLineChars="200"/>
        <w:jc w:val="both"/>
        <w:rPr>
          <w:rFonts w:cs="宋体"/>
          <w:color w:val="auto"/>
          <w:highlight w:val="none"/>
          <w:lang w:eastAsia="zh-CN"/>
        </w:rPr>
      </w:pPr>
      <w:r>
        <w:rPr>
          <w:rFonts w:cs="宋体"/>
          <w:strike/>
          <w:color w:val="auto"/>
          <w:highlight w:val="none"/>
          <w:lang w:eastAsia="zh-CN"/>
        </w:rPr>
        <w:t xml:space="preserve">（8）投标人须知前附表规定的其他资料。 </w:t>
      </w:r>
    </w:p>
    <w:p>
      <w:pPr>
        <w:pStyle w:val="8"/>
        <w:spacing w:line="360" w:lineRule="auto"/>
        <w:ind w:left="0" w:firstLine="420" w:firstLineChars="200"/>
        <w:jc w:val="both"/>
        <w:rPr>
          <w:rFonts w:cs="宋体"/>
          <w:b w:val="0"/>
          <w:bCs/>
          <w:color w:val="auto"/>
          <w:highlight w:val="none"/>
          <w:u w:val="none"/>
          <w:lang w:eastAsia="zh-CN"/>
        </w:rPr>
      </w:pPr>
      <w:r>
        <w:rPr>
          <w:rFonts w:hint="eastAsia" w:cs="宋体"/>
          <w:b w:val="0"/>
          <w:bCs/>
          <w:color w:val="auto"/>
          <w:highlight w:val="none"/>
          <w:u w:val="none"/>
          <w:lang w:eastAsia="zh-CN"/>
        </w:rPr>
        <w:t>投标文件由商务文件（含资格审查部分、资信业绩部分）、技术文件（含设计方案部分）两个部分组成。各部分投标文件应分别编制。设计投标文件编制要求详见第六章投标文件格式“设计投标文件编制要求”。</w:t>
      </w:r>
    </w:p>
    <w:p>
      <w:pPr>
        <w:pStyle w:val="8"/>
        <w:spacing w:line="360" w:lineRule="auto"/>
        <w:ind w:firstLine="420" w:firstLineChars="200"/>
        <w:jc w:val="both"/>
        <w:rPr>
          <w:rFonts w:cs="宋体"/>
          <w:b w:val="0"/>
          <w:bCs/>
          <w:color w:val="auto"/>
          <w:highlight w:val="none"/>
          <w:u w:val="none"/>
          <w:lang w:eastAsia="zh-CN"/>
        </w:rPr>
      </w:pPr>
      <w:r>
        <w:rPr>
          <w:rFonts w:hint="eastAsia" w:cs="宋体"/>
          <w:b w:val="0"/>
          <w:bCs/>
          <w:color w:val="auto"/>
          <w:highlight w:val="none"/>
          <w:u w:val="none"/>
          <w:lang w:eastAsia="zh-CN"/>
        </w:rPr>
        <w:t>注：技术文件（含设计方案部分）为暗标。技术标中不能辨认出投标人或其专业技术人员的身份。不在设计方案上标注或做任何可以辨认投标人及专业技术人员身份的名称、印章、商标、图形等记认符号。</w:t>
      </w:r>
    </w:p>
    <w:p>
      <w:pPr>
        <w:pStyle w:val="8"/>
        <w:spacing w:line="360" w:lineRule="auto"/>
        <w:ind w:left="0" w:firstLine="420" w:firstLineChars="200"/>
        <w:jc w:val="both"/>
        <w:rPr>
          <w:rFonts w:cs="宋体"/>
          <w:color w:val="auto"/>
          <w:highlight w:val="none"/>
          <w:lang w:eastAsia="zh-CN"/>
        </w:rPr>
      </w:pPr>
      <w:r>
        <w:rPr>
          <w:rFonts w:cs="宋体"/>
          <w:color w:val="auto"/>
          <w:highlight w:val="none"/>
          <w:lang w:eastAsia="zh-CN"/>
        </w:rPr>
        <w:t>投标人在评标过程中作出的符合法律法规和招标文件规定的澄清确认，构成投标文件的组成部分。</w:t>
      </w:r>
    </w:p>
    <w:p>
      <w:pPr>
        <w:pStyle w:val="8"/>
        <w:spacing w:line="360" w:lineRule="auto"/>
        <w:ind w:left="0" w:firstLine="420" w:firstLineChars="200"/>
        <w:jc w:val="both"/>
        <w:rPr>
          <w:color w:val="auto"/>
          <w:highlight w:val="none"/>
          <w:lang w:eastAsia="zh-CN"/>
        </w:rPr>
      </w:pPr>
      <w:r>
        <w:rPr>
          <w:color w:val="auto"/>
          <w:highlight w:val="none"/>
          <w:lang w:eastAsia="zh-CN"/>
        </w:rPr>
        <w:t>3.1.2投标人须知前附表规定不接受联合体投标的，或投标人没有组成联合体的，投标文件不包括本章第3.1.1（3）目所指的联合体协议书。</w:t>
      </w:r>
    </w:p>
    <w:p>
      <w:pPr>
        <w:pStyle w:val="8"/>
        <w:spacing w:line="360" w:lineRule="auto"/>
        <w:ind w:left="0" w:firstLine="420" w:firstLineChars="200"/>
        <w:jc w:val="both"/>
        <w:rPr>
          <w:color w:val="auto"/>
          <w:highlight w:val="none"/>
          <w:lang w:eastAsia="zh-CN"/>
        </w:rPr>
      </w:pPr>
      <w:r>
        <w:rPr>
          <w:color w:val="auto"/>
          <w:highlight w:val="none"/>
          <w:lang w:eastAsia="zh-CN"/>
        </w:rPr>
        <w:t>3.1.3 投标人须知前附表未要求提交投标保证金的，投标文件不包括本章第 3.1.1（4）目所指的投标保证金。</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3.2投标报价</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3.2.1投标报价应包括国家规定的增值税税金，除投标人须知前附表另有规定外，增值税税金按一般计税方法计算。投标人应按第六章“投标文件格式”的要求在</w:t>
      </w:r>
      <w:r>
        <w:rPr>
          <w:rFonts w:hint="eastAsia"/>
          <w:color w:val="auto"/>
          <w:highlight w:val="none"/>
          <w:lang w:eastAsia="zh-CN"/>
        </w:rPr>
        <w:t>勘察设计费报价汇总表</w:t>
      </w:r>
      <w:r>
        <w:rPr>
          <w:color w:val="auto"/>
          <w:highlight w:val="none"/>
          <w:lang w:eastAsia="zh-CN"/>
        </w:rPr>
        <w:t>中进行报价并填写</w:t>
      </w:r>
      <w:r>
        <w:rPr>
          <w:rFonts w:hint="eastAsia"/>
          <w:color w:val="auto"/>
          <w:highlight w:val="none"/>
          <w:lang w:eastAsia="zh-CN"/>
        </w:rPr>
        <w:t>勘察设计报价</w:t>
      </w:r>
      <w:r>
        <w:rPr>
          <w:color w:val="auto"/>
          <w:highlight w:val="none"/>
          <w:lang w:eastAsia="zh-CN"/>
        </w:rPr>
        <w:t>。</w:t>
      </w:r>
    </w:p>
    <w:p>
      <w:pPr>
        <w:pStyle w:val="8"/>
        <w:spacing w:line="360" w:lineRule="auto"/>
        <w:ind w:left="0" w:firstLine="420" w:firstLineChars="200"/>
        <w:jc w:val="both"/>
        <w:rPr>
          <w:color w:val="auto"/>
          <w:highlight w:val="none"/>
          <w:lang w:eastAsia="zh-CN"/>
        </w:rPr>
      </w:pPr>
      <w:r>
        <w:rPr>
          <w:color w:val="auto"/>
          <w:highlight w:val="none"/>
          <w:lang w:eastAsia="zh-CN"/>
        </w:rPr>
        <w:t>3.2.2投标人应充分了解该项目的总体情况以及影响投标报价的其他要素。</w:t>
      </w:r>
    </w:p>
    <w:p>
      <w:pPr>
        <w:pStyle w:val="8"/>
        <w:spacing w:line="360" w:lineRule="auto"/>
        <w:ind w:left="0" w:firstLine="420" w:firstLineChars="200"/>
        <w:jc w:val="both"/>
        <w:rPr>
          <w:color w:val="auto"/>
          <w:highlight w:val="none"/>
          <w:lang w:eastAsia="zh-CN"/>
        </w:rPr>
      </w:pPr>
      <w:r>
        <w:rPr>
          <w:color w:val="auto"/>
          <w:highlight w:val="none"/>
          <w:lang w:eastAsia="zh-CN"/>
        </w:rPr>
        <w:t>3.2.3本项目的报价方式见投标人须知前附表。</w:t>
      </w:r>
      <w:r>
        <w:rPr>
          <w:strike/>
          <w:color w:val="auto"/>
          <w:highlight w:val="none"/>
          <w:lang w:eastAsia="zh-CN"/>
        </w:rPr>
        <w:t>投标人在投标截止时间前修改投标函中的投标报价总额，应同时修改投标文件“设计费用清单”中的相应报价。此修改须符合本章第 4.3 款的有关要求。</w:t>
      </w:r>
    </w:p>
    <w:p>
      <w:pPr>
        <w:pStyle w:val="8"/>
        <w:spacing w:line="360" w:lineRule="auto"/>
        <w:ind w:left="0" w:firstLine="420" w:firstLineChars="200"/>
        <w:jc w:val="both"/>
        <w:rPr>
          <w:color w:val="auto"/>
          <w:highlight w:val="none"/>
          <w:lang w:eastAsia="zh-CN"/>
        </w:rPr>
      </w:pPr>
      <w:r>
        <w:rPr>
          <w:color w:val="auto"/>
          <w:highlight w:val="none"/>
          <w:lang w:eastAsia="zh-CN"/>
        </w:rPr>
        <w:t>3.2.4招标人设有最高投标限价的，投标人的投标报价不得超过最高投标限价，最高投标限价在投标人须知前附表中载明。</w:t>
      </w:r>
    </w:p>
    <w:p>
      <w:pPr>
        <w:pStyle w:val="8"/>
        <w:spacing w:line="360" w:lineRule="auto"/>
        <w:ind w:left="0" w:firstLine="420" w:firstLineChars="200"/>
        <w:jc w:val="both"/>
        <w:rPr>
          <w:color w:val="auto"/>
          <w:highlight w:val="none"/>
          <w:lang w:eastAsia="zh-CN"/>
        </w:rPr>
      </w:pPr>
      <w:r>
        <w:rPr>
          <w:color w:val="auto"/>
          <w:highlight w:val="none"/>
          <w:lang w:eastAsia="zh-CN"/>
        </w:rPr>
        <w:t>3.2.5投标报价的其他要求见投标人须知前附表。</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3.3投标有效期</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3.3.1除投标人须知前附表另有规定外，投标有效期为</w:t>
      </w:r>
      <w:r>
        <w:rPr>
          <w:rFonts w:hint="eastAsia"/>
          <w:color w:val="auto"/>
          <w:highlight w:val="none"/>
          <w:lang w:eastAsia="zh-CN"/>
        </w:rPr>
        <w:t>120</w:t>
      </w:r>
      <w:r>
        <w:rPr>
          <w:color w:val="auto"/>
          <w:highlight w:val="none"/>
          <w:lang w:eastAsia="zh-CN"/>
        </w:rPr>
        <w:t>天。</w:t>
      </w:r>
    </w:p>
    <w:p>
      <w:pPr>
        <w:pStyle w:val="8"/>
        <w:spacing w:line="360" w:lineRule="auto"/>
        <w:ind w:left="0" w:firstLine="420" w:firstLineChars="200"/>
        <w:jc w:val="both"/>
        <w:rPr>
          <w:color w:val="auto"/>
          <w:highlight w:val="none"/>
          <w:lang w:eastAsia="zh-CN"/>
        </w:rPr>
      </w:pPr>
      <w:r>
        <w:rPr>
          <w:color w:val="auto"/>
          <w:highlight w:val="none"/>
          <w:lang w:eastAsia="zh-CN"/>
        </w:rPr>
        <w:t>3.3.2在投标有效期内，投标人撤销投标文件的，应承担招标文件和法律规定的责任。</w:t>
      </w:r>
    </w:p>
    <w:p>
      <w:pPr>
        <w:pStyle w:val="8"/>
        <w:spacing w:line="360" w:lineRule="auto"/>
        <w:ind w:left="0" w:firstLine="420" w:firstLineChars="200"/>
        <w:jc w:val="both"/>
        <w:rPr>
          <w:color w:val="auto"/>
          <w:highlight w:val="none"/>
          <w:lang w:eastAsia="zh-CN"/>
        </w:rPr>
      </w:pPr>
      <w:r>
        <w:rPr>
          <w:color w:val="auto"/>
          <w:highlight w:val="none"/>
          <w:lang w:eastAsia="zh-CN"/>
        </w:rPr>
        <w:t>3.3.3出现特殊情况需要延长投标有效期的，招标人以书面形式通知所有投标人延长投标有效期。投标人应予以书面答复，同意延长的，</w:t>
      </w:r>
      <w:r>
        <w:rPr>
          <w:strike/>
          <w:color w:val="auto"/>
          <w:highlight w:val="none"/>
          <w:lang w:eastAsia="zh-CN"/>
        </w:rPr>
        <w:t>应相应延长其投标保证金的有效期，</w:t>
      </w:r>
      <w:r>
        <w:rPr>
          <w:color w:val="auto"/>
          <w:highlight w:val="none"/>
          <w:lang w:eastAsia="zh-CN"/>
        </w:rPr>
        <w:t>但不得要求或被允许修改其投标文件；投标人拒绝延长的，其投标失效</w:t>
      </w:r>
      <w:r>
        <w:rPr>
          <w:strike/>
          <w:color w:val="auto"/>
          <w:highlight w:val="none"/>
          <w:lang w:eastAsia="zh-CN"/>
        </w:rPr>
        <w:t>，但投标人有权收回其投标保证金及以现金或者支票形式递交的投标保证金的银行同期存款利息</w:t>
      </w:r>
      <w:r>
        <w:rPr>
          <w:color w:val="auto"/>
          <w:highlight w:val="none"/>
          <w:lang w:eastAsia="zh-CN"/>
        </w:rPr>
        <w:t>。</w:t>
      </w:r>
    </w:p>
    <w:p>
      <w:pPr>
        <w:spacing w:line="360" w:lineRule="auto"/>
        <w:jc w:val="both"/>
        <w:rPr>
          <w:rFonts w:ascii="宋体" w:hAnsi="宋体" w:eastAsia="宋体"/>
          <w:color w:val="auto"/>
          <w:sz w:val="21"/>
          <w:szCs w:val="21"/>
          <w:highlight w:val="none"/>
          <w:lang w:eastAsia="zh-CN"/>
        </w:rPr>
      </w:pPr>
    </w:p>
    <w:p>
      <w:pPr>
        <w:pStyle w:val="4"/>
        <w:ind w:right="44"/>
        <w:jc w:val="both"/>
        <w:rPr>
          <w:b/>
          <w:bCs/>
          <w:strike/>
          <w:color w:val="auto"/>
          <w:sz w:val="21"/>
          <w:szCs w:val="21"/>
          <w:highlight w:val="none"/>
          <w:lang w:eastAsia="zh-CN"/>
        </w:rPr>
      </w:pPr>
      <w:r>
        <w:rPr>
          <w:b/>
          <w:bCs/>
          <w:strike/>
          <w:color w:val="auto"/>
          <w:sz w:val="21"/>
          <w:szCs w:val="21"/>
          <w:highlight w:val="none"/>
          <w:lang w:eastAsia="zh-CN"/>
        </w:rPr>
        <w:t>3.4投标保证金</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strike/>
          <w:color w:val="auto"/>
          <w:highlight w:val="none"/>
          <w:lang w:eastAsia="zh-CN"/>
        </w:rPr>
      </w:pPr>
      <w:r>
        <w:rPr>
          <w:strike/>
          <w:color w:val="auto"/>
          <w:highlight w:val="none"/>
          <w:lang w:eastAsia="zh-CN"/>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pStyle w:val="8"/>
        <w:spacing w:line="360" w:lineRule="auto"/>
        <w:ind w:left="0" w:firstLine="420" w:firstLineChars="200"/>
        <w:jc w:val="both"/>
        <w:rPr>
          <w:strike/>
          <w:color w:val="auto"/>
          <w:highlight w:val="none"/>
          <w:lang w:eastAsia="zh-CN"/>
        </w:rPr>
      </w:pPr>
      <w:r>
        <w:rPr>
          <w:strike/>
          <w:color w:val="auto"/>
          <w:highlight w:val="none"/>
          <w:lang w:eastAsia="zh-CN"/>
        </w:rPr>
        <w:t>3.4.2投标人不按本章第 3.4.1项要求提交投标保证金的，评标委员会将否决其投标。</w:t>
      </w:r>
    </w:p>
    <w:p>
      <w:pPr>
        <w:pStyle w:val="8"/>
        <w:spacing w:line="360" w:lineRule="auto"/>
        <w:ind w:left="0" w:firstLine="420" w:firstLineChars="200"/>
        <w:jc w:val="both"/>
        <w:rPr>
          <w:strike/>
          <w:color w:val="auto"/>
          <w:highlight w:val="none"/>
          <w:lang w:eastAsia="zh-CN"/>
        </w:rPr>
      </w:pPr>
      <w:r>
        <w:rPr>
          <w:strike/>
          <w:color w:val="auto"/>
          <w:highlight w:val="none"/>
          <w:lang w:eastAsia="zh-CN"/>
        </w:rPr>
        <w:t>3.4.3 招标人最迟将在与中标人签订合同后 5日内，向未中标的投标人和中标人退还投标保证金。投标保证金以现金或者支票形式递交的，还应退还银行同期存款利息。</w:t>
      </w:r>
      <w:r>
        <w:rPr>
          <w:rFonts w:hint="eastAsia"/>
          <w:strike/>
          <w:color w:val="auto"/>
          <w:highlight w:val="none"/>
          <w:lang w:eastAsia="zh-CN"/>
        </w:rPr>
        <w:t>如出现异议或投诉，则投标有效期自动延长至异议或投诉处理结束。在提交投标文件截止时间后到招标文件规定的投标有效期终止之前，投标人不得补充、修改或者撤回其投标文件，否则其保证金将不予退还。招标人因特殊情况需要延长提交投标文件截止时间，投标人可以拒绝投标，招标人对退出的投标人不作任何经济补偿。同意延长投标有效期的投标人，在延长期内本招标文件的规定仍然适用。</w:t>
      </w:r>
    </w:p>
    <w:p>
      <w:pPr>
        <w:pStyle w:val="8"/>
        <w:spacing w:line="360" w:lineRule="auto"/>
        <w:ind w:left="0" w:firstLine="420" w:firstLineChars="200"/>
        <w:jc w:val="both"/>
        <w:rPr>
          <w:strike/>
          <w:color w:val="auto"/>
          <w:highlight w:val="none"/>
          <w:lang w:eastAsia="zh-CN"/>
        </w:rPr>
      </w:pPr>
      <w:r>
        <w:rPr>
          <w:strike/>
          <w:color w:val="auto"/>
          <w:highlight w:val="none"/>
          <w:lang w:eastAsia="zh-CN"/>
        </w:rPr>
        <w:t>3.4.4有下列情形之一的，投标保证金将不予退还：</w:t>
      </w:r>
    </w:p>
    <w:p>
      <w:pPr>
        <w:pStyle w:val="8"/>
        <w:spacing w:line="360" w:lineRule="auto"/>
        <w:ind w:left="0" w:firstLine="420" w:firstLineChars="200"/>
        <w:jc w:val="both"/>
        <w:rPr>
          <w:strike/>
          <w:color w:val="auto"/>
          <w:highlight w:val="none"/>
          <w:lang w:eastAsia="zh-CN"/>
        </w:rPr>
      </w:pPr>
      <w:r>
        <w:rPr>
          <w:strike/>
          <w:color w:val="auto"/>
          <w:highlight w:val="none"/>
          <w:lang w:eastAsia="zh-CN"/>
        </w:rPr>
        <w:t>（1）投标人在投标有效期内撤销投标文件；</w:t>
      </w:r>
    </w:p>
    <w:p>
      <w:pPr>
        <w:pStyle w:val="8"/>
        <w:spacing w:line="360" w:lineRule="auto"/>
        <w:ind w:left="0" w:firstLine="420" w:firstLineChars="200"/>
        <w:jc w:val="both"/>
        <w:rPr>
          <w:strike/>
          <w:color w:val="auto"/>
          <w:highlight w:val="none"/>
          <w:lang w:eastAsia="zh-CN"/>
        </w:rPr>
      </w:pPr>
      <w:r>
        <w:rPr>
          <w:strike/>
          <w:color w:val="auto"/>
          <w:highlight w:val="none"/>
          <w:lang w:eastAsia="zh-CN"/>
        </w:rPr>
        <w:t>（2）中标人在收到中标通知书后，无正当理由不与招标人订立合同，在签订合同时向招标人提出附加条件，或者不按照招标文件要求提交履约保证金；</w:t>
      </w:r>
    </w:p>
    <w:p>
      <w:pPr>
        <w:pStyle w:val="8"/>
        <w:spacing w:line="360" w:lineRule="auto"/>
        <w:ind w:left="0" w:firstLine="420" w:firstLineChars="200"/>
        <w:jc w:val="both"/>
        <w:rPr>
          <w:strike/>
          <w:color w:val="auto"/>
          <w:highlight w:val="none"/>
          <w:lang w:eastAsia="zh-CN"/>
        </w:rPr>
      </w:pPr>
      <w:r>
        <w:rPr>
          <w:strike/>
          <w:color w:val="auto"/>
          <w:highlight w:val="none"/>
          <w:lang w:eastAsia="zh-CN"/>
        </w:rPr>
        <w:t>（3）发生投标人须知前附表规定的其他可以不予退还投标保证金的情形。</w:t>
      </w:r>
    </w:p>
    <w:p>
      <w:pPr>
        <w:spacing w:line="360" w:lineRule="auto"/>
        <w:jc w:val="both"/>
        <w:rPr>
          <w:rFonts w:ascii="宋体" w:hAnsi="宋体" w:eastAsia="宋体"/>
          <w:color w:val="auto"/>
          <w:sz w:val="21"/>
          <w:szCs w:val="21"/>
          <w:highlight w:val="none"/>
          <w:lang w:eastAsia="zh-CN"/>
        </w:rPr>
      </w:pPr>
    </w:p>
    <w:p>
      <w:pPr>
        <w:pStyle w:val="4"/>
        <w:ind w:right="44"/>
        <w:jc w:val="both"/>
        <w:rPr>
          <w:b/>
          <w:bCs/>
          <w:strike/>
          <w:color w:val="auto"/>
          <w:sz w:val="21"/>
          <w:szCs w:val="21"/>
          <w:highlight w:val="none"/>
          <w:lang w:eastAsia="zh-CN"/>
        </w:rPr>
      </w:pPr>
      <w:r>
        <w:rPr>
          <w:b/>
          <w:bCs/>
          <w:strike/>
          <w:color w:val="auto"/>
          <w:sz w:val="21"/>
          <w:szCs w:val="21"/>
          <w:highlight w:val="none"/>
          <w:lang w:eastAsia="zh-CN"/>
        </w:rPr>
        <w:t>3.5资格审查资料（适用于已进行资格预审的）</w:t>
      </w:r>
    </w:p>
    <w:p>
      <w:pPr>
        <w:spacing w:line="360" w:lineRule="auto"/>
        <w:jc w:val="both"/>
        <w:rPr>
          <w:rFonts w:ascii="宋体" w:hAnsi="宋体" w:eastAsia="宋体"/>
          <w:strike/>
          <w:color w:val="auto"/>
          <w:sz w:val="21"/>
          <w:szCs w:val="21"/>
          <w:highlight w:val="none"/>
          <w:lang w:eastAsia="zh-CN"/>
        </w:rPr>
      </w:pPr>
    </w:p>
    <w:p>
      <w:pPr>
        <w:pStyle w:val="8"/>
        <w:spacing w:line="360" w:lineRule="auto"/>
        <w:ind w:left="0" w:firstLine="420" w:firstLineChars="200"/>
        <w:jc w:val="both"/>
        <w:rPr>
          <w:strike/>
          <w:color w:val="auto"/>
          <w:highlight w:val="none"/>
          <w:lang w:eastAsia="zh-CN"/>
        </w:rPr>
      </w:pPr>
      <w:r>
        <w:rPr>
          <w:strike/>
          <w:color w:val="auto"/>
          <w:highlight w:val="none"/>
          <w:lang w:eastAsia="zh-CN"/>
        </w:rPr>
        <w:t>投标人在递交投标文件前，发生可能影响其投标资格的新情况的，应更新或补充其在申请资格预审时提供的资料，以证实其各项资格条件仍能继续满足资格预审文件的要求，且没有实质性降低。</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3.5资格审查资料（适用于未进行资格预审的）</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除投标人须知前附表另有规定外，投标人应按下列规定提供资格审查资料，以证明其满足本章第1.4款规定的资质、</w:t>
      </w:r>
      <w:r>
        <w:rPr>
          <w:strike/>
          <w:color w:val="auto"/>
          <w:highlight w:val="none"/>
          <w:lang w:eastAsia="zh-CN"/>
        </w:rPr>
        <w:t>财务、业绩、信誉</w:t>
      </w:r>
      <w:r>
        <w:rPr>
          <w:color w:val="auto"/>
          <w:highlight w:val="none"/>
          <w:lang w:eastAsia="zh-CN"/>
        </w:rPr>
        <w:t>等要求。</w:t>
      </w:r>
    </w:p>
    <w:p>
      <w:pPr>
        <w:pStyle w:val="8"/>
        <w:spacing w:line="360" w:lineRule="auto"/>
        <w:ind w:left="0" w:firstLine="420" w:firstLineChars="200"/>
        <w:jc w:val="both"/>
        <w:rPr>
          <w:color w:val="auto"/>
          <w:highlight w:val="none"/>
          <w:lang w:eastAsia="zh-CN"/>
        </w:rPr>
      </w:pPr>
      <w:r>
        <w:rPr>
          <w:color w:val="auto"/>
          <w:highlight w:val="none"/>
          <w:lang w:eastAsia="zh-CN"/>
        </w:rPr>
        <w:t>3.5.1“投标人基本情况表”应附投标人营业执照和组织机构代码证的</w:t>
      </w:r>
      <w:r>
        <w:rPr>
          <w:rFonts w:hint="eastAsia"/>
          <w:color w:val="auto"/>
          <w:highlight w:val="none"/>
          <w:lang w:eastAsia="zh-CN"/>
        </w:rPr>
        <w:t>扫描</w:t>
      </w:r>
      <w:r>
        <w:rPr>
          <w:color w:val="auto"/>
          <w:highlight w:val="none"/>
          <w:lang w:eastAsia="zh-CN"/>
        </w:rPr>
        <w:t>件（按照“三证合一”或“五证合一”登记制度进行登记的，可仅提供营业执照</w:t>
      </w:r>
      <w:r>
        <w:rPr>
          <w:rFonts w:hint="eastAsia"/>
          <w:color w:val="auto"/>
          <w:highlight w:val="none"/>
          <w:lang w:eastAsia="zh-CN"/>
        </w:rPr>
        <w:t>扫描</w:t>
      </w:r>
      <w:r>
        <w:rPr>
          <w:color w:val="auto"/>
          <w:highlight w:val="none"/>
          <w:lang w:eastAsia="zh-CN"/>
        </w:rPr>
        <w:t>件）、投标人设计资质证书副本等材料的</w:t>
      </w:r>
      <w:r>
        <w:rPr>
          <w:rFonts w:hint="eastAsia"/>
          <w:color w:val="auto"/>
          <w:highlight w:val="none"/>
          <w:lang w:eastAsia="zh-CN"/>
        </w:rPr>
        <w:t>扫描</w:t>
      </w:r>
      <w:r>
        <w:rPr>
          <w:color w:val="auto"/>
          <w:highlight w:val="none"/>
          <w:lang w:eastAsia="zh-CN"/>
        </w:rPr>
        <w:t>件。</w:t>
      </w:r>
    </w:p>
    <w:p>
      <w:pPr>
        <w:pStyle w:val="8"/>
        <w:spacing w:line="360" w:lineRule="auto"/>
        <w:ind w:left="0" w:firstLine="420" w:firstLineChars="200"/>
        <w:jc w:val="both"/>
        <w:rPr>
          <w:strike/>
          <w:color w:val="auto"/>
          <w:highlight w:val="none"/>
          <w:lang w:eastAsia="zh-CN"/>
        </w:rPr>
      </w:pPr>
      <w:r>
        <w:rPr>
          <w:strike/>
          <w:color w:val="auto"/>
          <w:highlight w:val="none"/>
          <w:lang w:eastAsia="zh-CN"/>
        </w:rPr>
        <w:t>3.5.2“近年财务状况表”应附经会计师事务所或审计机构审计的财务会计报表，包括资产负债表、现金流量表、利润表和财务情况说明书的</w:t>
      </w:r>
      <w:r>
        <w:rPr>
          <w:rFonts w:hint="eastAsia"/>
          <w:strike/>
          <w:color w:val="auto"/>
          <w:highlight w:val="none"/>
          <w:lang w:eastAsia="zh-CN"/>
        </w:rPr>
        <w:t>扫描</w:t>
      </w:r>
      <w:r>
        <w:rPr>
          <w:strike/>
          <w:color w:val="auto"/>
          <w:highlight w:val="none"/>
          <w:lang w:eastAsia="zh-CN"/>
        </w:rPr>
        <w:t>件，具体年份要求见投标人须知前附表。投标人的成立时间少于投标人须知前附表规定年份的，应提供成立以来的财务状况表。</w:t>
      </w:r>
    </w:p>
    <w:p>
      <w:pPr>
        <w:pStyle w:val="8"/>
        <w:spacing w:line="360" w:lineRule="auto"/>
        <w:ind w:left="0" w:firstLine="420" w:firstLineChars="200"/>
        <w:jc w:val="both"/>
        <w:rPr>
          <w:strike/>
          <w:color w:val="auto"/>
          <w:highlight w:val="none"/>
          <w:lang w:eastAsia="zh-CN"/>
        </w:rPr>
      </w:pPr>
      <w:r>
        <w:rPr>
          <w:strike/>
          <w:color w:val="auto"/>
          <w:highlight w:val="none"/>
          <w:lang w:eastAsia="zh-CN"/>
        </w:rPr>
        <w:t>3.5.3“近年完成的类似设计项目情况表”应附中标通知书和（或）合同协议书、发包人出具的证明文件；具体时间要求见投标人须知前附表，每张表格只填写一个项目，并标明序号。</w:t>
      </w:r>
    </w:p>
    <w:p>
      <w:pPr>
        <w:pStyle w:val="8"/>
        <w:spacing w:line="360" w:lineRule="auto"/>
        <w:ind w:left="0" w:firstLine="420" w:firstLineChars="200"/>
        <w:jc w:val="both"/>
        <w:rPr>
          <w:strike/>
          <w:color w:val="auto"/>
          <w:highlight w:val="none"/>
          <w:lang w:eastAsia="zh-CN"/>
        </w:rPr>
      </w:pPr>
      <w:r>
        <w:rPr>
          <w:strike/>
          <w:color w:val="auto"/>
          <w:highlight w:val="none"/>
          <w:lang w:eastAsia="zh-CN"/>
        </w:rPr>
        <w:t>3.5.4“正在设计和新承接的项目情况表”应附中标通知书和（或）合同协议书</w:t>
      </w:r>
      <w:r>
        <w:rPr>
          <w:rFonts w:hint="eastAsia"/>
          <w:strike/>
          <w:color w:val="auto"/>
          <w:highlight w:val="none"/>
          <w:lang w:eastAsia="zh-CN"/>
        </w:rPr>
        <w:t>扫描</w:t>
      </w:r>
      <w:r>
        <w:rPr>
          <w:strike/>
          <w:color w:val="auto"/>
          <w:highlight w:val="none"/>
          <w:lang w:eastAsia="zh-CN"/>
        </w:rPr>
        <w:t>件。每张表格只填写一个项目，并标明序号。</w:t>
      </w:r>
    </w:p>
    <w:p>
      <w:pPr>
        <w:pStyle w:val="8"/>
        <w:spacing w:line="360" w:lineRule="auto"/>
        <w:ind w:left="0" w:firstLine="420" w:firstLineChars="200"/>
        <w:jc w:val="both"/>
        <w:rPr>
          <w:strike/>
          <w:color w:val="auto"/>
          <w:highlight w:val="none"/>
          <w:lang w:eastAsia="zh-CN"/>
        </w:rPr>
      </w:pPr>
      <w:r>
        <w:rPr>
          <w:strike/>
          <w:color w:val="auto"/>
          <w:highlight w:val="none"/>
          <w:lang w:eastAsia="zh-CN"/>
        </w:rPr>
        <w:t>3.5.5“近年发生的诉讼及仲裁情况”应说明投标人败诉的设计合同的相关情况，并附法院或仲裁机构作出的判决、裁决等有关法律文书</w:t>
      </w:r>
      <w:r>
        <w:rPr>
          <w:rFonts w:hint="eastAsia"/>
          <w:strike/>
          <w:color w:val="auto"/>
          <w:highlight w:val="none"/>
          <w:lang w:eastAsia="zh-CN"/>
        </w:rPr>
        <w:t>扫描</w:t>
      </w:r>
      <w:r>
        <w:rPr>
          <w:strike/>
          <w:color w:val="auto"/>
          <w:highlight w:val="none"/>
          <w:lang w:eastAsia="zh-CN"/>
        </w:rPr>
        <w:t>件，具体时间要求见投标人须知前附表。</w:t>
      </w:r>
    </w:p>
    <w:p>
      <w:pPr>
        <w:pStyle w:val="8"/>
        <w:spacing w:line="360" w:lineRule="auto"/>
        <w:ind w:left="0" w:firstLine="420" w:firstLineChars="200"/>
        <w:jc w:val="both"/>
        <w:rPr>
          <w:color w:val="auto"/>
          <w:highlight w:val="none"/>
          <w:lang w:eastAsia="zh-CN"/>
        </w:rPr>
      </w:pPr>
      <w:r>
        <w:rPr>
          <w:strike/>
          <w:color w:val="auto"/>
          <w:highlight w:val="none"/>
          <w:lang w:eastAsia="zh-CN"/>
        </w:rPr>
        <w:t>3.5.6“拟委任的主要人员汇总表”应填报满足本章第 1.4.1项规定的项目负责人和其他主要人员的相关信息。“主要人员简历表”中项目负责人应附身份证、学历证、职称证、执业资格证书和社保缴费证明</w:t>
      </w:r>
      <w:r>
        <w:rPr>
          <w:rFonts w:hint="eastAsia"/>
          <w:strike/>
          <w:color w:val="auto"/>
          <w:highlight w:val="none"/>
          <w:lang w:eastAsia="zh-CN"/>
        </w:rPr>
        <w:t>扫描</w:t>
      </w:r>
      <w:r>
        <w:rPr>
          <w:strike/>
          <w:color w:val="auto"/>
          <w:highlight w:val="none"/>
          <w:lang w:eastAsia="zh-CN"/>
        </w:rPr>
        <w:t>件，管理过的项目业绩须附合同协议书</w:t>
      </w:r>
      <w:r>
        <w:rPr>
          <w:rFonts w:hint="eastAsia"/>
          <w:strike/>
          <w:color w:val="auto"/>
          <w:highlight w:val="none"/>
          <w:lang w:eastAsia="zh-CN"/>
        </w:rPr>
        <w:t>扫描</w:t>
      </w:r>
      <w:r>
        <w:rPr>
          <w:strike/>
          <w:color w:val="auto"/>
          <w:highlight w:val="none"/>
          <w:lang w:eastAsia="zh-CN"/>
        </w:rPr>
        <w:t>件；其他主要人员应附身份证、学历证、职称证、有关证书和社保缴费证明</w:t>
      </w:r>
      <w:r>
        <w:rPr>
          <w:rFonts w:hint="eastAsia"/>
          <w:strike/>
          <w:color w:val="auto"/>
          <w:highlight w:val="none"/>
          <w:lang w:eastAsia="zh-CN"/>
        </w:rPr>
        <w:t>扫描</w:t>
      </w:r>
      <w:r>
        <w:rPr>
          <w:strike/>
          <w:color w:val="auto"/>
          <w:highlight w:val="none"/>
          <w:lang w:eastAsia="zh-CN"/>
        </w:rPr>
        <w:t>件。</w:t>
      </w:r>
    </w:p>
    <w:p>
      <w:pPr>
        <w:pStyle w:val="8"/>
        <w:spacing w:line="360" w:lineRule="auto"/>
        <w:ind w:left="0" w:firstLine="420" w:firstLineChars="200"/>
        <w:jc w:val="both"/>
        <w:rPr>
          <w:color w:val="auto"/>
          <w:highlight w:val="none"/>
          <w:lang w:eastAsia="zh-CN"/>
        </w:rPr>
      </w:pPr>
      <w:r>
        <w:rPr>
          <w:color w:val="auto"/>
          <w:highlight w:val="none"/>
          <w:lang w:eastAsia="zh-CN"/>
        </w:rPr>
        <w:t>3.5.7投标人须知前附表规定接受联合体投标的，本章第3.5.1项规定的表格和资料应包括联合体各方相关情况。</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3.6备选投标方案</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rFonts w:hint="eastAsia"/>
          <w:color w:val="auto"/>
          <w:highlight w:val="none"/>
          <w:lang w:eastAsia="zh-CN"/>
        </w:rPr>
        <w:t>不允许递交备选投标方案。</w:t>
      </w:r>
    </w:p>
    <w:p>
      <w:pPr>
        <w:pStyle w:val="8"/>
        <w:spacing w:line="360" w:lineRule="auto"/>
        <w:ind w:left="0" w:firstLine="420" w:firstLineChars="200"/>
        <w:jc w:val="both"/>
        <w:rPr>
          <w:strike/>
          <w:color w:val="auto"/>
          <w:highlight w:val="none"/>
          <w:lang w:eastAsia="zh-CN"/>
        </w:rPr>
      </w:pPr>
      <w:r>
        <w:rPr>
          <w:strike/>
          <w:color w:val="auto"/>
          <w:highlight w:val="none"/>
          <w:lang w:eastAsia="zh-CN"/>
        </w:rPr>
        <w:t>3.6.1除投标人须知前附表规定允许外，投标人不得递交备选投标方案，否则其投标将被否决。</w:t>
      </w:r>
    </w:p>
    <w:p>
      <w:pPr>
        <w:pStyle w:val="8"/>
        <w:spacing w:line="360" w:lineRule="auto"/>
        <w:ind w:left="0" w:firstLine="420" w:firstLineChars="200"/>
        <w:jc w:val="both"/>
        <w:rPr>
          <w:strike/>
          <w:color w:val="auto"/>
          <w:highlight w:val="none"/>
          <w:lang w:eastAsia="zh-CN"/>
        </w:rPr>
      </w:pPr>
      <w:r>
        <w:rPr>
          <w:strike/>
          <w:color w:val="auto"/>
          <w:highlight w:val="none"/>
          <w:lang w:eastAsia="zh-CN"/>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8"/>
        <w:spacing w:line="360" w:lineRule="auto"/>
        <w:ind w:left="0" w:firstLine="420" w:firstLineChars="200"/>
        <w:jc w:val="both"/>
        <w:rPr>
          <w:color w:val="auto"/>
          <w:highlight w:val="none"/>
          <w:lang w:eastAsia="zh-CN"/>
        </w:rPr>
      </w:pPr>
      <w:r>
        <w:rPr>
          <w:strike/>
          <w:color w:val="auto"/>
          <w:highlight w:val="none"/>
          <w:lang w:eastAsia="zh-CN"/>
        </w:rPr>
        <w:t>3.6.3投标人提供两个或两个以上投标报价，或者在投标文件中提供一个报价，但同时提供两个或两个以上勘察设计方案的，视为提供备选方案。</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3.7投标文件的编制</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3.7.1投标文件应按第六章“投标文件格式”进行编写，如有必要，可以增加附页，作为投标文件的组成部分。其中，</w:t>
      </w:r>
      <w:r>
        <w:rPr>
          <w:rFonts w:hint="eastAsia"/>
          <w:color w:val="auto"/>
          <w:highlight w:val="none"/>
          <w:lang w:eastAsia="zh-CN"/>
        </w:rPr>
        <w:t>投标书附录</w:t>
      </w:r>
      <w:r>
        <w:rPr>
          <w:color w:val="auto"/>
          <w:highlight w:val="none"/>
          <w:lang w:eastAsia="zh-CN"/>
        </w:rPr>
        <w:t>在满足招标文件实质性要求的基础上，可以提出比招标文件要求更有利于招标人的承诺。</w:t>
      </w:r>
    </w:p>
    <w:p>
      <w:pPr>
        <w:pStyle w:val="8"/>
        <w:spacing w:line="360" w:lineRule="auto"/>
        <w:ind w:left="0" w:firstLine="420" w:firstLineChars="200"/>
        <w:jc w:val="both"/>
        <w:rPr>
          <w:color w:val="auto"/>
          <w:highlight w:val="none"/>
          <w:lang w:eastAsia="zh-CN"/>
        </w:rPr>
      </w:pPr>
      <w:r>
        <w:rPr>
          <w:color w:val="auto"/>
          <w:highlight w:val="none"/>
          <w:lang w:eastAsia="zh-CN"/>
        </w:rPr>
        <w:t>3.7.2投标文件应当对招标文件有关设计服务期限、投标有效期、发包人要求、招标范围等实质性内容作出响应。</w:t>
      </w:r>
    </w:p>
    <w:p>
      <w:pPr>
        <w:pStyle w:val="8"/>
        <w:spacing w:line="360" w:lineRule="auto"/>
        <w:ind w:left="0" w:firstLine="420" w:firstLineChars="200"/>
        <w:jc w:val="both"/>
        <w:rPr>
          <w:strike/>
          <w:color w:val="auto"/>
          <w:highlight w:val="none"/>
          <w:lang w:eastAsia="zh-CN"/>
        </w:rPr>
      </w:pPr>
      <w:r>
        <w:rPr>
          <w:strike/>
          <w:color w:val="auto"/>
          <w:highlight w:val="none"/>
          <w:lang w:eastAsia="zh-CN"/>
        </w:rPr>
        <w:t>3.7.3（A）（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pStyle w:val="8"/>
        <w:spacing w:line="360" w:lineRule="auto"/>
        <w:ind w:left="0" w:firstLine="420" w:firstLineChars="200"/>
        <w:jc w:val="both"/>
        <w:rPr>
          <w:strike/>
          <w:color w:val="auto"/>
          <w:highlight w:val="none"/>
          <w:lang w:eastAsia="zh-CN"/>
        </w:rPr>
      </w:pPr>
      <w:r>
        <w:rPr>
          <w:strike/>
          <w:color w:val="auto"/>
          <w:highlight w:val="none"/>
          <w:lang w:eastAsia="zh-CN"/>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pStyle w:val="8"/>
        <w:spacing w:line="360" w:lineRule="auto"/>
        <w:ind w:left="0" w:firstLine="420" w:firstLineChars="200"/>
        <w:jc w:val="both"/>
        <w:rPr>
          <w:strike/>
          <w:color w:val="auto"/>
          <w:highlight w:val="none"/>
          <w:lang w:eastAsia="zh-CN"/>
        </w:rPr>
      </w:pPr>
      <w:r>
        <w:rPr>
          <w:strike/>
          <w:color w:val="auto"/>
          <w:highlight w:val="none"/>
          <w:lang w:eastAsia="zh-CN"/>
        </w:rPr>
        <w:t>（3）投标文件的正本与副本应分别装订，并编制目录，投标文件需分册装订的，具体分册装订要求见投标人须知前附表规定。</w:t>
      </w:r>
    </w:p>
    <w:p>
      <w:pPr>
        <w:pStyle w:val="8"/>
        <w:spacing w:line="360" w:lineRule="auto"/>
        <w:ind w:left="0" w:firstLine="420" w:firstLineChars="200"/>
        <w:jc w:val="both"/>
        <w:rPr>
          <w:color w:val="auto"/>
          <w:highlight w:val="none"/>
          <w:lang w:eastAsia="zh-CN"/>
        </w:rPr>
      </w:pPr>
      <w:r>
        <w:rPr>
          <w:color w:val="auto"/>
          <w:highlight w:val="none"/>
          <w:lang w:eastAsia="zh-CN"/>
        </w:rPr>
        <w:t>3.7.3（B）投标文件全部采用电子文档，除投标人须知前附表另有规定外，投标文件所附证书证件均为原件扫描件，并采用单位和个人数字证书，按招标文件要求在相应位置加盖电子印章</w:t>
      </w:r>
      <w:r>
        <w:rPr>
          <w:rFonts w:hint="eastAsia"/>
          <w:b/>
          <w:color w:val="auto"/>
          <w:highlight w:val="none"/>
          <w:u w:val="single"/>
          <w:lang w:eastAsia="zh-CN"/>
        </w:rPr>
        <w:t>（技术文件除外）</w:t>
      </w:r>
      <w:r>
        <w:rPr>
          <w:color w:val="auto"/>
          <w:highlight w:val="none"/>
          <w:lang w:eastAsia="zh-CN"/>
        </w:rPr>
        <w:t>。由投标人的法定代表人签字或加盖电子印章的，应附法定代表人身份证明，由代理人签字或加盖电子印章的，应附由法定代表人签署的授权委托书。签字或盖章的具体要求见投标人须知前附表。</w:t>
      </w:r>
    </w:p>
    <w:p>
      <w:pPr>
        <w:spacing w:line="360" w:lineRule="auto"/>
        <w:jc w:val="both"/>
        <w:rPr>
          <w:rFonts w:ascii="宋体" w:hAnsi="宋体" w:eastAsia="宋体"/>
          <w:color w:val="auto"/>
          <w:sz w:val="21"/>
          <w:szCs w:val="21"/>
          <w:highlight w:val="none"/>
          <w:lang w:eastAsia="zh-CN"/>
        </w:rPr>
      </w:pPr>
      <w:bookmarkStart w:id="20" w:name="_Toc25137985"/>
    </w:p>
    <w:p>
      <w:pPr>
        <w:pStyle w:val="3"/>
        <w:spacing w:line="443" w:lineRule="exact"/>
        <w:ind w:right="44"/>
        <w:jc w:val="both"/>
        <w:rPr>
          <w:rFonts w:ascii="宋体" w:hAnsi="宋体" w:eastAsia="宋体"/>
          <w:color w:val="auto"/>
          <w:sz w:val="21"/>
          <w:szCs w:val="21"/>
          <w:highlight w:val="none"/>
          <w:lang w:eastAsia="zh-CN"/>
        </w:rPr>
      </w:pPr>
      <w:bookmarkStart w:id="21" w:name="_Toc109809425"/>
      <w:bookmarkStart w:id="22" w:name="_Toc109809386"/>
      <w:r>
        <w:rPr>
          <w:rFonts w:ascii="宋体" w:hAnsi="宋体" w:eastAsia="宋体"/>
          <w:color w:val="auto"/>
          <w:sz w:val="21"/>
          <w:szCs w:val="21"/>
          <w:highlight w:val="none"/>
          <w:lang w:eastAsia="zh-CN"/>
        </w:rPr>
        <w:t>4. 投标</w:t>
      </w:r>
      <w:bookmarkEnd w:id="20"/>
      <w:bookmarkEnd w:id="21"/>
      <w:bookmarkEnd w:id="22"/>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4.1投标文件的密封和标记</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strike/>
          <w:color w:val="auto"/>
          <w:highlight w:val="none"/>
          <w:lang w:eastAsia="zh-CN"/>
        </w:rPr>
      </w:pPr>
      <w:r>
        <w:rPr>
          <w:strike/>
          <w:color w:val="auto"/>
          <w:highlight w:val="none"/>
          <w:lang w:eastAsia="zh-CN"/>
        </w:rPr>
        <w:t>4.1.1（A）投标文件应密封包装，并在封套的封口处加盖投标人单位章或由投标人的法定代表人或其授权的代理人签字。</w:t>
      </w:r>
    </w:p>
    <w:p>
      <w:pPr>
        <w:pStyle w:val="8"/>
        <w:spacing w:line="360" w:lineRule="auto"/>
        <w:ind w:left="0" w:firstLine="420" w:firstLineChars="200"/>
        <w:jc w:val="both"/>
        <w:rPr>
          <w:color w:val="auto"/>
          <w:highlight w:val="none"/>
          <w:lang w:eastAsia="zh-CN"/>
        </w:rPr>
      </w:pPr>
      <w:r>
        <w:rPr>
          <w:color w:val="auto"/>
          <w:highlight w:val="none"/>
          <w:lang w:eastAsia="zh-CN"/>
        </w:rPr>
        <w:t>4.1.1（B）投标人应当按照招标文件和电子招标投标交易平台的要求加密投标文件，具体要求见投标人须知前附表。</w:t>
      </w:r>
    </w:p>
    <w:p>
      <w:pPr>
        <w:pStyle w:val="8"/>
        <w:spacing w:line="360" w:lineRule="auto"/>
        <w:ind w:left="0" w:firstLine="420" w:firstLineChars="200"/>
        <w:jc w:val="both"/>
        <w:rPr>
          <w:color w:val="auto"/>
          <w:highlight w:val="none"/>
          <w:lang w:eastAsia="zh-CN"/>
        </w:rPr>
      </w:pPr>
      <w:r>
        <w:rPr>
          <w:color w:val="auto"/>
          <w:highlight w:val="none"/>
          <w:lang w:eastAsia="zh-CN"/>
        </w:rPr>
        <w:t>4.1.2投标文件</w:t>
      </w:r>
      <w:r>
        <w:rPr>
          <w:rFonts w:hint="eastAsia"/>
          <w:b/>
          <w:color w:val="auto"/>
          <w:highlight w:val="none"/>
          <w:u w:val="single"/>
          <w:lang w:eastAsia="zh-CN"/>
        </w:rPr>
        <w:t>备用光盘</w:t>
      </w:r>
      <w:r>
        <w:rPr>
          <w:color w:val="auto"/>
          <w:highlight w:val="none"/>
          <w:lang w:eastAsia="zh-CN"/>
        </w:rPr>
        <w:t>封套上应写明的内容见投标人须知前附表。</w:t>
      </w:r>
    </w:p>
    <w:p>
      <w:pPr>
        <w:pStyle w:val="8"/>
        <w:spacing w:line="360" w:lineRule="auto"/>
        <w:ind w:left="0" w:firstLine="420" w:firstLineChars="200"/>
        <w:jc w:val="both"/>
        <w:rPr>
          <w:color w:val="auto"/>
          <w:highlight w:val="none"/>
          <w:lang w:eastAsia="zh-CN"/>
        </w:rPr>
      </w:pPr>
      <w:r>
        <w:rPr>
          <w:color w:val="auto"/>
          <w:highlight w:val="none"/>
          <w:lang w:eastAsia="zh-CN"/>
        </w:rPr>
        <w:t>4.1.3未按本章第 4.1.1项要求密封的投标文件，招标人将予以拒收。</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4.2投标文件的递交</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4.2.1投标人应在投标人须知前附表规定的投标截止时间前递交投标文件。</w:t>
      </w:r>
    </w:p>
    <w:p>
      <w:pPr>
        <w:pStyle w:val="8"/>
        <w:spacing w:line="360" w:lineRule="auto"/>
        <w:ind w:left="0" w:firstLine="420" w:firstLineChars="200"/>
        <w:jc w:val="both"/>
        <w:rPr>
          <w:strike/>
          <w:color w:val="auto"/>
          <w:highlight w:val="none"/>
          <w:lang w:eastAsia="zh-CN"/>
        </w:rPr>
      </w:pPr>
      <w:r>
        <w:rPr>
          <w:strike/>
          <w:color w:val="auto"/>
          <w:highlight w:val="none"/>
          <w:lang w:eastAsia="zh-CN"/>
        </w:rPr>
        <w:t>4.2.2（A）投标人递交投标文件的地点：见投标人须知前附表。</w:t>
      </w:r>
    </w:p>
    <w:p>
      <w:pPr>
        <w:pStyle w:val="8"/>
        <w:spacing w:line="360" w:lineRule="auto"/>
        <w:ind w:left="0" w:firstLine="420" w:firstLineChars="200"/>
        <w:jc w:val="both"/>
        <w:rPr>
          <w:color w:val="auto"/>
          <w:highlight w:val="none"/>
          <w:lang w:eastAsia="zh-CN"/>
        </w:rPr>
      </w:pPr>
      <w:r>
        <w:rPr>
          <w:color w:val="auto"/>
          <w:highlight w:val="none"/>
          <w:lang w:eastAsia="zh-CN"/>
        </w:rPr>
        <w:t>4.2.2（B）投标人通过下载招标文件的电子招标投标交易平台递交电子投标文件。</w:t>
      </w:r>
    </w:p>
    <w:p>
      <w:pPr>
        <w:pStyle w:val="8"/>
        <w:spacing w:line="360" w:lineRule="auto"/>
        <w:ind w:left="0" w:firstLine="420" w:firstLineChars="200"/>
        <w:jc w:val="both"/>
        <w:rPr>
          <w:color w:val="auto"/>
          <w:highlight w:val="none"/>
          <w:lang w:eastAsia="zh-CN"/>
        </w:rPr>
      </w:pPr>
      <w:r>
        <w:rPr>
          <w:color w:val="auto"/>
          <w:highlight w:val="none"/>
          <w:lang w:eastAsia="zh-CN"/>
        </w:rPr>
        <w:t>4.2.3除投标人须知前附表另有规定外，投标人所递交的投标文件不予退还。</w:t>
      </w:r>
    </w:p>
    <w:p>
      <w:pPr>
        <w:pStyle w:val="8"/>
        <w:spacing w:line="360" w:lineRule="auto"/>
        <w:ind w:left="0" w:firstLine="420" w:firstLineChars="200"/>
        <w:jc w:val="both"/>
        <w:rPr>
          <w:strike/>
          <w:color w:val="auto"/>
          <w:highlight w:val="none"/>
          <w:lang w:eastAsia="zh-CN"/>
        </w:rPr>
      </w:pPr>
      <w:r>
        <w:rPr>
          <w:strike/>
          <w:color w:val="auto"/>
          <w:highlight w:val="none"/>
          <w:lang w:eastAsia="zh-CN"/>
        </w:rPr>
        <w:t>4.2.4（A）招标人收到投标文件后，向投标人出具签收凭证。</w:t>
      </w:r>
    </w:p>
    <w:p>
      <w:pPr>
        <w:pStyle w:val="8"/>
        <w:spacing w:line="360" w:lineRule="auto"/>
        <w:ind w:left="0" w:firstLine="420" w:firstLineChars="200"/>
        <w:jc w:val="both"/>
        <w:rPr>
          <w:color w:val="auto"/>
          <w:highlight w:val="none"/>
          <w:lang w:eastAsia="zh-CN"/>
        </w:rPr>
      </w:pPr>
      <w:r>
        <w:rPr>
          <w:color w:val="auto"/>
          <w:highlight w:val="none"/>
          <w:lang w:eastAsia="zh-CN"/>
        </w:rPr>
        <w:t>4.2.4（B）投标人完成电子投标文件上传后，电子招标投标交易平台即时向投标人发出递交回执通知。递交时间以递交回执通知载明的传输完成时间为准。</w:t>
      </w:r>
    </w:p>
    <w:p>
      <w:pPr>
        <w:pStyle w:val="8"/>
        <w:spacing w:line="360" w:lineRule="auto"/>
        <w:ind w:left="0" w:firstLine="420" w:firstLineChars="200"/>
        <w:jc w:val="both"/>
        <w:rPr>
          <w:strike/>
          <w:color w:val="auto"/>
          <w:highlight w:val="none"/>
          <w:lang w:eastAsia="zh-CN"/>
        </w:rPr>
      </w:pPr>
      <w:r>
        <w:rPr>
          <w:strike/>
          <w:color w:val="auto"/>
          <w:highlight w:val="none"/>
          <w:lang w:eastAsia="zh-CN"/>
        </w:rPr>
        <w:t>4.2.5（A）逾期送达的投标文件，招标人将予以拒收。</w:t>
      </w:r>
    </w:p>
    <w:p>
      <w:pPr>
        <w:pStyle w:val="8"/>
        <w:spacing w:line="360" w:lineRule="auto"/>
        <w:ind w:left="0" w:firstLine="420" w:firstLineChars="200"/>
        <w:jc w:val="both"/>
        <w:rPr>
          <w:color w:val="auto"/>
          <w:highlight w:val="none"/>
          <w:lang w:eastAsia="zh-CN"/>
        </w:rPr>
      </w:pPr>
      <w:r>
        <w:rPr>
          <w:color w:val="auto"/>
          <w:highlight w:val="none"/>
          <w:lang w:eastAsia="zh-CN"/>
        </w:rPr>
        <w:t>4.2.5（B）逾期送达的投标文件，电子招标投标交易平台将予以拒收。</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4.3投标文件的修改与撤回</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4.3.1在本章第 4.2.1项规定的投标截止时间前，投标人可以修改或撤回已递交的投标文件，但应以书面形式通知招标人。</w:t>
      </w:r>
    </w:p>
    <w:p>
      <w:pPr>
        <w:pStyle w:val="8"/>
        <w:spacing w:line="360" w:lineRule="auto"/>
        <w:ind w:left="0" w:firstLine="420" w:firstLineChars="200"/>
        <w:jc w:val="both"/>
        <w:rPr>
          <w:strike/>
          <w:color w:val="auto"/>
          <w:highlight w:val="none"/>
          <w:lang w:eastAsia="zh-CN"/>
        </w:rPr>
      </w:pPr>
      <w:r>
        <w:rPr>
          <w:strike/>
          <w:color w:val="auto"/>
          <w:highlight w:val="none"/>
          <w:lang w:eastAsia="zh-CN"/>
        </w:rPr>
        <w:t>4.3.2（A）投标人修改或撤回已递交投标文件的书面通知应按照本章第3.7.3（A）项的要求签字或盖章。招标人收到书面通知后，向投标人出具签收凭证。</w:t>
      </w:r>
    </w:p>
    <w:p>
      <w:pPr>
        <w:pStyle w:val="8"/>
        <w:spacing w:line="360" w:lineRule="auto"/>
        <w:ind w:left="0" w:firstLine="420" w:firstLineChars="200"/>
        <w:jc w:val="both"/>
        <w:rPr>
          <w:color w:val="auto"/>
          <w:highlight w:val="none"/>
          <w:lang w:eastAsia="zh-CN"/>
        </w:rPr>
      </w:pPr>
      <w:r>
        <w:rPr>
          <w:color w:val="auto"/>
          <w:highlight w:val="none"/>
          <w:lang w:eastAsia="zh-CN"/>
        </w:rPr>
        <w:t>4.3.2（B）投标人修改或撤回已递交投标文件的通知，应按照本章第3.7.3（B）项的要求加盖电子印章。电子招标投标交易平台收到通知后，即时向投标人发出确认回执通知。</w:t>
      </w:r>
    </w:p>
    <w:p>
      <w:pPr>
        <w:pStyle w:val="8"/>
        <w:spacing w:line="360" w:lineRule="auto"/>
        <w:ind w:left="0" w:firstLine="420" w:firstLineChars="200"/>
        <w:jc w:val="both"/>
        <w:rPr>
          <w:strike/>
          <w:color w:val="auto"/>
          <w:highlight w:val="none"/>
          <w:lang w:eastAsia="zh-CN"/>
        </w:rPr>
      </w:pPr>
      <w:r>
        <w:rPr>
          <w:strike/>
          <w:color w:val="auto"/>
          <w:highlight w:val="none"/>
          <w:lang w:eastAsia="zh-CN"/>
        </w:rPr>
        <w:t>4.3.3投标人撤回投标文件的，招标人自收到投标人书面撤回通知之日起 5日内退还已收取的投标保证金。</w:t>
      </w:r>
    </w:p>
    <w:p>
      <w:pPr>
        <w:pStyle w:val="8"/>
        <w:spacing w:line="360" w:lineRule="auto"/>
        <w:ind w:left="0" w:firstLine="420" w:firstLineChars="200"/>
        <w:jc w:val="both"/>
        <w:rPr>
          <w:color w:val="auto"/>
          <w:highlight w:val="none"/>
          <w:lang w:eastAsia="zh-CN"/>
        </w:rPr>
      </w:pPr>
      <w:r>
        <w:rPr>
          <w:color w:val="auto"/>
          <w:highlight w:val="none"/>
          <w:lang w:eastAsia="zh-CN"/>
        </w:rPr>
        <w:t>4.3.4修改的内容为投标文件的组成部分。修改的投标文件应按照本章第3条、第4条的规定进行编制、密封、标记和递交，并标明“修改”字样。</w:t>
      </w:r>
    </w:p>
    <w:p>
      <w:pPr>
        <w:spacing w:line="360" w:lineRule="auto"/>
        <w:jc w:val="both"/>
        <w:rPr>
          <w:rFonts w:ascii="宋体" w:hAnsi="宋体" w:eastAsia="宋体"/>
          <w:color w:val="auto"/>
          <w:sz w:val="21"/>
          <w:szCs w:val="21"/>
          <w:highlight w:val="none"/>
          <w:lang w:eastAsia="zh-CN"/>
        </w:rPr>
      </w:pPr>
      <w:bookmarkStart w:id="23" w:name="_Toc25137986"/>
    </w:p>
    <w:p>
      <w:pPr>
        <w:pStyle w:val="3"/>
        <w:spacing w:line="443" w:lineRule="exact"/>
        <w:ind w:right="44"/>
        <w:jc w:val="both"/>
        <w:rPr>
          <w:rFonts w:ascii="宋体" w:hAnsi="宋体" w:eastAsia="宋体"/>
          <w:color w:val="auto"/>
          <w:sz w:val="21"/>
          <w:szCs w:val="21"/>
          <w:highlight w:val="none"/>
          <w:lang w:eastAsia="zh-CN"/>
        </w:rPr>
      </w:pPr>
      <w:bookmarkStart w:id="24" w:name="_Toc109809426"/>
      <w:bookmarkStart w:id="25" w:name="_Toc109809387"/>
      <w:r>
        <w:rPr>
          <w:rFonts w:ascii="宋体" w:hAnsi="宋体" w:eastAsia="宋体"/>
          <w:color w:val="auto"/>
          <w:sz w:val="21"/>
          <w:szCs w:val="21"/>
          <w:highlight w:val="none"/>
          <w:lang w:eastAsia="zh-CN"/>
        </w:rPr>
        <w:t>5. 开标</w:t>
      </w:r>
      <w:bookmarkEnd w:id="23"/>
      <w:bookmarkEnd w:id="24"/>
      <w:bookmarkEnd w:id="25"/>
    </w:p>
    <w:p>
      <w:pPr>
        <w:spacing w:line="360" w:lineRule="auto"/>
        <w:jc w:val="both"/>
        <w:rPr>
          <w:rFonts w:ascii="宋体" w:hAnsi="宋体" w:eastAsia="宋体"/>
          <w:color w:val="auto"/>
          <w:sz w:val="21"/>
          <w:szCs w:val="21"/>
          <w:highlight w:val="none"/>
          <w:lang w:eastAsia="zh-CN"/>
        </w:rPr>
      </w:pPr>
    </w:p>
    <w:p>
      <w:pPr>
        <w:pStyle w:val="4"/>
        <w:ind w:right="44"/>
        <w:jc w:val="both"/>
        <w:rPr>
          <w:b/>
          <w:bCs/>
          <w:strike/>
          <w:color w:val="auto"/>
          <w:sz w:val="21"/>
          <w:szCs w:val="21"/>
          <w:highlight w:val="none"/>
          <w:lang w:eastAsia="zh-CN"/>
        </w:rPr>
      </w:pPr>
      <w:r>
        <w:rPr>
          <w:b/>
          <w:bCs/>
          <w:strike/>
          <w:color w:val="auto"/>
          <w:sz w:val="21"/>
          <w:szCs w:val="21"/>
          <w:highlight w:val="none"/>
          <w:lang w:eastAsia="zh-CN"/>
        </w:rPr>
        <w:t>5.1开标时间和地点（A）</w:t>
      </w:r>
    </w:p>
    <w:p>
      <w:pPr>
        <w:spacing w:line="360" w:lineRule="auto"/>
        <w:jc w:val="both"/>
        <w:rPr>
          <w:rFonts w:ascii="宋体" w:hAnsi="宋体" w:eastAsia="宋体"/>
          <w:strike/>
          <w:color w:val="auto"/>
          <w:sz w:val="21"/>
          <w:szCs w:val="21"/>
          <w:highlight w:val="none"/>
          <w:lang w:eastAsia="zh-CN"/>
        </w:rPr>
      </w:pPr>
    </w:p>
    <w:p>
      <w:pPr>
        <w:pStyle w:val="8"/>
        <w:spacing w:line="360" w:lineRule="auto"/>
        <w:ind w:left="0" w:firstLine="420" w:firstLineChars="200"/>
        <w:jc w:val="both"/>
        <w:rPr>
          <w:strike/>
          <w:color w:val="auto"/>
          <w:highlight w:val="none"/>
          <w:lang w:eastAsia="zh-CN"/>
        </w:rPr>
      </w:pPr>
      <w:r>
        <w:rPr>
          <w:strike/>
          <w:color w:val="auto"/>
          <w:highlight w:val="none"/>
          <w:lang w:eastAsia="zh-CN"/>
        </w:rPr>
        <w:t>招标人在本章第 4.2.1项规定的投标截止时间（开标时间）和投标人须知前附表规定的地点公开开标，并邀请所有投标人的法定代表人或其委托代理人准时参加。</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5.1开标时间和地点（B）</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招标人在本章第 4.2.1项规定的投标截止时间（开标时间）</w:t>
      </w:r>
      <w:r>
        <w:rPr>
          <w:rFonts w:hint="eastAsia"/>
          <w:color w:val="auto"/>
          <w:highlight w:val="none"/>
          <w:lang w:eastAsia="zh-CN"/>
        </w:rPr>
        <w:t>，</w:t>
      </w:r>
      <w:r>
        <w:rPr>
          <w:color w:val="auto"/>
          <w:highlight w:val="none"/>
          <w:lang w:eastAsia="zh-CN"/>
        </w:rPr>
        <w:t>通过电子招标投标交易平台公开开标，所有投标人的法定代表人或其委托代理人应当准时参加</w:t>
      </w:r>
      <w:r>
        <w:rPr>
          <w:rFonts w:hint="eastAsia"/>
          <w:color w:val="auto"/>
          <w:highlight w:val="none"/>
          <w:u w:val="single"/>
          <w:lang w:eastAsia="zh-CN"/>
        </w:rPr>
        <w:t>，也可不参加，不参加视为默认开标结果。</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5.2开标程序</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u w:val="none"/>
          <w:lang w:eastAsia="zh-CN"/>
        </w:rPr>
      </w:pPr>
      <w:r>
        <w:rPr>
          <w:color w:val="auto"/>
          <w:highlight w:val="none"/>
          <w:u w:val="none"/>
          <w:lang w:eastAsia="zh-CN"/>
        </w:rPr>
        <w:t>主持人按下列程序进行开标：</w:t>
      </w:r>
    </w:p>
    <w:p>
      <w:pPr>
        <w:pStyle w:val="8"/>
        <w:spacing w:line="360" w:lineRule="auto"/>
        <w:ind w:firstLine="420" w:firstLineChars="200"/>
        <w:jc w:val="both"/>
        <w:rPr>
          <w:color w:val="auto"/>
          <w:highlight w:val="none"/>
          <w:u w:val="none"/>
          <w:lang w:eastAsia="zh-CN"/>
        </w:rPr>
      </w:pPr>
      <w:r>
        <w:rPr>
          <w:rFonts w:hint="eastAsia"/>
          <w:color w:val="auto"/>
          <w:highlight w:val="none"/>
          <w:u w:val="none"/>
          <w:lang w:eastAsia="zh-CN"/>
        </w:rPr>
        <w:t>（</w:t>
      </w:r>
      <w:r>
        <w:rPr>
          <w:color w:val="auto"/>
          <w:highlight w:val="none"/>
          <w:u w:val="none"/>
          <w:lang w:eastAsia="zh-CN"/>
        </w:rPr>
        <w:t>1</w:t>
      </w:r>
      <w:r>
        <w:rPr>
          <w:rFonts w:hint="eastAsia"/>
          <w:color w:val="auto"/>
          <w:highlight w:val="none"/>
          <w:u w:val="none"/>
          <w:lang w:eastAsia="zh-CN"/>
        </w:rPr>
        <w:t>）宣布开标纪律；</w:t>
      </w:r>
    </w:p>
    <w:p>
      <w:pPr>
        <w:pStyle w:val="8"/>
        <w:spacing w:line="360" w:lineRule="auto"/>
        <w:ind w:firstLine="420" w:firstLineChars="200"/>
        <w:jc w:val="both"/>
        <w:rPr>
          <w:color w:val="auto"/>
          <w:highlight w:val="none"/>
          <w:u w:val="none"/>
          <w:lang w:eastAsia="zh-CN"/>
        </w:rPr>
      </w:pPr>
      <w:r>
        <w:rPr>
          <w:rFonts w:hint="eastAsia"/>
          <w:color w:val="auto"/>
          <w:highlight w:val="none"/>
          <w:u w:val="none"/>
          <w:lang w:eastAsia="zh-CN"/>
        </w:rPr>
        <w:t>（</w:t>
      </w:r>
      <w:r>
        <w:rPr>
          <w:color w:val="auto"/>
          <w:highlight w:val="none"/>
          <w:u w:val="none"/>
          <w:lang w:eastAsia="zh-CN"/>
        </w:rPr>
        <w:t>2</w:t>
      </w:r>
      <w:r>
        <w:rPr>
          <w:rFonts w:hint="eastAsia"/>
          <w:color w:val="auto"/>
          <w:highlight w:val="none"/>
          <w:u w:val="none"/>
          <w:lang w:eastAsia="zh-CN"/>
        </w:rPr>
        <w:t>）招标代理（招标人）登录交易平台</w:t>
      </w:r>
      <w:r>
        <w:rPr>
          <w:color w:val="auto"/>
          <w:highlight w:val="none"/>
          <w:u w:val="none"/>
          <w:lang w:eastAsia="zh-CN"/>
        </w:rPr>
        <w:t>-</w:t>
      </w:r>
      <w:r>
        <w:rPr>
          <w:rFonts w:hint="eastAsia"/>
          <w:color w:val="auto"/>
          <w:highlight w:val="none"/>
          <w:u w:val="none"/>
          <w:lang w:eastAsia="zh-CN"/>
        </w:rPr>
        <w:t>数字开标系统，公布在投标截止时间前递交投标文件的投标人名称；</w:t>
      </w:r>
    </w:p>
    <w:p>
      <w:pPr>
        <w:pStyle w:val="8"/>
        <w:spacing w:line="360" w:lineRule="auto"/>
        <w:ind w:firstLine="420" w:firstLineChars="200"/>
        <w:jc w:val="both"/>
        <w:rPr>
          <w:color w:val="auto"/>
          <w:highlight w:val="none"/>
          <w:u w:val="none"/>
          <w:lang w:eastAsia="zh-CN"/>
        </w:rPr>
      </w:pPr>
      <w:r>
        <w:rPr>
          <w:rFonts w:hint="eastAsia"/>
          <w:color w:val="auto"/>
          <w:highlight w:val="none"/>
          <w:u w:val="none"/>
          <w:lang w:eastAsia="zh-CN"/>
        </w:rPr>
        <w:t>（</w:t>
      </w:r>
      <w:r>
        <w:rPr>
          <w:color w:val="auto"/>
          <w:highlight w:val="none"/>
          <w:u w:val="none"/>
          <w:lang w:eastAsia="zh-CN"/>
        </w:rPr>
        <w:t>3</w:t>
      </w:r>
      <w:r>
        <w:rPr>
          <w:rFonts w:hint="eastAsia"/>
          <w:color w:val="auto"/>
          <w:highlight w:val="none"/>
          <w:u w:val="none"/>
          <w:lang w:eastAsia="zh-CN"/>
        </w:rPr>
        <w:t>）宣布开标人、唱标人、记录人、监标人等有关人员姓名；</w:t>
      </w:r>
    </w:p>
    <w:p>
      <w:pPr>
        <w:pStyle w:val="8"/>
        <w:spacing w:line="360" w:lineRule="auto"/>
        <w:ind w:firstLine="420" w:firstLineChars="200"/>
        <w:jc w:val="both"/>
        <w:rPr>
          <w:color w:val="auto"/>
          <w:highlight w:val="none"/>
          <w:u w:val="none"/>
          <w:lang w:eastAsia="zh-CN"/>
        </w:rPr>
      </w:pPr>
      <w:r>
        <w:rPr>
          <w:rFonts w:hint="eastAsia"/>
          <w:color w:val="auto"/>
          <w:highlight w:val="none"/>
          <w:u w:val="none"/>
          <w:lang w:eastAsia="zh-CN"/>
        </w:rPr>
        <w:t>（</w:t>
      </w:r>
      <w:r>
        <w:rPr>
          <w:color w:val="auto"/>
          <w:highlight w:val="none"/>
          <w:u w:val="none"/>
          <w:lang w:eastAsia="zh-CN"/>
        </w:rPr>
        <w:t>4</w:t>
      </w:r>
      <w:r>
        <w:rPr>
          <w:rFonts w:hint="eastAsia"/>
          <w:color w:val="auto"/>
          <w:highlight w:val="none"/>
          <w:u w:val="none"/>
          <w:lang w:eastAsia="zh-CN"/>
        </w:rPr>
        <w:t>）（</w:t>
      </w:r>
      <w:r>
        <w:rPr>
          <w:color w:val="auto"/>
          <w:highlight w:val="none"/>
          <w:u w:val="none"/>
          <w:lang w:eastAsia="zh-CN"/>
        </w:rPr>
        <w:t>B</w:t>
      </w:r>
      <w:r>
        <w:rPr>
          <w:rFonts w:hint="eastAsia"/>
          <w:color w:val="auto"/>
          <w:highlight w:val="none"/>
          <w:u w:val="none"/>
          <w:lang w:eastAsia="zh-CN"/>
        </w:rPr>
        <w:t>）投标人登录交易平台</w:t>
      </w:r>
      <w:r>
        <w:rPr>
          <w:color w:val="auto"/>
          <w:highlight w:val="none"/>
          <w:u w:val="none"/>
          <w:lang w:eastAsia="zh-CN"/>
        </w:rPr>
        <w:t>-</w:t>
      </w:r>
      <w:r>
        <w:rPr>
          <w:rFonts w:hint="eastAsia"/>
          <w:color w:val="auto"/>
          <w:highlight w:val="none"/>
          <w:u w:val="none"/>
          <w:lang w:eastAsia="zh-CN"/>
        </w:rPr>
        <w:t>数字开标系统，输入</w:t>
      </w:r>
      <w:r>
        <w:rPr>
          <w:color w:val="auto"/>
          <w:highlight w:val="none"/>
          <w:u w:val="none"/>
          <w:lang w:eastAsia="zh-CN"/>
        </w:rPr>
        <w:t>CA</w:t>
      </w:r>
      <w:r>
        <w:rPr>
          <w:rFonts w:hint="eastAsia"/>
          <w:color w:val="auto"/>
          <w:highlight w:val="none"/>
          <w:u w:val="none"/>
          <w:lang w:eastAsia="zh-CN"/>
        </w:rPr>
        <w:t>密码对已递交的电子投标文件进行解密，所有投标人需要在招标时设定的投标文件解密截止时间内进行解密，投标文件解密截止时间后不能再进行解密操作；</w:t>
      </w:r>
    </w:p>
    <w:p>
      <w:pPr>
        <w:pStyle w:val="8"/>
        <w:spacing w:line="360" w:lineRule="auto"/>
        <w:ind w:firstLine="420" w:firstLineChars="200"/>
        <w:jc w:val="both"/>
        <w:rPr>
          <w:color w:val="auto"/>
          <w:highlight w:val="none"/>
          <w:u w:val="none"/>
          <w:lang w:eastAsia="zh-CN"/>
        </w:rPr>
      </w:pPr>
      <w:r>
        <w:rPr>
          <w:rFonts w:hint="eastAsia"/>
          <w:color w:val="auto"/>
          <w:highlight w:val="none"/>
          <w:u w:val="none"/>
          <w:lang w:eastAsia="zh-CN"/>
        </w:rPr>
        <w:t>所有投标人都已解密完成，或到了投标文件解密截止时间后，招标代理（招标人）可进行</w:t>
      </w:r>
      <w:r>
        <w:rPr>
          <w:color w:val="auto"/>
          <w:highlight w:val="none"/>
          <w:u w:val="none"/>
          <w:lang w:eastAsia="zh-CN"/>
        </w:rPr>
        <w:t>“</w:t>
      </w:r>
      <w:r>
        <w:rPr>
          <w:rFonts w:hint="eastAsia"/>
          <w:color w:val="auto"/>
          <w:highlight w:val="none"/>
          <w:u w:val="none"/>
          <w:lang w:eastAsia="zh-CN"/>
        </w:rPr>
        <w:t>招标人解密操作</w:t>
      </w:r>
      <w:r>
        <w:rPr>
          <w:color w:val="auto"/>
          <w:highlight w:val="none"/>
          <w:u w:val="none"/>
          <w:lang w:eastAsia="zh-CN"/>
        </w:rPr>
        <w:t>”</w:t>
      </w:r>
      <w:r>
        <w:rPr>
          <w:rFonts w:hint="eastAsia"/>
          <w:color w:val="auto"/>
          <w:highlight w:val="none"/>
          <w:u w:val="none"/>
          <w:lang w:eastAsia="zh-CN"/>
        </w:rPr>
        <w:t>，解密操作同样需要进行</w:t>
      </w:r>
      <w:r>
        <w:rPr>
          <w:color w:val="auto"/>
          <w:highlight w:val="none"/>
          <w:u w:val="none"/>
          <w:lang w:eastAsia="zh-CN"/>
        </w:rPr>
        <w:t>CA</w:t>
      </w:r>
      <w:r>
        <w:rPr>
          <w:rFonts w:hint="eastAsia"/>
          <w:color w:val="auto"/>
          <w:highlight w:val="none"/>
          <w:u w:val="none"/>
          <w:lang w:eastAsia="zh-CN"/>
        </w:rPr>
        <w:t>验证；</w:t>
      </w:r>
    </w:p>
    <w:p>
      <w:pPr>
        <w:pStyle w:val="8"/>
        <w:spacing w:line="360" w:lineRule="auto"/>
        <w:ind w:firstLine="420" w:firstLineChars="200"/>
        <w:jc w:val="both"/>
        <w:rPr>
          <w:color w:val="auto"/>
          <w:highlight w:val="none"/>
          <w:u w:val="none"/>
          <w:lang w:eastAsia="zh-CN"/>
        </w:rPr>
      </w:pPr>
      <w:r>
        <w:rPr>
          <w:rFonts w:hint="eastAsia"/>
          <w:color w:val="auto"/>
          <w:highlight w:val="none"/>
          <w:u w:val="none"/>
          <w:lang w:eastAsia="zh-CN"/>
        </w:rPr>
        <w:t>投标人、招标代理（招标人）完成解密后，招标代理开启电子唱标，公布招标项目名称、投标人名称、</w:t>
      </w:r>
      <w:r>
        <w:rPr>
          <w:rFonts w:hint="eastAsia"/>
          <w:strike/>
          <w:color w:val="auto"/>
          <w:highlight w:val="none"/>
          <w:u w:val="none"/>
          <w:lang w:eastAsia="zh-CN"/>
        </w:rPr>
        <w:t>投标保证金的递交情况、</w:t>
      </w:r>
      <w:r>
        <w:rPr>
          <w:rFonts w:hint="eastAsia"/>
          <w:color w:val="auto"/>
          <w:highlight w:val="none"/>
          <w:u w:val="none"/>
          <w:lang w:eastAsia="zh-CN"/>
        </w:rPr>
        <w:t>投标报价、服务期限及其他内容，并记录在案；</w:t>
      </w:r>
    </w:p>
    <w:p>
      <w:pPr>
        <w:pStyle w:val="8"/>
        <w:spacing w:line="360" w:lineRule="auto"/>
        <w:ind w:firstLine="420" w:firstLineChars="200"/>
        <w:jc w:val="both"/>
        <w:rPr>
          <w:color w:val="auto"/>
          <w:highlight w:val="none"/>
          <w:u w:val="none"/>
          <w:lang w:eastAsia="zh-CN"/>
        </w:rPr>
      </w:pPr>
      <w:r>
        <w:rPr>
          <w:rFonts w:hint="eastAsia"/>
          <w:color w:val="auto"/>
          <w:highlight w:val="none"/>
          <w:u w:val="none"/>
          <w:lang w:eastAsia="zh-CN"/>
        </w:rPr>
        <w:t>唱标结束后，招标代理须开启</w:t>
      </w:r>
      <w:r>
        <w:rPr>
          <w:color w:val="auto"/>
          <w:highlight w:val="none"/>
          <w:u w:val="none"/>
          <w:lang w:eastAsia="zh-CN"/>
        </w:rPr>
        <w:t>“</w:t>
      </w:r>
      <w:r>
        <w:rPr>
          <w:rFonts w:hint="eastAsia"/>
          <w:color w:val="auto"/>
          <w:highlight w:val="none"/>
          <w:u w:val="none"/>
          <w:lang w:eastAsia="zh-CN"/>
        </w:rPr>
        <w:t>开始异议</w:t>
      </w:r>
      <w:r>
        <w:rPr>
          <w:color w:val="auto"/>
          <w:highlight w:val="none"/>
          <w:u w:val="none"/>
          <w:lang w:eastAsia="zh-CN"/>
        </w:rPr>
        <w:t>”</w:t>
      </w:r>
      <w:r>
        <w:rPr>
          <w:rFonts w:hint="eastAsia"/>
          <w:color w:val="auto"/>
          <w:highlight w:val="none"/>
          <w:u w:val="none"/>
          <w:lang w:eastAsia="zh-CN"/>
        </w:rPr>
        <w:t>，开启后，投标人若需要提问的可在</w:t>
      </w:r>
      <w:r>
        <w:rPr>
          <w:color w:val="auto"/>
          <w:highlight w:val="none"/>
          <w:u w:val="none"/>
          <w:lang w:eastAsia="zh-CN"/>
        </w:rPr>
        <w:t>15</w:t>
      </w:r>
      <w:r>
        <w:rPr>
          <w:rFonts w:hint="eastAsia"/>
          <w:color w:val="auto"/>
          <w:highlight w:val="none"/>
          <w:u w:val="none"/>
          <w:lang w:eastAsia="zh-CN"/>
        </w:rPr>
        <w:t>分钟内进行提问，招标代理（招标人）需要回答所有的投标人提问或等待</w:t>
      </w:r>
      <w:r>
        <w:rPr>
          <w:color w:val="auto"/>
          <w:highlight w:val="none"/>
          <w:u w:val="none"/>
          <w:lang w:eastAsia="zh-CN"/>
        </w:rPr>
        <w:t>15</w:t>
      </w:r>
      <w:r>
        <w:rPr>
          <w:rFonts w:hint="eastAsia"/>
          <w:color w:val="auto"/>
          <w:highlight w:val="none"/>
          <w:u w:val="none"/>
          <w:lang w:eastAsia="zh-CN"/>
        </w:rPr>
        <w:t>分钟才能结束异议，若所有投标人都回复了</w:t>
      </w:r>
      <w:r>
        <w:rPr>
          <w:color w:val="auto"/>
          <w:highlight w:val="none"/>
          <w:u w:val="none"/>
          <w:lang w:eastAsia="zh-CN"/>
        </w:rPr>
        <w:t>“</w:t>
      </w:r>
      <w:r>
        <w:rPr>
          <w:rFonts w:hint="eastAsia"/>
          <w:color w:val="auto"/>
          <w:highlight w:val="none"/>
          <w:u w:val="none"/>
          <w:lang w:eastAsia="zh-CN"/>
        </w:rPr>
        <w:t>无异议</w:t>
      </w:r>
      <w:r>
        <w:rPr>
          <w:color w:val="auto"/>
          <w:highlight w:val="none"/>
          <w:u w:val="none"/>
          <w:lang w:eastAsia="zh-CN"/>
        </w:rPr>
        <w:t>”</w:t>
      </w:r>
      <w:r>
        <w:rPr>
          <w:rFonts w:hint="eastAsia"/>
          <w:color w:val="auto"/>
          <w:highlight w:val="none"/>
          <w:u w:val="none"/>
          <w:lang w:eastAsia="zh-CN"/>
        </w:rPr>
        <w:t>，招标代理（招标人）可提前结束异议；</w:t>
      </w:r>
    </w:p>
    <w:p>
      <w:pPr>
        <w:pStyle w:val="8"/>
        <w:spacing w:line="360" w:lineRule="auto"/>
        <w:ind w:firstLine="420" w:firstLineChars="200"/>
        <w:jc w:val="both"/>
        <w:rPr>
          <w:color w:val="auto"/>
          <w:highlight w:val="none"/>
          <w:u w:val="none"/>
          <w:lang w:eastAsia="zh-CN"/>
        </w:rPr>
      </w:pPr>
      <w:r>
        <w:rPr>
          <w:rFonts w:hint="eastAsia"/>
          <w:color w:val="auto"/>
          <w:highlight w:val="none"/>
          <w:u w:val="none"/>
          <w:lang w:eastAsia="zh-CN"/>
        </w:rPr>
        <w:t>（</w:t>
      </w:r>
      <w:r>
        <w:rPr>
          <w:color w:val="auto"/>
          <w:highlight w:val="none"/>
          <w:u w:val="none"/>
          <w:lang w:eastAsia="zh-CN"/>
        </w:rPr>
        <w:t>5</w:t>
      </w:r>
      <w:r>
        <w:rPr>
          <w:rFonts w:hint="eastAsia"/>
          <w:color w:val="auto"/>
          <w:highlight w:val="none"/>
          <w:u w:val="none"/>
          <w:lang w:eastAsia="zh-CN"/>
        </w:rPr>
        <w:t>）（</w:t>
      </w:r>
      <w:r>
        <w:rPr>
          <w:color w:val="auto"/>
          <w:highlight w:val="none"/>
          <w:u w:val="none"/>
          <w:lang w:eastAsia="zh-CN"/>
        </w:rPr>
        <w:t>B</w:t>
      </w:r>
      <w:r>
        <w:rPr>
          <w:rFonts w:hint="eastAsia"/>
          <w:color w:val="auto"/>
          <w:highlight w:val="none"/>
          <w:u w:val="none"/>
          <w:lang w:eastAsia="zh-CN"/>
        </w:rPr>
        <w:t>）唱标环节结束后，招标代理、投标人都可以同时查看到</w:t>
      </w:r>
      <w:r>
        <w:rPr>
          <w:color w:val="auto"/>
          <w:highlight w:val="none"/>
          <w:u w:val="none"/>
          <w:lang w:eastAsia="zh-CN"/>
        </w:rPr>
        <w:t>“</w:t>
      </w:r>
      <w:r>
        <w:rPr>
          <w:rFonts w:hint="eastAsia"/>
          <w:color w:val="auto"/>
          <w:highlight w:val="none"/>
          <w:u w:val="none"/>
          <w:lang w:eastAsia="zh-CN"/>
        </w:rPr>
        <w:t>开标报表</w:t>
      </w:r>
      <w:r>
        <w:rPr>
          <w:color w:val="auto"/>
          <w:highlight w:val="none"/>
          <w:u w:val="none"/>
          <w:lang w:eastAsia="zh-CN"/>
        </w:rPr>
        <w:t>”</w:t>
      </w:r>
      <w:r>
        <w:rPr>
          <w:rFonts w:hint="eastAsia"/>
          <w:color w:val="auto"/>
          <w:highlight w:val="none"/>
          <w:u w:val="none"/>
          <w:lang w:eastAsia="zh-CN"/>
        </w:rPr>
        <w:t>；投标人代表、招标人代表、监标人、记录人等有关人员在开标记录上签字确认；若有关人员不签字的，不影响开标程序；</w:t>
      </w:r>
    </w:p>
    <w:p>
      <w:pPr>
        <w:pStyle w:val="8"/>
        <w:spacing w:line="360" w:lineRule="auto"/>
        <w:ind w:firstLine="420" w:firstLineChars="200"/>
        <w:jc w:val="both"/>
        <w:rPr>
          <w:color w:val="auto"/>
          <w:highlight w:val="none"/>
          <w:u w:val="none"/>
          <w:lang w:eastAsia="zh-CN"/>
        </w:rPr>
      </w:pPr>
      <w:r>
        <w:rPr>
          <w:rFonts w:hint="eastAsia"/>
          <w:color w:val="auto"/>
          <w:highlight w:val="none"/>
          <w:u w:val="none"/>
          <w:lang w:eastAsia="zh-CN"/>
        </w:rPr>
        <w:t>（</w:t>
      </w:r>
      <w:r>
        <w:rPr>
          <w:color w:val="auto"/>
          <w:highlight w:val="none"/>
          <w:u w:val="none"/>
          <w:lang w:eastAsia="zh-CN"/>
        </w:rPr>
        <w:t>6</w:t>
      </w:r>
      <w:r>
        <w:rPr>
          <w:rFonts w:hint="eastAsia"/>
          <w:color w:val="auto"/>
          <w:highlight w:val="none"/>
          <w:u w:val="none"/>
          <w:lang w:eastAsia="zh-CN"/>
        </w:rPr>
        <w:t>）开标结束。</w:t>
      </w:r>
    </w:p>
    <w:p>
      <w:pPr>
        <w:pStyle w:val="8"/>
        <w:spacing w:line="360" w:lineRule="auto"/>
        <w:ind w:left="0" w:firstLine="420" w:firstLineChars="200"/>
        <w:jc w:val="both"/>
        <w:rPr>
          <w:color w:val="auto"/>
          <w:highlight w:val="none"/>
          <w:u w:val="none"/>
          <w:lang w:eastAsia="zh-CN"/>
        </w:rPr>
      </w:pPr>
      <w:r>
        <w:rPr>
          <w:color w:val="auto"/>
          <w:highlight w:val="none"/>
          <w:u w:val="none"/>
          <w:lang w:eastAsia="zh-CN"/>
        </w:rPr>
        <w:t>5.2.2</w:t>
      </w:r>
      <w:r>
        <w:rPr>
          <w:rFonts w:hint="eastAsia"/>
          <w:color w:val="auto"/>
          <w:highlight w:val="none"/>
          <w:u w:val="none"/>
          <w:lang w:eastAsia="zh-CN"/>
        </w:rPr>
        <w:t>投标截止时间前未完成投标文件传输的或因投标人的原因造成投标文件未解密的或未在投标截止时间后半小时解密的，视为投标人其撤回投标文件。因投标人原因造成投标文件未解密的，或因投标人原因解密失败且未递交电子光盘或递交的电子光盘不能读取的，视为撤销其投标文件。</w:t>
      </w:r>
      <w:r>
        <w:rPr>
          <w:color w:val="auto"/>
          <w:highlight w:val="none"/>
          <w:u w:val="none"/>
          <w:lang w:eastAsia="zh-CN"/>
        </w:rPr>
        <w:t>5.2.3</w:t>
      </w:r>
      <w:r>
        <w:rPr>
          <w:rFonts w:hint="eastAsia"/>
          <w:color w:val="auto"/>
          <w:highlight w:val="none"/>
          <w:u w:val="none"/>
          <w:lang w:eastAsia="zh-CN"/>
        </w:rPr>
        <w:t>开标时，两个（含两个）以上的投标人加密打包投标文件电脑机器特征码一致的，不参与下一程序，并由评标委员会否决其投标。</w:t>
      </w:r>
    </w:p>
    <w:p>
      <w:pPr>
        <w:pStyle w:val="8"/>
        <w:spacing w:line="360" w:lineRule="auto"/>
        <w:ind w:left="0" w:firstLine="420" w:firstLineChars="200"/>
        <w:jc w:val="both"/>
        <w:rPr>
          <w:strike/>
          <w:color w:val="auto"/>
          <w:highlight w:val="none"/>
          <w:u w:val="none"/>
          <w:lang w:eastAsia="zh-CN"/>
        </w:rPr>
      </w:pPr>
      <w:r>
        <w:rPr>
          <w:strike/>
          <w:color w:val="auto"/>
          <w:highlight w:val="none"/>
          <w:u w:val="none"/>
          <w:lang w:eastAsia="zh-CN"/>
        </w:rPr>
        <w:t>（1）宣布开标纪律；</w:t>
      </w:r>
    </w:p>
    <w:p>
      <w:pPr>
        <w:pStyle w:val="8"/>
        <w:spacing w:line="360" w:lineRule="auto"/>
        <w:ind w:left="0" w:firstLine="420" w:firstLineChars="200"/>
        <w:jc w:val="both"/>
        <w:rPr>
          <w:strike/>
          <w:color w:val="auto"/>
          <w:highlight w:val="none"/>
          <w:u w:val="none"/>
          <w:lang w:eastAsia="zh-CN"/>
        </w:rPr>
      </w:pPr>
      <w:r>
        <w:rPr>
          <w:strike/>
          <w:color w:val="auto"/>
          <w:highlight w:val="none"/>
          <w:u w:val="none"/>
          <w:lang w:eastAsia="zh-CN"/>
        </w:rPr>
        <w:t>（2）公布在投标截止时间前递交投标文件的投标人名称；</w:t>
      </w:r>
    </w:p>
    <w:p>
      <w:pPr>
        <w:pStyle w:val="8"/>
        <w:spacing w:line="360" w:lineRule="auto"/>
        <w:ind w:left="0" w:firstLine="420" w:firstLineChars="200"/>
        <w:jc w:val="both"/>
        <w:rPr>
          <w:strike/>
          <w:color w:val="auto"/>
          <w:highlight w:val="none"/>
          <w:u w:val="none"/>
          <w:lang w:eastAsia="zh-CN"/>
        </w:rPr>
      </w:pPr>
      <w:r>
        <w:rPr>
          <w:strike/>
          <w:color w:val="auto"/>
          <w:highlight w:val="none"/>
          <w:u w:val="none"/>
          <w:lang w:eastAsia="zh-CN"/>
        </w:rPr>
        <w:t>（3）宣布开标人、唱标人、记录人、监标人等有关人员姓名；</w:t>
      </w:r>
    </w:p>
    <w:p>
      <w:pPr>
        <w:pStyle w:val="8"/>
        <w:spacing w:line="360" w:lineRule="auto"/>
        <w:ind w:left="0" w:firstLine="420" w:firstLineChars="200"/>
        <w:jc w:val="both"/>
        <w:rPr>
          <w:strike/>
          <w:color w:val="auto"/>
          <w:highlight w:val="none"/>
          <w:u w:val="none"/>
          <w:lang w:eastAsia="zh-CN"/>
        </w:rPr>
      </w:pPr>
      <w:r>
        <w:rPr>
          <w:strike/>
          <w:color w:val="auto"/>
          <w:highlight w:val="none"/>
          <w:u w:val="none"/>
          <w:lang w:eastAsia="zh-CN"/>
        </w:rPr>
        <w:t>（4）（A）检查投标文件的密封情况，按照投标人须知前附表规定的开标顺序当众开标，公布招标项目名称、投标人名称、投标保证金的递交情况、投标报价、设计服务期限及其他内容，并记录在案；</w:t>
      </w:r>
    </w:p>
    <w:p>
      <w:pPr>
        <w:pStyle w:val="8"/>
        <w:spacing w:line="360" w:lineRule="auto"/>
        <w:ind w:left="0" w:firstLine="420" w:firstLineChars="200"/>
        <w:jc w:val="both"/>
        <w:rPr>
          <w:strike/>
          <w:color w:val="auto"/>
          <w:highlight w:val="none"/>
          <w:u w:val="none"/>
          <w:lang w:eastAsia="zh-CN"/>
        </w:rPr>
      </w:pPr>
      <w:r>
        <w:rPr>
          <w:strike/>
          <w:color w:val="auto"/>
          <w:highlight w:val="none"/>
          <w:u w:val="none"/>
          <w:lang w:eastAsia="zh-CN"/>
        </w:rPr>
        <w:t>（4）（B）投标人通过电子招标投标交易平台对已递交的电子投标文件进行解密，公布招标项目名称、投标人名称、投标保证金的递交情况、投标报价、设计服务期限及其他内容，并记录在案；</w:t>
      </w:r>
    </w:p>
    <w:p>
      <w:pPr>
        <w:pStyle w:val="8"/>
        <w:spacing w:line="360" w:lineRule="auto"/>
        <w:ind w:left="0" w:firstLine="420" w:firstLineChars="200"/>
        <w:jc w:val="both"/>
        <w:rPr>
          <w:strike/>
          <w:color w:val="auto"/>
          <w:highlight w:val="none"/>
          <w:u w:val="none"/>
          <w:lang w:eastAsia="zh-CN"/>
        </w:rPr>
      </w:pPr>
      <w:r>
        <w:rPr>
          <w:strike/>
          <w:color w:val="auto"/>
          <w:highlight w:val="none"/>
          <w:u w:val="none"/>
          <w:lang w:eastAsia="zh-CN"/>
        </w:rPr>
        <w:t>（5）（A）投标人代表、招标人代表、监标人、记录人等有关人员在开标记录上签字确认；</w:t>
      </w:r>
    </w:p>
    <w:p>
      <w:pPr>
        <w:pStyle w:val="8"/>
        <w:spacing w:line="360" w:lineRule="auto"/>
        <w:ind w:left="0" w:firstLine="420" w:firstLineChars="200"/>
        <w:jc w:val="both"/>
        <w:rPr>
          <w:strike/>
          <w:color w:val="auto"/>
          <w:highlight w:val="none"/>
          <w:u w:val="none"/>
          <w:lang w:eastAsia="zh-CN"/>
        </w:rPr>
      </w:pPr>
      <w:r>
        <w:rPr>
          <w:strike/>
          <w:color w:val="auto"/>
          <w:highlight w:val="none"/>
          <w:u w:val="none"/>
          <w:lang w:eastAsia="zh-CN"/>
        </w:rPr>
        <w:t>（5）（B）投标人代表、招标人代表、监标人、记录人等有关人员使用本人的电子印章在开标记录上签字确认；</w:t>
      </w:r>
    </w:p>
    <w:p>
      <w:pPr>
        <w:pStyle w:val="8"/>
        <w:spacing w:line="360" w:lineRule="auto"/>
        <w:ind w:left="0" w:firstLine="420" w:firstLineChars="200"/>
        <w:jc w:val="both"/>
        <w:rPr>
          <w:color w:val="auto"/>
          <w:highlight w:val="none"/>
          <w:u w:val="none"/>
          <w:lang w:eastAsia="zh-CN"/>
        </w:rPr>
      </w:pPr>
      <w:r>
        <w:rPr>
          <w:strike/>
          <w:color w:val="auto"/>
          <w:highlight w:val="none"/>
          <w:u w:val="none"/>
          <w:lang w:eastAsia="zh-CN"/>
        </w:rPr>
        <w:t>（6）开标结束。</w:t>
      </w:r>
    </w:p>
    <w:p>
      <w:pPr>
        <w:spacing w:line="360" w:lineRule="auto"/>
        <w:jc w:val="both"/>
        <w:rPr>
          <w:rFonts w:ascii="宋体" w:hAnsi="宋体" w:eastAsia="宋体"/>
          <w:color w:val="auto"/>
          <w:sz w:val="21"/>
          <w:szCs w:val="21"/>
          <w:highlight w:val="none"/>
          <w:u w:val="singl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5.3开标异议</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u w:val="single"/>
          <w:lang w:eastAsia="zh-CN"/>
        </w:rPr>
      </w:pPr>
      <w:r>
        <w:rPr>
          <w:color w:val="auto"/>
          <w:highlight w:val="none"/>
          <w:lang w:eastAsia="zh-CN"/>
        </w:rPr>
        <w:t>投标人对开标有异议的，应当在开标现场提出，招标人当场作出答复，并制作记录。</w:t>
      </w:r>
      <w:r>
        <w:rPr>
          <w:rFonts w:hint="eastAsia"/>
          <w:color w:val="auto"/>
          <w:highlight w:val="none"/>
          <w:u w:val="single"/>
          <w:lang w:eastAsia="zh-CN"/>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spacing w:line="360" w:lineRule="auto"/>
        <w:jc w:val="both"/>
        <w:rPr>
          <w:rFonts w:ascii="宋体" w:hAnsi="宋体" w:eastAsia="宋体"/>
          <w:color w:val="auto"/>
          <w:sz w:val="21"/>
          <w:szCs w:val="21"/>
          <w:highlight w:val="none"/>
          <w:lang w:eastAsia="zh-CN"/>
        </w:rPr>
      </w:pPr>
      <w:bookmarkStart w:id="26" w:name="_Toc25137987"/>
    </w:p>
    <w:p>
      <w:pPr>
        <w:pStyle w:val="3"/>
        <w:spacing w:line="443" w:lineRule="exact"/>
        <w:ind w:right="44"/>
        <w:jc w:val="both"/>
        <w:rPr>
          <w:rFonts w:ascii="宋体" w:hAnsi="宋体" w:eastAsia="宋体"/>
          <w:color w:val="auto"/>
          <w:sz w:val="21"/>
          <w:szCs w:val="21"/>
          <w:highlight w:val="none"/>
          <w:lang w:eastAsia="zh-CN"/>
        </w:rPr>
      </w:pPr>
      <w:bookmarkStart w:id="27" w:name="_Toc109809427"/>
      <w:bookmarkStart w:id="28" w:name="_Toc109809388"/>
      <w:r>
        <w:rPr>
          <w:rFonts w:ascii="宋体" w:hAnsi="宋体" w:eastAsia="宋体"/>
          <w:color w:val="auto"/>
          <w:sz w:val="21"/>
          <w:szCs w:val="21"/>
          <w:highlight w:val="none"/>
          <w:lang w:eastAsia="zh-CN"/>
        </w:rPr>
        <w:t>6. 评标</w:t>
      </w:r>
      <w:bookmarkEnd w:id="26"/>
      <w:bookmarkEnd w:id="27"/>
      <w:bookmarkEnd w:id="28"/>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6.1评标委员会</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8"/>
        <w:spacing w:line="360" w:lineRule="auto"/>
        <w:ind w:left="0" w:firstLine="420" w:firstLineChars="200"/>
        <w:jc w:val="both"/>
        <w:rPr>
          <w:color w:val="auto"/>
          <w:highlight w:val="none"/>
          <w:lang w:eastAsia="zh-CN"/>
        </w:rPr>
      </w:pPr>
      <w:r>
        <w:rPr>
          <w:color w:val="auto"/>
          <w:highlight w:val="none"/>
          <w:lang w:eastAsia="zh-CN"/>
        </w:rPr>
        <w:t>6.1.2评标委员会成员有下列情形之一的，应当回避：</w:t>
      </w:r>
    </w:p>
    <w:p>
      <w:pPr>
        <w:pStyle w:val="8"/>
        <w:spacing w:line="360" w:lineRule="auto"/>
        <w:ind w:left="0" w:firstLine="420" w:firstLineChars="200"/>
        <w:jc w:val="both"/>
        <w:rPr>
          <w:color w:val="auto"/>
          <w:highlight w:val="none"/>
          <w:lang w:eastAsia="zh-CN"/>
        </w:rPr>
      </w:pPr>
      <w:r>
        <w:rPr>
          <w:color w:val="auto"/>
          <w:highlight w:val="none"/>
          <w:lang w:eastAsia="zh-CN"/>
        </w:rPr>
        <w:t>（1）投标人或投标人主要负责人的近亲属；</w:t>
      </w:r>
    </w:p>
    <w:p>
      <w:pPr>
        <w:pStyle w:val="8"/>
        <w:spacing w:line="360" w:lineRule="auto"/>
        <w:ind w:left="0" w:firstLine="420" w:firstLineChars="200"/>
        <w:jc w:val="both"/>
        <w:rPr>
          <w:color w:val="auto"/>
          <w:highlight w:val="none"/>
          <w:lang w:eastAsia="zh-CN"/>
        </w:rPr>
      </w:pPr>
      <w:r>
        <w:rPr>
          <w:color w:val="auto"/>
          <w:highlight w:val="none"/>
          <w:lang w:eastAsia="zh-CN"/>
        </w:rPr>
        <w:t>（2）项目主管部门或者行政监督部门的人员；</w:t>
      </w:r>
    </w:p>
    <w:p>
      <w:pPr>
        <w:pStyle w:val="8"/>
        <w:spacing w:line="360" w:lineRule="auto"/>
        <w:ind w:left="0" w:firstLine="420" w:firstLineChars="200"/>
        <w:jc w:val="both"/>
        <w:rPr>
          <w:color w:val="auto"/>
          <w:highlight w:val="none"/>
          <w:lang w:eastAsia="zh-CN"/>
        </w:rPr>
      </w:pPr>
      <w:r>
        <w:rPr>
          <w:color w:val="auto"/>
          <w:highlight w:val="none"/>
          <w:lang w:eastAsia="zh-CN"/>
        </w:rPr>
        <w:t>（3）与投标人有经济利益关系，可能影响对投标公正评审的；</w:t>
      </w:r>
    </w:p>
    <w:p>
      <w:pPr>
        <w:pStyle w:val="8"/>
        <w:spacing w:line="360" w:lineRule="auto"/>
        <w:ind w:left="0" w:firstLine="420" w:firstLineChars="200"/>
        <w:jc w:val="both"/>
        <w:rPr>
          <w:color w:val="auto"/>
          <w:highlight w:val="none"/>
          <w:lang w:eastAsia="zh-CN"/>
        </w:rPr>
      </w:pPr>
      <w:r>
        <w:rPr>
          <w:color w:val="auto"/>
          <w:highlight w:val="none"/>
          <w:lang w:eastAsia="zh-CN"/>
        </w:rPr>
        <w:t>（4）曾因在招标、评标以及其他与招标投标有关活动中从事违法行为而受过行政处罚或刑事处罚的；</w:t>
      </w:r>
    </w:p>
    <w:p>
      <w:pPr>
        <w:pStyle w:val="8"/>
        <w:spacing w:line="360" w:lineRule="auto"/>
        <w:ind w:left="0" w:firstLine="420" w:firstLineChars="200"/>
        <w:jc w:val="both"/>
        <w:rPr>
          <w:color w:val="auto"/>
          <w:highlight w:val="none"/>
          <w:lang w:eastAsia="zh-CN"/>
        </w:rPr>
      </w:pPr>
      <w:r>
        <w:rPr>
          <w:color w:val="auto"/>
          <w:highlight w:val="none"/>
          <w:lang w:eastAsia="zh-CN"/>
        </w:rPr>
        <w:t>（5）与投标人有其他利害关系。</w:t>
      </w:r>
    </w:p>
    <w:p>
      <w:pPr>
        <w:pStyle w:val="8"/>
        <w:spacing w:line="360" w:lineRule="auto"/>
        <w:ind w:left="0" w:firstLine="420" w:firstLineChars="200"/>
        <w:jc w:val="both"/>
        <w:rPr>
          <w:color w:val="auto"/>
          <w:highlight w:val="none"/>
          <w:lang w:eastAsia="zh-CN"/>
        </w:rPr>
      </w:pPr>
      <w:r>
        <w:rPr>
          <w:color w:val="auto"/>
          <w:highlight w:val="none"/>
          <w:lang w:eastAsia="zh-CN"/>
        </w:rPr>
        <w:t>6.1.3评标过程中，评标委员会成员有回避事由、擅离职守或者因健康等原因不能继续评标的，招标人有权更换。被更换的评标委员会成员作出的评审结论无效，由更换后的评标委员会成员重新进行评审。</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6.2评标原则</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评标活动遵循公平、公正、科学和择优的原则。</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6.3评标</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6.3.1评标委员会按照第三章“评标办法”规定的方法、评审因素、标准和程序对投标文件进行评审。第三章“评标办法”没有规定的方法、评审因素和标准，不作为评标依据。</w:t>
      </w:r>
    </w:p>
    <w:p>
      <w:pPr>
        <w:pStyle w:val="8"/>
        <w:spacing w:line="360" w:lineRule="auto"/>
        <w:ind w:left="0" w:firstLine="420" w:firstLineChars="200"/>
        <w:jc w:val="both"/>
        <w:rPr>
          <w:color w:val="auto"/>
          <w:highlight w:val="none"/>
          <w:lang w:eastAsia="zh-CN"/>
        </w:rPr>
      </w:pPr>
      <w:r>
        <w:rPr>
          <w:color w:val="auto"/>
          <w:highlight w:val="none"/>
          <w:lang w:eastAsia="zh-CN"/>
        </w:rPr>
        <w:t>6.3.2评标完成后，评标委员会应当向招标人提交书面评标报告和中标候选人名单。评标委员会推荐中标候选人的人数见投标人须知前附表。</w:t>
      </w:r>
    </w:p>
    <w:p>
      <w:pPr>
        <w:spacing w:line="360" w:lineRule="auto"/>
        <w:jc w:val="both"/>
        <w:rPr>
          <w:rFonts w:ascii="宋体" w:hAnsi="宋体" w:eastAsia="宋体"/>
          <w:color w:val="auto"/>
          <w:sz w:val="21"/>
          <w:szCs w:val="21"/>
          <w:highlight w:val="none"/>
          <w:lang w:eastAsia="zh-CN"/>
        </w:rPr>
      </w:pPr>
      <w:bookmarkStart w:id="29" w:name="_Toc25137988"/>
    </w:p>
    <w:p>
      <w:pPr>
        <w:pStyle w:val="3"/>
        <w:spacing w:line="443" w:lineRule="exact"/>
        <w:ind w:right="44"/>
        <w:jc w:val="both"/>
        <w:rPr>
          <w:rFonts w:ascii="宋体" w:hAnsi="宋体" w:eastAsia="宋体"/>
          <w:color w:val="auto"/>
          <w:sz w:val="21"/>
          <w:szCs w:val="21"/>
          <w:highlight w:val="none"/>
          <w:lang w:eastAsia="zh-CN"/>
        </w:rPr>
      </w:pPr>
      <w:bookmarkStart w:id="30" w:name="_Toc109809389"/>
      <w:bookmarkStart w:id="31" w:name="_Toc109809428"/>
      <w:r>
        <w:rPr>
          <w:rFonts w:ascii="宋体" w:hAnsi="宋体" w:eastAsia="宋体"/>
          <w:color w:val="auto"/>
          <w:sz w:val="21"/>
          <w:szCs w:val="21"/>
          <w:highlight w:val="none"/>
          <w:lang w:eastAsia="zh-CN"/>
        </w:rPr>
        <w:t>7. 合同授予</w:t>
      </w:r>
      <w:bookmarkEnd w:id="29"/>
      <w:bookmarkEnd w:id="30"/>
      <w:bookmarkEnd w:id="31"/>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7.1中标候选人公示</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招标人在收到评标报告之日起 3日内，按照投标人须知前附表规定的公示媒介和期限公示中标候选人，公示期不得少于3天。</w:t>
      </w:r>
    </w:p>
    <w:p>
      <w:pPr>
        <w:pStyle w:val="8"/>
        <w:spacing w:line="360" w:lineRule="auto"/>
        <w:ind w:left="0" w:firstLine="420" w:firstLineChars="200"/>
        <w:jc w:val="both"/>
        <w:rPr>
          <w:color w:val="auto"/>
          <w:highlight w:val="none"/>
          <w:u w:val="single"/>
          <w:lang w:eastAsia="zh-CN"/>
        </w:rPr>
      </w:pPr>
      <w:r>
        <w:rPr>
          <w:rFonts w:hint="eastAsia"/>
          <w:color w:val="auto"/>
          <w:highlight w:val="none"/>
          <w:u w:val="single"/>
          <w:lang w:eastAsia="zh-CN"/>
        </w:rPr>
        <w:t>在产生中标候选人后，招标人将中标候选人的投标文件商务部分的电子版（报价清单、方案等涉及商业秘密的内容除外）在广州公共资源交易中心网站等法定媒介公开。</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7.2评标结果异议</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投标人或者其他利害关系人对评标结果有异议的，应当在中标候选人公示期间提出。招标人将在收到异议之日起3日内作出答复；作出答复前，将暂停招标投标活动。</w:t>
      </w:r>
    </w:p>
    <w:p>
      <w:pPr>
        <w:pStyle w:val="4"/>
        <w:ind w:right="44"/>
        <w:jc w:val="both"/>
        <w:rPr>
          <w:b/>
          <w:bCs/>
          <w:color w:val="auto"/>
          <w:sz w:val="21"/>
          <w:szCs w:val="21"/>
          <w:highlight w:val="none"/>
          <w:lang w:eastAsia="zh-CN"/>
        </w:rPr>
      </w:pPr>
      <w:r>
        <w:rPr>
          <w:b/>
          <w:bCs/>
          <w:color w:val="auto"/>
          <w:sz w:val="21"/>
          <w:szCs w:val="21"/>
          <w:highlight w:val="none"/>
          <w:lang w:eastAsia="zh-CN"/>
        </w:rPr>
        <w:t>7.3中标候选人履约能力审查</w:t>
      </w:r>
    </w:p>
    <w:p>
      <w:pPr>
        <w:pStyle w:val="8"/>
        <w:spacing w:line="360" w:lineRule="auto"/>
        <w:ind w:left="0" w:firstLine="420" w:firstLineChars="200"/>
        <w:jc w:val="both"/>
        <w:rPr>
          <w:color w:val="auto"/>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7.4定标</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按照投标人须知前附表的规定，招标人或招标人授权的评标委员会依法确定中标人。</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7.5中标通知</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在本章第 3.3款规定的投标有效期内，招标人以书面形式向中标人发出中标通知书，同时将中标结果通知未中标的投标人。</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7.6技术成果经济补偿</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u w:val="single"/>
          <w:lang w:eastAsia="zh-CN"/>
        </w:rPr>
      </w:pPr>
      <w:r>
        <w:rPr>
          <w:rFonts w:hint="eastAsia"/>
          <w:color w:val="auto"/>
          <w:highlight w:val="none"/>
          <w:u w:val="single"/>
          <w:lang w:eastAsia="zh-CN"/>
        </w:rPr>
        <w:t>详见招标公告技术成果经济补偿。</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7.7履约保证金</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7.7.1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pStyle w:val="8"/>
        <w:spacing w:line="360" w:lineRule="auto"/>
        <w:ind w:left="0" w:firstLine="420" w:firstLineChars="200"/>
        <w:jc w:val="both"/>
        <w:rPr>
          <w:color w:val="auto"/>
          <w:highlight w:val="none"/>
          <w:lang w:eastAsia="zh-CN"/>
        </w:rPr>
      </w:pPr>
      <w:r>
        <w:rPr>
          <w:color w:val="auto"/>
          <w:highlight w:val="none"/>
          <w:lang w:eastAsia="zh-CN"/>
        </w:rPr>
        <w:t>7.7.2中标人不能按本章第 7.7.1项要求提交履约保证金的，视为放弃中标，</w:t>
      </w:r>
      <w:r>
        <w:rPr>
          <w:strike/>
          <w:color w:val="auto"/>
          <w:highlight w:val="none"/>
          <w:lang w:eastAsia="zh-CN"/>
        </w:rPr>
        <w:t>其投标保证金不予退还，</w:t>
      </w:r>
      <w:r>
        <w:rPr>
          <w:color w:val="auto"/>
          <w:highlight w:val="none"/>
          <w:lang w:eastAsia="zh-CN"/>
        </w:rPr>
        <w:t>给招标人造成的损失</w:t>
      </w:r>
      <w:r>
        <w:rPr>
          <w:strike/>
          <w:color w:val="auto"/>
          <w:highlight w:val="none"/>
          <w:lang w:eastAsia="zh-CN"/>
        </w:rPr>
        <w:t>超过投标保证金数额的</w:t>
      </w:r>
      <w:r>
        <w:rPr>
          <w:color w:val="auto"/>
          <w:highlight w:val="none"/>
          <w:lang w:eastAsia="zh-CN"/>
        </w:rPr>
        <w:t>，中标人还应当</w:t>
      </w:r>
      <w:r>
        <w:rPr>
          <w:strike/>
          <w:color w:val="auto"/>
          <w:highlight w:val="none"/>
          <w:lang w:eastAsia="zh-CN"/>
        </w:rPr>
        <w:t>对超过部分</w:t>
      </w:r>
      <w:r>
        <w:rPr>
          <w:color w:val="auto"/>
          <w:highlight w:val="none"/>
          <w:lang w:eastAsia="zh-CN"/>
        </w:rPr>
        <w:t>予以赔偿。</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7.8签订合同</w:t>
      </w:r>
    </w:p>
    <w:p>
      <w:pPr>
        <w:pStyle w:val="8"/>
        <w:spacing w:line="360" w:lineRule="auto"/>
        <w:ind w:left="0" w:firstLine="420" w:firstLineChars="200"/>
        <w:jc w:val="both"/>
        <w:rPr>
          <w:color w:val="auto"/>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7.8.1招标人和中标人应当在中标通知书发出之日起 30日内，根据招标文件和中标人的投标文件订立书面合同。中标人无正当理由拒签合同，在签订合同时向招标人提出附加条件，或者不按照招标文件要求提交履约保证金的，招标人有权取消其中标资格</w:t>
      </w:r>
      <w:r>
        <w:rPr>
          <w:strike/>
          <w:color w:val="auto"/>
          <w:highlight w:val="none"/>
          <w:lang w:eastAsia="zh-CN"/>
        </w:rPr>
        <w:t>，其投标保证金不予退还</w:t>
      </w:r>
      <w:r>
        <w:rPr>
          <w:color w:val="auto"/>
          <w:highlight w:val="none"/>
          <w:lang w:eastAsia="zh-CN"/>
        </w:rPr>
        <w:t>；给招标人造成的损失</w:t>
      </w:r>
      <w:r>
        <w:rPr>
          <w:strike/>
          <w:color w:val="auto"/>
          <w:highlight w:val="none"/>
          <w:lang w:eastAsia="zh-CN"/>
        </w:rPr>
        <w:t>超过投标保证金数额</w:t>
      </w:r>
      <w:r>
        <w:rPr>
          <w:color w:val="auto"/>
          <w:highlight w:val="none"/>
          <w:lang w:eastAsia="zh-CN"/>
        </w:rPr>
        <w:t>的，中标人还应当对超过部分予以赔偿。</w:t>
      </w:r>
    </w:p>
    <w:p>
      <w:pPr>
        <w:pStyle w:val="8"/>
        <w:spacing w:line="360" w:lineRule="auto"/>
        <w:ind w:left="0" w:firstLine="420" w:firstLineChars="200"/>
        <w:jc w:val="both"/>
        <w:rPr>
          <w:color w:val="auto"/>
          <w:highlight w:val="none"/>
          <w:lang w:eastAsia="zh-CN"/>
        </w:rPr>
      </w:pPr>
      <w:r>
        <w:rPr>
          <w:color w:val="auto"/>
          <w:highlight w:val="none"/>
          <w:lang w:eastAsia="zh-CN"/>
        </w:rPr>
        <w:t>7.8.2发出中标通知书后，招标人无正当理由拒签合同，或者在签订合同时向中标人提出附加条件的，</w:t>
      </w:r>
      <w:r>
        <w:rPr>
          <w:strike/>
          <w:color w:val="auto"/>
          <w:highlight w:val="none"/>
          <w:lang w:eastAsia="zh-CN"/>
        </w:rPr>
        <w:t>招标人向中标人退还投标保证金；</w:t>
      </w:r>
      <w:r>
        <w:rPr>
          <w:color w:val="auto"/>
          <w:highlight w:val="none"/>
          <w:lang w:eastAsia="zh-CN"/>
        </w:rPr>
        <w:t>给中标人造成损失的，还应当赔偿损失。</w:t>
      </w:r>
    </w:p>
    <w:p>
      <w:pPr>
        <w:pStyle w:val="8"/>
        <w:spacing w:line="360" w:lineRule="auto"/>
        <w:ind w:left="0" w:firstLine="420" w:firstLineChars="200"/>
        <w:jc w:val="both"/>
        <w:rPr>
          <w:color w:val="auto"/>
          <w:highlight w:val="none"/>
          <w:lang w:eastAsia="zh-CN"/>
        </w:rPr>
      </w:pPr>
      <w:r>
        <w:rPr>
          <w:color w:val="auto"/>
          <w:highlight w:val="none"/>
          <w:lang w:eastAsia="zh-CN"/>
        </w:rPr>
        <w:t>7.8.3联合体中标的，联合体各方应当共同与招标人签订合同，就中标项目向招标人承担连带责任。</w:t>
      </w:r>
    </w:p>
    <w:p>
      <w:pPr>
        <w:pStyle w:val="8"/>
        <w:spacing w:line="360" w:lineRule="auto"/>
        <w:ind w:left="0" w:firstLine="420" w:firstLineChars="200"/>
        <w:jc w:val="both"/>
        <w:rPr>
          <w:color w:val="auto"/>
          <w:highlight w:val="none"/>
          <w:lang w:eastAsia="zh-CN"/>
        </w:rPr>
      </w:pPr>
      <w:bookmarkStart w:id="32" w:name="_Toc25137989"/>
    </w:p>
    <w:p>
      <w:pPr>
        <w:pStyle w:val="3"/>
        <w:spacing w:line="443" w:lineRule="exact"/>
        <w:ind w:right="44"/>
        <w:jc w:val="both"/>
        <w:rPr>
          <w:rFonts w:ascii="宋体" w:hAnsi="宋体" w:eastAsia="宋体"/>
          <w:color w:val="auto"/>
          <w:sz w:val="21"/>
          <w:szCs w:val="21"/>
          <w:highlight w:val="none"/>
          <w:lang w:eastAsia="zh-CN"/>
        </w:rPr>
      </w:pPr>
      <w:bookmarkStart w:id="33" w:name="_Toc109809390"/>
      <w:bookmarkStart w:id="34" w:name="_Toc109809429"/>
      <w:r>
        <w:rPr>
          <w:rFonts w:ascii="宋体" w:hAnsi="宋体" w:eastAsia="宋体"/>
          <w:color w:val="auto"/>
          <w:sz w:val="21"/>
          <w:szCs w:val="21"/>
          <w:highlight w:val="none"/>
          <w:lang w:eastAsia="zh-CN"/>
        </w:rPr>
        <w:t>8.</w:t>
      </w:r>
      <w:r>
        <w:rPr>
          <w:rFonts w:hint="eastAsia" w:ascii="宋体" w:hAnsi="宋体" w:eastAsia="宋体"/>
          <w:color w:val="auto"/>
          <w:sz w:val="21"/>
          <w:szCs w:val="21"/>
          <w:highlight w:val="none"/>
          <w:lang w:eastAsia="zh-CN"/>
        </w:rPr>
        <w:t xml:space="preserve"> </w:t>
      </w:r>
      <w:r>
        <w:rPr>
          <w:rFonts w:ascii="宋体" w:hAnsi="宋体" w:eastAsia="宋体"/>
          <w:color w:val="auto"/>
          <w:sz w:val="21"/>
          <w:szCs w:val="21"/>
          <w:highlight w:val="none"/>
          <w:lang w:eastAsia="zh-CN"/>
        </w:rPr>
        <w:t>纪律和监督</w:t>
      </w:r>
      <w:bookmarkEnd w:id="32"/>
      <w:bookmarkEnd w:id="33"/>
      <w:bookmarkEnd w:id="34"/>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8.1对招标人的纪律要求</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招标人不得泄露招标投标活动中应当保密的情况和资料，不得与投标人串通损害国家利益、社会公共利益或者他人合法权益。</w:t>
      </w:r>
    </w:p>
    <w:p>
      <w:pPr>
        <w:pStyle w:val="4"/>
        <w:ind w:right="44"/>
        <w:jc w:val="both"/>
        <w:rPr>
          <w:b/>
          <w:bCs/>
          <w:color w:val="auto"/>
          <w:sz w:val="21"/>
          <w:szCs w:val="21"/>
          <w:highlight w:val="none"/>
          <w:lang w:eastAsia="zh-CN"/>
        </w:rPr>
      </w:pPr>
      <w:r>
        <w:rPr>
          <w:b/>
          <w:bCs/>
          <w:color w:val="auto"/>
          <w:sz w:val="21"/>
          <w:szCs w:val="21"/>
          <w:highlight w:val="none"/>
          <w:lang w:eastAsia="zh-CN"/>
        </w:rPr>
        <w:t>8.2对投标人的纪律要求</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8.3对评标委员会成员的纪律要求</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8.4对与评标活动有关的工作人员的纪律要求</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8.5投诉</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8.5.1投标人或者其他利害关系人认为招标投标活动不符合法律、行政法规规定的，可以自知道或者应当知道之日起10日内向有关行政监督部门投诉。投诉应当有明确的请求和必要的证明材料。</w:t>
      </w:r>
    </w:p>
    <w:p>
      <w:pPr>
        <w:pStyle w:val="8"/>
        <w:spacing w:line="360" w:lineRule="auto"/>
        <w:ind w:left="0" w:firstLine="420" w:firstLineChars="200"/>
        <w:jc w:val="both"/>
        <w:rPr>
          <w:color w:val="auto"/>
          <w:highlight w:val="none"/>
          <w:lang w:eastAsia="zh-CN"/>
        </w:rPr>
      </w:pPr>
      <w:r>
        <w:rPr>
          <w:color w:val="auto"/>
          <w:highlight w:val="none"/>
          <w:lang w:eastAsia="zh-CN"/>
        </w:rPr>
        <w:t>8.5.2投标人或者其他利害关系人对招标文件、开标和评标结果提出投诉的，应当按照投标人须知第2.4款、第5.3款和第7.2款的规定先向招标人提出异议。异议答复期间不计算在第8.5.1项规定的期限内。</w:t>
      </w:r>
    </w:p>
    <w:p>
      <w:pPr>
        <w:spacing w:line="360" w:lineRule="auto"/>
        <w:jc w:val="both"/>
        <w:rPr>
          <w:rFonts w:ascii="宋体" w:hAnsi="宋体" w:eastAsia="宋体"/>
          <w:color w:val="auto"/>
          <w:sz w:val="21"/>
          <w:szCs w:val="21"/>
          <w:highlight w:val="none"/>
          <w:lang w:eastAsia="zh-CN"/>
        </w:rPr>
      </w:pPr>
      <w:bookmarkStart w:id="35" w:name="_Toc25137990"/>
    </w:p>
    <w:p>
      <w:pPr>
        <w:pStyle w:val="3"/>
        <w:spacing w:line="443" w:lineRule="exact"/>
        <w:ind w:right="44"/>
        <w:jc w:val="both"/>
        <w:rPr>
          <w:rFonts w:ascii="宋体" w:hAnsi="宋体" w:eastAsia="宋体"/>
          <w:color w:val="auto"/>
          <w:sz w:val="21"/>
          <w:szCs w:val="21"/>
          <w:highlight w:val="none"/>
          <w:lang w:eastAsia="zh-CN"/>
        </w:rPr>
      </w:pPr>
      <w:bookmarkStart w:id="36" w:name="_Toc109809430"/>
      <w:bookmarkStart w:id="37" w:name="_Toc109809391"/>
      <w:r>
        <w:rPr>
          <w:rFonts w:ascii="宋体" w:hAnsi="宋体" w:eastAsia="宋体"/>
          <w:color w:val="auto"/>
          <w:sz w:val="21"/>
          <w:szCs w:val="21"/>
          <w:highlight w:val="none"/>
          <w:lang w:eastAsia="zh-CN"/>
        </w:rPr>
        <w:t>9. 是否采用电子招标投标</w:t>
      </w:r>
      <w:bookmarkEnd w:id="35"/>
      <w:bookmarkEnd w:id="36"/>
      <w:bookmarkEnd w:id="37"/>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本招标项目是否采用电子招标投标方式，见投标人须知前附表。</w:t>
      </w:r>
    </w:p>
    <w:p>
      <w:pPr>
        <w:spacing w:line="360" w:lineRule="auto"/>
        <w:jc w:val="both"/>
        <w:rPr>
          <w:rFonts w:ascii="宋体" w:hAnsi="宋体" w:eastAsia="宋体"/>
          <w:color w:val="auto"/>
          <w:sz w:val="21"/>
          <w:szCs w:val="21"/>
          <w:highlight w:val="none"/>
          <w:lang w:eastAsia="zh-CN"/>
        </w:rPr>
      </w:pPr>
      <w:bookmarkStart w:id="38" w:name="_Toc25137991"/>
    </w:p>
    <w:p>
      <w:pPr>
        <w:pStyle w:val="3"/>
        <w:spacing w:line="443" w:lineRule="exact"/>
        <w:ind w:right="44"/>
        <w:jc w:val="both"/>
        <w:rPr>
          <w:rFonts w:ascii="宋体" w:hAnsi="宋体" w:eastAsia="宋体"/>
          <w:color w:val="auto"/>
          <w:sz w:val="21"/>
          <w:szCs w:val="21"/>
          <w:highlight w:val="none"/>
          <w:lang w:eastAsia="zh-CN"/>
        </w:rPr>
      </w:pPr>
      <w:bookmarkStart w:id="39" w:name="_Toc109809392"/>
      <w:bookmarkStart w:id="40" w:name="_Toc109809431"/>
      <w:r>
        <w:rPr>
          <w:rFonts w:ascii="宋体" w:hAnsi="宋体" w:eastAsia="宋体"/>
          <w:color w:val="auto"/>
          <w:sz w:val="21"/>
          <w:szCs w:val="21"/>
          <w:highlight w:val="none"/>
          <w:lang w:eastAsia="zh-CN"/>
        </w:rPr>
        <w:t>10. 需要补充的其他内容</w:t>
      </w:r>
      <w:bookmarkEnd w:id="38"/>
      <w:bookmarkEnd w:id="39"/>
      <w:bookmarkEnd w:id="40"/>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需要补充的其他内容：见投标人须知前附表。</w:t>
      </w:r>
    </w:p>
    <w:p>
      <w:pPr>
        <w:pStyle w:val="8"/>
        <w:spacing w:line="360" w:lineRule="auto"/>
        <w:ind w:left="0" w:firstLine="480" w:firstLineChars="200"/>
        <w:rPr>
          <w:color w:val="auto"/>
          <w:sz w:val="24"/>
          <w:szCs w:val="24"/>
          <w:highlight w:val="none"/>
          <w:lang w:eastAsia="zh-CN"/>
        </w:rPr>
        <w:sectPr>
          <w:footerReference r:id="rId3" w:type="default"/>
          <w:pgSz w:w="11907" w:h="16839"/>
          <w:pgMar w:top="1440" w:right="1440" w:bottom="1440" w:left="1440" w:header="0" w:footer="919" w:gutter="0"/>
          <w:cols w:space="720" w:num="1"/>
        </w:sectPr>
      </w:pPr>
    </w:p>
    <w:p>
      <w:pPr>
        <w:pStyle w:val="4"/>
        <w:spacing w:line="363" w:lineRule="exact"/>
        <w:ind w:left="0"/>
        <w:rPr>
          <w:b/>
          <w:bCs/>
          <w:color w:val="auto"/>
          <w:sz w:val="21"/>
          <w:szCs w:val="21"/>
          <w:lang w:eastAsia="zh-CN"/>
        </w:rPr>
      </w:pPr>
      <w:r>
        <w:rPr>
          <w:b/>
          <w:bCs/>
          <w:color w:val="auto"/>
          <w:sz w:val="21"/>
          <w:szCs w:val="21"/>
          <w:lang w:eastAsia="zh-CN"/>
        </w:rPr>
        <w:t>附件一：开标记录表</w:t>
      </w:r>
    </w:p>
    <w:p>
      <w:pPr>
        <w:rPr>
          <w:rFonts w:ascii="宋体" w:hAnsi="宋体" w:eastAsia="宋体" w:cs="宋体"/>
          <w:color w:val="auto"/>
          <w:sz w:val="20"/>
          <w:szCs w:val="20"/>
          <w:lang w:eastAsia="zh-CN"/>
        </w:rPr>
      </w:pPr>
    </w:p>
    <w:p>
      <w:pPr>
        <w:spacing w:before="9"/>
        <w:rPr>
          <w:rFonts w:ascii="宋体" w:hAnsi="宋体" w:eastAsia="宋体" w:cs="宋体"/>
          <w:color w:val="auto"/>
          <w:sz w:val="23"/>
          <w:szCs w:val="23"/>
          <w:lang w:eastAsia="zh-CN"/>
        </w:rPr>
      </w:pPr>
    </w:p>
    <w:p>
      <w:pPr>
        <w:spacing w:before="14"/>
        <w:ind w:left="3238" w:right="3137"/>
        <w:jc w:val="center"/>
        <w:rPr>
          <w:rFonts w:ascii="宋体" w:hAnsi="宋体" w:eastAsia="宋体" w:cs="宋体"/>
          <w:b/>
          <w:bCs/>
          <w:color w:val="auto"/>
          <w:sz w:val="28"/>
          <w:szCs w:val="28"/>
          <w:lang w:eastAsia="zh-CN"/>
        </w:rPr>
      </w:pPr>
      <w:r>
        <w:rPr>
          <w:rFonts w:ascii="宋体" w:hAnsi="宋体" w:eastAsia="宋体" w:cs="宋体"/>
          <w:b/>
          <w:bCs/>
          <w:color w:val="auto"/>
          <w:sz w:val="28"/>
          <w:szCs w:val="28"/>
          <w:lang w:eastAsia="zh-CN"/>
        </w:rPr>
        <w:t>开标记录表</w:t>
      </w:r>
    </w:p>
    <w:p>
      <w:pPr>
        <w:pStyle w:val="8"/>
        <w:tabs>
          <w:tab w:val="left" w:pos="3614"/>
          <w:tab w:val="left" w:pos="4768"/>
          <w:tab w:val="left" w:pos="5923"/>
          <w:tab w:val="left" w:pos="7078"/>
          <w:tab w:val="left" w:pos="8233"/>
        </w:tabs>
        <w:ind w:left="0"/>
        <w:rPr>
          <w:color w:val="auto"/>
        </w:rPr>
      </w:pPr>
      <w:r>
        <w:rPr>
          <w:color w:val="auto"/>
          <w:spacing w:val="-1"/>
        </w:rPr>
        <w:t>开标时间：</w:t>
      </w:r>
      <w:r>
        <w:rPr>
          <w:color w:val="auto"/>
          <w:spacing w:val="-1"/>
          <w:u w:val="single" w:color="000000"/>
        </w:rPr>
        <w:tab/>
      </w:r>
      <w:r>
        <w:rPr>
          <w:color w:val="auto"/>
        </w:rPr>
        <w:t>年</w:t>
      </w:r>
      <w:r>
        <w:rPr>
          <w:color w:val="auto"/>
          <w:u w:val="single" w:color="000000"/>
        </w:rPr>
        <w:tab/>
      </w:r>
      <w:r>
        <w:rPr>
          <w:color w:val="auto"/>
        </w:rPr>
        <w:t>月</w:t>
      </w:r>
      <w:r>
        <w:rPr>
          <w:color w:val="auto"/>
          <w:u w:val="single" w:color="000000"/>
        </w:rPr>
        <w:tab/>
      </w:r>
      <w:r>
        <w:rPr>
          <w:color w:val="auto"/>
        </w:rPr>
        <w:t>日</w:t>
      </w:r>
      <w:r>
        <w:rPr>
          <w:color w:val="auto"/>
          <w:u w:val="single" w:color="000000"/>
        </w:rPr>
        <w:tab/>
      </w:r>
      <w:r>
        <w:rPr>
          <w:color w:val="auto"/>
        </w:rPr>
        <w:t>时</w:t>
      </w:r>
      <w:r>
        <w:rPr>
          <w:color w:val="auto"/>
          <w:u w:val="single" w:color="000000"/>
        </w:rPr>
        <w:tab/>
      </w:r>
      <w:r>
        <w:rPr>
          <w:color w:val="auto"/>
        </w:rPr>
        <w:t>分</w:t>
      </w:r>
    </w:p>
    <w:tbl>
      <w:tblPr>
        <w:tblStyle w:val="19"/>
        <w:tblpPr w:leftFromText="180" w:rightFromText="180" w:vertAnchor="text" w:horzAnchor="page" w:tblpX="1126" w:tblpY="155"/>
        <w:tblOverlap w:val="never"/>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90"/>
        <w:gridCol w:w="623"/>
        <w:gridCol w:w="540"/>
        <w:gridCol w:w="541"/>
        <w:gridCol w:w="829"/>
        <w:gridCol w:w="972"/>
        <w:gridCol w:w="949"/>
        <w:gridCol w:w="949"/>
        <w:gridCol w:w="886"/>
        <w:gridCol w:w="886"/>
        <w:gridCol w:w="671"/>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4" w:hRule="exact"/>
        </w:trPr>
        <w:tc>
          <w:tcPr>
            <w:tcW w:w="216" w:type="pct"/>
            <w:noWrap w:val="0"/>
            <w:vAlign w:val="center"/>
          </w:tcPr>
          <w:p>
            <w:pPr>
              <w:pStyle w:val="23"/>
              <w:jc w:val="center"/>
              <w:rPr>
                <w:rFonts w:ascii="宋体" w:hAnsi="宋体" w:eastAsia="宋体" w:cs="宋体"/>
                <w:color w:val="auto"/>
                <w:sz w:val="21"/>
                <w:szCs w:val="21"/>
              </w:rPr>
            </w:pPr>
            <w:r>
              <w:rPr>
                <w:rFonts w:ascii="宋体" w:hAnsi="宋体" w:eastAsia="宋体" w:cs="宋体"/>
                <w:color w:val="auto"/>
                <w:sz w:val="21"/>
                <w:szCs w:val="21"/>
              </w:rPr>
              <w:t>序号</w:t>
            </w:r>
          </w:p>
        </w:tc>
        <w:tc>
          <w:tcPr>
            <w:tcW w:w="345" w:type="pct"/>
            <w:noWrap w:val="0"/>
            <w:vAlign w:val="center"/>
          </w:tcPr>
          <w:p>
            <w:pPr>
              <w:pStyle w:val="23"/>
              <w:jc w:val="center"/>
              <w:rPr>
                <w:rFonts w:ascii="宋体" w:hAnsi="宋体" w:eastAsia="宋体" w:cs="宋体"/>
                <w:color w:val="auto"/>
                <w:sz w:val="21"/>
                <w:szCs w:val="21"/>
              </w:rPr>
            </w:pPr>
            <w:r>
              <w:rPr>
                <w:rFonts w:ascii="宋体" w:hAnsi="宋体" w:eastAsia="宋体" w:cs="宋体"/>
                <w:color w:val="auto"/>
                <w:sz w:val="21"/>
                <w:szCs w:val="21"/>
              </w:rPr>
              <w:t>投标人</w:t>
            </w:r>
          </w:p>
        </w:tc>
        <w:tc>
          <w:tcPr>
            <w:tcW w:w="298" w:type="pct"/>
            <w:noWrap w:val="0"/>
            <w:vAlign w:val="center"/>
          </w:tcPr>
          <w:p>
            <w:pPr>
              <w:pStyle w:val="23"/>
              <w:jc w:val="center"/>
              <w:rPr>
                <w:rFonts w:ascii="宋体" w:hAnsi="宋体" w:eastAsia="宋体" w:cs="宋体"/>
                <w:color w:val="auto"/>
                <w:sz w:val="21"/>
                <w:szCs w:val="21"/>
              </w:rPr>
            </w:pPr>
            <w:r>
              <w:rPr>
                <w:rFonts w:ascii="宋体" w:hAnsi="宋体" w:eastAsia="宋体" w:cs="宋体"/>
                <w:color w:val="auto"/>
                <w:sz w:val="21"/>
                <w:szCs w:val="21"/>
              </w:rPr>
              <w:t>投标文件递交情况</w:t>
            </w:r>
          </w:p>
        </w:tc>
        <w:tc>
          <w:tcPr>
            <w:tcW w:w="299" w:type="pct"/>
            <w:noWrap w:val="0"/>
            <w:vAlign w:val="center"/>
          </w:tcPr>
          <w:p>
            <w:pPr>
              <w:pStyle w:val="23"/>
              <w:jc w:val="center"/>
              <w:rPr>
                <w:rFonts w:ascii="宋体" w:hAnsi="宋体" w:eastAsia="宋体" w:cs="宋体"/>
                <w:color w:val="auto"/>
                <w:sz w:val="21"/>
                <w:szCs w:val="21"/>
              </w:rPr>
            </w:pPr>
            <w:r>
              <w:rPr>
                <w:rFonts w:hint="eastAsia" w:ascii="宋体" w:hAnsi="宋体" w:eastAsia="宋体" w:cs="宋体"/>
                <w:color w:val="auto"/>
                <w:sz w:val="21"/>
                <w:szCs w:val="21"/>
              </w:rPr>
              <w:t>投标文件解密情况</w:t>
            </w:r>
          </w:p>
        </w:tc>
        <w:tc>
          <w:tcPr>
            <w:tcW w:w="459" w:type="pct"/>
            <w:noWrap w:val="0"/>
            <w:vAlign w:val="center"/>
          </w:tcPr>
          <w:p>
            <w:pPr>
              <w:pStyle w:val="23"/>
              <w:jc w:val="center"/>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lang w:val="en-US" w:eastAsia="zh-CN"/>
              </w:rPr>
              <w:t>总</w:t>
            </w:r>
            <w:r>
              <w:rPr>
                <w:rFonts w:hint="eastAsia" w:ascii="宋体" w:hAnsi="宋体" w:eastAsia="宋体" w:cs="宋体"/>
                <w:color w:val="auto"/>
                <w:sz w:val="21"/>
                <w:szCs w:val="21"/>
                <w:lang w:eastAsia="zh-CN"/>
              </w:rPr>
              <w:t>报价（元）</w:t>
            </w:r>
          </w:p>
        </w:tc>
        <w:tc>
          <w:tcPr>
            <w:tcW w:w="538" w:type="pct"/>
            <w:noWrap w:val="0"/>
            <w:vAlign w:val="center"/>
          </w:tcPr>
          <w:p>
            <w:pPr>
              <w:pStyle w:val="23"/>
              <w:jc w:val="center"/>
              <w:rPr>
                <w:rFonts w:ascii="宋体" w:hAnsi="宋体" w:eastAsia="宋体" w:cs="宋体"/>
                <w:color w:val="auto"/>
                <w:sz w:val="21"/>
                <w:szCs w:val="21"/>
                <w:lang w:eastAsia="zh-CN"/>
              </w:rPr>
            </w:pPr>
            <w:r>
              <w:rPr>
                <w:rFonts w:ascii="宋体" w:hAnsi="宋体" w:eastAsia="宋体" w:cs="宋体"/>
                <w:color w:val="auto"/>
                <w:sz w:val="21"/>
                <w:szCs w:val="21"/>
                <w:lang w:eastAsia="zh-CN"/>
              </w:rPr>
              <w:t>设计费报价（元）</w:t>
            </w:r>
          </w:p>
        </w:tc>
        <w:tc>
          <w:tcPr>
            <w:tcW w:w="525" w:type="pct"/>
            <w:noWrap w:val="0"/>
            <w:vAlign w:val="center"/>
          </w:tcPr>
          <w:p>
            <w:pPr>
              <w:pStyle w:val="23"/>
              <w:jc w:val="center"/>
              <w:rPr>
                <w:rFonts w:hint="default" w:ascii="宋体" w:hAnsi="宋体" w:eastAsia="宋体" w:cs="宋体"/>
                <w:color w:val="auto"/>
                <w:sz w:val="21"/>
                <w:szCs w:val="21"/>
                <w:lang w:val="en-US" w:eastAsia="zh-CN"/>
              </w:rPr>
            </w:pPr>
            <w:r>
              <w:rPr>
                <w:rFonts w:ascii="宋体" w:hAnsi="宋体" w:eastAsia="宋体" w:cs="宋体"/>
                <w:color w:val="auto"/>
                <w:sz w:val="21"/>
                <w:szCs w:val="21"/>
                <w:lang w:eastAsia="zh-CN"/>
              </w:rPr>
              <w:t>设计费</w:t>
            </w:r>
            <w:r>
              <w:rPr>
                <w:rFonts w:hint="eastAsia" w:ascii="宋体" w:hAnsi="宋体" w:eastAsia="宋体" w:cs="宋体"/>
                <w:color w:val="auto"/>
                <w:sz w:val="21"/>
                <w:szCs w:val="21"/>
                <w:lang w:val="en-US" w:eastAsia="zh-CN"/>
              </w:rPr>
              <w:t>下浮率</w:t>
            </w:r>
          </w:p>
        </w:tc>
        <w:tc>
          <w:tcPr>
            <w:tcW w:w="525" w:type="pct"/>
            <w:noWrap w:val="0"/>
            <w:vAlign w:val="center"/>
          </w:tcPr>
          <w:p>
            <w:pPr>
              <w:pStyle w:val="23"/>
              <w:jc w:val="center"/>
              <w:rPr>
                <w:rFonts w:ascii="宋体" w:hAnsi="宋体" w:eastAsia="宋体" w:cs="宋体"/>
                <w:color w:val="auto"/>
                <w:sz w:val="21"/>
                <w:szCs w:val="21"/>
                <w:lang w:eastAsia="zh-CN"/>
              </w:rPr>
            </w:pPr>
            <w:r>
              <w:rPr>
                <w:rFonts w:ascii="宋体" w:hAnsi="宋体" w:eastAsia="宋体" w:cs="宋体"/>
                <w:color w:val="auto"/>
                <w:sz w:val="21"/>
                <w:szCs w:val="21"/>
                <w:lang w:eastAsia="zh-CN"/>
              </w:rPr>
              <w:t>勘察费报价（元）</w:t>
            </w:r>
          </w:p>
        </w:tc>
        <w:tc>
          <w:tcPr>
            <w:tcW w:w="490" w:type="pct"/>
            <w:noWrap w:val="0"/>
            <w:vAlign w:val="center"/>
          </w:tcPr>
          <w:p>
            <w:pPr>
              <w:pStyle w:val="23"/>
              <w:jc w:val="center"/>
              <w:rPr>
                <w:rFonts w:hint="default" w:ascii="宋体" w:hAnsi="宋体" w:eastAsia="宋体" w:cs="宋体"/>
                <w:color w:val="auto"/>
                <w:sz w:val="21"/>
                <w:szCs w:val="21"/>
                <w:lang w:val="en-US"/>
              </w:rPr>
            </w:pPr>
            <w:r>
              <w:rPr>
                <w:rFonts w:ascii="宋体" w:hAnsi="宋体" w:eastAsia="宋体" w:cs="宋体"/>
                <w:color w:val="auto"/>
                <w:sz w:val="21"/>
                <w:szCs w:val="21"/>
                <w:lang w:eastAsia="zh-CN"/>
              </w:rPr>
              <w:t>勘察费</w:t>
            </w:r>
            <w:r>
              <w:rPr>
                <w:rFonts w:hint="eastAsia" w:ascii="宋体" w:hAnsi="宋体" w:eastAsia="宋体" w:cs="宋体"/>
                <w:color w:val="auto"/>
                <w:sz w:val="21"/>
                <w:szCs w:val="21"/>
                <w:lang w:val="en-US" w:eastAsia="zh-CN"/>
              </w:rPr>
              <w:t>下浮率</w:t>
            </w:r>
          </w:p>
        </w:tc>
        <w:tc>
          <w:tcPr>
            <w:tcW w:w="490" w:type="pct"/>
            <w:noWrap w:val="0"/>
            <w:vAlign w:val="center"/>
          </w:tcPr>
          <w:p>
            <w:pPr>
              <w:pStyle w:val="23"/>
              <w:jc w:val="center"/>
              <w:rPr>
                <w:rFonts w:ascii="宋体" w:hAnsi="宋体" w:eastAsia="宋体" w:cs="宋体"/>
                <w:color w:val="auto"/>
                <w:sz w:val="21"/>
                <w:szCs w:val="21"/>
              </w:rPr>
            </w:pPr>
            <w:r>
              <w:rPr>
                <w:rFonts w:ascii="宋体" w:hAnsi="宋体" w:eastAsia="宋体" w:cs="宋体"/>
                <w:color w:val="auto"/>
                <w:sz w:val="21"/>
                <w:szCs w:val="21"/>
              </w:rPr>
              <w:t>项目负责人</w:t>
            </w:r>
          </w:p>
        </w:tc>
        <w:tc>
          <w:tcPr>
            <w:tcW w:w="371" w:type="pct"/>
            <w:noWrap w:val="0"/>
            <w:vAlign w:val="center"/>
          </w:tcPr>
          <w:p>
            <w:pPr>
              <w:pStyle w:val="23"/>
              <w:jc w:val="center"/>
              <w:rPr>
                <w:rFonts w:ascii="宋体" w:hAnsi="宋体" w:eastAsia="宋体" w:cs="宋体"/>
                <w:color w:val="auto"/>
                <w:sz w:val="21"/>
                <w:szCs w:val="21"/>
              </w:rPr>
            </w:pPr>
            <w:r>
              <w:rPr>
                <w:rFonts w:ascii="宋体" w:hAnsi="宋体" w:eastAsia="宋体" w:cs="宋体"/>
                <w:color w:val="auto"/>
                <w:sz w:val="21"/>
                <w:szCs w:val="21"/>
              </w:rPr>
              <w:t>备注</w:t>
            </w:r>
          </w:p>
        </w:tc>
        <w:tc>
          <w:tcPr>
            <w:tcW w:w="437" w:type="pct"/>
            <w:noWrap w:val="0"/>
            <w:vAlign w:val="center"/>
          </w:tcPr>
          <w:p>
            <w:pPr>
              <w:pStyle w:val="23"/>
              <w:jc w:val="center"/>
              <w:rPr>
                <w:rFonts w:ascii="宋体" w:hAnsi="宋体" w:eastAsia="宋体" w:cs="宋体"/>
                <w:color w:val="auto"/>
                <w:sz w:val="21"/>
                <w:szCs w:val="21"/>
              </w:rPr>
            </w:pPr>
            <w:r>
              <w:rPr>
                <w:rFonts w:ascii="宋体" w:hAnsi="宋体" w:eastAsia="宋体" w:cs="宋体"/>
                <w:color w:val="auto"/>
                <w:sz w:val="21"/>
                <w:szCs w:val="21"/>
              </w:rPr>
              <w:t>投标人代表签名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7" w:hRule="exact"/>
        </w:trPr>
        <w:tc>
          <w:tcPr>
            <w:tcW w:w="216" w:type="pct"/>
            <w:noWrap w:val="0"/>
            <w:vAlign w:val="center"/>
          </w:tcPr>
          <w:p>
            <w:pPr>
              <w:jc w:val="center"/>
              <w:rPr>
                <w:rFonts w:ascii="宋体" w:hAnsi="宋体" w:eastAsia="宋体"/>
                <w:color w:val="auto"/>
                <w:sz w:val="21"/>
                <w:szCs w:val="21"/>
              </w:rPr>
            </w:pPr>
          </w:p>
        </w:tc>
        <w:tc>
          <w:tcPr>
            <w:tcW w:w="345" w:type="pct"/>
            <w:noWrap w:val="0"/>
            <w:vAlign w:val="center"/>
          </w:tcPr>
          <w:p>
            <w:pPr>
              <w:jc w:val="center"/>
              <w:rPr>
                <w:rFonts w:ascii="宋体" w:hAnsi="宋体" w:eastAsia="宋体"/>
                <w:color w:val="auto"/>
                <w:sz w:val="21"/>
                <w:szCs w:val="21"/>
              </w:rPr>
            </w:pPr>
          </w:p>
        </w:tc>
        <w:tc>
          <w:tcPr>
            <w:tcW w:w="298" w:type="pct"/>
            <w:noWrap w:val="0"/>
            <w:vAlign w:val="center"/>
          </w:tcPr>
          <w:p>
            <w:pPr>
              <w:jc w:val="center"/>
              <w:rPr>
                <w:rFonts w:ascii="宋体" w:hAnsi="宋体" w:eastAsia="宋体"/>
                <w:color w:val="auto"/>
                <w:sz w:val="21"/>
                <w:szCs w:val="21"/>
              </w:rPr>
            </w:pPr>
          </w:p>
        </w:tc>
        <w:tc>
          <w:tcPr>
            <w:tcW w:w="299" w:type="pct"/>
            <w:noWrap w:val="0"/>
            <w:vAlign w:val="center"/>
          </w:tcPr>
          <w:p>
            <w:pPr>
              <w:jc w:val="center"/>
              <w:rPr>
                <w:rFonts w:ascii="宋体" w:hAnsi="宋体" w:eastAsia="宋体"/>
                <w:color w:val="auto"/>
                <w:sz w:val="21"/>
                <w:szCs w:val="21"/>
              </w:rPr>
            </w:pPr>
          </w:p>
        </w:tc>
        <w:tc>
          <w:tcPr>
            <w:tcW w:w="459" w:type="pct"/>
            <w:noWrap w:val="0"/>
            <w:vAlign w:val="center"/>
          </w:tcPr>
          <w:p>
            <w:pPr>
              <w:jc w:val="center"/>
              <w:rPr>
                <w:rFonts w:ascii="宋体" w:hAnsi="宋体" w:eastAsia="宋体"/>
                <w:color w:val="auto"/>
                <w:sz w:val="21"/>
                <w:szCs w:val="21"/>
                <w:lang w:eastAsia="zh-CN"/>
              </w:rPr>
            </w:pPr>
          </w:p>
        </w:tc>
        <w:tc>
          <w:tcPr>
            <w:tcW w:w="538" w:type="pct"/>
            <w:noWrap w:val="0"/>
            <w:vAlign w:val="center"/>
          </w:tcPr>
          <w:p>
            <w:pPr>
              <w:jc w:val="center"/>
              <w:rPr>
                <w:rFonts w:ascii="宋体" w:hAnsi="宋体" w:eastAsia="宋体"/>
                <w:color w:val="auto"/>
                <w:sz w:val="21"/>
                <w:szCs w:val="21"/>
                <w:lang w:eastAsia="zh-CN"/>
              </w:rPr>
            </w:pPr>
          </w:p>
        </w:tc>
        <w:tc>
          <w:tcPr>
            <w:tcW w:w="525" w:type="pct"/>
            <w:noWrap w:val="0"/>
            <w:vAlign w:val="center"/>
          </w:tcPr>
          <w:p>
            <w:pPr>
              <w:jc w:val="center"/>
              <w:rPr>
                <w:rFonts w:ascii="宋体" w:hAnsi="宋体" w:eastAsia="宋体"/>
                <w:color w:val="auto"/>
                <w:sz w:val="21"/>
                <w:szCs w:val="21"/>
                <w:lang w:eastAsia="zh-CN"/>
              </w:rPr>
            </w:pPr>
          </w:p>
        </w:tc>
        <w:tc>
          <w:tcPr>
            <w:tcW w:w="525" w:type="pct"/>
            <w:noWrap w:val="0"/>
            <w:vAlign w:val="center"/>
          </w:tcPr>
          <w:p>
            <w:pPr>
              <w:jc w:val="center"/>
              <w:rPr>
                <w:rFonts w:ascii="宋体" w:hAnsi="宋体" w:eastAsia="宋体"/>
                <w:color w:val="auto"/>
                <w:sz w:val="21"/>
                <w:szCs w:val="21"/>
                <w:lang w:eastAsia="zh-CN"/>
              </w:rPr>
            </w:pPr>
          </w:p>
        </w:tc>
        <w:tc>
          <w:tcPr>
            <w:tcW w:w="490" w:type="pct"/>
            <w:noWrap w:val="0"/>
            <w:vAlign w:val="center"/>
          </w:tcPr>
          <w:p>
            <w:pPr>
              <w:jc w:val="center"/>
              <w:rPr>
                <w:rFonts w:ascii="宋体" w:hAnsi="宋体" w:eastAsia="宋体"/>
                <w:color w:val="auto"/>
                <w:sz w:val="21"/>
                <w:szCs w:val="21"/>
                <w:lang w:eastAsia="zh-CN"/>
              </w:rPr>
            </w:pPr>
          </w:p>
        </w:tc>
        <w:tc>
          <w:tcPr>
            <w:tcW w:w="490" w:type="pct"/>
            <w:noWrap w:val="0"/>
            <w:vAlign w:val="center"/>
          </w:tcPr>
          <w:p>
            <w:pPr>
              <w:jc w:val="center"/>
              <w:rPr>
                <w:rFonts w:ascii="宋体" w:hAnsi="宋体" w:eastAsia="宋体"/>
                <w:color w:val="auto"/>
                <w:sz w:val="21"/>
                <w:szCs w:val="21"/>
                <w:lang w:eastAsia="zh-CN"/>
              </w:rPr>
            </w:pPr>
          </w:p>
        </w:tc>
        <w:tc>
          <w:tcPr>
            <w:tcW w:w="371" w:type="pct"/>
            <w:noWrap w:val="0"/>
            <w:vAlign w:val="center"/>
          </w:tcPr>
          <w:p>
            <w:pPr>
              <w:jc w:val="center"/>
              <w:rPr>
                <w:rFonts w:ascii="宋体" w:hAnsi="宋体" w:eastAsia="宋体"/>
                <w:color w:val="auto"/>
                <w:sz w:val="21"/>
                <w:szCs w:val="21"/>
                <w:lang w:eastAsia="zh-CN"/>
              </w:rPr>
            </w:pPr>
          </w:p>
        </w:tc>
        <w:tc>
          <w:tcPr>
            <w:tcW w:w="437" w:type="pct"/>
            <w:noWrap w:val="0"/>
            <w:vAlign w:val="center"/>
          </w:tcPr>
          <w:p>
            <w:pPr>
              <w:jc w:val="center"/>
              <w:rPr>
                <w:rFonts w:ascii="宋体" w:hAnsi="宋体" w:eastAsia="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exact"/>
        </w:trPr>
        <w:tc>
          <w:tcPr>
            <w:tcW w:w="216" w:type="pct"/>
            <w:noWrap w:val="0"/>
            <w:vAlign w:val="center"/>
          </w:tcPr>
          <w:p>
            <w:pPr>
              <w:jc w:val="center"/>
              <w:rPr>
                <w:rFonts w:ascii="宋体" w:hAnsi="宋体" w:eastAsia="宋体"/>
                <w:color w:val="auto"/>
                <w:sz w:val="21"/>
                <w:szCs w:val="21"/>
                <w:lang w:eastAsia="zh-CN"/>
              </w:rPr>
            </w:pPr>
          </w:p>
        </w:tc>
        <w:tc>
          <w:tcPr>
            <w:tcW w:w="345" w:type="pct"/>
            <w:noWrap w:val="0"/>
            <w:vAlign w:val="center"/>
          </w:tcPr>
          <w:p>
            <w:pPr>
              <w:jc w:val="center"/>
              <w:rPr>
                <w:rFonts w:ascii="宋体" w:hAnsi="宋体" w:eastAsia="宋体"/>
                <w:color w:val="auto"/>
                <w:sz w:val="21"/>
                <w:szCs w:val="21"/>
                <w:lang w:eastAsia="zh-CN"/>
              </w:rPr>
            </w:pPr>
          </w:p>
        </w:tc>
        <w:tc>
          <w:tcPr>
            <w:tcW w:w="298" w:type="pct"/>
            <w:noWrap w:val="0"/>
            <w:vAlign w:val="center"/>
          </w:tcPr>
          <w:p>
            <w:pPr>
              <w:jc w:val="center"/>
              <w:rPr>
                <w:rFonts w:ascii="宋体" w:hAnsi="宋体" w:eastAsia="宋体"/>
                <w:color w:val="auto"/>
                <w:sz w:val="21"/>
                <w:szCs w:val="21"/>
                <w:lang w:eastAsia="zh-CN"/>
              </w:rPr>
            </w:pPr>
          </w:p>
        </w:tc>
        <w:tc>
          <w:tcPr>
            <w:tcW w:w="299" w:type="pct"/>
            <w:noWrap w:val="0"/>
            <w:vAlign w:val="center"/>
          </w:tcPr>
          <w:p>
            <w:pPr>
              <w:jc w:val="center"/>
              <w:rPr>
                <w:rFonts w:ascii="宋体" w:hAnsi="宋体" w:eastAsia="宋体"/>
                <w:color w:val="auto"/>
                <w:sz w:val="21"/>
                <w:szCs w:val="21"/>
                <w:lang w:eastAsia="zh-CN"/>
              </w:rPr>
            </w:pPr>
          </w:p>
        </w:tc>
        <w:tc>
          <w:tcPr>
            <w:tcW w:w="459" w:type="pct"/>
            <w:noWrap w:val="0"/>
            <w:vAlign w:val="center"/>
          </w:tcPr>
          <w:p>
            <w:pPr>
              <w:jc w:val="center"/>
              <w:rPr>
                <w:rFonts w:ascii="宋体" w:hAnsi="宋体" w:eastAsia="宋体"/>
                <w:color w:val="auto"/>
                <w:sz w:val="21"/>
                <w:szCs w:val="21"/>
                <w:lang w:eastAsia="zh-CN"/>
              </w:rPr>
            </w:pPr>
          </w:p>
        </w:tc>
        <w:tc>
          <w:tcPr>
            <w:tcW w:w="538" w:type="pct"/>
            <w:noWrap w:val="0"/>
            <w:vAlign w:val="center"/>
          </w:tcPr>
          <w:p>
            <w:pPr>
              <w:jc w:val="center"/>
              <w:rPr>
                <w:rFonts w:ascii="宋体" w:hAnsi="宋体" w:eastAsia="宋体"/>
                <w:color w:val="auto"/>
                <w:sz w:val="21"/>
                <w:szCs w:val="21"/>
                <w:lang w:eastAsia="zh-CN"/>
              </w:rPr>
            </w:pPr>
          </w:p>
        </w:tc>
        <w:tc>
          <w:tcPr>
            <w:tcW w:w="525" w:type="pct"/>
            <w:noWrap w:val="0"/>
            <w:vAlign w:val="center"/>
          </w:tcPr>
          <w:p>
            <w:pPr>
              <w:jc w:val="center"/>
              <w:rPr>
                <w:rFonts w:ascii="宋体" w:hAnsi="宋体" w:eastAsia="宋体"/>
                <w:color w:val="auto"/>
                <w:sz w:val="21"/>
                <w:szCs w:val="21"/>
                <w:lang w:eastAsia="zh-CN"/>
              </w:rPr>
            </w:pPr>
          </w:p>
        </w:tc>
        <w:tc>
          <w:tcPr>
            <w:tcW w:w="525" w:type="pct"/>
            <w:noWrap w:val="0"/>
            <w:vAlign w:val="center"/>
          </w:tcPr>
          <w:p>
            <w:pPr>
              <w:jc w:val="center"/>
              <w:rPr>
                <w:rFonts w:ascii="宋体" w:hAnsi="宋体" w:eastAsia="宋体"/>
                <w:color w:val="auto"/>
                <w:sz w:val="21"/>
                <w:szCs w:val="21"/>
                <w:lang w:eastAsia="zh-CN"/>
              </w:rPr>
            </w:pPr>
          </w:p>
        </w:tc>
        <w:tc>
          <w:tcPr>
            <w:tcW w:w="490" w:type="pct"/>
            <w:noWrap w:val="0"/>
            <w:vAlign w:val="center"/>
          </w:tcPr>
          <w:p>
            <w:pPr>
              <w:jc w:val="center"/>
              <w:rPr>
                <w:rFonts w:ascii="宋体" w:hAnsi="宋体" w:eastAsia="宋体"/>
                <w:color w:val="auto"/>
                <w:sz w:val="21"/>
                <w:szCs w:val="21"/>
                <w:lang w:eastAsia="zh-CN"/>
              </w:rPr>
            </w:pPr>
          </w:p>
        </w:tc>
        <w:tc>
          <w:tcPr>
            <w:tcW w:w="490" w:type="pct"/>
            <w:noWrap w:val="0"/>
            <w:vAlign w:val="center"/>
          </w:tcPr>
          <w:p>
            <w:pPr>
              <w:jc w:val="center"/>
              <w:rPr>
                <w:rFonts w:ascii="宋体" w:hAnsi="宋体" w:eastAsia="宋体"/>
                <w:color w:val="auto"/>
                <w:sz w:val="21"/>
                <w:szCs w:val="21"/>
                <w:lang w:eastAsia="zh-CN"/>
              </w:rPr>
            </w:pPr>
          </w:p>
        </w:tc>
        <w:tc>
          <w:tcPr>
            <w:tcW w:w="371" w:type="pct"/>
            <w:noWrap w:val="0"/>
            <w:vAlign w:val="center"/>
          </w:tcPr>
          <w:p>
            <w:pPr>
              <w:jc w:val="center"/>
              <w:rPr>
                <w:rFonts w:ascii="宋体" w:hAnsi="宋体" w:eastAsia="宋体"/>
                <w:color w:val="auto"/>
                <w:sz w:val="21"/>
                <w:szCs w:val="21"/>
                <w:lang w:eastAsia="zh-CN"/>
              </w:rPr>
            </w:pPr>
          </w:p>
        </w:tc>
        <w:tc>
          <w:tcPr>
            <w:tcW w:w="437" w:type="pct"/>
            <w:noWrap w:val="0"/>
            <w:vAlign w:val="center"/>
          </w:tcPr>
          <w:p>
            <w:pPr>
              <w:jc w:val="center"/>
              <w:rPr>
                <w:rFonts w:ascii="宋体" w:hAnsi="宋体" w:eastAsia="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exact"/>
        </w:trPr>
        <w:tc>
          <w:tcPr>
            <w:tcW w:w="216" w:type="pct"/>
            <w:noWrap w:val="0"/>
            <w:vAlign w:val="center"/>
          </w:tcPr>
          <w:p>
            <w:pPr>
              <w:jc w:val="center"/>
              <w:rPr>
                <w:rFonts w:ascii="宋体" w:hAnsi="宋体" w:eastAsia="宋体"/>
                <w:color w:val="auto"/>
                <w:sz w:val="21"/>
                <w:szCs w:val="21"/>
                <w:lang w:eastAsia="zh-CN"/>
              </w:rPr>
            </w:pPr>
          </w:p>
        </w:tc>
        <w:tc>
          <w:tcPr>
            <w:tcW w:w="345" w:type="pct"/>
            <w:noWrap w:val="0"/>
            <w:vAlign w:val="center"/>
          </w:tcPr>
          <w:p>
            <w:pPr>
              <w:jc w:val="center"/>
              <w:rPr>
                <w:rFonts w:ascii="宋体" w:hAnsi="宋体" w:eastAsia="宋体"/>
                <w:color w:val="auto"/>
                <w:sz w:val="21"/>
                <w:szCs w:val="21"/>
                <w:lang w:eastAsia="zh-CN"/>
              </w:rPr>
            </w:pPr>
          </w:p>
        </w:tc>
        <w:tc>
          <w:tcPr>
            <w:tcW w:w="298" w:type="pct"/>
            <w:noWrap w:val="0"/>
            <w:vAlign w:val="center"/>
          </w:tcPr>
          <w:p>
            <w:pPr>
              <w:jc w:val="center"/>
              <w:rPr>
                <w:rFonts w:ascii="宋体" w:hAnsi="宋体" w:eastAsia="宋体"/>
                <w:color w:val="auto"/>
                <w:sz w:val="21"/>
                <w:szCs w:val="21"/>
                <w:lang w:eastAsia="zh-CN"/>
              </w:rPr>
            </w:pPr>
          </w:p>
        </w:tc>
        <w:tc>
          <w:tcPr>
            <w:tcW w:w="299" w:type="pct"/>
            <w:noWrap w:val="0"/>
            <w:vAlign w:val="center"/>
          </w:tcPr>
          <w:p>
            <w:pPr>
              <w:jc w:val="center"/>
              <w:rPr>
                <w:rFonts w:ascii="宋体" w:hAnsi="宋体" w:eastAsia="宋体"/>
                <w:color w:val="auto"/>
                <w:sz w:val="21"/>
                <w:szCs w:val="21"/>
                <w:lang w:eastAsia="zh-CN"/>
              </w:rPr>
            </w:pPr>
          </w:p>
        </w:tc>
        <w:tc>
          <w:tcPr>
            <w:tcW w:w="459" w:type="pct"/>
            <w:noWrap w:val="0"/>
            <w:vAlign w:val="center"/>
          </w:tcPr>
          <w:p>
            <w:pPr>
              <w:jc w:val="center"/>
              <w:rPr>
                <w:rFonts w:ascii="宋体" w:hAnsi="宋体" w:eastAsia="宋体"/>
                <w:color w:val="auto"/>
                <w:sz w:val="21"/>
                <w:szCs w:val="21"/>
                <w:lang w:eastAsia="zh-CN"/>
              </w:rPr>
            </w:pPr>
          </w:p>
        </w:tc>
        <w:tc>
          <w:tcPr>
            <w:tcW w:w="538" w:type="pct"/>
            <w:noWrap w:val="0"/>
            <w:vAlign w:val="center"/>
          </w:tcPr>
          <w:p>
            <w:pPr>
              <w:jc w:val="center"/>
              <w:rPr>
                <w:rFonts w:ascii="宋体" w:hAnsi="宋体" w:eastAsia="宋体"/>
                <w:color w:val="auto"/>
                <w:sz w:val="21"/>
                <w:szCs w:val="21"/>
                <w:lang w:eastAsia="zh-CN"/>
              </w:rPr>
            </w:pPr>
          </w:p>
        </w:tc>
        <w:tc>
          <w:tcPr>
            <w:tcW w:w="525" w:type="pct"/>
            <w:noWrap w:val="0"/>
            <w:vAlign w:val="center"/>
          </w:tcPr>
          <w:p>
            <w:pPr>
              <w:jc w:val="center"/>
              <w:rPr>
                <w:rFonts w:ascii="宋体" w:hAnsi="宋体" w:eastAsia="宋体"/>
                <w:color w:val="auto"/>
                <w:sz w:val="21"/>
                <w:szCs w:val="21"/>
                <w:lang w:eastAsia="zh-CN"/>
              </w:rPr>
            </w:pPr>
          </w:p>
        </w:tc>
        <w:tc>
          <w:tcPr>
            <w:tcW w:w="525" w:type="pct"/>
            <w:noWrap w:val="0"/>
            <w:vAlign w:val="center"/>
          </w:tcPr>
          <w:p>
            <w:pPr>
              <w:jc w:val="center"/>
              <w:rPr>
                <w:rFonts w:ascii="宋体" w:hAnsi="宋体" w:eastAsia="宋体"/>
                <w:color w:val="auto"/>
                <w:sz w:val="21"/>
                <w:szCs w:val="21"/>
                <w:lang w:eastAsia="zh-CN"/>
              </w:rPr>
            </w:pPr>
          </w:p>
        </w:tc>
        <w:tc>
          <w:tcPr>
            <w:tcW w:w="490" w:type="pct"/>
            <w:noWrap w:val="0"/>
            <w:vAlign w:val="center"/>
          </w:tcPr>
          <w:p>
            <w:pPr>
              <w:jc w:val="center"/>
              <w:rPr>
                <w:rFonts w:ascii="宋体" w:hAnsi="宋体" w:eastAsia="宋体"/>
                <w:color w:val="auto"/>
                <w:sz w:val="21"/>
                <w:szCs w:val="21"/>
                <w:lang w:eastAsia="zh-CN"/>
              </w:rPr>
            </w:pPr>
          </w:p>
        </w:tc>
        <w:tc>
          <w:tcPr>
            <w:tcW w:w="490" w:type="pct"/>
            <w:noWrap w:val="0"/>
            <w:vAlign w:val="center"/>
          </w:tcPr>
          <w:p>
            <w:pPr>
              <w:jc w:val="center"/>
              <w:rPr>
                <w:rFonts w:ascii="宋体" w:hAnsi="宋体" w:eastAsia="宋体"/>
                <w:color w:val="auto"/>
                <w:sz w:val="21"/>
                <w:szCs w:val="21"/>
                <w:lang w:eastAsia="zh-CN"/>
              </w:rPr>
            </w:pPr>
          </w:p>
        </w:tc>
        <w:tc>
          <w:tcPr>
            <w:tcW w:w="371" w:type="pct"/>
            <w:noWrap w:val="0"/>
            <w:vAlign w:val="center"/>
          </w:tcPr>
          <w:p>
            <w:pPr>
              <w:jc w:val="center"/>
              <w:rPr>
                <w:rFonts w:ascii="宋体" w:hAnsi="宋体" w:eastAsia="宋体"/>
                <w:color w:val="auto"/>
                <w:sz w:val="21"/>
                <w:szCs w:val="21"/>
                <w:lang w:eastAsia="zh-CN"/>
              </w:rPr>
            </w:pPr>
          </w:p>
        </w:tc>
        <w:tc>
          <w:tcPr>
            <w:tcW w:w="437" w:type="pct"/>
            <w:noWrap w:val="0"/>
            <w:vAlign w:val="center"/>
          </w:tcPr>
          <w:p>
            <w:pPr>
              <w:jc w:val="center"/>
              <w:rPr>
                <w:rFonts w:ascii="宋体" w:hAnsi="宋体" w:eastAsia="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exact"/>
        </w:trPr>
        <w:tc>
          <w:tcPr>
            <w:tcW w:w="216" w:type="pct"/>
            <w:noWrap w:val="0"/>
            <w:vAlign w:val="center"/>
          </w:tcPr>
          <w:p>
            <w:pPr>
              <w:jc w:val="center"/>
              <w:rPr>
                <w:rFonts w:ascii="宋体" w:hAnsi="宋体" w:eastAsia="宋体"/>
                <w:color w:val="auto"/>
                <w:sz w:val="21"/>
                <w:szCs w:val="21"/>
                <w:lang w:eastAsia="zh-CN"/>
              </w:rPr>
            </w:pPr>
          </w:p>
        </w:tc>
        <w:tc>
          <w:tcPr>
            <w:tcW w:w="345" w:type="pct"/>
            <w:noWrap w:val="0"/>
            <w:vAlign w:val="center"/>
          </w:tcPr>
          <w:p>
            <w:pPr>
              <w:jc w:val="center"/>
              <w:rPr>
                <w:rFonts w:ascii="宋体" w:hAnsi="宋体" w:eastAsia="宋体"/>
                <w:color w:val="auto"/>
                <w:sz w:val="21"/>
                <w:szCs w:val="21"/>
                <w:lang w:eastAsia="zh-CN"/>
              </w:rPr>
            </w:pPr>
          </w:p>
        </w:tc>
        <w:tc>
          <w:tcPr>
            <w:tcW w:w="298" w:type="pct"/>
            <w:noWrap w:val="0"/>
            <w:vAlign w:val="center"/>
          </w:tcPr>
          <w:p>
            <w:pPr>
              <w:jc w:val="center"/>
              <w:rPr>
                <w:rFonts w:ascii="宋体" w:hAnsi="宋体" w:eastAsia="宋体"/>
                <w:color w:val="auto"/>
                <w:sz w:val="21"/>
                <w:szCs w:val="21"/>
                <w:lang w:eastAsia="zh-CN"/>
              </w:rPr>
            </w:pPr>
          </w:p>
        </w:tc>
        <w:tc>
          <w:tcPr>
            <w:tcW w:w="299" w:type="pct"/>
            <w:noWrap w:val="0"/>
            <w:vAlign w:val="center"/>
          </w:tcPr>
          <w:p>
            <w:pPr>
              <w:jc w:val="center"/>
              <w:rPr>
                <w:rFonts w:ascii="宋体" w:hAnsi="宋体" w:eastAsia="宋体"/>
                <w:color w:val="auto"/>
                <w:sz w:val="21"/>
                <w:szCs w:val="21"/>
                <w:lang w:eastAsia="zh-CN"/>
              </w:rPr>
            </w:pPr>
          </w:p>
        </w:tc>
        <w:tc>
          <w:tcPr>
            <w:tcW w:w="459" w:type="pct"/>
            <w:noWrap w:val="0"/>
            <w:vAlign w:val="center"/>
          </w:tcPr>
          <w:p>
            <w:pPr>
              <w:jc w:val="center"/>
              <w:rPr>
                <w:rFonts w:ascii="宋体" w:hAnsi="宋体" w:eastAsia="宋体"/>
                <w:color w:val="auto"/>
                <w:sz w:val="21"/>
                <w:szCs w:val="21"/>
                <w:lang w:eastAsia="zh-CN"/>
              </w:rPr>
            </w:pPr>
          </w:p>
        </w:tc>
        <w:tc>
          <w:tcPr>
            <w:tcW w:w="538" w:type="pct"/>
            <w:noWrap w:val="0"/>
            <w:vAlign w:val="center"/>
          </w:tcPr>
          <w:p>
            <w:pPr>
              <w:jc w:val="center"/>
              <w:rPr>
                <w:rFonts w:ascii="宋体" w:hAnsi="宋体" w:eastAsia="宋体"/>
                <w:color w:val="auto"/>
                <w:sz w:val="21"/>
                <w:szCs w:val="21"/>
                <w:lang w:eastAsia="zh-CN"/>
              </w:rPr>
            </w:pPr>
          </w:p>
        </w:tc>
        <w:tc>
          <w:tcPr>
            <w:tcW w:w="525" w:type="pct"/>
            <w:noWrap w:val="0"/>
            <w:vAlign w:val="center"/>
          </w:tcPr>
          <w:p>
            <w:pPr>
              <w:jc w:val="center"/>
              <w:rPr>
                <w:rFonts w:ascii="宋体" w:hAnsi="宋体" w:eastAsia="宋体"/>
                <w:color w:val="auto"/>
                <w:sz w:val="21"/>
                <w:szCs w:val="21"/>
                <w:lang w:eastAsia="zh-CN"/>
              </w:rPr>
            </w:pPr>
          </w:p>
        </w:tc>
        <w:tc>
          <w:tcPr>
            <w:tcW w:w="525" w:type="pct"/>
            <w:noWrap w:val="0"/>
            <w:vAlign w:val="center"/>
          </w:tcPr>
          <w:p>
            <w:pPr>
              <w:jc w:val="center"/>
              <w:rPr>
                <w:rFonts w:ascii="宋体" w:hAnsi="宋体" w:eastAsia="宋体"/>
                <w:color w:val="auto"/>
                <w:sz w:val="21"/>
                <w:szCs w:val="21"/>
                <w:lang w:eastAsia="zh-CN"/>
              </w:rPr>
            </w:pPr>
          </w:p>
        </w:tc>
        <w:tc>
          <w:tcPr>
            <w:tcW w:w="490" w:type="pct"/>
            <w:noWrap w:val="0"/>
            <w:vAlign w:val="center"/>
          </w:tcPr>
          <w:p>
            <w:pPr>
              <w:jc w:val="center"/>
              <w:rPr>
                <w:rFonts w:ascii="宋体" w:hAnsi="宋体" w:eastAsia="宋体"/>
                <w:color w:val="auto"/>
                <w:sz w:val="21"/>
                <w:szCs w:val="21"/>
                <w:lang w:eastAsia="zh-CN"/>
              </w:rPr>
            </w:pPr>
          </w:p>
        </w:tc>
        <w:tc>
          <w:tcPr>
            <w:tcW w:w="490" w:type="pct"/>
            <w:noWrap w:val="0"/>
            <w:vAlign w:val="center"/>
          </w:tcPr>
          <w:p>
            <w:pPr>
              <w:jc w:val="center"/>
              <w:rPr>
                <w:rFonts w:ascii="宋体" w:hAnsi="宋体" w:eastAsia="宋体"/>
                <w:color w:val="auto"/>
                <w:sz w:val="21"/>
                <w:szCs w:val="21"/>
                <w:lang w:eastAsia="zh-CN"/>
              </w:rPr>
            </w:pPr>
          </w:p>
        </w:tc>
        <w:tc>
          <w:tcPr>
            <w:tcW w:w="371" w:type="pct"/>
            <w:noWrap w:val="0"/>
            <w:vAlign w:val="center"/>
          </w:tcPr>
          <w:p>
            <w:pPr>
              <w:jc w:val="center"/>
              <w:rPr>
                <w:rFonts w:ascii="宋体" w:hAnsi="宋体" w:eastAsia="宋体"/>
                <w:color w:val="auto"/>
                <w:sz w:val="21"/>
                <w:szCs w:val="21"/>
                <w:lang w:eastAsia="zh-CN"/>
              </w:rPr>
            </w:pPr>
          </w:p>
        </w:tc>
        <w:tc>
          <w:tcPr>
            <w:tcW w:w="437" w:type="pct"/>
            <w:noWrap w:val="0"/>
            <w:vAlign w:val="center"/>
          </w:tcPr>
          <w:p>
            <w:pPr>
              <w:jc w:val="center"/>
              <w:rPr>
                <w:rFonts w:ascii="宋体" w:hAnsi="宋体" w:eastAsia="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exact"/>
        </w:trPr>
        <w:tc>
          <w:tcPr>
            <w:tcW w:w="216" w:type="pct"/>
            <w:noWrap w:val="0"/>
            <w:vAlign w:val="center"/>
          </w:tcPr>
          <w:p>
            <w:pPr>
              <w:jc w:val="center"/>
              <w:rPr>
                <w:rFonts w:ascii="宋体" w:hAnsi="宋体" w:eastAsia="宋体"/>
                <w:color w:val="auto"/>
                <w:sz w:val="21"/>
                <w:szCs w:val="21"/>
                <w:lang w:eastAsia="zh-CN"/>
              </w:rPr>
            </w:pPr>
          </w:p>
        </w:tc>
        <w:tc>
          <w:tcPr>
            <w:tcW w:w="345" w:type="pct"/>
            <w:noWrap w:val="0"/>
            <w:vAlign w:val="center"/>
          </w:tcPr>
          <w:p>
            <w:pPr>
              <w:jc w:val="center"/>
              <w:rPr>
                <w:rFonts w:ascii="宋体" w:hAnsi="宋体" w:eastAsia="宋体"/>
                <w:color w:val="auto"/>
                <w:sz w:val="21"/>
                <w:szCs w:val="21"/>
                <w:lang w:eastAsia="zh-CN"/>
              </w:rPr>
            </w:pPr>
          </w:p>
        </w:tc>
        <w:tc>
          <w:tcPr>
            <w:tcW w:w="298" w:type="pct"/>
            <w:noWrap w:val="0"/>
            <w:vAlign w:val="center"/>
          </w:tcPr>
          <w:p>
            <w:pPr>
              <w:jc w:val="center"/>
              <w:rPr>
                <w:rFonts w:ascii="宋体" w:hAnsi="宋体" w:eastAsia="宋体"/>
                <w:color w:val="auto"/>
                <w:sz w:val="21"/>
                <w:szCs w:val="21"/>
                <w:lang w:eastAsia="zh-CN"/>
              </w:rPr>
            </w:pPr>
          </w:p>
        </w:tc>
        <w:tc>
          <w:tcPr>
            <w:tcW w:w="299" w:type="pct"/>
            <w:noWrap w:val="0"/>
            <w:vAlign w:val="center"/>
          </w:tcPr>
          <w:p>
            <w:pPr>
              <w:jc w:val="center"/>
              <w:rPr>
                <w:rFonts w:ascii="宋体" w:hAnsi="宋体" w:eastAsia="宋体"/>
                <w:color w:val="auto"/>
                <w:sz w:val="21"/>
                <w:szCs w:val="21"/>
                <w:lang w:eastAsia="zh-CN"/>
              </w:rPr>
            </w:pPr>
          </w:p>
        </w:tc>
        <w:tc>
          <w:tcPr>
            <w:tcW w:w="459" w:type="pct"/>
            <w:noWrap w:val="0"/>
            <w:vAlign w:val="center"/>
          </w:tcPr>
          <w:p>
            <w:pPr>
              <w:jc w:val="center"/>
              <w:rPr>
                <w:rFonts w:ascii="宋体" w:hAnsi="宋体" w:eastAsia="宋体"/>
                <w:color w:val="auto"/>
                <w:sz w:val="21"/>
                <w:szCs w:val="21"/>
                <w:lang w:eastAsia="zh-CN"/>
              </w:rPr>
            </w:pPr>
          </w:p>
        </w:tc>
        <w:tc>
          <w:tcPr>
            <w:tcW w:w="538" w:type="pct"/>
            <w:noWrap w:val="0"/>
            <w:vAlign w:val="center"/>
          </w:tcPr>
          <w:p>
            <w:pPr>
              <w:jc w:val="center"/>
              <w:rPr>
                <w:rFonts w:ascii="宋体" w:hAnsi="宋体" w:eastAsia="宋体"/>
                <w:color w:val="auto"/>
                <w:sz w:val="21"/>
                <w:szCs w:val="21"/>
                <w:lang w:eastAsia="zh-CN"/>
              </w:rPr>
            </w:pPr>
          </w:p>
        </w:tc>
        <w:tc>
          <w:tcPr>
            <w:tcW w:w="525" w:type="pct"/>
            <w:noWrap w:val="0"/>
            <w:vAlign w:val="center"/>
          </w:tcPr>
          <w:p>
            <w:pPr>
              <w:jc w:val="center"/>
              <w:rPr>
                <w:rFonts w:ascii="宋体" w:hAnsi="宋体" w:eastAsia="宋体"/>
                <w:color w:val="auto"/>
                <w:sz w:val="21"/>
                <w:szCs w:val="21"/>
                <w:lang w:eastAsia="zh-CN"/>
              </w:rPr>
            </w:pPr>
          </w:p>
        </w:tc>
        <w:tc>
          <w:tcPr>
            <w:tcW w:w="525" w:type="pct"/>
            <w:noWrap w:val="0"/>
            <w:vAlign w:val="center"/>
          </w:tcPr>
          <w:p>
            <w:pPr>
              <w:jc w:val="center"/>
              <w:rPr>
                <w:rFonts w:ascii="宋体" w:hAnsi="宋体" w:eastAsia="宋体"/>
                <w:color w:val="auto"/>
                <w:sz w:val="21"/>
                <w:szCs w:val="21"/>
                <w:lang w:eastAsia="zh-CN"/>
              </w:rPr>
            </w:pPr>
          </w:p>
        </w:tc>
        <w:tc>
          <w:tcPr>
            <w:tcW w:w="490" w:type="pct"/>
            <w:noWrap w:val="0"/>
            <w:vAlign w:val="center"/>
          </w:tcPr>
          <w:p>
            <w:pPr>
              <w:jc w:val="center"/>
              <w:rPr>
                <w:rFonts w:ascii="宋体" w:hAnsi="宋体" w:eastAsia="宋体"/>
                <w:color w:val="auto"/>
                <w:sz w:val="21"/>
                <w:szCs w:val="21"/>
                <w:lang w:eastAsia="zh-CN"/>
              </w:rPr>
            </w:pPr>
          </w:p>
        </w:tc>
        <w:tc>
          <w:tcPr>
            <w:tcW w:w="490" w:type="pct"/>
            <w:noWrap w:val="0"/>
            <w:vAlign w:val="center"/>
          </w:tcPr>
          <w:p>
            <w:pPr>
              <w:jc w:val="center"/>
              <w:rPr>
                <w:rFonts w:ascii="宋体" w:hAnsi="宋体" w:eastAsia="宋体"/>
                <w:color w:val="auto"/>
                <w:sz w:val="21"/>
                <w:szCs w:val="21"/>
                <w:lang w:eastAsia="zh-CN"/>
              </w:rPr>
            </w:pPr>
          </w:p>
        </w:tc>
        <w:tc>
          <w:tcPr>
            <w:tcW w:w="371" w:type="pct"/>
            <w:noWrap w:val="0"/>
            <w:vAlign w:val="center"/>
          </w:tcPr>
          <w:p>
            <w:pPr>
              <w:jc w:val="center"/>
              <w:rPr>
                <w:rFonts w:ascii="宋体" w:hAnsi="宋体" w:eastAsia="宋体"/>
                <w:color w:val="auto"/>
                <w:sz w:val="21"/>
                <w:szCs w:val="21"/>
                <w:lang w:eastAsia="zh-CN"/>
              </w:rPr>
            </w:pPr>
          </w:p>
        </w:tc>
        <w:tc>
          <w:tcPr>
            <w:tcW w:w="437" w:type="pct"/>
            <w:noWrap w:val="0"/>
            <w:vAlign w:val="center"/>
          </w:tcPr>
          <w:p>
            <w:pPr>
              <w:jc w:val="center"/>
              <w:rPr>
                <w:rFonts w:ascii="宋体" w:hAnsi="宋体" w:eastAsia="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exact"/>
        </w:trPr>
        <w:tc>
          <w:tcPr>
            <w:tcW w:w="860" w:type="pct"/>
            <w:gridSpan w:val="3"/>
            <w:noWrap w:val="0"/>
            <w:vAlign w:val="center"/>
          </w:tcPr>
          <w:p>
            <w:pPr>
              <w:jc w:val="center"/>
              <w:rPr>
                <w:rFonts w:ascii="宋体" w:hAnsi="宋体" w:eastAsia="宋体"/>
                <w:color w:val="auto"/>
                <w:sz w:val="21"/>
                <w:szCs w:val="21"/>
              </w:rPr>
            </w:pPr>
            <w:r>
              <w:rPr>
                <w:rFonts w:ascii="宋体" w:hAnsi="宋体" w:eastAsia="宋体" w:cs="宋体"/>
                <w:color w:val="auto"/>
                <w:sz w:val="21"/>
                <w:szCs w:val="21"/>
              </w:rPr>
              <w:t>最高投标限价：</w:t>
            </w:r>
          </w:p>
        </w:tc>
        <w:tc>
          <w:tcPr>
            <w:tcW w:w="299" w:type="pct"/>
            <w:noWrap w:val="0"/>
            <w:vAlign w:val="center"/>
          </w:tcPr>
          <w:p>
            <w:pPr>
              <w:jc w:val="center"/>
              <w:rPr>
                <w:rFonts w:ascii="宋体" w:hAnsi="宋体" w:eastAsia="宋体"/>
                <w:color w:val="auto"/>
                <w:sz w:val="21"/>
                <w:szCs w:val="21"/>
              </w:rPr>
            </w:pPr>
          </w:p>
        </w:tc>
        <w:tc>
          <w:tcPr>
            <w:tcW w:w="459" w:type="pct"/>
            <w:noWrap w:val="0"/>
            <w:vAlign w:val="center"/>
          </w:tcPr>
          <w:p>
            <w:pPr>
              <w:jc w:val="center"/>
              <w:rPr>
                <w:rFonts w:ascii="宋体" w:hAnsi="宋体" w:eastAsia="宋体"/>
                <w:color w:val="auto"/>
                <w:sz w:val="21"/>
                <w:szCs w:val="21"/>
              </w:rPr>
            </w:pPr>
          </w:p>
        </w:tc>
        <w:tc>
          <w:tcPr>
            <w:tcW w:w="538" w:type="pct"/>
            <w:noWrap w:val="0"/>
            <w:vAlign w:val="center"/>
          </w:tcPr>
          <w:p>
            <w:pPr>
              <w:jc w:val="center"/>
              <w:rPr>
                <w:rFonts w:ascii="宋体" w:hAnsi="宋体" w:eastAsia="宋体"/>
                <w:color w:val="auto"/>
                <w:sz w:val="21"/>
                <w:szCs w:val="21"/>
              </w:rPr>
            </w:pPr>
          </w:p>
        </w:tc>
        <w:tc>
          <w:tcPr>
            <w:tcW w:w="525" w:type="pct"/>
            <w:noWrap w:val="0"/>
            <w:vAlign w:val="center"/>
          </w:tcPr>
          <w:p>
            <w:pPr>
              <w:jc w:val="center"/>
              <w:rPr>
                <w:rFonts w:ascii="宋体" w:hAnsi="宋体" w:eastAsia="宋体"/>
                <w:color w:val="auto"/>
                <w:sz w:val="21"/>
                <w:szCs w:val="21"/>
              </w:rPr>
            </w:pPr>
          </w:p>
        </w:tc>
        <w:tc>
          <w:tcPr>
            <w:tcW w:w="525" w:type="pct"/>
            <w:noWrap w:val="0"/>
            <w:vAlign w:val="center"/>
          </w:tcPr>
          <w:p>
            <w:pPr>
              <w:jc w:val="center"/>
              <w:rPr>
                <w:rFonts w:ascii="宋体" w:hAnsi="宋体" w:eastAsia="宋体"/>
                <w:color w:val="auto"/>
                <w:sz w:val="21"/>
                <w:szCs w:val="21"/>
              </w:rPr>
            </w:pPr>
          </w:p>
        </w:tc>
        <w:tc>
          <w:tcPr>
            <w:tcW w:w="490" w:type="pct"/>
            <w:noWrap w:val="0"/>
            <w:vAlign w:val="center"/>
          </w:tcPr>
          <w:p>
            <w:pPr>
              <w:jc w:val="center"/>
              <w:rPr>
                <w:rFonts w:ascii="宋体" w:hAnsi="宋体" w:eastAsia="宋体"/>
                <w:color w:val="auto"/>
                <w:sz w:val="21"/>
                <w:szCs w:val="21"/>
              </w:rPr>
            </w:pPr>
          </w:p>
        </w:tc>
        <w:tc>
          <w:tcPr>
            <w:tcW w:w="490" w:type="pct"/>
            <w:noWrap w:val="0"/>
            <w:vAlign w:val="center"/>
          </w:tcPr>
          <w:p>
            <w:pPr>
              <w:jc w:val="center"/>
              <w:rPr>
                <w:rFonts w:ascii="宋体" w:hAnsi="宋体" w:eastAsia="宋体"/>
                <w:color w:val="auto"/>
                <w:sz w:val="21"/>
                <w:szCs w:val="21"/>
              </w:rPr>
            </w:pPr>
          </w:p>
        </w:tc>
        <w:tc>
          <w:tcPr>
            <w:tcW w:w="371" w:type="pct"/>
            <w:noWrap w:val="0"/>
            <w:vAlign w:val="center"/>
          </w:tcPr>
          <w:p>
            <w:pPr>
              <w:jc w:val="center"/>
              <w:rPr>
                <w:rFonts w:ascii="宋体" w:hAnsi="宋体" w:eastAsia="宋体"/>
                <w:color w:val="auto"/>
                <w:sz w:val="21"/>
                <w:szCs w:val="21"/>
              </w:rPr>
            </w:pPr>
          </w:p>
        </w:tc>
        <w:tc>
          <w:tcPr>
            <w:tcW w:w="437" w:type="pct"/>
            <w:noWrap w:val="0"/>
            <w:vAlign w:val="center"/>
          </w:tcPr>
          <w:p>
            <w:pPr>
              <w:jc w:val="center"/>
              <w:rPr>
                <w:rFonts w:ascii="宋体" w:hAnsi="宋体" w:eastAsia="宋体"/>
                <w:color w:val="auto"/>
                <w:sz w:val="21"/>
                <w:szCs w:val="21"/>
              </w:rPr>
            </w:pPr>
          </w:p>
        </w:tc>
      </w:tr>
    </w:tbl>
    <w:p>
      <w:pPr>
        <w:spacing w:before="2"/>
        <w:rPr>
          <w:rFonts w:ascii="宋体" w:hAnsi="宋体" w:eastAsia="宋体" w:cs="宋体"/>
          <w:color w:val="auto"/>
          <w:sz w:val="13"/>
          <w:szCs w:val="13"/>
        </w:rPr>
      </w:pPr>
    </w:p>
    <w:p>
      <w:pPr>
        <w:rPr>
          <w:rFonts w:ascii="宋体" w:hAnsi="宋体" w:eastAsia="宋体" w:cs="宋体"/>
          <w:color w:val="auto"/>
          <w:sz w:val="20"/>
          <w:szCs w:val="20"/>
        </w:rPr>
      </w:pPr>
    </w:p>
    <w:p>
      <w:pPr>
        <w:rPr>
          <w:rFonts w:ascii="宋体" w:hAnsi="宋体" w:eastAsia="宋体" w:cs="宋体"/>
          <w:color w:val="auto"/>
          <w:sz w:val="20"/>
          <w:szCs w:val="20"/>
        </w:rPr>
      </w:pPr>
    </w:p>
    <w:p>
      <w:pPr>
        <w:pStyle w:val="8"/>
        <w:tabs>
          <w:tab w:val="left" w:pos="2264"/>
          <w:tab w:val="left" w:pos="3057"/>
          <w:tab w:val="left" w:pos="4679"/>
          <w:tab w:val="left" w:pos="5366"/>
          <w:tab w:val="left" w:pos="6989"/>
        </w:tabs>
        <w:ind w:left="0"/>
        <w:rPr>
          <w:color w:val="auto"/>
          <w:lang w:eastAsia="zh-CN"/>
        </w:rPr>
      </w:pPr>
      <w:r>
        <w:rPr>
          <w:color w:val="auto"/>
          <w:spacing w:val="-2"/>
          <w:lang w:eastAsia="zh-CN"/>
        </w:rPr>
        <w:t>招标人代表：</w:t>
      </w:r>
      <w:r>
        <w:rPr>
          <w:color w:val="auto"/>
          <w:spacing w:val="-2"/>
          <w:u w:val="single" w:color="000000"/>
          <w:lang w:eastAsia="zh-CN"/>
        </w:rPr>
        <w:tab/>
      </w:r>
      <w:r>
        <w:rPr>
          <w:color w:val="auto"/>
          <w:spacing w:val="-2"/>
          <w:lang w:eastAsia="zh-CN"/>
        </w:rPr>
        <w:tab/>
      </w:r>
      <w:r>
        <w:rPr>
          <w:color w:val="auto"/>
          <w:spacing w:val="-2"/>
          <w:lang w:eastAsia="zh-CN"/>
        </w:rPr>
        <w:t>记录人：</w:t>
      </w:r>
      <w:r>
        <w:rPr>
          <w:color w:val="auto"/>
          <w:spacing w:val="-2"/>
          <w:u w:val="single" w:color="000000"/>
          <w:lang w:eastAsia="zh-CN"/>
        </w:rPr>
        <w:tab/>
      </w:r>
      <w:r>
        <w:rPr>
          <w:color w:val="auto"/>
          <w:spacing w:val="-2"/>
          <w:lang w:eastAsia="zh-CN"/>
        </w:rPr>
        <w:tab/>
      </w:r>
      <w:r>
        <w:rPr>
          <w:color w:val="auto"/>
          <w:spacing w:val="-2"/>
          <w:lang w:eastAsia="zh-CN"/>
        </w:rPr>
        <w:t>监标人：</w:t>
      </w:r>
      <w:r>
        <w:rPr>
          <w:color w:val="auto"/>
          <w:u w:val="single" w:color="000000"/>
          <w:lang w:eastAsia="zh-CN"/>
        </w:rPr>
        <w:tab/>
      </w:r>
    </w:p>
    <w:p>
      <w:pPr>
        <w:rPr>
          <w:rFonts w:ascii="宋体" w:hAnsi="宋体" w:eastAsia="宋体"/>
          <w:color w:val="auto"/>
          <w:sz w:val="27"/>
          <w:szCs w:val="27"/>
          <w:lang w:eastAsia="zh-CN"/>
        </w:rPr>
      </w:pPr>
    </w:p>
    <w:p>
      <w:pPr>
        <w:pStyle w:val="4"/>
        <w:spacing w:line="363" w:lineRule="exact"/>
        <w:ind w:left="0"/>
        <w:rPr>
          <w:color w:val="auto"/>
          <w:spacing w:val="-2"/>
          <w:sz w:val="21"/>
          <w:szCs w:val="21"/>
          <w:lang w:eastAsia="zh-CN"/>
        </w:rPr>
      </w:pPr>
      <w:r>
        <w:rPr>
          <w:color w:val="auto"/>
          <w:spacing w:val="-2"/>
          <w:sz w:val="21"/>
          <w:szCs w:val="21"/>
          <w:u w:val="single"/>
          <w:lang w:eastAsia="zh-CN"/>
        </w:rPr>
        <w:tab/>
      </w:r>
      <w:r>
        <w:rPr>
          <w:color w:val="auto"/>
          <w:spacing w:val="-2"/>
          <w:sz w:val="21"/>
          <w:szCs w:val="21"/>
          <w:lang w:eastAsia="zh-CN"/>
        </w:rPr>
        <w:t>年</w:t>
      </w:r>
      <w:r>
        <w:rPr>
          <w:color w:val="auto"/>
          <w:spacing w:val="-2"/>
          <w:sz w:val="21"/>
          <w:szCs w:val="21"/>
          <w:u w:val="single"/>
          <w:lang w:eastAsia="zh-CN"/>
        </w:rPr>
        <w:tab/>
      </w:r>
      <w:r>
        <w:rPr>
          <w:color w:val="auto"/>
          <w:spacing w:val="-2"/>
          <w:sz w:val="21"/>
          <w:szCs w:val="21"/>
          <w:lang w:eastAsia="zh-CN"/>
        </w:rPr>
        <w:t>月</w:t>
      </w:r>
      <w:r>
        <w:rPr>
          <w:color w:val="auto"/>
          <w:spacing w:val="-2"/>
          <w:sz w:val="21"/>
          <w:szCs w:val="21"/>
          <w:u w:val="single"/>
          <w:lang w:eastAsia="zh-CN"/>
        </w:rPr>
        <w:tab/>
      </w:r>
      <w:r>
        <w:rPr>
          <w:color w:val="auto"/>
          <w:spacing w:val="-2"/>
          <w:sz w:val="21"/>
          <w:szCs w:val="21"/>
          <w:lang w:eastAsia="zh-CN"/>
        </w:rPr>
        <w:t>日</w:t>
      </w:r>
    </w:p>
    <w:p>
      <w:pPr>
        <w:pStyle w:val="8"/>
        <w:tabs>
          <w:tab w:val="left" w:pos="736"/>
          <w:tab w:val="left" w:pos="1682"/>
          <w:tab w:val="left" w:pos="2626"/>
        </w:tabs>
        <w:ind w:left="0"/>
        <w:rPr>
          <w:b/>
          <w:color w:val="auto"/>
          <w:u w:val="single"/>
          <w:lang w:eastAsia="zh-CN"/>
        </w:rPr>
      </w:pPr>
      <w:r>
        <w:rPr>
          <w:rFonts w:hint="eastAsia"/>
          <w:b/>
          <w:color w:val="auto"/>
          <w:u w:val="single"/>
          <w:lang w:eastAsia="zh-CN"/>
        </w:rPr>
        <w:t>本表仅供参考，具体以开标时的开标记录表为准。</w:t>
      </w:r>
    </w:p>
    <w:p>
      <w:pPr>
        <w:rPr>
          <w:rFonts w:ascii="宋体" w:hAnsi="宋体" w:eastAsia="宋体" w:cs="宋体"/>
          <w:color w:val="auto"/>
          <w:sz w:val="20"/>
          <w:szCs w:val="20"/>
          <w:lang w:eastAsia="zh-CN"/>
        </w:rPr>
      </w:pPr>
    </w:p>
    <w:p>
      <w:pPr>
        <w:rPr>
          <w:rFonts w:ascii="宋体" w:hAnsi="宋体" w:eastAsia="宋体" w:cs="宋体"/>
          <w:color w:val="auto"/>
          <w:sz w:val="20"/>
          <w:szCs w:val="20"/>
          <w:highlight w:val="none"/>
          <w:lang w:eastAsia="zh-CN"/>
        </w:rPr>
      </w:pPr>
    </w:p>
    <w:p>
      <w:pPr>
        <w:spacing w:before="9"/>
        <w:rPr>
          <w:rFonts w:ascii="宋体" w:hAnsi="宋体" w:eastAsia="宋体" w:cs="宋体"/>
          <w:color w:val="auto"/>
          <w:sz w:val="23"/>
          <w:szCs w:val="23"/>
          <w:highlight w:val="none"/>
          <w:lang w:eastAsia="zh-CN"/>
        </w:rPr>
      </w:pPr>
    </w:p>
    <w:p>
      <w:pPr>
        <w:rPr>
          <w:b/>
          <w:bCs/>
          <w:color w:val="auto"/>
          <w:sz w:val="21"/>
          <w:szCs w:val="21"/>
          <w:highlight w:val="none"/>
          <w:lang w:eastAsia="zh-CN"/>
        </w:rPr>
      </w:pPr>
      <w:r>
        <w:rPr>
          <w:b/>
          <w:bCs/>
          <w:color w:val="auto"/>
          <w:sz w:val="21"/>
          <w:szCs w:val="21"/>
          <w:highlight w:val="none"/>
          <w:lang w:eastAsia="zh-CN"/>
        </w:rPr>
        <w:br w:type="page"/>
      </w:r>
    </w:p>
    <w:p>
      <w:pPr>
        <w:pStyle w:val="4"/>
        <w:spacing w:line="363" w:lineRule="exact"/>
        <w:ind w:left="0"/>
        <w:rPr>
          <w:b/>
          <w:bCs/>
          <w:color w:val="auto"/>
          <w:sz w:val="21"/>
          <w:szCs w:val="21"/>
          <w:highlight w:val="none"/>
          <w:lang w:eastAsia="zh-CN"/>
        </w:rPr>
      </w:pPr>
      <w:r>
        <w:rPr>
          <w:b/>
          <w:bCs/>
          <w:color w:val="auto"/>
          <w:sz w:val="21"/>
          <w:szCs w:val="21"/>
          <w:highlight w:val="none"/>
          <w:lang w:eastAsia="zh-CN"/>
        </w:rPr>
        <w:t>附件二：问题澄清通知</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4"/>
        <w:rPr>
          <w:rFonts w:ascii="宋体" w:hAnsi="宋体" w:eastAsia="宋体" w:cs="宋体"/>
          <w:color w:val="auto"/>
          <w:sz w:val="17"/>
          <w:szCs w:val="17"/>
          <w:highlight w:val="none"/>
          <w:lang w:eastAsia="zh-CN"/>
        </w:rPr>
      </w:pPr>
    </w:p>
    <w:p>
      <w:pPr>
        <w:spacing w:before="14"/>
        <w:ind w:right="13"/>
        <w:jc w:val="center"/>
        <w:rPr>
          <w:rFonts w:ascii="宋体" w:hAnsi="宋体" w:eastAsia="宋体" w:cs="宋体"/>
          <w:color w:val="auto"/>
          <w:sz w:val="28"/>
          <w:szCs w:val="28"/>
          <w:highlight w:val="none"/>
          <w:lang w:eastAsia="zh-CN"/>
        </w:rPr>
      </w:pPr>
      <w:r>
        <w:rPr>
          <w:rFonts w:ascii="宋体" w:hAnsi="宋体" w:eastAsia="宋体" w:cs="宋体"/>
          <w:b/>
          <w:bCs/>
          <w:color w:val="auto"/>
          <w:sz w:val="28"/>
          <w:szCs w:val="28"/>
          <w:highlight w:val="none"/>
          <w:lang w:eastAsia="zh-CN"/>
        </w:rPr>
        <w:t>问题澄清通知</w:t>
      </w:r>
    </w:p>
    <w:p>
      <w:pPr>
        <w:pStyle w:val="8"/>
        <w:tabs>
          <w:tab w:val="left" w:pos="5671"/>
          <w:tab w:val="left" w:pos="6617"/>
          <w:tab w:val="left" w:pos="7560"/>
        </w:tabs>
        <w:ind w:left="0"/>
        <w:jc w:val="center"/>
        <w:rPr>
          <w:color w:val="auto"/>
          <w:sz w:val="24"/>
          <w:szCs w:val="24"/>
          <w:highlight w:val="none"/>
          <w:lang w:eastAsia="zh-CN"/>
        </w:rPr>
      </w:pPr>
      <w:r>
        <w:rPr>
          <w:rFonts w:hint="eastAsia"/>
          <w:color w:val="auto"/>
          <w:sz w:val="24"/>
          <w:szCs w:val="24"/>
          <w:highlight w:val="none"/>
          <w:lang w:eastAsia="zh-CN"/>
        </w:rPr>
        <w:t>（按广州公共资源交易中心格式）</w:t>
      </w:r>
    </w:p>
    <w:p>
      <w:pPr>
        <w:pStyle w:val="4"/>
        <w:spacing w:line="363" w:lineRule="exact"/>
        <w:ind w:left="0"/>
        <w:rPr>
          <w:b/>
          <w:bCs/>
          <w:color w:val="auto"/>
          <w:sz w:val="21"/>
          <w:szCs w:val="21"/>
          <w:highlight w:val="none"/>
          <w:lang w:eastAsia="zh-CN"/>
        </w:rPr>
      </w:pPr>
      <w:r>
        <w:rPr>
          <w:color w:val="auto"/>
          <w:sz w:val="24"/>
          <w:szCs w:val="24"/>
          <w:highlight w:val="none"/>
          <w:lang w:eastAsia="zh-CN"/>
        </w:rPr>
        <w:br w:type="page"/>
      </w:r>
      <w:r>
        <w:rPr>
          <w:b/>
          <w:bCs/>
          <w:color w:val="auto"/>
          <w:sz w:val="21"/>
          <w:szCs w:val="21"/>
          <w:highlight w:val="none"/>
          <w:lang w:eastAsia="zh-CN"/>
        </w:rPr>
        <w:t>附件三：问题的澄清</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168"/>
        <w:ind w:right="16"/>
        <w:jc w:val="center"/>
        <w:rPr>
          <w:rFonts w:ascii="宋体" w:hAnsi="宋体" w:eastAsia="宋体" w:cs="宋体"/>
          <w:b/>
          <w:bCs/>
          <w:color w:val="auto"/>
          <w:sz w:val="28"/>
          <w:szCs w:val="28"/>
          <w:highlight w:val="none"/>
          <w:lang w:eastAsia="zh-CN"/>
        </w:rPr>
      </w:pPr>
      <w:r>
        <w:rPr>
          <w:rFonts w:ascii="宋体" w:hAnsi="宋体" w:eastAsia="宋体" w:cs="宋体"/>
          <w:b/>
          <w:bCs/>
          <w:color w:val="auto"/>
          <w:sz w:val="28"/>
          <w:szCs w:val="28"/>
          <w:highlight w:val="none"/>
          <w:lang w:eastAsia="zh-CN"/>
        </w:rPr>
        <w:t>问题的澄清</w:t>
      </w:r>
    </w:p>
    <w:p>
      <w:pPr>
        <w:pStyle w:val="8"/>
        <w:tabs>
          <w:tab w:val="left" w:pos="5671"/>
          <w:tab w:val="left" w:pos="6617"/>
          <w:tab w:val="left" w:pos="7560"/>
        </w:tabs>
        <w:ind w:left="0"/>
        <w:jc w:val="center"/>
        <w:rPr>
          <w:color w:val="auto"/>
          <w:sz w:val="24"/>
          <w:szCs w:val="24"/>
          <w:highlight w:val="none"/>
          <w:lang w:eastAsia="zh-CN"/>
        </w:rPr>
      </w:pPr>
      <w:r>
        <w:rPr>
          <w:rFonts w:hint="eastAsia"/>
          <w:color w:val="auto"/>
          <w:sz w:val="24"/>
          <w:szCs w:val="24"/>
          <w:highlight w:val="none"/>
          <w:lang w:eastAsia="zh-CN"/>
        </w:rPr>
        <w:t>（按广州公共资源交易中心格式）</w:t>
      </w:r>
    </w:p>
    <w:p>
      <w:pPr>
        <w:pStyle w:val="4"/>
        <w:spacing w:line="363" w:lineRule="exact"/>
        <w:ind w:left="0"/>
        <w:rPr>
          <w:b/>
          <w:bCs/>
          <w:color w:val="auto"/>
          <w:sz w:val="21"/>
          <w:szCs w:val="21"/>
          <w:highlight w:val="none"/>
          <w:lang w:eastAsia="zh-CN"/>
        </w:rPr>
      </w:pPr>
      <w:r>
        <w:rPr>
          <w:color w:val="auto"/>
          <w:sz w:val="24"/>
          <w:szCs w:val="24"/>
          <w:highlight w:val="none"/>
          <w:lang w:eastAsia="zh-CN"/>
        </w:rPr>
        <w:br w:type="page"/>
      </w:r>
      <w:r>
        <w:rPr>
          <w:b/>
          <w:bCs/>
          <w:color w:val="auto"/>
          <w:sz w:val="21"/>
          <w:szCs w:val="21"/>
          <w:highlight w:val="none"/>
          <w:lang w:eastAsia="zh-CN"/>
        </w:rPr>
        <w:t>附件四：中标通知书</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pStyle w:val="8"/>
        <w:tabs>
          <w:tab w:val="left" w:pos="5671"/>
          <w:tab w:val="left" w:pos="6617"/>
          <w:tab w:val="left" w:pos="7560"/>
        </w:tabs>
        <w:ind w:left="0"/>
        <w:jc w:val="center"/>
        <w:rPr>
          <w:color w:val="auto"/>
          <w:sz w:val="24"/>
          <w:szCs w:val="24"/>
          <w:highlight w:val="none"/>
          <w:lang w:eastAsia="zh-CN"/>
        </w:rPr>
      </w:pPr>
      <w:r>
        <w:rPr>
          <w:rFonts w:hint="eastAsia"/>
          <w:color w:val="auto"/>
          <w:sz w:val="24"/>
          <w:szCs w:val="24"/>
          <w:highlight w:val="none"/>
          <w:lang w:eastAsia="zh-CN"/>
        </w:rPr>
        <w:t>（按广州公共资源交易中心格式）</w:t>
      </w:r>
    </w:p>
    <w:p>
      <w:pPr>
        <w:pStyle w:val="2"/>
        <w:jc w:val="center"/>
        <w:rPr>
          <w:rFonts w:ascii="宋体" w:hAnsi="宋体" w:eastAsia="宋体"/>
          <w:color w:val="auto"/>
          <w:highlight w:val="none"/>
          <w:lang w:eastAsia="zh-CN"/>
        </w:rPr>
      </w:pPr>
      <w:r>
        <w:rPr>
          <w:color w:val="auto"/>
          <w:sz w:val="24"/>
          <w:szCs w:val="24"/>
          <w:highlight w:val="none"/>
          <w:lang w:eastAsia="zh-CN"/>
        </w:rPr>
        <w:br w:type="page"/>
      </w:r>
      <w:bookmarkStart w:id="41" w:name="_Toc109809432"/>
      <w:bookmarkStart w:id="42" w:name="_Toc25137992"/>
      <w:bookmarkStart w:id="43" w:name="_Toc109809393"/>
      <w:r>
        <w:rPr>
          <w:rFonts w:ascii="宋体" w:hAnsi="宋体" w:eastAsia="宋体"/>
          <w:color w:val="auto"/>
          <w:highlight w:val="none"/>
          <w:lang w:eastAsia="zh-CN"/>
        </w:rPr>
        <w:t>第三章</w:t>
      </w:r>
      <w:r>
        <w:rPr>
          <w:rFonts w:hint="eastAsia" w:ascii="宋体" w:hAnsi="宋体" w:eastAsia="宋体"/>
          <w:color w:val="auto"/>
          <w:highlight w:val="none"/>
          <w:lang w:eastAsia="zh-CN"/>
        </w:rPr>
        <w:t xml:space="preserve">  </w:t>
      </w:r>
      <w:r>
        <w:rPr>
          <w:rFonts w:ascii="宋体" w:hAnsi="宋体" w:eastAsia="宋体"/>
          <w:color w:val="auto"/>
          <w:highlight w:val="none"/>
          <w:lang w:eastAsia="zh-CN"/>
        </w:rPr>
        <w:t>评标办法（综合评估法）</w:t>
      </w:r>
      <w:bookmarkEnd w:id="41"/>
      <w:bookmarkEnd w:id="42"/>
      <w:bookmarkEnd w:id="43"/>
    </w:p>
    <w:p>
      <w:pPr>
        <w:pStyle w:val="3"/>
        <w:spacing w:beforeLines="50" w:afterLines="50"/>
        <w:ind w:left="119"/>
        <w:jc w:val="center"/>
        <w:rPr>
          <w:rFonts w:ascii="宋体" w:hAnsi="宋体" w:eastAsia="宋体"/>
          <w:color w:val="auto"/>
          <w:highlight w:val="none"/>
          <w:lang w:eastAsia="zh-CN"/>
        </w:rPr>
      </w:pPr>
      <w:bookmarkStart w:id="44" w:name="_Toc109809394"/>
      <w:bookmarkStart w:id="45" w:name="_Toc25137993"/>
      <w:bookmarkStart w:id="46" w:name="_Toc109809433"/>
      <w:r>
        <w:rPr>
          <w:rFonts w:ascii="宋体" w:hAnsi="宋体" w:eastAsia="宋体"/>
          <w:color w:val="auto"/>
          <w:highlight w:val="none"/>
        </w:rPr>
        <w:t>评标办法前附表</w:t>
      </w:r>
      <w:bookmarkEnd w:id="44"/>
      <w:bookmarkEnd w:id="45"/>
      <w:bookmarkEnd w:id="46"/>
    </w:p>
    <w:tbl>
      <w:tblPr>
        <w:tblStyle w:val="19"/>
        <w:tblW w:w="9037" w:type="dxa"/>
        <w:jc w:val="center"/>
        <w:tblLayout w:type="fixed"/>
        <w:tblCellMar>
          <w:top w:w="0" w:type="dxa"/>
          <w:left w:w="0" w:type="dxa"/>
          <w:bottom w:w="0" w:type="dxa"/>
          <w:right w:w="0" w:type="dxa"/>
        </w:tblCellMar>
      </w:tblPr>
      <w:tblGrid>
        <w:gridCol w:w="625"/>
        <w:gridCol w:w="1063"/>
        <w:gridCol w:w="1873"/>
        <w:gridCol w:w="5476"/>
      </w:tblGrid>
      <w:tr>
        <w:tblPrEx>
          <w:tblCellMar>
            <w:top w:w="0" w:type="dxa"/>
            <w:left w:w="0" w:type="dxa"/>
            <w:bottom w:w="0" w:type="dxa"/>
            <w:right w:w="0" w:type="dxa"/>
          </w:tblCellMar>
        </w:tblPrEx>
        <w:trPr>
          <w:jc w:val="center"/>
        </w:trPr>
        <w:tc>
          <w:tcPr>
            <w:tcW w:w="168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条款号</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评审因素</w:t>
            </w:r>
          </w:p>
        </w:tc>
        <w:tc>
          <w:tcPr>
            <w:tcW w:w="5476"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评审标准</w:t>
            </w:r>
          </w:p>
        </w:tc>
      </w:tr>
      <w:tr>
        <w:tblPrEx>
          <w:tblCellMar>
            <w:top w:w="0" w:type="dxa"/>
            <w:left w:w="0" w:type="dxa"/>
            <w:bottom w:w="0" w:type="dxa"/>
            <w:right w:w="0" w:type="dxa"/>
          </w:tblCellMar>
        </w:tblPrEx>
        <w:trPr>
          <w:jc w:val="center"/>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1</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评标方法</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rPr>
              <w:t>中标候选人</w:t>
            </w:r>
          </w:p>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排序方法</w:t>
            </w:r>
          </w:p>
        </w:tc>
        <w:tc>
          <w:tcPr>
            <w:tcW w:w="5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jc w:val="both"/>
              <w:rPr>
                <w:rFonts w:hint="eastAsia" w:ascii="方正仿宋_GB2312" w:hAnsi="方正仿宋_GB2312" w:eastAsia="方正仿宋_GB2312" w:cs="方正仿宋_GB2312"/>
                <w:color w:val="auto"/>
                <w:sz w:val="21"/>
                <w:szCs w:val="21"/>
                <w:highlight w:val="none"/>
                <w:u w:val="single"/>
                <w:lang w:eastAsia="zh-CN"/>
              </w:rPr>
            </w:pPr>
            <w:r>
              <w:rPr>
                <w:rFonts w:hint="eastAsia" w:ascii="方正仿宋_GB2312" w:hAnsi="方正仿宋_GB2312" w:eastAsia="方正仿宋_GB2312" w:cs="方正仿宋_GB2312"/>
                <w:color w:val="auto"/>
                <w:kern w:val="2"/>
                <w:sz w:val="21"/>
                <w:szCs w:val="24"/>
                <w:highlight w:val="none"/>
                <w:lang w:eastAsia="zh-CN"/>
              </w:rPr>
              <w:t>本次评标采用综合评估法。评标委员会对满足招标文件实质性要求的投标文件，按照本章规定的评分标准进行打分，并按得分由高到低顺序推荐前三名作为中标候选人，综合评分相等的，以投标报价低的优先；投标报价得分也相等的，以技术文件（勘察设计方案部分）得分高的优先；如果技术文件（勘察设计方案部分）得分也相等，则由评标委员会采用记名投票的方式，书面提供推荐理由后，确定中标候选人的排序。</w:t>
            </w:r>
          </w:p>
        </w:tc>
      </w:tr>
      <w:tr>
        <w:tblPrEx>
          <w:tblCellMar>
            <w:top w:w="0" w:type="dxa"/>
            <w:left w:w="0" w:type="dxa"/>
            <w:bottom w:w="0" w:type="dxa"/>
            <w:right w:w="0" w:type="dxa"/>
          </w:tblCellMar>
        </w:tblPrEx>
        <w:trPr>
          <w:jc w:val="center"/>
        </w:trPr>
        <w:tc>
          <w:tcPr>
            <w:tcW w:w="625" w:type="dxa"/>
            <w:vMerge w:val="restart"/>
            <w:tcBorders>
              <w:top w:val="single" w:color="000000" w:sz="4" w:space="0"/>
              <w:left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2.1.1</w:t>
            </w:r>
          </w:p>
        </w:tc>
        <w:tc>
          <w:tcPr>
            <w:tcW w:w="1063" w:type="dxa"/>
            <w:vMerge w:val="restart"/>
            <w:tcBorders>
              <w:top w:val="single" w:color="000000" w:sz="4" w:space="0"/>
              <w:left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0" w:beforeLines="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形式评审</w:t>
            </w:r>
          </w:p>
          <w:p>
            <w:pPr>
              <w:pStyle w:val="23"/>
              <w:keepNext w:val="0"/>
              <w:keepLines w:val="0"/>
              <w:pageBreakBefore w:val="0"/>
              <w:kinsoku/>
              <w:wordWrap/>
              <w:overflowPunct/>
              <w:topLinePunct w:val="0"/>
              <w:autoSpaceDE/>
              <w:autoSpaceDN/>
              <w:bidi w:val="0"/>
              <w:adjustRightInd w:val="0"/>
              <w:spacing w:before="0" w:beforeLines="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标准</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投标人名称</w:t>
            </w:r>
          </w:p>
        </w:tc>
        <w:tc>
          <w:tcPr>
            <w:tcW w:w="5476"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jc w:val="both"/>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与营业执照、资质证书一致</w:t>
            </w:r>
          </w:p>
        </w:tc>
      </w:tr>
      <w:tr>
        <w:tblPrEx>
          <w:tblCellMar>
            <w:top w:w="0" w:type="dxa"/>
            <w:left w:w="0" w:type="dxa"/>
            <w:bottom w:w="0" w:type="dxa"/>
            <w:right w:w="0" w:type="dxa"/>
          </w:tblCellMar>
        </w:tblPrEx>
        <w:trPr>
          <w:jc w:val="center"/>
        </w:trPr>
        <w:tc>
          <w:tcPr>
            <w:tcW w:w="62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pacing w:val="-2"/>
                <w:sz w:val="21"/>
                <w:szCs w:val="21"/>
                <w:highlight w:val="none"/>
                <w:lang w:eastAsia="zh-CN"/>
              </w:rPr>
              <w:t>投标书签</w:t>
            </w:r>
            <w:r>
              <w:rPr>
                <w:rFonts w:hint="eastAsia" w:ascii="方正仿宋_GB2312" w:hAnsi="方正仿宋_GB2312" w:eastAsia="方正仿宋_GB2312" w:cs="方正仿宋_GB2312"/>
                <w:color w:val="auto"/>
                <w:sz w:val="21"/>
                <w:szCs w:val="21"/>
                <w:highlight w:val="none"/>
                <w:lang w:eastAsia="zh-CN"/>
              </w:rPr>
              <w:t>字盖章</w:t>
            </w:r>
          </w:p>
        </w:tc>
        <w:tc>
          <w:tcPr>
            <w:tcW w:w="5476"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jc w:val="both"/>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pacing w:val="10"/>
                <w:sz w:val="21"/>
                <w:szCs w:val="21"/>
                <w:highlight w:val="none"/>
                <w:lang w:eastAsia="zh-CN"/>
              </w:rPr>
              <w:t>有法定代表人、委托代理人及项目负责人签字</w:t>
            </w:r>
            <w:r>
              <w:rPr>
                <w:rFonts w:hint="eastAsia" w:ascii="方正仿宋_GB2312" w:hAnsi="方正仿宋_GB2312" w:eastAsia="方正仿宋_GB2312" w:cs="方正仿宋_GB2312"/>
                <w:b/>
                <w:color w:val="auto"/>
                <w:spacing w:val="10"/>
                <w:sz w:val="21"/>
                <w:szCs w:val="21"/>
                <w:highlight w:val="none"/>
                <w:u w:val="single"/>
                <w:lang w:eastAsia="zh-CN"/>
              </w:rPr>
              <w:t>（或盖章）</w:t>
            </w:r>
            <w:r>
              <w:rPr>
                <w:rFonts w:hint="eastAsia" w:ascii="方正仿宋_GB2312" w:hAnsi="方正仿宋_GB2312" w:eastAsia="方正仿宋_GB2312" w:cs="方正仿宋_GB2312"/>
                <w:color w:val="auto"/>
                <w:spacing w:val="10"/>
                <w:sz w:val="21"/>
                <w:szCs w:val="21"/>
                <w:highlight w:val="none"/>
                <w:lang w:eastAsia="zh-CN"/>
              </w:rPr>
              <w:t>、加盖单位</w:t>
            </w:r>
            <w:r>
              <w:rPr>
                <w:rFonts w:hint="eastAsia" w:ascii="方正仿宋_GB2312" w:hAnsi="方正仿宋_GB2312" w:eastAsia="方正仿宋_GB2312" w:cs="方正仿宋_GB2312"/>
                <w:color w:val="auto"/>
                <w:sz w:val="21"/>
                <w:szCs w:val="21"/>
                <w:highlight w:val="none"/>
                <w:lang w:eastAsia="zh-CN"/>
              </w:rPr>
              <w:t>章。</w:t>
            </w:r>
          </w:p>
        </w:tc>
      </w:tr>
      <w:tr>
        <w:tblPrEx>
          <w:tblCellMar>
            <w:top w:w="0" w:type="dxa"/>
            <w:left w:w="0" w:type="dxa"/>
            <w:bottom w:w="0" w:type="dxa"/>
            <w:right w:w="0" w:type="dxa"/>
          </w:tblCellMar>
        </w:tblPrEx>
        <w:trPr>
          <w:jc w:val="center"/>
        </w:trPr>
        <w:tc>
          <w:tcPr>
            <w:tcW w:w="62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lang w:eastAsia="zh-CN"/>
              </w:rPr>
              <w:t>投标书</w:t>
            </w:r>
            <w:r>
              <w:rPr>
                <w:rFonts w:hint="eastAsia" w:ascii="方正仿宋_GB2312" w:hAnsi="方正仿宋_GB2312" w:eastAsia="方正仿宋_GB2312" w:cs="方正仿宋_GB2312"/>
                <w:color w:val="auto"/>
                <w:sz w:val="21"/>
                <w:szCs w:val="21"/>
                <w:highlight w:val="none"/>
              </w:rPr>
              <w:t>投标</w:t>
            </w:r>
          </w:p>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文件格式</w:t>
            </w:r>
          </w:p>
        </w:tc>
        <w:tc>
          <w:tcPr>
            <w:tcW w:w="5476"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jc w:val="both"/>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投标书格式符合第六章“投标文件格式”的规定</w:t>
            </w:r>
          </w:p>
        </w:tc>
      </w:tr>
      <w:tr>
        <w:tblPrEx>
          <w:tblCellMar>
            <w:top w:w="0" w:type="dxa"/>
            <w:left w:w="0" w:type="dxa"/>
            <w:bottom w:w="0" w:type="dxa"/>
            <w:right w:w="0" w:type="dxa"/>
          </w:tblCellMar>
        </w:tblPrEx>
        <w:trPr>
          <w:jc w:val="center"/>
        </w:trPr>
        <w:tc>
          <w:tcPr>
            <w:tcW w:w="62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联合体投标人</w:t>
            </w:r>
          </w:p>
        </w:tc>
        <w:tc>
          <w:tcPr>
            <w:tcW w:w="5476"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jc w:val="both"/>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u w:val="single"/>
                <w:lang w:eastAsia="zh-CN"/>
              </w:rPr>
              <w:t>符合第二章“投标人须知”第1.4.2项规定</w:t>
            </w:r>
          </w:p>
        </w:tc>
      </w:tr>
      <w:tr>
        <w:tblPrEx>
          <w:tblCellMar>
            <w:top w:w="0" w:type="dxa"/>
            <w:left w:w="0" w:type="dxa"/>
            <w:bottom w:w="0" w:type="dxa"/>
            <w:right w:w="0" w:type="dxa"/>
          </w:tblCellMar>
        </w:tblPrEx>
        <w:trPr>
          <w:jc w:val="center"/>
        </w:trPr>
        <w:tc>
          <w:tcPr>
            <w:tcW w:w="625"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备选投标方案</w:t>
            </w:r>
          </w:p>
        </w:tc>
        <w:tc>
          <w:tcPr>
            <w:tcW w:w="5476"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不允许。</w:t>
            </w:r>
          </w:p>
        </w:tc>
      </w:tr>
      <w:tr>
        <w:tblPrEx>
          <w:tblCellMar>
            <w:top w:w="0" w:type="dxa"/>
            <w:left w:w="0" w:type="dxa"/>
            <w:bottom w:w="0" w:type="dxa"/>
            <w:right w:w="0" w:type="dxa"/>
          </w:tblCellMar>
        </w:tblPrEx>
        <w:trPr>
          <w:jc w:val="center"/>
        </w:trPr>
        <w:tc>
          <w:tcPr>
            <w:tcW w:w="625"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000000" w:sz="4" w:space="0"/>
              <w:left w:val="single" w:color="000000" w:sz="4" w:space="0"/>
              <w:bottom w:val="single" w:color="auto"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投标人机器码</w:t>
            </w:r>
          </w:p>
        </w:tc>
        <w:tc>
          <w:tcPr>
            <w:tcW w:w="5476" w:type="dxa"/>
            <w:tcBorders>
              <w:top w:val="single" w:color="000000" w:sz="4" w:space="0"/>
              <w:left w:val="single" w:color="000000" w:sz="4" w:space="0"/>
              <w:bottom w:val="single" w:color="auto"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投标人与本项目其他投标人加密打包投标文件电脑机器特征码一致的（以广州公共资源交易中心评标系统的检索信息为准）将被否决。</w:t>
            </w:r>
          </w:p>
        </w:tc>
      </w:tr>
      <w:tr>
        <w:tblPrEx>
          <w:tblCellMar>
            <w:top w:w="0" w:type="dxa"/>
            <w:left w:w="0" w:type="dxa"/>
            <w:bottom w:w="0" w:type="dxa"/>
            <w:right w:w="0" w:type="dxa"/>
          </w:tblCellMar>
        </w:tblPrEx>
        <w:trPr>
          <w:jc w:val="center"/>
        </w:trPr>
        <w:tc>
          <w:tcPr>
            <w:tcW w:w="625" w:type="dxa"/>
            <w:vMerge w:val="restart"/>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2.1.2</w:t>
            </w:r>
          </w:p>
        </w:tc>
        <w:tc>
          <w:tcPr>
            <w:tcW w:w="1063" w:type="dxa"/>
            <w:vMerge w:val="restart"/>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0" w:beforeLines="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资格评审</w:t>
            </w:r>
          </w:p>
          <w:p>
            <w:pPr>
              <w:pStyle w:val="23"/>
              <w:keepNext w:val="0"/>
              <w:keepLines w:val="0"/>
              <w:pageBreakBefore w:val="0"/>
              <w:kinsoku/>
              <w:wordWrap/>
              <w:overflowPunct/>
              <w:topLinePunct w:val="0"/>
              <w:autoSpaceDE/>
              <w:autoSpaceDN/>
              <w:bidi w:val="0"/>
              <w:adjustRightInd w:val="0"/>
              <w:spacing w:before="0" w:beforeLines="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标准</w:t>
            </w:r>
          </w:p>
        </w:tc>
        <w:tc>
          <w:tcPr>
            <w:tcW w:w="187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pacing w:val="-1"/>
                <w:sz w:val="21"/>
                <w:szCs w:val="21"/>
                <w:highlight w:val="none"/>
              </w:rPr>
              <w:t>营业执照</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jc w:val="both"/>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投标人（如为联合体，要求联合体各方）具有独立法人资格，持有工商行政管理部门核发的有效法人营业执照，按国家法律经营。</w:t>
            </w:r>
          </w:p>
        </w:tc>
      </w:tr>
      <w:tr>
        <w:tblPrEx>
          <w:tblCellMar>
            <w:top w:w="0" w:type="dxa"/>
            <w:left w:w="0" w:type="dxa"/>
            <w:bottom w:w="0" w:type="dxa"/>
            <w:right w:w="0" w:type="dxa"/>
          </w:tblCellMar>
        </w:tblPrEx>
        <w:trPr>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资质要求</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jc w:val="both"/>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符合第二章“投标人须知”第1.4.1项规定</w:t>
            </w:r>
          </w:p>
        </w:tc>
      </w:tr>
      <w:tr>
        <w:tblPrEx>
          <w:tblCellMar>
            <w:top w:w="0" w:type="dxa"/>
            <w:left w:w="0" w:type="dxa"/>
            <w:bottom w:w="0" w:type="dxa"/>
            <w:right w:w="0" w:type="dxa"/>
          </w:tblCellMar>
        </w:tblPrEx>
        <w:trPr>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rPr>
              <w:t>联合体投标人</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符合第二章“投标人须知”第1.4.2项规定</w:t>
            </w:r>
          </w:p>
        </w:tc>
      </w:tr>
      <w:tr>
        <w:tblPrEx>
          <w:tblCellMar>
            <w:top w:w="0" w:type="dxa"/>
            <w:left w:w="0" w:type="dxa"/>
            <w:bottom w:w="0" w:type="dxa"/>
            <w:right w:w="0" w:type="dxa"/>
          </w:tblCellMar>
        </w:tblPrEx>
        <w:trPr>
          <w:trHeight w:val="90" w:hRule="atLeast"/>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投标申请人声明</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投标人已按照规定格式和内容签署盖章《投标申请人声明》和《投标人廉洁承诺书》</w:t>
            </w:r>
          </w:p>
        </w:tc>
      </w:tr>
      <w:tr>
        <w:tblPrEx>
          <w:tblCellMar>
            <w:top w:w="0" w:type="dxa"/>
            <w:left w:w="0" w:type="dxa"/>
            <w:bottom w:w="0" w:type="dxa"/>
            <w:right w:w="0" w:type="dxa"/>
          </w:tblCellMar>
        </w:tblPrEx>
        <w:trPr>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企业信息登记</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投标人在广州公共资源交易中心已办理企业信息登记，拟担任本工程项目负责人须是本企业信息登记中的在册人员。</w:t>
            </w:r>
          </w:p>
        </w:tc>
      </w:tr>
      <w:tr>
        <w:tblPrEx>
          <w:tblCellMar>
            <w:top w:w="0" w:type="dxa"/>
            <w:left w:w="0" w:type="dxa"/>
            <w:bottom w:w="0" w:type="dxa"/>
            <w:right w:w="0" w:type="dxa"/>
          </w:tblCellMar>
        </w:tblPrEx>
        <w:trPr>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项目负责人</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jc w:val="both"/>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符合第二章“投标人须知”第1.4.1项规定</w:t>
            </w:r>
          </w:p>
        </w:tc>
      </w:tr>
      <w:tr>
        <w:tblPrEx>
          <w:tblCellMar>
            <w:top w:w="0" w:type="dxa"/>
            <w:left w:w="0" w:type="dxa"/>
            <w:bottom w:w="0" w:type="dxa"/>
            <w:right w:w="0" w:type="dxa"/>
          </w:tblCellMar>
        </w:tblPrEx>
        <w:trPr>
          <w:trHeight w:val="1949" w:hRule="atLeast"/>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lang w:eastAsia="zh-CN"/>
              </w:rPr>
              <w:t>信誉要求</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jc w:val="both"/>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投标人自本项目招标公告发布之日起至本项目投标截止日期止，未被纳入失信被执行人名单（失信黑名单），失信被执行人名单（失信黑名单）以“信用广州”网站（credit.gz.gov.cn）公布的“严重失信主体名单信息”为准。投标人须提供《信用记录承诺函》附“信用广州”网站（credit.gz.gov.cn）的严重失信主体名单信息查询结果截图扫描件并加盖电子公章。</w:t>
            </w:r>
          </w:p>
        </w:tc>
      </w:tr>
      <w:tr>
        <w:tblPrEx>
          <w:tblCellMar>
            <w:top w:w="0" w:type="dxa"/>
            <w:left w:w="0" w:type="dxa"/>
            <w:bottom w:w="0" w:type="dxa"/>
            <w:right w:w="0" w:type="dxa"/>
          </w:tblCellMar>
        </w:tblPrEx>
        <w:trPr>
          <w:trHeight w:val="558" w:hRule="atLeast"/>
          <w:jc w:val="center"/>
        </w:trPr>
        <w:tc>
          <w:tcPr>
            <w:tcW w:w="625"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不存在禁止投标的情形</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jc w:val="both"/>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不存在第二章“投标人须知”第1.4.3项规定的任何一种情形（以投标申请人声明为评审依据）。</w:t>
            </w:r>
          </w:p>
        </w:tc>
      </w:tr>
      <w:tr>
        <w:tblPrEx>
          <w:tblCellMar>
            <w:top w:w="0" w:type="dxa"/>
            <w:left w:w="0" w:type="dxa"/>
            <w:bottom w:w="0" w:type="dxa"/>
            <w:right w:w="0" w:type="dxa"/>
          </w:tblCellMar>
        </w:tblPrEx>
        <w:trPr>
          <w:jc w:val="center"/>
        </w:trPr>
        <w:tc>
          <w:tcPr>
            <w:tcW w:w="625" w:type="dxa"/>
            <w:vMerge w:val="restart"/>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2.1.3</w:t>
            </w:r>
            <w:r>
              <w:rPr>
                <w:rFonts w:hint="eastAsia" w:ascii="方正仿宋_GB2312" w:hAnsi="方正仿宋_GB2312" w:eastAsia="方正仿宋_GB2312" w:cs="方正仿宋_GB2312"/>
                <w:color w:val="auto"/>
                <w:sz w:val="21"/>
                <w:szCs w:val="21"/>
                <w:highlight w:val="none"/>
                <w:lang w:eastAsia="zh-CN"/>
              </w:rPr>
              <w:t>（1）</w:t>
            </w:r>
          </w:p>
        </w:tc>
        <w:tc>
          <w:tcPr>
            <w:tcW w:w="1063" w:type="dxa"/>
            <w:vMerge w:val="restart"/>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0" w:beforeLines="0"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资信业绩响应性评审</w:t>
            </w:r>
          </w:p>
          <w:p>
            <w:pPr>
              <w:pStyle w:val="23"/>
              <w:keepNext w:val="0"/>
              <w:keepLines w:val="0"/>
              <w:pageBreakBefore w:val="0"/>
              <w:kinsoku/>
              <w:wordWrap/>
              <w:overflowPunct/>
              <w:topLinePunct w:val="0"/>
              <w:autoSpaceDE/>
              <w:autoSpaceDN/>
              <w:bidi w:val="0"/>
              <w:adjustRightInd w:val="0"/>
              <w:spacing w:before="0" w:beforeLines="0"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标准</w:t>
            </w:r>
          </w:p>
        </w:tc>
        <w:tc>
          <w:tcPr>
            <w:tcW w:w="1873" w:type="dxa"/>
            <w:tcBorders>
              <w:top w:val="single" w:color="auto" w:sz="4" w:space="0"/>
              <w:left w:val="single" w:color="auto"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投标报价</w:t>
            </w:r>
          </w:p>
        </w:tc>
        <w:tc>
          <w:tcPr>
            <w:tcW w:w="5476" w:type="dxa"/>
            <w:tcBorders>
              <w:top w:val="single" w:color="auto"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jc w:val="both"/>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符合第二章“投标人须知”第3.2款规定</w:t>
            </w:r>
          </w:p>
        </w:tc>
      </w:tr>
      <w:tr>
        <w:tblPrEx>
          <w:tblCellMar>
            <w:top w:w="0" w:type="dxa"/>
            <w:left w:w="0" w:type="dxa"/>
            <w:bottom w:w="0" w:type="dxa"/>
            <w:right w:w="0" w:type="dxa"/>
          </w:tblCellMar>
        </w:tblPrEx>
        <w:trPr>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000000" w:sz="4" w:space="0"/>
              <w:left w:val="single" w:color="auto"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lang w:eastAsia="zh-CN"/>
              </w:rPr>
              <w:t>勘察</w:t>
            </w:r>
            <w:r>
              <w:rPr>
                <w:rFonts w:hint="eastAsia" w:ascii="方正仿宋_GB2312" w:hAnsi="方正仿宋_GB2312" w:eastAsia="方正仿宋_GB2312" w:cs="方正仿宋_GB2312"/>
                <w:color w:val="auto"/>
                <w:sz w:val="21"/>
                <w:szCs w:val="21"/>
                <w:highlight w:val="none"/>
              </w:rPr>
              <w:t>设计服务期限</w:t>
            </w:r>
          </w:p>
        </w:tc>
        <w:tc>
          <w:tcPr>
            <w:tcW w:w="5476"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jc w:val="both"/>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符合第二章“投标人须知”第1.3.2项规定</w:t>
            </w:r>
          </w:p>
        </w:tc>
      </w:tr>
      <w:tr>
        <w:tblPrEx>
          <w:tblCellMar>
            <w:top w:w="0" w:type="dxa"/>
            <w:left w:w="0" w:type="dxa"/>
            <w:bottom w:w="0" w:type="dxa"/>
            <w:right w:w="0" w:type="dxa"/>
          </w:tblCellMar>
        </w:tblPrEx>
        <w:trPr>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000000" w:sz="4" w:space="0"/>
              <w:left w:val="single" w:color="auto"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质量标准</w:t>
            </w:r>
          </w:p>
        </w:tc>
        <w:tc>
          <w:tcPr>
            <w:tcW w:w="5476"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jc w:val="both"/>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符合第二章“投标人须知”第1.3.3项规定</w:t>
            </w:r>
          </w:p>
        </w:tc>
      </w:tr>
      <w:tr>
        <w:tblPrEx>
          <w:tblCellMar>
            <w:top w:w="0" w:type="dxa"/>
            <w:left w:w="0" w:type="dxa"/>
            <w:bottom w:w="0" w:type="dxa"/>
            <w:right w:w="0" w:type="dxa"/>
          </w:tblCellMar>
        </w:tblPrEx>
        <w:trPr>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000000" w:sz="4" w:space="0"/>
              <w:left w:val="single" w:color="auto"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投标有效期</w:t>
            </w:r>
          </w:p>
        </w:tc>
        <w:tc>
          <w:tcPr>
            <w:tcW w:w="5476"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jc w:val="both"/>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符合第二章“投标人须知”第3.3.1项规定</w:t>
            </w:r>
          </w:p>
        </w:tc>
      </w:tr>
      <w:tr>
        <w:tblPrEx>
          <w:tblCellMar>
            <w:top w:w="0" w:type="dxa"/>
            <w:left w:w="0" w:type="dxa"/>
            <w:bottom w:w="0" w:type="dxa"/>
            <w:right w:w="0" w:type="dxa"/>
          </w:tblCellMar>
        </w:tblPrEx>
        <w:trPr>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000000" w:sz="4" w:space="0"/>
              <w:left w:val="single" w:color="auto"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strike/>
                <w:color w:val="auto"/>
                <w:sz w:val="21"/>
                <w:szCs w:val="21"/>
                <w:highlight w:val="none"/>
              </w:rPr>
            </w:pPr>
            <w:r>
              <w:rPr>
                <w:rFonts w:hint="eastAsia" w:ascii="方正仿宋_GB2312" w:hAnsi="方正仿宋_GB2312" w:eastAsia="方正仿宋_GB2312" w:cs="方正仿宋_GB2312"/>
                <w:strike/>
                <w:color w:val="auto"/>
                <w:sz w:val="21"/>
                <w:szCs w:val="21"/>
                <w:highlight w:val="none"/>
              </w:rPr>
              <w:t>投标保证金</w:t>
            </w:r>
          </w:p>
        </w:tc>
        <w:tc>
          <w:tcPr>
            <w:tcW w:w="5476"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jc w:val="both"/>
              <w:rPr>
                <w:rFonts w:hint="eastAsia" w:ascii="方正仿宋_GB2312" w:hAnsi="方正仿宋_GB2312" w:eastAsia="方正仿宋_GB2312" w:cs="方正仿宋_GB2312"/>
                <w:strike/>
                <w:color w:val="auto"/>
                <w:sz w:val="21"/>
                <w:szCs w:val="21"/>
                <w:highlight w:val="none"/>
                <w:lang w:eastAsia="zh-CN"/>
              </w:rPr>
            </w:pPr>
            <w:r>
              <w:rPr>
                <w:rFonts w:hint="eastAsia" w:ascii="方正仿宋_GB2312" w:hAnsi="方正仿宋_GB2312" w:eastAsia="方正仿宋_GB2312" w:cs="方正仿宋_GB2312"/>
                <w:strike/>
                <w:color w:val="auto"/>
                <w:sz w:val="21"/>
                <w:szCs w:val="21"/>
                <w:highlight w:val="none"/>
                <w:lang w:eastAsia="zh-CN"/>
              </w:rPr>
              <w:t>符合第二章“投标人须知”第3.4.1项规定</w:t>
            </w:r>
          </w:p>
        </w:tc>
      </w:tr>
      <w:tr>
        <w:tblPrEx>
          <w:tblCellMar>
            <w:top w:w="0" w:type="dxa"/>
            <w:left w:w="0" w:type="dxa"/>
            <w:bottom w:w="0" w:type="dxa"/>
            <w:right w:w="0" w:type="dxa"/>
          </w:tblCellMar>
        </w:tblPrEx>
        <w:trPr>
          <w:trHeight w:val="792" w:hRule="atLeast"/>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000000" w:sz="4" w:space="0"/>
              <w:left w:val="single" w:color="auto" w:sz="4" w:space="0"/>
              <w:bottom w:val="single" w:color="auto"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串通投标情形</w:t>
            </w:r>
          </w:p>
        </w:tc>
        <w:tc>
          <w:tcPr>
            <w:tcW w:w="5476" w:type="dxa"/>
            <w:tcBorders>
              <w:top w:val="single" w:color="000000" w:sz="4" w:space="0"/>
              <w:left w:val="single" w:color="000000" w:sz="4" w:space="0"/>
              <w:bottom w:val="single" w:color="auto"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不存在串通投标情形（串通投标情形以《广东省实施&lt;中华人民共和国招标投标法&gt;》第十六条的规定为准）。</w:t>
            </w:r>
          </w:p>
        </w:tc>
      </w:tr>
      <w:tr>
        <w:tblPrEx>
          <w:tblCellMar>
            <w:top w:w="0" w:type="dxa"/>
            <w:left w:w="0" w:type="dxa"/>
            <w:bottom w:w="0" w:type="dxa"/>
            <w:right w:w="0" w:type="dxa"/>
          </w:tblCellMar>
        </w:tblPrEx>
        <w:trPr>
          <w:jc w:val="center"/>
        </w:trPr>
        <w:tc>
          <w:tcPr>
            <w:tcW w:w="6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2.1.3（2）</w:t>
            </w:r>
          </w:p>
        </w:tc>
        <w:tc>
          <w:tcPr>
            <w:tcW w:w="106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0" w:beforeLines="0"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设计方案（暗标）</w:t>
            </w:r>
          </w:p>
          <w:p>
            <w:pPr>
              <w:keepNext w:val="0"/>
              <w:keepLines w:val="0"/>
              <w:pageBreakBefore w:val="0"/>
              <w:kinsoku/>
              <w:wordWrap/>
              <w:overflowPunct/>
              <w:topLinePunct w:val="0"/>
              <w:autoSpaceDE/>
              <w:autoSpaceDN/>
              <w:bidi w:val="0"/>
              <w:adjustRightInd w:val="0"/>
              <w:spacing w:before="0" w:beforeLines="0"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响应性评</w:t>
            </w:r>
          </w:p>
          <w:p>
            <w:pPr>
              <w:keepNext w:val="0"/>
              <w:keepLines w:val="0"/>
              <w:pageBreakBefore w:val="0"/>
              <w:kinsoku/>
              <w:wordWrap/>
              <w:overflowPunct/>
              <w:topLinePunct w:val="0"/>
              <w:autoSpaceDE/>
              <w:autoSpaceDN/>
              <w:bidi w:val="0"/>
              <w:adjustRightInd w:val="0"/>
              <w:spacing w:before="0" w:beforeLines="0"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审标准</w:t>
            </w:r>
          </w:p>
        </w:tc>
        <w:tc>
          <w:tcPr>
            <w:tcW w:w="187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lang w:eastAsia="zh-CN"/>
              </w:rPr>
              <w:t>编制</w:t>
            </w:r>
            <w:r>
              <w:rPr>
                <w:rFonts w:hint="eastAsia" w:ascii="方正仿宋_GB2312" w:hAnsi="方正仿宋_GB2312" w:eastAsia="方正仿宋_GB2312" w:cs="方正仿宋_GB2312"/>
                <w:color w:val="auto"/>
                <w:sz w:val="21"/>
                <w:szCs w:val="21"/>
                <w:highlight w:val="none"/>
              </w:rPr>
              <w:t>要求</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技术标中未能辨认出投标人或其专业技术人员的身份。未在设计方案上标注或做任何可以辨认投标人及专业技术人员身份的名称、印章、商标、图形等记认符号。</w:t>
            </w:r>
          </w:p>
        </w:tc>
      </w:tr>
      <w:tr>
        <w:tblPrEx>
          <w:tblCellMar>
            <w:top w:w="0" w:type="dxa"/>
            <w:left w:w="0" w:type="dxa"/>
            <w:bottom w:w="0" w:type="dxa"/>
            <w:right w:w="0" w:type="dxa"/>
          </w:tblCellMar>
        </w:tblPrEx>
        <w:trPr>
          <w:trHeight w:val="322" w:hRule="atLeast"/>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抄袭行为</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不存在明显的抄袭行为；</w:t>
            </w:r>
          </w:p>
        </w:tc>
      </w:tr>
      <w:tr>
        <w:tblPrEx>
          <w:tblCellMar>
            <w:top w:w="0" w:type="dxa"/>
            <w:left w:w="0" w:type="dxa"/>
            <w:bottom w:w="0" w:type="dxa"/>
            <w:right w:w="0" w:type="dxa"/>
          </w:tblCellMar>
        </w:tblPrEx>
        <w:trPr>
          <w:trHeight w:val="488" w:hRule="atLeast"/>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侵犯他人著作权和特许权</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不存在侵犯他人著作权和特许权的；</w:t>
            </w:r>
          </w:p>
        </w:tc>
      </w:tr>
      <w:tr>
        <w:tblPrEx>
          <w:tblCellMar>
            <w:top w:w="0" w:type="dxa"/>
            <w:left w:w="0" w:type="dxa"/>
            <w:bottom w:w="0" w:type="dxa"/>
            <w:right w:w="0" w:type="dxa"/>
          </w:tblCellMar>
        </w:tblPrEx>
        <w:trPr>
          <w:trHeight w:val="522" w:hRule="atLeast"/>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lang w:eastAsia="zh-CN"/>
              </w:rPr>
              <w:t>串通投标情形</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不存在串通投标情形的（串通投标情形以《广东省实施&lt;中华人民共和国招标投标法&gt;》第十六条的规定为准）。</w:t>
            </w:r>
          </w:p>
        </w:tc>
      </w:tr>
      <w:tr>
        <w:tblPrEx>
          <w:tblCellMar>
            <w:top w:w="0" w:type="dxa"/>
            <w:left w:w="0" w:type="dxa"/>
            <w:bottom w:w="0" w:type="dxa"/>
            <w:right w:w="0" w:type="dxa"/>
          </w:tblCellMar>
        </w:tblPrEx>
        <w:trPr>
          <w:jc w:val="center"/>
        </w:trPr>
        <w:tc>
          <w:tcPr>
            <w:tcW w:w="1688" w:type="dxa"/>
            <w:gridSpan w:val="2"/>
            <w:tcBorders>
              <w:top w:val="single" w:color="auto"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条款号</w:t>
            </w:r>
          </w:p>
        </w:tc>
        <w:tc>
          <w:tcPr>
            <w:tcW w:w="1873" w:type="dxa"/>
            <w:tcBorders>
              <w:top w:val="single" w:color="auto"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条款内容</w:t>
            </w:r>
          </w:p>
        </w:tc>
        <w:tc>
          <w:tcPr>
            <w:tcW w:w="5476" w:type="dxa"/>
            <w:tcBorders>
              <w:top w:val="single" w:color="auto"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编列内容</w:t>
            </w:r>
          </w:p>
        </w:tc>
      </w:tr>
      <w:tr>
        <w:tblPrEx>
          <w:tblCellMar>
            <w:top w:w="0" w:type="dxa"/>
            <w:left w:w="0" w:type="dxa"/>
            <w:bottom w:w="0" w:type="dxa"/>
            <w:right w:w="0" w:type="dxa"/>
          </w:tblCellMar>
        </w:tblPrEx>
        <w:trPr>
          <w:jc w:val="center"/>
        </w:trPr>
        <w:tc>
          <w:tcPr>
            <w:tcW w:w="168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2.2.1</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0" w:beforeLines="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分值构成</w:t>
            </w:r>
          </w:p>
          <w:p>
            <w:pPr>
              <w:pStyle w:val="23"/>
              <w:keepNext w:val="0"/>
              <w:keepLines w:val="0"/>
              <w:pageBreakBefore w:val="0"/>
              <w:kinsoku/>
              <w:wordWrap/>
              <w:overflowPunct/>
              <w:topLinePunct w:val="0"/>
              <w:autoSpaceDE/>
              <w:autoSpaceDN/>
              <w:bidi w:val="0"/>
              <w:adjustRightInd w:val="0"/>
              <w:spacing w:before="0" w:beforeLines="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lang w:eastAsia="zh-CN"/>
              </w:rPr>
              <w:t>（</w:t>
            </w:r>
            <w:r>
              <w:rPr>
                <w:rFonts w:hint="eastAsia" w:ascii="方正仿宋_GB2312" w:hAnsi="方正仿宋_GB2312" w:eastAsia="方正仿宋_GB2312" w:cs="方正仿宋_GB2312"/>
                <w:color w:val="auto"/>
                <w:sz w:val="21"/>
                <w:szCs w:val="21"/>
                <w:highlight w:val="none"/>
              </w:rPr>
              <w:t>总分100分</w:t>
            </w:r>
            <w:r>
              <w:rPr>
                <w:rFonts w:hint="eastAsia" w:ascii="方正仿宋_GB2312" w:hAnsi="方正仿宋_GB2312" w:eastAsia="方正仿宋_GB2312" w:cs="方正仿宋_GB2312"/>
                <w:color w:val="auto"/>
                <w:sz w:val="21"/>
                <w:szCs w:val="21"/>
                <w:highlight w:val="none"/>
                <w:lang w:eastAsia="zh-CN"/>
              </w:rPr>
              <w:t>）</w:t>
            </w:r>
          </w:p>
        </w:tc>
        <w:tc>
          <w:tcPr>
            <w:tcW w:w="5476"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rPr>
                <w:rFonts w:hint="eastAsia" w:ascii="方正仿宋_GB2312" w:hAnsi="方正仿宋_GB2312" w:eastAsia="方正仿宋_GB2312" w:cs="方正仿宋_GB2312"/>
                <w:color w:val="auto"/>
                <w:sz w:val="21"/>
                <w:szCs w:val="21"/>
                <w:highlight w:val="none"/>
                <w:u w:val="single"/>
                <w:lang w:eastAsia="zh-CN"/>
              </w:rPr>
            </w:pPr>
            <w:r>
              <w:rPr>
                <w:rFonts w:hint="eastAsia" w:ascii="方正仿宋_GB2312" w:hAnsi="方正仿宋_GB2312" w:eastAsia="方正仿宋_GB2312" w:cs="方正仿宋_GB2312"/>
                <w:color w:val="auto"/>
                <w:sz w:val="21"/>
                <w:szCs w:val="21"/>
                <w:highlight w:val="none"/>
                <w:u w:val="single"/>
                <w:lang w:eastAsia="zh-CN"/>
              </w:rPr>
              <w:t>商务文件（资信业绩评分标准）部分：30分</w:t>
            </w:r>
          </w:p>
          <w:p>
            <w:pPr>
              <w:pStyle w:val="23"/>
              <w:adjustRightInd w:val="0"/>
              <w:spacing w:before="120" w:beforeLines="50" w:line="240" w:lineRule="auto"/>
              <w:ind w:left="110" w:leftChars="50" w:right="110" w:rightChars="50"/>
              <w:rPr>
                <w:rFonts w:hint="eastAsia" w:ascii="方正仿宋_GB2312" w:hAnsi="方正仿宋_GB2312" w:eastAsia="方正仿宋_GB2312" w:cs="方正仿宋_GB2312"/>
                <w:color w:val="auto"/>
                <w:sz w:val="21"/>
                <w:szCs w:val="21"/>
                <w:highlight w:val="none"/>
                <w:u w:val="single"/>
                <w:lang w:eastAsia="zh-CN"/>
              </w:rPr>
            </w:pPr>
            <w:r>
              <w:rPr>
                <w:rFonts w:hint="eastAsia" w:ascii="方正仿宋_GB2312" w:hAnsi="方正仿宋_GB2312" w:eastAsia="方正仿宋_GB2312" w:cs="方正仿宋_GB2312"/>
                <w:color w:val="auto"/>
                <w:sz w:val="21"/>
                <w:szCs w:val="21"/>
                <w:highlight w:val="none"/>
                <w:u w:val="single"/>
                <w:lang w:eastAsia="zh-CN"/>
              </w:rPr>
              <w:t>技术文件（勘察设计方案评分标准）：</w:t>
            </w:r>
            <w:r>
              <w:rPr>
                <w:rFonts w:hint="eastAsia" w:ascii="方正仿宋_GB2312" w:hAnsi="方正仿宋_GB2312" w:eastAsia="方正仿宋_GB2312" w:cs="方正仿宋_GB2312"/>
                <w:color w:val="auto"/>
                <w:sz w:val="21"/>
                <w:szCs w:val="21"/>
                <w:highlight w:val="none"/>
                <w:u w:val="single"/>
                <w:lang w:val="en-US" w:eastAsia="zh-CN"/>
              </w:rPr>
              <w:t>60</w:t>
            </w:r>
            <w:r>
              <w:rPr>
                <w:rFonts w:hint="eastAsia" w:ascii="方正仿宋_GB2312" w:hAnsi="方正仿宋_GB2312" w:eastAsia="方正仿宋_GB2312" w:cs="方正仿宋_GB2312"/>
                <w:color w:val="auto"/>
                <w:sz w:val="21"/>
                <w:szCs w:val="21"/>
                <w:highlight w:val="none"/>
                <w:u w:val="single"/>
                <w:lang w:eastAsia="zh-CN"/>
              </w:rPr>
              <w:t>分</w:t>
            </w:r>
          </w:p>
          <w:p>
            <w:pPr>
              <w:pStyle w:val="23"/>
              <w:adjustRightInd w:val="0"/>
              <w:spacing w:before="120" w:beforeLines="50" w:line="240" w:lineRule="auto"/>
              <w:ind w:left="110" w:leftChars="50" w:right="110" w:rightChars="50"/>
              <w:rPr>
                <w:rFonts w:hint="eastAsia" w:ascii="方正仿宋_GB2312" w:hAnsi="方正仿宋_GB2312" w:eastAsia="方正仿宋_GB2312" w:cs="方正仿宋_GB2312"/>
                <w:color w:val="auto"/>
                <w:sz w:val="21"/>
                <w:szCs w:val="21"/>
                <w:highlight w:val="none"/>
                <w:u w:val="single"/>
                <w:lang w:eastAsia="zh-CN"/>
              </w:rPr>
            </w:pPr>
            <w:r>
              <w:rPr>
                <w:rFonts w:hint="eastAsia" w:ascii="方正仿宋_GB2312" w:hAnsi="方正仿宋_GB2312" w:eastAsia="方正仿宋_GB2312" w:cs="方正仿宋_GB2312"/>
                <w:color w:val="auto"/>
                <w:sz w:val="21"/>
                <w:szCs w:val="21"/>
                <w:highlight w:val="none"/>
                <w:u w:val="single"/>
                <w:lang w:eastAsia="zh-CN"/>
              </w:rPr>
              <w:t>投标报价部分：</w:t>
            </w:r>
            <w:r>
              <w:rPr>
                <w:rFonts w:hint="eastAsia" w:ascii="方正仿宋_GB2312" w:hAnsi="方正仿宋_GB2312" w:eastAsia="方正仿宋_GB2312" w:cs="方正仿宋_GB2312"/>
                <w:color w:val="auto"/>
                <w:sz w:val="21"/>
                <w:szCs w:val="21"/>
                <w:highlight w:val="none"/>
                <w:u w:val="single"/>
                <w:lang w:val="en-US" w:eastAsia="zh-CN"/>
              </w:rPr>
              <w:t>10</w:t>
            </w:r>
          </w:p>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rPr>
                <w:rFonts w:hint="eastAsia" w:ascii="方正仿宋_GB2312" w:hAnsi="方正仿宋_GB2312" w:eastAsia="方正仿宋_GB2312" w:cs="方正仿宋_GB2312"/>
                <w:color w:val="auto"/>
                <w:sz w:val="21"/>
                <w:szCs w:val="21"/>
                <w:highlight w:val="none"/>
                <w:u w:val="single"/>
                <w:lang w:val="en-US" w:eastAsia="zh-CN"/>
              </w:rPr>
            </w:pPr>
            <w:r>
              <w:rPr>
                <w:rFonts w:hint="eastAsia" w:ascii="方正仿宋_GB2312" w:hAnsi="方正仿宋_GB2312" w:eastAsia="方正仿宋_GB2312" w:cs="方正仿宋_GB2312"/>
                <w:b/>
                <w:bCs/>
                <w:color w:val="auto"/>
                <w:sz w:val="21"/>
                <w:szCs w:val="21"/>
                <w:highlight w:val="none"/>
                <w:u w:val="single"/>
                <w:lang w:eastAsia="zh-CN"/>
              </w:rPr>
              <w:t>投标人综合得分=商务部分得分+技术部分得分+投标报价部分得分</w:t>
            </w:r>
          </w:p>
        </w:tc>
      </w:tr>
      <w:tr>
        <w:tblPrEx>
          <w:tblCellMar>
            <w:top w:w="0" w:type="dxa"/>
            <w:left w:w="0" w:type="dxa"/>
            <w:bottom w:w="0" w:type="dxa"/>
            <w:right w:w="0" w:type="dxa"/>
          </w:tblCellMar>
        </w:tblPrEx>
        <w:trPr>
          <w:trHeight w:val="90" w:hRule="atLeast"/>
          <w:jc w:val="center"/>
        </w:trPr>
        <w:tc>
          <w:tcPr>
            <w:tcW w:w="168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2.2.2</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0" w:beforeLines="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评标基准价计算</w:t>
            </w:r>
          </w:p>
          <w:p>
            <w:pPr>
              <w:pStyle w:val="23"/>
              <w:keepNext w:val="0"/>
              <w:keepLines w:val="0"/>
              <w:pageBreakBefore w:val="0"/>
              <w:kinsoku/>
              <w:wordWrap/>
              <w:overflowPunct/>
              <w:topLinePunct w:val="0"/>
              <w:autoSpaceDE/>
              <w:autoSpaceDN/>
              <w:bidi w:val="0"/>
              <w:adjustRightInd w:val="0"/>
              <w:spacing w:before="0" w:beforeLines="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方法</w:t>
            </w:r>
          </w:p>
        </w:tc>
        <w:tc>
          <w:tcPr>
            <w:tcW w:w="5476"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60" w:lineRule="auto"/>
              <w:rPr>
                <w:rFonts w:hint="eastAsia" w:ascii="方正仿宋_GB2312" w:hAnsi="方正仿宋_GB2312" w:eastAsia="方正仿宋_GB2312" w:cs="方正仿宋_GB2312"/>
                <w:color w:val="auto"/>
                <w:sz w:val="21"/>
                <w:szCs w:val="21"/>
                <w:highlight w:val="none"/>
                <w:u w:val="single"/>
                <w:lang w:eastAsia="zh-CN"/>
              </w:rPr>
            </w:pPr>
            <w:r>
              <w:rPr>
                <w:rFonts w:hint="eastAsia" w:ascii="方正仿宋_GB2312" w:hAnsi="方正仿宋_GB2312" w:eastAsia="方正仿宋_GB2312" w:cs="方正仿宋_GB2312"/>
                <w:color w:val="auto"/>
                <w:sz w:val="21"/>
                <w:szCs w:val="21"/>
                <w:highlight w:val="none"/>
                <w:u w:val="single"/>
                <w:lang w:val="en-US" w:eastAsia="zh-CN" w:bidi="ar-SA"/>
              </w:rPr>
              <w:t>若当通过资格审查及符合性审查的有效投标人大于5名时，去掉一个最高价和一个最低价，取余下投标报价的算术平均值作为评标基准价。若当通过资格审查及符合性审查的有效投标人小于或等于5名时，取所有入围的投标报价的算术平均值作为评标基准价。</w:t>
            </w:r>
          </w:p>
        </w:tc>
      </w:tr>
      <w:tr>
        <w:tblPrEx>
          <w:tblCellMar>
            <w:top w:w="0" w:type="dxa"/>
            <w:left w:w="0" w:type="dxa"/>
            <w:bottom w:w="0" w:type="dxa"/>
            <w:right w:w="0" w:type="dxa"/>
          </w:tblCellMar>
        </w:tblPrEx>
        <w:trPr>
          <w:trHeight w:val="620" w:hRule="atLeast"/>
          <w:jc w:val="center"/>
        </w:trPr>
        <w:tc>
          <w:tcPr>
            <w:tcW w:w="168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2.2.3</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0" w:beforeLines="50"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投标报价的偏差率计算公式</w:t>
            </w:r>
          </w:p>
        </w:tc>
        <w:tc>
          <w:tcPr>
            <w:tcW w:w="5476" w:type="dxa"/>
            <w:tcBorders>
              <w:top w:val="single" w:color="000000" w:sz="4" w:space="0"/>
              <w:left w:val="single" w:color="000000" w:sz="4" w:space="0"/>
              <w:bottom w:val="single" w:color="000000" w:sz="4" w:space="0"/>
              <w:right w:val="single" w:color="000000" w:sz="4" w:space="0"/>
            </w:tcBorders>
            <w:noWrap w:val="0"/>
            <w:vAlign w:val="center"/>
          </w:tcPr>
          <w:p>
            <w:pPr>
              <w:pStyle w:val="23"/>
              <w:spacing w:line="360" w:lineRule="auto"/>
              <w:rPr>
                <w:rFonts w:hint="eastAsia" w:ascii="方正仿宋_GB2312" w:hAnsi="方正仿宋_GB2312" w:eastAsia="方正仿宋_GB2312" w:cs="方正仿宋_GB2312"/>
                <w:color w:val="auto"/>
                <w:sz w:val="21"/>
                <w:szCs w:val="21"/>
                <w:highlight w:val="none"/>
                <w:u w:val="single"/>
                <w:lang w:eastAsia="zh-CN"/>
              </w:rPr>
            </w:pPr>
            <w:r>
              <w:rPr>
                <w:rFonts w:hint="eastAsia" w:ascii="方正仿宋_GB2312" w:hAnsi="方正仿宋_GB2312" w:eastAsia="方正仿宋_GB2312" w:cs="方正仿宋_GB2312"/>
                <w:color w:val="auto"/>
                <w:sz w:val="21"/>
                <w:szCs w:val="21"/>
                <w:highlight w:val="none"/>
                <w:u w:val="single"/>
                <w:lang w:val="en-US" w:eastAsia="zh-CN"/>
              </w:rPr>
              <w:t>偏</w:t>
            </w:r>
            <w:r>
              <w:rPr>
                <w:rFonts w:hint="eastAsia" w:ascii="方正仿宋_GB2312" w:hAnsi="方正仿宋_GB2312" w:eastAsia="方正仿宋_GB2312" w:cs="方正仿宋_GB2312"/>
                <w:color w:val="auto"/>
                <w:sz w:val="21"/>
                <w:szCs w:val="21"/>
                <w:highlight w:val="none"/>
                <w:u w:val="single"/>
                <w:lang w:eastAsia="zh-CN"/>
              </w:rPr>
              <w:t>差率＝（投标报价－评标基准价）</w:t>
            </w:r>
            <w:r>
              <w:rPr>
                <w:rFonts w:hint="eastAsia" w:ascii="方正仿宋_GB2312" w:hAnsi="方正仿宋_GB2312" w:eastAsia="方正仿宋_GB2312" w:cs="方正仿宋_GB2312"/>
                <w:color w:val="auto"/>
                <w:sz w:val="21"/>
                <w:szCs w:val="21"/>
                <w:highlight w:val="none"/>
                <w:u w:val="single"/>
                <w:lang w:val="en-US" w:eastAsia="zh-CN"/>
              </w:rPr>
              <w:t>/评标基准价*100%</w:t>
            </w:r>
          </w:p>
        </w:tc>
      </w:tr>
      <w:tr>
        <w:tblPrEx>
          <w:tblCellMar>
            <w:top w:w="0" w:type="dxa"/>
            <w:left w:w="0" w:type="dxa"/>
            <w:bottom w:w="0" w:type="dxa"/>
            <w:right w:w="0" w:type="dxa"/>
          </w:tblCellMar>
        </w:tblPrEx>
        <w:trPr>
          <w:jc w:val="center"/>
        </w:trPr>
        <w:tc>
          <w:tcPr>
            <w:tcW w:w="1688" w:type="dxa"/>
            <w:gridSpan w:val="2"/>
            <w:tcBorders>
              <w:top w:val="single" w:color="000000" w:sz="4" w:space="0"/>
              <w:left w:val="single" w:color="000000" w:sz="4" w:space="0"/>
              <w:bottom w:val="single" w:color="auto"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条款号</w:t>
            </w:r>
          </w:p>
        </w:tc>
        <w:tc>
          <w:tcPr>
            <w:tcW w:w="1873" w:type="dxa"/>
            <w:tcBorders>
              <w:top w:val="single" w:color="000000" w:sz="4" w:space="0"/>
              <w:left w:val="single" w:color="000000" w:sz="4" w:space="0"/>
              <w:bottom w:val="single" w:color="auto"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评分因素</w:t>
            </w:r>
          </w:p>
        </w:tc>
        <w:tc>
          <w:tcPr>
            <w:tcW w:w="5476" w:type="dxa"/>
            <w:tcBorders>
              <w:top w:val="single" w:color="000000" w:sz="4" w:space="0"/>
              <w:left w:val="single" w:color="000000" w:sz="4" w:space="0"/>
              <w:bottom w:val="single" w:color="auto" w:sz="4" w:space="0"/>
              <w:right w:val="single" w:color="000000"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ind w:left="110" w:leftChars="50" w:right="110" w:rightChars="50"/>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b/>
                <w:bCs/>
                <w:color w:val="auto"/>
                <w:sz w:val="21"/>
                <w:szCs w:val="21"/>
                <w:highlight w:val="none"/>
              </w:rPr>
              <w:t>评分标准</w:t>
            </w:r>
          </w:p>
        </w:tc>
      </w:tr>
      <w:tr>
        <w:tblPrEx>
          <w:tblCellMar>
            <w:top w:w="0" w:type="dxa"/>
            <w:left w:w="0" w:type="dxa"/>
            <w:bottom w:w="0" w:type="dxa"/>
            <w:right w:w="0" w:type="dxa"/>
          </w:tblCellMar>
        </w:tblPrEx>
        <w:trPr>
          <w:trHeight w:val="2032" w:hRule="atLeast"/>
          <w:jc w:val="center"/>
        </w:trPr>
        <w:tc>
          <w:tcPr>
            <w:tcW w:w="625" w:type="dxa"/>
            <w:vMerge w:val="restart"/>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2.2.4（1）</w:t>
            </w:r>
          </w:p>
        </w:tc>
        <w:tc>
          <w:tcPr>
            <w:tcW w:w="1063" w:type="dxa"/>
            <w:vMerge w:val="restart"/>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0" w:beforeLines="0"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商务文件（资信业绩评分标准）</w:t>
            </w:r>
          </w:p>
          <w:p>
            <w:pPr>
              <w:pStyle w:val="23"/>
              <w:keepNext w:val="0"/>
              <w:keepLines w:val="0"/>
              <w:pageBreakBefore w:val="0"/>
              <w:kinsoku/>
              <w:wordWrap/>
              <w:overflowPunct/>
              <w:topLinePunct w:val="0"/>
              <w:autoSpaceDE/>
              <w:autoSpaceDN/>
              <w:bidi w:val="0"/>
              <w:adjustRightInd w:val="0"/>
              <w:spacing w:before="0" w:beforeLines="0"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（30分）</w:t>
            </w:r>
          </w:p>
        </w:tc>
        <w:tc>
          <w:tcPr>
            <w:tcW w:w="1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企业业绩</w:t>
            </w:r>
            <w:r>
              <w:rPr>
                <w:rFonts w:hint="eastAsia" w:ascii="方正仿宋_GB2312" w:hAnsi="方正仿宋_GB2312" w:eastAsia="方正仿宋_GB2312" w:cs="方正仿宋_GB2312"/>
                <w:color w:val="auto"/>
                <w:highlight w:val="none"/>
                <w:lang w:eastAsia="zh-CN"/>
              </w:rPr>
              <w:t>（</w:t>
            </w:r>
            <w:r>
              <w:rPr>
                <w:rFonts w:hint="eastAsia" w:ascii="方正仿宋_GB2312" w:hAnsi="方正仿宋_GB2312" w:eastAsia="方正仿宋_GB2312" w:cs="方正仿宋_GB2312"/>
                <w:color w:val="auto"/>
                <w:highlight w:val="none"/>
                <w:lang w:val="en-US" w:eastAsia="zh-CN"/>
              </w:rPr>
              <w:t>2分</w:t>
            </w:r>
            <w:r>
              <w:rPr>
                <w:rFonts w:hint="eastAsia" w:ascii="方正仿宋_GB2312" w:hAnsi="方正仿宋_GB2312" w:eastAsia="方正仿宋_GB2312" w:cs="方正仿宋_GB2312"/>
                <w:color w:val="auto"/>
                <w:highlight w:val="none"/>
                <w:lang w:eastAsia="zh-CN"/>
              </w:rPr>
              <w:t>）</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2312" w:hAnsi="方正仿宋_GB2312" w:eastAsia="方正仿宋_GB2312" w:cs="方正仿宋_GB2312"/>
                <w:color w:val="auto"/>
                <w:highlight w:val="none"/>
              </w:rPr>
            </w:pPr>
          </w:p>
        </w:tc>
        <w:tc>
          <w:tcPr>
            <w:tcW w:w="5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240" w:lineRule="auto"/>
              <w:ind w:left="110" w:leftChars="50" w:right="44" w:rightChars="20"/>
              <w:jc w:val="left"/>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投标人</w:t>
            </w:r>
            <w:r>
              <w:rPr>
                <w:rFonts w:hint="eastAsia" w:ascii="方正仿宋_GB2312" w:hAnsi="方正仿宋_GB2312" w:eastAsia="方正仿宋_GB2312" w:cs="方正仿宋_GB2312"/>
                <w:b/>
                <w:bCs/>
                <w:color w:val="000000"/>
                <w:kern w:val="0"/>
                <w:sz w:val="21"/>
                <w:szCs w:val="21"/>
                <w:highlight w:val="none"/>
                <w:lang w:val="en-US" w:eastAsia="zh-CN" w:bidi="ar"/>
              </w:rPr>
              <w:t>（若为联合体时，则指任何一方）</w:t>
            </w:r>
            <w:r>
              <w:rPr>
                <w:rFonts w:hint="eastAsia" w:ascii="方正仿宋_GB2312" w:hAnsi="方正仿宋_GB2312" w:eastAsia="方正仿宋_GB2312" w:cs="方正仿宋_GB2312"/>
                <w:sz w:val="21"/>
                <w:szCs w:val="21"/>
                <w:highlight w:val="none"/>
              </w:rPr>
              <w:t>20</w:t>
            </w:r>
            <w:r>
              <w:rPr>
                <w:rFonts w:hint="eastAsia" w:ascii="方正仿宋_GB2312" w:hAnsi="方正仿宋_GB2312" w:eastAsia="方正仿宋_GB2312" w:cs="方正仿宋_GB2312"/>
                <w:sz w:val="21"/>
                <w:szCs w:val="21"/>
                <w:highlight w:val="none"/>
                <w:lang w:val="en-US" w:eastAsia="zh-CN"/>
              </w:rPr>
              <w:t>19</w:t>
            </w:r>
            <w:r>
              <w:rPr>
                <w:rFonts w:hint="eastAsia" w:ascii="方正仿宋_GB2312" w:hAnsi="方正仿宋_GB2312" w:eastAsia="方正仿宋_GB2312" w:cs="方正仿宋_GB2312"/>
                <w:sz w:val="21"/>
                <w:szCs w:val="21"/>
                <w:highlight w:val="none"/>
              </w:rPr>
              <w:t>年</w:t>
            </w:r>
            <w:r>
              <w:rPr>
                <w:rFonts w:hint="eastAsia" w:ascii="方正仿宋_GB2312" w:hAnsi="方正仿宋_GB2312" w:eastAsia="方正仿宋_GB2312" w:cs="方正仿宋_GB2312"/>
                <w:sz w:val="21"/>
                <w:szCs w:val="21"/>
                <w:highlight w:val="none"/>
                <w:lang w:val="en-US" w:eastAsia="zh-CN"/>
              </w:rPr>
              <w:t>1</w:t>
            </w:r>
            <w:r>
              <w:rPr>
                <w:rFonts w:hint="eastAsia" w:ascii="方正仿宋_GB2312" w:hAnsi="方正仿宋_GB2312" w:eastAsia="方正仿宋_GB2312" w:cs="方正仿宋_GB2312"/>
                <w:sz w:val="21"/>
                <w:szCs w:val="21"/>
                <w:highlight w:val="none"/>
              </w:rPr>
              <w:t>月1日至今承担过水利工程勘察或设计或勘察设计业绩的</w:t>
            </w:r>
            <w:r>
              <w:rPr>
                <w:rFonts w:hint="eastAsia" w:ascii="方正仿宋_GB2312" w:hAnsi="方正仿宋_GB2312" w:eastAsia="方正仿宋_GB2312" w:cs="方正仿宋_GB2312"/>
                <w:sz w:val="21"/>
                <w:szCs w:val="21"/>
                <w:highlight w:val="none"/>
                <w:lang w:eastAsia="zh-CN"/>
              </w:rPr>
              <w:t>，</w:t>
            </w:r>
            <w:r>
              <w:rPr>
                <w:rFonts w:hint="eastAsia" w:ascii="方正仿宋_GB2312" w:hAnsi="方正仿宋_GB2312" w:eastAsia="方正仿宋_GB2312" w:cs="方正仿宋_GB2312"/>
                <w:sz w:val="21"/>
                <w:szCs w:val="21"/>
                <w:highlight w:val="none"/>
              </w:rPr>
              <w:t>每项得</w:t>
            </w:r>
            <w:r>
              <w:rPr>
                <w:rFonts w:hint="eastAsia" w:ascii="方正仿宋_GB2312" w:hAnsi="方正仿宋_GB2312" w:eastAsia="方正仿宋_GB2312" w:cs="方正仿宋_GB2312"/>
                <w:sz w:val="21"/>
                <w:szCs w:val="21"/>
                <w:highlight w:val="none"/>
                <w:lang w:val="en-US" w:eastAsia="zh-CN"/>
              </w:rPr>
              <w:t>0.5</w:t>
            </w:r>
            <w:r>
              <w:rPr>
                <w:rFonts w:hint="eastAsia" w:ascii="方正仿宋_GB2312" w:hAnsi="方正仿宋_GB2312" w:eastAsia="方正仿宋_GB2312" w:cs="方正仿宋_GB2312"/>
                <w:sz w:val="21"/>
                <w:szCs w:val="21"/>
                <w:highlight w:val="none"/>
              </w:rPr>
              <w:t>分</w:t>
            </w:r>
            <w:r>
              <w:rPr>
                <w:rFonts w:hint="eastAsia" w:ascii="方正仿宋_GB2312" w:hAnsi="方正仿宋_GB2312" w:eastAsia="方正仿宋_GB2312" w:cs="方正仿宋_GB2312"/>
                <w:sz w:val="21"/>
                <w:szCs w:val="21"/>
                <w:highlight w:val="none"/>
                <w:lang w:eastAsia="zh-CN"/>
              </w:rPr>
              <w:t>。</w:t>
            </w:r>
          </w:p>
          <w:p>
            <w:pPr>
              <w:keepNext w:val="0"/>
              <w:keepLines w:val="0"/>
              <w:pageBreakBefore w:val="0"/>
              <w:kinsoku/>
              <w:wordWrap/>
              <w:overflowPunct/>
              <w:topLinePunct w:val="0"/>
              <w:autoSpaceDE/>
              <w:autoSpaceDN/>
              <w:bidi w:val="0"/>
              <w:spacing w:line="240" w:lineRule="auto"/>
              <w:ind w:left="110" w:leftChars="50" w:right="44" w:rightChars="20"/>
              <w:rPr>
                <w:rFonts w:hint="eastAsia" w:ascii="方正仿宋_GB2312" w:hAnsi="方正仿宋_GB2312" w:eastAsia="方正仿宋_GB2312" w:cs="方正仿宋_GB2312"/>
                <w:color w:val="auto"/>
                <w:sz w:val="21"/>
                <w:szCs w:val="21"/>
                <w:highlight w:val="none"/>
                <w:lang w:val="zh-CN" w:eastAsia="zh-CN"/>
              </w:rPr>
            </w:pPr>
            <w:r>
              <w:rPr>
                <w:rFonts w:hint="eastAsia" w:ascii="方正仿宋_GB2312" w:hAnsi="方正仿宋_GB2312" w:eastAsia="方正仿宋_GB2312" w:cs="方正仿宋_GB2312"/>
                <w:b/>
                <w:bCs/>
                <w:sz w:val="21"/>
                <w:szCs w:val="21"/>
                <w:highlight w:val="none"/>
              </w:rPr>
              <w:t>注：本项最高得</w:t>
            </w:r>
            <w:r>
              <w:rPr>
                <w:rFonts w:hint="eastAsia" w:ascii="方正仿宋_GB2312" w:hAnsi="方正仿宋_GB2312" w:eastAsia="方正仿宋_GB2312" w:cs="方正仿宋_GB2312"/>
                <w:b/>
                <w:bCs/>
                <w:sz w:val="21"/>
                <w:szCs w:val="21"/>
                <w:highlight w:val="none"/>
                <w:lang w:val="en-US" w:eastAsia="zh-CN"/>
              </w:rPr>
              <w:t>2</w:t>
            </w:r>
            <w:r>
              <w:rPr>
                <w:rFonts w:hint="eastAsia" w:ascii="方正仿宋_GB2312" w:hAnsi="方正仿宋_GB2312" w:eastAsia="方正仿宋_GB2312" w:cs="方正仿宋_GB2312"/>
                <w:b/>
                <w:bCs/>
                <w:sz w:val="21"/>
                <w:szCs w:val="21"/>
                <w:highlight w:val="none"/>
              </w:rPr>
              <w:t>分。投标人须提供业绩的中标（成交）通知书（或免招标证明）、合同及其他补充（如需要）反映工程信息的相关证明材料扫描件。业绩计算时间以合同签订时间为准。提供的材料不符合上述条件或未提供上述资料的，不得分。</w:t>
            </w:r>
          </w:p>
        </w:tc>
      </w:tr>
      <w:tr>
        <w:tblPrEx>
          <w:tblCellMar>
            <w:top w:w="0" w:type="dxa"/>
            <w:left w:w="0" w:type="dxa"/>
            <w:bottom w:w="0" w:type="dxa"/>
            <w:right w:w="0" w:type="dxa"/>
          </w:tblCellMar>
        </w:tblPrEx>
        <w:trPr>
          <w:trHeight w:val="1375" w:hRule="atLeast"/>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2312" w:hAnsi="方正仿宋_GB2312" w:eastAsia="方正仿宋_GB2312" w:cs="方正仿宋_GB2312"/>
                <w:color w:val="auto"/>
                <w:highlight w:val="none"/>
              </w:rPr>
            </w:pPr>
            <w:r>
              <w:rPr>
                <w:rFonts w:hint="eastAsia" w:ascii="方正仿宋_GB2312" w:hAnsi="方正仿宋_GB2312" w:eastAsia="方正仿宋_GB2312" w:cs="方正仿宋_GB2312"/>
                <w:color w:val="auto"/>
                <w:highlight w:val="none"/>
              </w:rPr>
              <w:t>企业资信（8分）</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ind w:left="110" w:leftChars="50" w:right="44" w:rightChars="20"/>
              <w:jc w:val="both"/>
              <w:rPr>
                <w:rFonts w:hint="eastAsia" w:ascii="方正仿宋_GB2312" w:hAnsi="方正仿宋_GB2312" w:eastAsia="方正仿宋_GB2312" w:cs="方正仿宋_GB2312"/>
                <w:b w:val="0"/>
                <w:bCs w:val="0"/>
                <w:color w:val="auto"/>
                <w:kern w:val="2"/>
                <w:sz w:val="21"/>
                <w:szCs w:val="21"/>
                <w:highlight w:val="none"/>
                <w:lang w:val="en-US" w:eastAsia="zh-CN" w:bidi="ar-SA"/>
              </w:rPr>
            </w:pPr>
            <w:r>
              <w:rPr>
                <w:rFonts w:hint="eastAsia" w:ascii="方正仿宋_GB2312" w:hAnsi="方正仿宋_GB2312" w:eastAsia="方正仿宋_GB2312" w:cs="方正仿宋_GB2312"/>
                <w:b w:val="0"/>
                <w:bCs w:val="0"/>
                <w:kern w:val="2"/>
                <w:sz w:val="21"/>
                <w:szCs w:val="21"/>
                <w:highlight w:val="none"/>
                <w:lang w:val="en-US" w:eastAsia="zh-CN" w:bidi="ar-SA"/>
              </w:rPr>
              <w:t>投标人从2019年1月1日至今承担过的水利勘察或设计项目获得省级或以上</w:t>
            </w:r>
            <w:r>
              <w:rPr>
                <w:rFonts w:hint="eastAsia" w:ascii="方正仿宋_GB2312" w:hAnsi="方正仿宋_GB2312" w:eastAsia="方正仿宋_GB2312" w:cs="方正仿宋_GB2312"/>
                <w:b w:val="0"/>
                <w:bCs w:val="0"/>
                <w:sz w:val="21"/>
                <w:szCs w:val="21"/>
                <w:highlight w:val="none"/>
                <w:lang w:val="en-US" w:eastAsia="en-US" w:bidi="ar-SA"/>
              </w:rPr>
              <w:t>科学技术进步奖</w:t>
            </w:r>
            <w:r>
              <w:rPr>
                <w:rFonts w:hint="eastAsia" w:ascii="方正仿宋_GB2312" w:hAnsi="方正仿宋_GB2312" w:eastAsia="方正仿宋_GB2312" w:cs="方正仿宋_GB2312"/>
                <w:b w:val="0"/>
                <w:bCs w:val="0"/>
                <w:sz w:val="21"/>
                <w:szCs w:val="21"/>
                <w:highlight w:val="none"/>
                <w:lang w:val="en-US" w:eastAsia="zh-CN" w:bidi="ar-SA"/>
              </w:rPr>
              <w:t>或</w:t>
            </w:r>
            <w:r>
              <w:rPr>
                <w:rFonts w:hint="eastAsia" w:ascii="方正仿宋_GB2312" w:hAnsi="方正仿宋_GB2312" w:eastAsia="方正仿宋_GB2312" w:cs="方正仿宋_GB2312"/>
                <w:b w:val="0"/>
                <w:bCs w:val="0"/>
                <w:sz w:val="21"/>
                <w:szCs w:val="21"/>
                <w:highlight w:val="none"/>
                <w:lang w:val="en-US" w:eastAsia="en-US" w:bidi="ar-SA"/>
              </w:rPr>
              <w:t>科学技术奖或科技进步奖</w:t>
            </w:r>
            <w:r>
              <w:rPr>
                <w:rFonts w:hint="eastAsia" w:ascii="方正仿宋_GB2312" w:hAnsi="方正仿宋_GB2312" w:eastAsia="方正仿宋_GB2312" w:cs="方正仿宋_GB2312"/>
                <w:b w:val="0"/>
                <w:bCs w:val="0"/>
                <w:sz w:val="21"/>
                <w:szCs w:val="21"/>
                <w:highlight w:val="none"/>
                <w:lang w:val="en-US" w:eastAsia="zh-CN" w:bidi="ar-SA"/>
              </w:rPr>
              <w:t>等</w:t>
            </w:r>
            <w:r>
              <w:rPr>
                <w:rFonts w:hint="eastAsia" w:ascii="方正仿宋_GB2312" w:hAnsi="方正仿宋_GB2312" w:eastAsia="方正仿宋_GB2312" w:cs="方正仿宋_GB2312"/>
                <w:b w:val="0"/>
                <w:bCs w:val="0"/>
                <w:kern w:val="2"/>
                <w:sz w:val="21"/>
                <w:szCs w:val="21"/>
                <w:highlight w:val="none"/>
                <w:lang w:val="en-US" w:eastAsia="zh-CN" w:bidi="ar-SA"/>
              </w:rPr>
              <w:t>科技类奖</w:t>
            </w:r>
            <w:r>
              <w:rPr>
                <w:rFonts w:hint="eastAsia" w:ascii="方正仿宋_GB2312" w:hAnsi="方正仿宋_GB2312" w:eastAsia="方正仿宋_GB2312" w:cs="方正仿宋_GB2312"/>
                <w:b w:val="0"/>
                <w:bCs w:val="0"/>
                <w:sz w:val="22"/>
                <w:szCs w:val="22"/>
                <w:highlight w:val="none"/>
                <w:lang w:val="en-US" w:eastAsia="zh-CN" w:bidi="ar-SA"/>
              </w:rPr>
              <w:t>项</w:t>
            </w:r>
            <w:r>
              <w:rPr>
                <w:rFonts w:hint="eastAsia" w:ascii="方正仿宋_GB2312" w:hAnsi="方正仿宋_GB2312" w:eastAsia="方正仿宋_GB2312" w:cs="方正仿宋_GB2312"/>
                <w:b w:val="0"/>
                <w:bCs w:val="0"/>
                <w:kern w:val="2"/>
                <w:sz w:val="21"/>
                <w:szCs w:val="21"/>
                <w:highlight w:val="none"/>
                <w:lang w:val="en-US" w:eastAsia="zh-CN" w:bidi="ar-SA"/>
              </w:rPr>
              <w:t>，得2分；获得市级</w:t>
            </w:r>
            <w:r>
              <w:rPr>
                <w:rFonts w:hint="eastAsia" w:ascii="方正仿宋_GB2312" w:hAnsi="方正仿宋_GB2312" w:eastAsia="方正仿宋_GB2312" w:cs="方正仿宋_GB2312"/>
                <w:b w:val="0"/>
                <w:bCs w:val="0"/>
                <w:sz w:val="21"/>
                <w:szCs w:val="21"/>
                <w:highlight w:val="none"/>
                <w:lang w:val="en-US" w:eastAsia="en-US" w:bidi="ar-SA"/>
              </w:rPr>
              <w:t>科学技术进步奖</w:t>
            </w:r>
            <w:r>
              <w:rPr>
                <w:rFonts w:hint="eastAsia" w:ascii="方正仿宋_GB2312" w:hAnsi="方正仿宋_GB2312" w:eastAsia="方正仿宋_GB2312" w:cs="方正仿宋_GB2312"/>
                <w:b w:val="0"/>
                <w:bCs w:val="0"/>
                <w:sz w:val="21"/>
                <w:szCs w:val="21"/>
                <w:highlight w:val="none"/>
                <w:lang w:val="en-US" w:eastAsia="zh-CN" w:bidi="ar-SA"/>
              </w:rPr>
              <w:t>或</w:t>
            </w:r>
            <w:r>
              <w:rPr>
                <w:rFonts w:hint="eastAsia" w:ascii="方正仿宋_GB2312" w:hAnsi="方正仿宋_GB2312" w:eastAsia="方正仿宋_GB2312" w:cs="方正仿宋_GB2312"/>
                <w:b w:val="0"/>
                <w:bCs w:val="0"/>
                <w:sz w:val="21"/>
                <w:szCs w:val="21"/>
                <w:highlight w:val="none"/>
                <w:lang w:val="en-US" w:eastAsia="en-US" w:bidi="ar-SA"/>
              </w:rPr>
              <w:t>科学技术奖或科技进步奖</w:t>
            </w:r>
            <w:r>
              <w:rPr>
                <w:rFonts w:hint="eastAsia" w:ascii="方正仿宋_GB2312" w:hAnsi="方正仿宋_GB2312" w:eastAsia="方正仿宋_GB2312" w:cs="方正仿宋_GB2312"/>
                <w:b w:val="0"/>
                <w:bCs w:val="0"/>
                <w:sz w:val="21"/>
                <w:szCs w:val="21"/>
                <w:highlight w:val="none"/>
                <w:lang w:val="en-US" w:eastAsia="zh-CN" w:bidi="ar-SA"/>
              </w:rPr>
              <w:t>等</w:t>
            </w:r>
            <w:r>
              <w:rPr>
                <w:rFonts w:hint="eastAsia" w:ascii="方正仿宋_GB2312" w:hAnsi="方正仿宋_GB2312" w:eastAsia="方正仿宋_GB2312" w:cs="方正仿宋_GB2312"/>
                <w:b w:val="0"/>
                <w:bCs w:val="0"/>
                <w:kern w:val="2"/>
                <w:sz w:val="21"/>
                <w:szCs w:val="21"/>
                <w:highlight w:val="none"/>
                <w:lang w:val="en-US" w:eastAsia="zh-CN" w:bidi="ar-SA"/>
              </w:rPr>
              <w:t>科技类奖</w:t>
            </w:r>
            <w:r>
              <w:rPr>
                <w:rFonts w:hint="eastAsia" w:ascii="方正仿宋_GB2312" w:hAnsi="方正仿宋_GB2312" w:eastAsia="方正仿宋_GB2312" w:cs="方正仿宋_GB2312"/>
                <w:b w:val="0"/>
                <w:bCs w:val="0"/>
                <w:sz w:val="22"/>
                <w:szCs w:val="22"/>
                <w:highlight w:val="none"/>
                <w:lang w:val="en-US" w:eastAsia="zh-CN" w:bidi="ar-SA"/>
              </w:rPr>
              <w:t>项</w:t>
            </w:r>
            <w:r>
              <w:rPr>
                <w:rFonts w:hint="eastAsia" w:ascii="方正仿宋_GB2312" w:hAnsi="方正仿宋_GB2312" w:eastAsia="方正仿宋_GB2312" w:cs="方正仿宋_GB2312"/>
                <w:b w:val="0"/>
                <w:bCs w:val="0"/>
                <w:kern w:val="2"/>
                <w:sz w:val="21"/>
                <w:szCs w:val="21"/>
                <w:highlight w:val="none"/>
                <w:lang w:val="en-US" w:eastAsia="zh-CN" w:bidi="ar-SA"/>
              </w:rPr>
              <w:t>，得1分。</w:t>
            </w:r>
          </w:p>
          <w:p>
            <w:pPr>
              <w:pStyle w:val="24"/>
              <w:keepNext w:val="0"/>
              <w:keepLines w:val="0"/>
              <w:pageBreakBefore w:val="0"/>
              <w:numPr>
                <w:ilvl w:val="0"/>
                <w:numId w:val="0"/>
              </w:numPr>
              <w:kinsoku/>
              <w:wordWrap/>
              <w:overflowPunct/>
              <w:topLinePunct w:val="0"/>
              <w:autoSpaceDE/>
              <w:autoSpaceDN/>
              <w:bidi w:val="0"/>
              <w:spacing w:line="240" w:lineRule="auto"/>
              <w:ind w:left="110" w:leftChars="50" w:right="44" w:rightChars="20"/>
              <w:jc w:val="both"/>
              <w:rPr>
                <w:rFonts w:hint="eastAsia" w:ascii="方正仿宋_GB2312" w:hAnsi="方正仿宋_GB2312" w:eastAsia="方正仿宋_GB2312" w:cs="方正仿宋_GB2312"/>
                <w:b w:val="0"/>
                <w:bCs w:val="0"/>
                <w:color w:val="auto"/>
                <w:highlight w:val="none"/>
                <w:lang w:eastAsia="zh-CN"/>
              </w:rPr>
            </w:pPr>
            <w:r>
              <w:rPr>
                <w:rFonts w:hint="eastAsia" w:ascii="方正仿宋_GB2312" w:hAnsi="方正仿宋_GB2312" w:eastAsia="方正仿宋_GB2312" w:cs="方正仿宋_GB2312"/>
                <w:b/>
                <w:bCs/>
                <w:kern w:val="0"/>
                <w:sz w:val="21"/>
                <w:szCs w:val="21"/>
                <w:highlight w:val="none"/>
                <w:lang w:val="en-US" w:eastAsia="en-US" w:bidi="ar-SA"/>
              </w:rPr>
              <w:t>注：本项最高得2分</w:t>
            </w:r>
            <w:r>
              <w:rPr>
                <w:rFonts w:hint="eastAsia" w:ascii="方正仿宋_GB2312" w:hAnsi="方正仿宋_GB2312" w:eastAsia="方正仿宋_GB2312" w:cs="方正仿宋_GB2312"/>
                <w:b/>
                <w:bCs/>
                <w:kern w:val="0"/>
                <w:sz w:val="21"/>
                <w:szCs w:val="21"/>
                <w:highlight w:val="none"/>
                <w:lang w:val="en-US" w:eastAsia="zh-CN" w:bidi="ar-SA"/>
              </w:rPr>
              <w:t>，</w:t>
            </w:r>
            <w:r>
              <w:rPr>
                <w:rFonts w:hint="eastAsia" w:ascii="方正仿宋_GB2312" w:hAnsi="方正仿宋_GB2312" w:eastAsia="方正仿宋_GB2312" w:cs="方正仿宋_GB2312"/>
                <w:b/>
                <w:bCs/>
                <w:kern w:val="0"/>
                <w:sz w:val="21"/>
                <w:szCs w:val="21"/>
                <w:highlight w:val="none"/>
                <w:lang w:val="en-US" w:eastAsia="en-US" w:bidi="ar-SA"/>
              </w:rPr>
              <w:t>最多只计算1个奖项。；</w:t>
            </w:r>
            <w:r>
              <w:rPr>
                <w:rFonts w:hint="eastAsia" w:ascii="方正仿宋_GB2312" w:hAnsi="方正仿宋_GB2312" w:eastAsia="方正仿宋_GB2312" w:cs="方正仿宋_GB2312"/>
                <w:b/>
                <w:bCs/>
                <w:sz w:val="21"/>
                <w:szCs w:val="21"/>
                <w:highlight w:val="none"/>
                <w:lang w:val="en-US" w:eastAsia="en-US" w:bidi="ar-SA"/>
              </w:rPr>
              <w:t>须</w:t>
            </w:r>
            <w:r>
              <w:rPr>
                <w:rFonts w:hint="eastAsia" w:ascii="方正仿宋_GB2312" w:hAnsi="方正仿宋_GB2312" w:eastAsia="方正仿宋_GB2312" w:cs="方正仿宋_GB2312"/>
                <w:b/>
                <w:bCs/>
                <w:kern w:val="0"/>
                <w:sz w:val="21"/>
                <w:szCs w:val="21"/>
                <w:highlight w:val="none"/>
                <w:lang w:val="en-US" w:eastAsia="en-US" w:bidi="ar-SA"/>
              </w:rPr>
              <w:t>提供相关证书复印件，时间以证书颁发日期为准</w:t>
            </w:r>
            <w:r>
              <w:rPr>
                <w:rFonts w:hint="eastAsia" w:ascii="方正仿宋_GB2312" w:hAnsi="方正仿宋_GB2312" w:eastAsia="方正仿宋_GB2312" w:cs="方正仿宋_GB2312"/>
                <w:b/>
                <w:bCs/>
                <w:color w:val="auto"/>
                <w:sz w:val="21"/>
                <w:szCs w:val="21"/>
                <w:highlight w:val="none"/>
                <w:lang w:val="en-US" w:eastAsia="en-US" w:bidi="ar-SA"/>
              </w:rPr>
              <w:t>；</w:t>
            </w:r>
            <w:r>
              <w:rPr>
                <w:rFonts w:hint="eastAsia" w:ascii="方正仿宋_GB2312" w:hAnsi="方正仿宋_GB2312" w:eastAsia="方正仿宋_GB2312" w:cs="方正仿宋_GB2312"/>
                <w:b/>
                <w:bCs/>
                <w:kern w:val="0"/>
                <w:sz w:val="21"/>
                <w:szCs w:val="21"/>
                <w:highlight w:val="none"/>
                <w:lang w:val="en-US" w:eastAsia="en-US" w:bidi="ar-SA"/>
              </w:rPr>
              <w:t>同一项目获得多个奖项的，该项目获奖只按其中一个奖项所在最高级别计算一次分数；颁奖单位为协会的需提供该协会在中国社会组织公共服务平台的网页查询结果截图，否则不得分。</w:t>
            </w:r>
          </w:p>
        </w:tc>
      </w:tr>
      <w:tr>
        <w:tblPrEx>
          <w:tblCellMar>
            <w:top w:w="0" w:type="dxa"/>
            <w:left w:w="0" w:type="dxa"/>
            <w:bottom w:w="0" w:type="dxa"/>
            <w:right w:w="0" w:type="dxa"/>
          </w:tblCellMar>
        </w:tblPrEx>
        <w:trPr>
          <w:trHeight w:val="1375" w:hRule="atLeast"/>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2312" w:hAnsi="方正仿宋_GB2312" w:eastAsia="方正仿宋_GB2312" w:cs="方正仿宋_GB2312"/>
                <w:color w:val="auto"/>
                <w:highlight w:val="none"/>
              </w:rPr>
            </w:pPr>
          </w:p>
        </w:tc>
        <w:tc>
          <w:tcPr>
            <w:tcW w:w="5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40" w:lineRule="auto"/>
              <w:ind w:left="110" w:leftChars="50" w:right="44" w:rightChars="20"/>
              <w:jc w:val="both"/>
              <w:rPr>
                <w:rFonts w:hint="eastAsia" w:ascii="方正仿宋_GB2312" w:hAnsi="方正仿宋_GB2312" w:eastAsia="方正仿宋_GB2312" w:cs="方正仿宋_GB2312"/>
                <w:b/>
                <w:bCs w:val="0"/>
                <w:kern w:val="2"/>
                <w:sz w:val="21"/>
                <w:szCs w:val="21"/>
                <w:highlight w:val="none"/>
                <w:lang w:val="en-US" w:eastAsia="zh-CN" w:bidi="ar-SA"/>
              </w:rPr>
            </w:pPr>
            <w:r>
              <w:rPr>
                <w:rFonts w:hint="eastAsia" w:ascii="方正仿宋_GB2312" w:hAnsi="方正仿宋_GB2312" w:eastAsia="方正仿宋_GB2312" w:cs="方正仿宋_GB2312"/>
                <w:b w:val="0"/>
                <w:bCs/>
                <w:kern w:val="2"/>
                <w:sz w:val="21"/>
                <w:szCs w:val="21"/>
                <w:highlight w:val="none"/>
                <w:lang w:val="en-US" w:eastAsia="zh-CN" w:bidi="ar-SA"/>
              </w:rPr>
              <w:t>投标人从2019年1月1日至今承担过的水利勘察或设计项目获得省级或以上优秀工程类奖项的，每个得2分；市级优秀工程类奖的，每个得1分。</w:t>
            </w:r>
          </w:p>
          <w:p>
            <w:pPr>
              <w:pStyle w:val="24"/>
              <w:keepNext w:val="0"/>
              <w:keepLines w:val="0"/>
              <w:pageBreakBefore w:val="0"/>
              <w:numPr>
                <w:ilvl w:val="0"/>
                <w:numId w:val="0"/>
              </w:numPr>
              <w:kinsoku/>
              <w:wordWrap/>
              <w:overflowPunct/>
              <w:topLinePunct w:val="0"/>
              <w:autoSpaceDE/>
              <w:autoSpaceDN/>
              <w:bidi w:val="0"/>
              <w:spacing w:line="240" w:lineRule="auto"/>
              <w:ind w:left="110" w:leftChars="50" w:right="44" w:rightChars="20"/>
              <w:jc w:val="both"/>
              <w:rPr>
                <w:rFonts w:hint="eastAsia" w:ascii="方正仿宋_GB2312" w:hAnsi="方正仿宋_GB2312" w:eastAsia="方正仿宋_GB2312" w:cs="方正仿宋_GB2312"/>
                <w:b w:val="0"/>
                <w:bCs w:val="0"/>
                <w:color w:val="auto"/>
                <w:highlight w:val="none"/>
                <w:lang w:eastAsia="zh-CN"/>
              </w:rPr>
            </w:pPr>
            <w:r>
              <w:rPr>
                <w:rFonts w:hint="eastAsia" w:ascii="方正仿宋_GB2312" w:hAnsi="方正仿宋_GB2312" w:eastAsia="方正仿宋_GB2312" w:cs="方正仿宋_GB2312"/>
                <w:b/>
                <w:bCs/>
                <w:kern w:val="0"/>
                <w:sz w:val="21"/>
                <w:szCs w:val="21"/>
                <w:highlight w:val="none"/>
                <w:lang w:val="en-US" w:eastAsia="en-US" w:bidi="ar-SA"/>
              </w:rPr>
              <w:t>注：本项最高得6分。</w:t>
            </w:r>
            <w:r>
              <w:rPr>
                <w:rFonts w:hint="eastAsia" w:ascii="方正仿宋_GB2312" w:hAnsi="方正仿宋_GB2312" w:eastAsia="方正仿宋_GB2312" w:cs="方正仿宋_GB2312"/>
                <w:b/>
                <w:bCs/>
                <w:sz w:val="21"/>
                <w:szCs w:val="21"/>
                <w:highlight w:val="none"/>
                <w:lang w:val="en-US" w:eastAsia="en-US" w:bidi="ar-SA"/>
              </w:rPr>
              <w:t>须</w:t>
            </w:r>
            <w:r>
              <w:rPr>
                <w:rFonts w:hint="eastAsia" w:ascii="方正仿宋_GB2312" w:hAnsi="方正仿宋_GB2312" w:eastAsia="方正仿宋_GB2312" w:cs="方正仿宋_GB2312"/>
                <w:b/>
                <w:bCs/>
                <w:kern w:val="0"/>
                <w:sz w:val="21"/>
                <w:szCs w:val="21"/>
                <w:highlight w:val="none"/>
                <w:lang w:val="en-US" w:eastAsia="en-US" w:bidi="ar-SA"/>
              </w:rPr>
              <w:t>提供相关证书复印件，时间以证书颁发日期为准</w:t>
            </w:r>
            <w:r>
              <w:rPr>
                <w:rFonts w:hint="eastAsia" w:ascii="方正仿宋_GB2312" w:hAnsi="方正仿宋_GB2312" w:eastAsia="方正仿宋_GB2312" w:cs="方正仿宋_GB2312"/>
                <w:b/>
                <w:bCs/>
                <w:color w:val="auto"/>
                <w:sz w:val="21"/>
                <w:szCs w:val="21"/>
                <w:highlight w:val="none"/>
                <w:lang w:val="en-US" w:eastAsia="en-US" w:bidi="ar-SA"/>
              </w:rPr>
              <w:t>；</w:t>
            </w:r>
            <w:r>
              <w:rPr>
                <w:rFonts w:hint="eastAsia" w:ascii="方正仿宋_GB2312" w:hAnsi="方正仿宋_GB2312" w:eastAsia="方正仿宋_GB2312" w:cs="方正仿宋_GB2312"/>
                <w:b/>
                <w:bCs/>
                <w:kern w:val="0"/>
                <w:sz w:val="21"/>
                <w:szCs w:val="21"/>
                <w:highlight w:val="none"/>
                <w:lang w:val="en-US" w:eastAsia="en-US" w:bidi="ar-SA"/>
              </w:rPr>
              <w:t>同一项目获得多个奖项的，该项目获奖只按其中一个奖项所在最高级别累计得分；颁奖单位为协会的需提供该协会在中国社会组织公共服务平台的网页查询结果截图，否则不得分。</w:t>
            </w:r>
          </w:p>
        </w:tc>
      </w:tr>
      <w:tr>
        <w:tblPrEx>
          <w:tblCellMar>
            <w:top w:w="0" w:type="dxa"/>
            <w:left w:w="0" w:type="dxa"/>
            <w:bottom w:w="0" w:type="dxa"/>
            <w:right w:w="0" w:type="dxa"/>
          </w:tblCellMar>
        </w:tblPrEx>
        <w:trPr>
          <w:trHeight w:val="90" w:hRule="atLeast"/>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2312" w:hAnsi="方正仿宋_GB2312" w:eastAsia="方正仿宋_GB2312" w:cs="方正仿宋_GB2312"/>
                <w:color w:val="auto"/>
                <w:highlight w:val="none"/>
                <w:lang w:val="zh-CN" w:eastAsia="zh-CN"/>
              </w:rPr>
            </w:pPr>
            <w:r>
              <w:rPr>
                <w:rFonts w:hint="eastAsia" w:ascii="方正仿宋_GB2312" w:hAnsi="方正仿宋_GB2312" w:eastAsia="方正仿宋_GB2312" w:cs="方正仿宋_GB2312"/>
                <w:color w:val="auto"/>
                <w:sz w:val="21"/>
                <w:szCs w:val="21"/>
                <w:highlight w:val="none"/>
              </w:rPr>
              <w:t>人员配备及技术水平</w:t>
            </w:r>
            <w:r>
              <w:rPr>
                <w:rFonts w:hint="eastAsia" w:ascii="方正仿宋_GB2312" w:hAnsi="方正仿宋_GB2312" w:eastAsia="方正仿宋_GB2312" w:cs="方正仿宋_GB2312"/>
                <w:color w:val="auto"/>
                <w:sz w:val="21"/>
                <w:szCs w:val="21"/>
                <w:highlight w:val="none"/>
                <w:lang w:eastAsia="zh-CN"/>
              </w:rPr>
              <w:t>（</w:t>
            </w:r>
            <w:r>
              <w:rPr>
                <w:rFonts w:hint="eastAsia" w:ascii="方正仿宋_GB2312" w:hAnsi="方正仿宋_GB2312" w:eastAsia="方正仿宋_GB2312" w:cs="方正仿宋_GB2312"/>
                <w:color w:val="auto"/>
                <w:sz w:val="21"/>
                <w:szCs w:val="21"/>
                <w:highlight w:val="none"/>
                <w:lang w:val="en-US" w:eastAsia="zh-CN"/>
              </w:rPr>
              <w:t>20分</w:t>
            </w:r>
            <w:r>
              <w:rPr>
                <w:rFonts w:hint="eastAsia" w:ascii="方正仿宋_GB2312" w:hAnsi="方正仿宋_GB2312" w:eastAsia="方正仿宋_GB2312" w:cs="方正仿宋_GB2312"/>
                <w:color w:val="auto"/>
                <w:sz w:val="21"/>
                <w:szCs w:val="21"/>
                <w:highlight w:val="none"/>
                <w:lang w:eastAsia="zh-CN"/>
              </w:rPr>
              <w:t>）</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40" w:lineRule="auto"/>
              <w:ind w:left="110" w:leftChars="50" w:right="44" w:rightChars="20"/>
              <w:jc w:val="both"/>
              <w:rPr>
                <w:rFonts w:hint="eastAsia" w:ascii="方正仿宋_GB2312" w:hAnsi="方正仿宋_GB2312" w:eastAsia="方正仿宋_GB2312" w:cs="方正仿宋_GB2312"/>
                <w:b w:val="0"/>
                <w:bCs w:val="0"/>
                <w:color w:val="auto"/>
                <w:sz w:val="21"/>
                <w:szCs w:val="21"/>
                <w:highlight w:val="none"/>
                <w:lang w:val="en-US" w:eastAsia="zh-CN" w:bidi="ar-SA"/>
              </w:rPr>
            </w:pPr>
            <w:r>
              <w:rPr>
                <w:rFonts w:hint="eastAsia" w:ascii="方正仿宋_GB2312" w:hAnsi="方正仿宋_GB2312" w:eastAsia="方正仿宋_GB2312" w:cs="方正仿宋_GB2312"/>
                <w:b w:val="0"/>
                <w:bCs w:val="0"/>
                <w:color w:val="auto"/>
                <w:sz w:val="21"/>
                <w:szCs w:val="21"/>
                <w:highlight w:val="none"/>
                <w:lang w:val="en-US" w:eastAsia="zh-CN" w:bidi="ar-SA"/>
              </w:rPr>
              <w:t>一、项目负责人</w:t>
            </w:r>
            <w:r>
              <w:rPr>
                <w:rFonts w:hint="eastAsia" w:ascii="方正仿宋_GB2312" w:hAnsi="方正仿宋_GB2312" w:eastAsia="方正仿宋_GB2312" w:cs="方正仿宋_GB2312"/>
                <w:b w:val="0"/>
                <w:bCs w:val="0"/>
                <w:sz w:val="21"/>
                <w:szCs w:val="21"/>
                <w:highlight w:val="none"/>
                <w:lang w:val="en-US" w:eastAsia="en-US" w:bidi="ar-SA"/>
              </w:rPr>
              <w:t>（设计负责人）</w:t>
            </w:r>
            <w:r>
              <w:rPr>
                <w:rFonts w:hint="eastAsia" w:ascii="方正仿宋_GB2312" w:hAnsi="方正仿宋_GB2312" w:eastAsia="方正仿宋_GB2312" w:cs="方正仿宋_GB2312"/>
                <w:b w:val="0"/>
                <w:bCs w:val="0"/>
                <w:color w:val="auto"/>
                <w:sz w:val="21"/>
                <w:szCs w:val="21"/>
                <w:highlight w:val="none"/>
                <w:lang w:val="en-US" w:eastAsia="zh-CN" w:bidi="ar-SA"/>
              </w:rPr>
              <w:t>资历：</w:t>
            </w:r>
          </w:p>
          <w:p>
            <w:pPr>
              <w:widowControl w:val="0"/>
              <w:numPr>
                <w:ilvl w:val="0"/>
                <w:numId w:val="0"/>
              </w:numPr>
              <w:ind w:left="110" w:leftChars="50" w:right="44" w:rightChars="20"/>
              <w:jc w:val="left"/>
              <w:rPr>
                <w:rFonts w:hint="eastAsia" w:ascii="方正仿宋_GB2312" w:hAnsi="方正仿宋_GB2312" w:eastAsia="方正仿宋_GB2312" w:cs="方正仿宋_GB2312"/>
                <w:b w:val="0"/>
                <w:bCs w:val="0"/>
                <w:sz w:val="21"/>
                <w:szCs w:val="21"/>
                <w:highlight w:val="none"/>
                <w:lang w:val="en-US" w:eastAsia="zh-CN" w:bidi="ar-SA"/>
              </w:rPr>
            </w:pPr>
            <w:r>
              <w:rPr>
                <w:rFonts w:hint="eastAsia" w:ascii="方正仿宋_GB2312" w:hAnsi="方正仿宋_GB2312" w:eastAsia="方正仿宋_GB2312" w:cs="方正仿宋_GB2312"/>
                <w:b w:val="0"/>
                <w:bCs w:val="0"/>
                <w:sz w:val="21"/>
                <w:szCs w:val="21"/>
                <w:highlight w:val="none"/>
                <w:lang w:val="en-US" w:eastAsia="zh-CN" w:bidi="ar-SA"/>
              </w:rPr>
              <w:t>1.</w:t>
            </w:r>
            <w:r>
              <w:rPr>
                <w:rFonts w:hint="eastAsia" w:ascii="方正仿宋_GB2312" w:hAnsi="方正仿宋_GB2312" w:eastAsia="方正仿宋_GB2312" w:cs="方正仿宋_GB2312"/>
                <w:b w:val="0"/>
                <w:bCs w:val="0"/>
                <w:sz w:val="21"/>
                <w:szCs w:val="21"/>
                <w:highlight w:val="none"/>
                <w:lang w:val="en-US" w:eastAsia="en-US" w:bidi="ar-SA"/>
              </w:rPr>
              <w:t>具有</w:t>
            </w:r>
            <w:r>
              <w:rPr>
                <w:rFonts w:hint="eastAsia" w:ascii="方正仿宋_GB2312" w:hAnsi="方正仿宋_GB2312" w:eastAsia="方正仿宋_GB2312" w:cs="方正仿宋_GB2312"/>
                <w:b w:val="0"/>
                <w:bCs w:val="0"/>
                <w:sz w:val="21"/>
                <w:szCs w:val="21"/>
                <w:highlight w:val="none"/>
                <w:lang w:val="en-US" w:eastAsia="zh-CN" w:bidi="ar-SA"/>
              </w:rPr>
              <w:t>水利工程类</w:t>
            </w:r>
            <w:r>
              <w:rPr>
                <w:rFonts w:hint="eastAsia" w:ascii="方正仿宋_GB2312" w:hAnsi="方正仿宋_GB2312" w:eastAsia="方正仿宋_GB2312" w:cs="方正仿宋_GB2312"/>
                <w:b w:val="0"/>
                <w:bCs w:val="0"/>
                <w:sz w:val="21"/>
                <w:szCs w:val="21"/>
                <w:highlight w:val="none"/>
                <w:lang w:val="en-US" w:eastAsia="en-US" w:bidi="ar-SA"/>
              </w:rPr>
              <w:t>专业</w:t>
            </w:r>
            <w:r>
              <w:rPr>
                <w:rFonts w:hint="eastAsia" w:ascii="方正仿宋_GB2312" w:hAnsi="方正仿宋_GB2312" w:eastAsia="方正仿宋_GB2312" w:cs="方正仿宋_GB2312"/>
                <w:b w:val="0"/>
                <w:bCs w:val="0"/>
                <w:sz w:val="21"/>
                <w:szCs w:val="21"/>
                <w:highlight w:val="none"/>
                <w:lang w:val="en-US" w:eastAsia="zh-CN" w:bidi="ar-SA"/>
              </w:rPr>
              <w:t>正</w:t>
            </w:r>
            <w:r>
              <w:rPr>
                <w:rFonts w:hint="eastAsia" w:ascii="方正仿宋_GB2312" w:hAnsi="方正仿宋_GB2312" w:eastAsia="方正仿宋_GB2312" w:cs="方正仿宋_GB2312"/>
                <w:b w:val="0"/>
                <w:bCs w:val="0"/>
                <w:sz w:val="21"/>
                <w:szCs w:val="21"/>
                <w:highlight w:val="none"/>
                <w:lang w:val="en-US" w:eastAsia="en-US" w:bidi="ar-SA"/>
              </w:rPr>
              <w:t>高级职称的</w:t>
            </w:r>
            <w:r>
              <w:rPr>
                <w:rFonts w:hint="eastAsia" w:ascii="方正仿宋_GB2312" w:hAnsi="方正仿宋_GB2312" w:eastAsia="方正仿宋_GB2312" w:cs="方正仿宋_GB2312"/>
                <w:b w:val="0"/>
                <w:bCs w:val="0"/>
                <w:sz w:val="21"/>
                <w:szCs w:val="21"/>
                <w:highlight w:val="none"/>
                <w:lang w:val="en-US" w:eastAsia="zh-CN" w:bidi="ar-SA"/>
              </w:rPr>
              <w:t>，</w:t>
            </w:r>
            <w:r>
              <w:rPr>
                <w:rFonts w:hint="eastAsia" w:ascii="方正仿宋_GB2312" w:hAnsi="方正仿宋_GB2312" w:eastAsia="方正仿宋_GB2312" w:cs="方正仿宋_GB2312"/>
                <w:b w:val="0"/>
                <w:bCs w:val="0"/>
                <w:sz w:val="21"/>
                <w:szCs w:val="21"/>
                <w:highlight w:val="none"/>
                <w:lang w:val="en-US" w:eastAsia="en-US" w:bidi="ar-SA"/>
              </w:rPr>
              <w:t>得</w:t>
            </w:r>
            <w:r>
              <w:rPr>
                <w:rFonts w:hint="eastAsia" w:ascii="方正仿宋_GB2312" w:hAnsi="方正仿宋_GB2312" w:eastAsia="方正仿宋_GB2312" w:cs="方正仿宋_GB2312"/>
                <w:b w:val="0"/>
                <w:bCs w:val="0"/>
                <w:sz w:val="21"/>
                <w:szCs w:val="21"/>
                <w:highlight w:val="none"/>
                <w:lang w:val="en-US" w:eastAsia="zh-CN" w:bidi="ar-SA"/>
              </w:rPr>
              <w:t>5</w:t>
            </w:r>
            <w:r>
              <w:rPr>
                <w:rFonts w:hint="eastAsia" w:ascii="方正仿宋_GB2312" w:hAnsi="方正仿宋_GB2312" w:eastAsia="方正仿宋_GB2312" w:cs="方正仿宋_GB2312"/>
                <w:b w:val="0"/>
                <w:bCs w:val="0"/>
                <w:sz w:val="21"/>
                <w:szCs w:val="21"/>
                <w:highlight w:val="none"/>
                <w:lang w:val="en-US" w:eastAsia="en-US" w:bidi="ar-SA"/>
              </w:rPr>
              <w:t>分</w:t>
            </w:r>
            <w:r>
              <w:rPr>
                <w:rFonts w:hint="eastAsia" w:ascii="方正仿宋_GB2312" w:hAnsi="方正仿宋_GB2312" w:eastAsia="方正仿宋_GB2312" w:cs="方正仿宋_GB2312"/>
                <w:b w:val="0"/>
                <w:bCs w:val="0"/>
                <w:sz w:val="21"/>
                <w:szCs w:val="21"/>
                <w:highlight w:val="none"/>
                <w:lang w:val="en-US" w:eastAsia="zh-CN" w:bidi="ar-SA"/>
              </w:rPr>
              <w:t>；</w:t>
            </w:r>
            <w:r>
              <w:rPr>
                <w:rFonts w:hint="eastAsia" w:ascii="方正仿宋_GB2312" w:hAnsi="方正仿宋_GB2312" w:eastAsia="方正仿宋_GB2312" w:cs="方正仿宋_GB2312"/>
                <w:b w:val="0"/>
                <w:bCs w:val="0"/>
                <w:sz w:val="21"/>
                <w:szCs w:val="21"/>
                <w:highlight w:val="none"/>
                <w:lang w:val="en-US" w:eastAsia="en-US" w:bidi="ar-SA"/>
              </w:rPr>
              <w:t>具有</w:t>
            </w:r>
            <w:r>
              <w:rPr>
                <w:rFonts w:hint="eastAsia" w:ascii="方正仿宋_GB2312" w:hAnsi="方正仿宋_GB2312" w:eastAsia="方正仿宋_GB2312" w:cs="方正仿宋_GB2312"/>
                <w:b w:val="0"/>
                <w:bCs w:val="0"/>
                <w:sz w:val="21"/>
                <w:szCs w:val="21"/>
                <w:highlight w:val="none"/>
                <w:lang w:val="en-US" w:eastAsia="zh-CN" w:bidi="ar-SA"/>
              </w:rPr>
              <w:t>水利工程类</w:t>
            </w:r>
            <w:r>
              <w:rPr>
                <w:rFonts w:hint="eastAsia" w:ascii="方正仿宋_GB2312" w:hAnsi="方正仿宋_GB2312" w:eastAsia="方正仿宋_GB2312" w:cs="方正仿宋_GB2312"/>
                <w:b w:val="0"/>
                <w:bCs w:val="0"/>
                <w:sz w:val="21"/>
                <w:szCs w:val="21"/>
                <w:highlight w:val="none"/>
                <w:lang w:val="en-US" w:eastAsia="en-US" w:bidi="ar-SA"/>
              </w:rPr>
              <w:t>专业</w:t>
            </w:r>
            <w:r>
              <w:rPr>
                <w:rFonts w:hint="eastAsia" w:ascii="方正仿宋_GB2312" w:hAnsi="方正仿宋_GB2312" w:eastAsia="方正仿宋_GB2312" w:cs="方正仿宋_GB2312"/>
                <w:b w:val="0"/>
                <w:bCs w:val="0"/>
                <w:sz w:val="21"/>
                <w:szCs w:val="21"/>
                <w:highlight w:val="none"/>
                <w:lang w:val="en-US" w:eastAsia="zh-CN" w:bidi="ar-SA"/>
              </w:rPr>
              <w:t>副</w:t>
            </w:r>
            <w:r>
              <w:rPr>
                <w:rFonts w:hint="eastAsia" w:ascii="方正仿宋_GB2312" w:hAnsi="方正仿宋_GB2312" w:eastAsia="方正仿宋_GB2312" w:cs="方正仿宋_GB2312"/>
                <w:b w:val="0"/>
                <w:bCs w:val="0"/>
                <w:sz w:val="21"/>
                <w:szCs w:val="21"/>
                <w:highlight w:val="none"/>
                <w:lang w:val="en-US" w:eastAsia="en-US" w:bidi="ar-SA"/>
              </w:rPr>
              <w:t>高级职称的</w:t>
            </w:r>
            <w:r>
              <w:rPr>
                <w:rFonts w:hint="eastAsia" w:ascii="方正仿宋_GB2312" w:hAnsi="方正仿宋_GB2312" w:eastAsia="方正仿宋_GB2312" w:cs="方正仿宋_GB2312"/>
                <w:b w:val="0"/>
                <w:bCs w:val="0"/>
                <w:sz w:val="21"/>
                <w:szCs w:val="21"/>
                <w:highlight w:val="none"/>
                <w:lang w:val="en-US" w:eastAsia="zh-CN" w:bidi="ar-SA"/>
              </w:rPr>
              <w:t>，得3分；</w:t>
            </w:r>
            <w:r>
              <w:rPr>
                <w:rFonts w:hint="eastAsia" w:ascii="方正仿宋_GB2312" w:hAnsi="方正仿宋_GB2312" w:eastAsia="方正仿宋_GB2312" w:cs="方正仿宋_GB2312"/>
                <w:b w:val="0"/>
                <w:bCs w:val="0"/>
                <w:sz w:val="21"/>
                <w:szCs w:val="21"/>
                <w:highlight w:val="none"/>
                <w:lang w:val="en-US" w:eastAsia="en-US" w:bidi="ar-SA"/>
              </w:rPr>
              <w:t>具有</w:t>
            </w:r>
            <w:r>
              <w:rPr>
                <w:rFonts w:hint="eastAsia" w:ascii="方正仿宋_GB2312" w:hAnsi="方正仿宋_GB2312" w:eastAsia="方正仿宋_GB2312" w:cs="方正仿宋_GB2312"/>
                <w:b w:val="0"/>
                <w:bCs w:val="0"/>
                <w:sz w:val="21"/>
                <w:szCs w:val="21"/>
                <w:highlight w:val="none"/>
                <w:lang w:val="en-US" w:eastAsia="zh-CN" w:bidi="ar-SA"/>
              </w:rPr>
              <w:t>水利工程类</w:t>
            </w:r>
            <w:r>
              <w:rPr>
                <w:rFonts w:hint="eastAsia" w:ascii="方正仿宋_GB2312" w:hAnsi="方正仿宋_GB2312" w:eastAsia="方正仿宋_GB2312" w:cs="方正仿宋_GB2312"/>
                <w:b w:val="0"/>
                <w:bCs w:val="0"/>
                <w:sz w:val="21"/>
                <w:szCs w:val="21"/>
                <w:highlight w:val="none"/>
                <w:lang w:val="en-US" w:eastAsia="en-US" w:bidi="ar-SA"/>
              </w:rPr>
              <w:t>专业</w:t>
            </w:r>
            <w:r>
              <w:rPr>
                <w:rFonts w:hint="eastAsia" w:ascii="方正仿宋_GB2312" w:hAnsi="方正仿宋_GB2312" w:eastAsia="方正仿宋_GB2312" w:cs="方正仿宋_GB2312"/>
                <w:b w:val="0"/>
                <w:bCs w:val="0"/>
                <w:sz w:val="21"/>
                <w:szCs w:val="21"/>
                <w:highlight w:val="none"/>
                <w:lang w:val="en-US" w:eastAsia="zh-CN" w:bidi="ar-SA"/>
              </w:rPr>
              <w:t>中</w:t>
            </w:r>
            <w:r>
              <w:rPr>
                <w:rFonts w:hint="eastAsia" w:ascii="方正仿宋_GB2312" w:hAnsi="方正仿宋_GB2312" w:eastAsia="方正仿宋_GB2312" w:cs="方正仿宋_GB2312"/>
                <w:b w:val="0"/>
                <w:bCs w:val="0"/>
                <w:sz w:val="21"/>
                <w:szCs w:val="21"/>
                <w:highlight w:val="none"/>
                <w:lang w:val="en-US" w:eastAsia="en-US" w:bidi="ar-SA"/>
              </w:rPr>
              <w:t>级职称的</w:t>
            </w:r>
            <w:r>
              <w:rPr>
                <w:rFonts w:hint="eastAsia" w:ascii="方正仿宋_GB2312" w:hAnsi="方正仿宋_GB2312" w:eastAsia="方正仿宋_GB2312" w:cs="方正仿宋_GB2312"/>
                <w:b w:val="0"/>
                <w:bCs w:val="0"/>
                <w:sz w:val="21"/>
                <w:szCs w:val="21"/>
                <w:highlight w:val="none"/>
                <w:lang w:val="en-US" w:eastAsia="zh-CN" w:bidi="ar-SA"/>
              </w:rPr>
              <w:t>，得1分，其他不得分。</w:t>
            </w:r>
          </w:p>
          <w:p>
            <w:pPr>
              <w:widowControl w:val="0"/>
              <w:numPr>
                <w:ilvl w:val="0"/>
                <w:numId w:val="0"/>
              </w:numPr>
              <w:ind w:left="110" w:leftChars="50" w:right="44" w:rightChars="20"/>
              <w:jc w:val="left"/>
              <w:rPr>
                <w:rFonts w:hint="eastAsia" w:ascii="方正仿宋_GB2312" w:hAnsi="方正仿宋_GB2312" w:eastAsia="方正仿宋_GB2312" w:cs="方正仿宋_GB2312"/>
                <w:b w:val="0"/>
                <w:bCs w:val="0"/>
                <w:sz w:val="21"/>
                <w:szCs w:val="21"/>
                <w:highlight w:val="none"/>
                <w:lang w:val="en-US" w:eastAsia="zh-CN" w:bidi="ar-SA"/>
              </w:rPr>
            </w:pPr>
            <w:r>
              <w:rPr>
                <w:rFonts w:hint="eastAsia" w:ascii="方正仿宋_GB2312" w:hAnsi="方正仿宋_GB2312" w:eastAsia="方正仿宋_GB2312" w:cs="方正仿宋_GB2312"/>
                <w:b w:val="0"/>
                <w:bCs w:val="0"/>
                <w:sz w:val="21"/>
                <w:szCs w:val="21"/>
                <w:highlight w:val="none"/>
                <w:lang w:val="en-US" w:eastAsia="zh-CN" w:bidi="ar-SA"/>
              </w:rPr>
              <w:t>2.具有</w:t>
            </w:r>
            <w:r>
              <w:rPr>
                <w:rFonts w:hint="eastAsia" w:ascii="方正仿宋_GB2312" w:hAnsi="方正仿宋_GB2312" w:eastAsia="方正仿宋_GB2312" w:cs="方正仿宋_GB2312"/>
                <w:b w:val="0"/>
                <w:bCs w:val="0"/>
                <w:sz w:val="21"/>
                <w:szCs w:val="21"/>
                <w:highlight w:val="none"/>
                <w:lang w:val="en-US" w:eastAsia="en-US" w:bidi="ar-SA"/>
              </w:rPr>
              <w:t>注册土木工程师（水工结构）资格证书</w:t>
            </w:r>
            <w:r>
              <w:rPr>
                <w:rFonts w:hint="eastAsia" w:ascii="方正仿宋_GB2312" w:hAnsi="方正仿宋_GB2312" w:eastAsia="方正仿宋_GB2312" w:cs="方正仿宋_GB2312"/>
                <w:b w:val="0"/>
                <w:bCs w:val="0"/>
                <w:sz w:val="21"/>
                <w:szCs w:val="21"/>
                <w:highlight w:val="none"/>
                <w:lang w:val="en-US" w:eastAsia="zh-CN" w:bidi="ar-SA"/>
              </w:rPr>
              <w:t>，得2分。</w:t>
            </w:r>
          </w:p>
          <w:p>
            <w:pPr>
              <w:widowControl w:val="0"/>
              <w:numPr>
                <w:ilvl w:val="0"/>
                <w:numId w:val="0"/>
              </w:numPr>
              <w:ind w:left="110" w:leftChars="50" w:right="44" w:rightChars="20"/>
              <w:jc w:val="left"/>
              <w:rPr>
                <w:rFonts w:hint="eastAsia" w:ascii="方正仿宋_GB2312" w:hAnsi="方正仿宋_GB2312" w:eastAsia="方正仿宋_GB2312" w:cs="方正仿宋_GB2312"/>
                <w:b w:val="0"/>
                <w:bCs w:val="0"/>
                <w:sz w:val="21"/>
                <w:szCs w:val="21"/>
                <w:highlight w:val="none"/>
                <w:lang w:val="en-US" w:eastAsia="zh-CN" w:bidi="ar-SA"/>
              </w:rPr>
            </w:pPr>
            <w:r>
              <w:rPr>
                <w:rFonts w:hint="eastAsia" w:ascii="方正仿宋_GB2312" w:hAnsi="方正仿宋_GB2312" w:eastAsia="方正仿宋_GB2312" w:cs="方正仿宋_GB2312"/>
                <w:b w:val="0"/>
                <w:bCs w:val="0"/>
                <w:sz w:val="21"/>
                <w:szCs w:val="21"/>
                <w:highlight w:val="none"/>
                <w:lang w:val="en-US" w:eastAsia="zh-CN" w:bidi="ar-SA"/>
              </w:rPr>
              <w:t>3.</w:t>
            </w:r>
            <w:r>
              <w:rPr>
                <w:rFonts w:hint="eastAsia" w:ascii="方正仿宋_GB2312" w:hAnsi="方正仿宋_GB2312" w:eastAsia="方正仿宋_GB2312" w:cs="方正仿宋_GB2312"/>
                <w:b w:val="0"/>
                <w:bCs w:val="0"/>
                <w:sz w:val="21"/>
                <w:szCs w:val="21"/>
                <w:highlight w:val="none"/>
                <w:lang w:val="en-US" w:eastAsia="en-US" w:bidi="ar-SA"/>
              </w:rPr>
              <w:t>具有注册一级造价工程师的，得</w:t>
            </w:r>
            <w:r>
              <w:rPr>
                <w:rFonts w:hint="eastAsia" w:ascii="方正仿宋_GB2312" w:hAnsi="方正仿宋_GB2312" w:eastAsia="方正仿宋_GB2312" w:cs="方正仿宋_GB2312"/>
                <w:b w:val="0"/>
                <w:bCs w:val="0"/>
                <w:sz w:val="21"/>
                <w:szCs w:val="21"/>
                <w:highlight w:val="none"/>
                <w:lang w:val="en-US" w:eastAsia="zh-CN" w:bidi="ar-SA"/>
              </w:rPr>
              <w:t>2</w:t>
            </w:r>
            <w:r>
              <w:rPr>
                <w:rFonts w:hint="eastAsia" w:ascii="方正仿宋_GB2312" w:hAnsi="方正仿宋_GB2312" w:eastAsia="方正仿宋_GB2312" w:cs="方正仿宋_GB2312"/>
                <w:b w:val="0"/>
                <w:bCs w:val="0"/>
                <w:sz w:val="21"/>
                <w:szCs w:val="21"/>
                <w:highlight w:val="none"/>
                <w:lang w:val="en-US" w:eastAsia="en-US" w:bidi="ar-SA"/>
              </w:rPr>
              <w:t>分</w:t>
            </w:r>
            <w:r>
              <w:rPr>
                <w:rFonts w:hint="eastAsia" w:ascii="方正仿宋_GB2312" w:hAnsi="方正仿宋_GB2312" w:eastAsia="方正仿宋_GB2312" w:cs="方正仿宋_GB2312"/>
                <w:b w:val="0"/>
                <w:bCs w:val="0"/>
                <w:sz w:val="21"/>
                <w:szCs w:val="21"/>
                <w:highlight w:val="none"/>
                <w:lang w:val="en-US" w:eastAsia="zh-CN" w:bidi="ar-SA"/>
              </w:rPr>
              <w:t>；具有注册二级造价工程师的，得1分</w:t>
            </w:r>
            <w:r>
              <w:rPr>
                <w:rFonts w:hint="eastAsia" w:ascii="方正仿宋_GB2312" w:hAnsi="方正仿宋_GB2312" w:eastAsia="方正仿宋_GB2312" w:cs="方正仿宋_GB2312"/>
                <w:b w:val="0"/>
                <w:bCs w:val="0"/>
                <w:sz w:val="21"/>
                <w:szCs w:val="21"/>
                <w:highlight w:val="none"/>
                <w:lang w:val="en-US" w:eastAsia="en-US" w:bidi="ar-SA"/>
              </w:rPr>
              <w:t>。</w:t>
            </w:r>
          </w:p>
          <w:p>
            <w:pPr>
              <w:pStyle w:val="24"/>
              <w:keepNext w:val="0"/>
              <w:keepLines w:val="0"/>
              <w:pageBreakBefore w:val="0"/>
              <w:numPr>
                <w:ilvl w:val="0"/>
                <w:numId w:val="0"/>
              </w:numPr>
              <w:kinsoku/>
              <w:wordWrap/>
              <w:overflowPunct/>
              <w:topLinePunct w:val="0"/>
              <w:autoSpaceDE/>
              <w:autoSpaceDN/>
              <w:bidi w:val="0"/>
              <w:spacing w:line="240" w:lineRule="auto"/>
              <w:ind w:left="110" w:leftChars="50" w:right="44" w:rightChars="20"/>
              <w:jc w:val="both"/>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b/>
                <w:bCs/>
                <w:sz w:val="21"/>
                <w:szCs w:val="21"/>
                <w:highlight w:val="none"/>
                <w:lang w:val="en-US" w:eastAsia="en-US" w:bidi="ar-SA"/>
              </w:rPr>
              <w:t>注：本项最高得9分。须提供相关证书扫描件及开标前在本单位任职近三个月内任意一个月由社保管理机构出具的社保缴纳证明材料扫描件。</w:t>
            </w:r>
            <w:r>
              <w:rPr>
                <w:rFonts w:hint="eastAsia" w:ascii="方正仿宋_GB2312" w:hAnsi="方正仿宋_GB2312" w:eastAsia="方正仿宋_GB2312" w:cs="方正仿宋_GB2312"/>
                <w:b/>
                <w:bCs/>
                <w:color w:val="auto"/>
                <w:sz w:val="21"/>
                <w:szCs w:val="21"/>
                <w:highlight w:val="none"/>
                <w:lang w:val="en-US" w:eastAsia="en-US" w:bidi="ar-SA"/>
              </w:rPr>
              <w:t>未提供或所提供的证明资料不符合要求的不得分</w:t>
            </w:r>
            <w:r>
              <w:rPr>
                <w:rFonts w:hint="eastAsia" w:ascii="方正仿宋_GB2312" w:hAnsi="方正仿宋_GB2312" w:eastAsia="方正仿宋_GB2312" w:cs="方正仿宋_GB2312"/>
                <w:b/>
                <w:bCs/>
                <w:sz w:val="21"/>
                <w:szCs w:val="21"/>
                <w:highlight w:val="none"/>
                <w:lang w:val="en-US" w:eastAsia="en-US" w:bidi="ar-SA"/>
              </w:rPr>
              <w:t>。</w:t>
            </w:r>
          </w:p>
        </w:tc>
      </w:tr>
      <w:tr>
        <w:tblPrEx>
          <w:tblCellMar>
            <w:top w:w="0" w:type="dxa"/>
            <w:left w:w="0" w:type="dxa"/>
            <w:bottom w:w="0" w:type="dxa"/>
            <w:right w:w="0" w:type="dxa"/>
          </w:tblCellMar>
        </w:tblPrEx>
        <w:trPr>
          <w:trHeight w:val="90" w:hRule="atLeast"/>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2312" w:hAnsi="方正仿宋_GB2312" w:eastAsia="方正仿宋_GB2312" w:cs="方正仿宋_GB2312"/>
                <w:color w:val="auto"/>
                <w:sz w:val="21"/>
                <w:szCs w:val="21"/>
                <w:highlight w:val="none"/>
              </w:rPr>
            </w:pPr>
          </w:p>
        </w:tc>
        <w:tc>
          <w:tcPr>
            <w:tcW w:w="5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spacing w:line="240" w:lineRule="auto"/>
              <w:ind w:left="110" w:leftChars="50" w:right="44" w:rightChars="20"/>
              <w:jc w:val="both"/>
              <w:rPr>
                <w:rFonts w:hint="eastAsia" w:ascii="方正仿宋_GB2312" w:hAnsi="方正仿宋_GB2312" w:eastAsia="方正仿宋_GB2312" w:cs="方正仿宋_GB2312"/>
                <w:b w:val="0"/>
                <w:bCs/>
                <w:sz w:val="21"/>
                <w:szCs w:val="21"/>
                <w:highlight w:val="none"/>
                <w:lang w:val="en-US" w:eastAsia="zh-CN" w:bidi="ar-SA"/>
              </w:rPr>
            </w:pPr>
            <w:r>
              <w:rPr>
                <w:rFonts w:hint="eastAsia" w:ascii="方正仿宋_GB2312" w:hAnsi="方正仿宋_GB2312" w:eastAsia="方正仿宋_GB2312" w:cs="方正仿宋_GB2312"/>
                <w:b/>
                <w:bCs w:val="0"/>
                <w:sz w:val="21"/>
                <w:szCs w:val="21"/>
                <w:highlight w:val="none"/>
                <w:lang w:val="en-US" w:eastAsia="zh-CN" w:bidi="ar-SA"/>
              </w:rPr>
              <w:t>二、</w:t>
            </w:r>
            <w:r>
              <w:rPr>
                <w:rFonts w:hint="eastAsia" w:ascii="方正仿宋_GB2312" w:hAnsi="方正仿宋_GB2312" w:eastAsia="方正仿宋_GB2312" w:cs="方正仿宋_GB2312"/>
                <w:b w:val="0"/>
                <w:bCs/>
                <w:sz w:val="21"/>
                <w:szCs w:val="21"/>
                <w:highlight w:val="none"/>
                <w:lang w:val="en-US" w:eastAsia="zh-CN" w:bidi="ar-SA"/>
              </w:rPr>
              <w:t>自2019年1月1日至今，项目负责人主持的有关水利勘察或设计项目获得国家级奖项的，每个得3分；获得省级奖项的，每个得1.5分；获得市级奖项的，每个得0.5分。</w:t>
            </w:r>
          </w:p>
          <w:p>
            <w:pPr>
              <w:pStyle w:val="24"/>
              <w:keepNext w:val="0"/>
              <w:keepLines w:val="0"/>
              <w:pageBreakBefore w:val="0"/>
              <w:numPr>
                <w:ilvl w:val="0"/>
                <w:numId w:val="0"/>
              </w:numPr>
              <w:kinsoku/>
              <w:wordWrap/>
              <w:overflowPunct/>
              <w:topLinePunct w:val="0"/>
              <w:autoSpaceDE/>
              <w:autoSpaceDN/>
              <w:bidi w:val="0"/>
              <w:spacing w:line="240" w:lineRule="auto"/>
              <w:ind w:left="110" w:leftChars="50" w:right="44" w:rightChars="20"/>
              <w:jc w:val="both"/>
              <w:rPr>
                <w:rFonts w:hint="eastAsia" w:ascii="方正仿宋_GB2312" w:hAnsi="方正仿宋_GB2312" w:eastAsia="方正仿宋_GB2312" w:cs="方正仿宋_GB2312"/>
                <w:b w:val="0"/>
                <w:bCs w:val="0"/>
                <w:color w:val="auto"/>
                <w:sz w:val="22"/>
                <w:szCs w:val="22"/>
                <w:highlight w:val="none"/>
                <w:lang w:eastAsia="zh-CN"/>
              </w:rPr>
            </w:pPr>
            <w:r>
              <w:rPr>
                <w:rFonts w:hint="eastAsia" w:ascii="方正仿宋_GB2312" w:hAnsi="方正仿宋_GB2312" w:eastAsia="方正仿宋_GB2312" w:cs="方正仿宋_GB2312"/>
                <w:b/>
                <w:bCs/>
                <w:sz w:val="21"/>
                <w:szCs w:val="21"/>
                <w:highlight w:val="none"/>
                <w:lang w:val="en-US" w:eastAsia="en-US" w:bidi="ar-SA"/>
              </w:rPr>
              <w:t>注：本项最高得6分；须</w:t>
            </w:r>
            <w:r>
              <w:rPr>
                <w:rFonts w:hint="eastAsia" w:ascii="方正仿宋_GB2312" w:hAnsi="方正仿宋_GB2312" w:eastAsia="方正仿宋_GB2312" w:cs="方正仿宋_GB2312"/>
                <w:b/>
                <w:bCs/>
                <w:color w:val="auto"/>
                <w:sz w:val="21"/>
                <w:szCs w:val="21"/>
                <w:highlight w:val="none"/>
                <w:lang w:val="en-US" w:eastAsia="en-US" w:bidi="ar-SA"/>
              </w:rPr>
              <w:t>提供获奖证书复印件，提供的材料需体现项目负责人名字，时间以证书颁发日期为准；</w:t>
            </w:r>
            <w:r>
              <w:rPr>
                <w:rFonts w:hint="eastAsia" w:ascii="方正仿宋_GB2312" w:hAnsi="方正仿宋_GB2312" w:eastAsia="方正仿宋_GB2312" w:cs="方正仿宋_GB2312"/>
                <w:b/>
                <w:bCs/>
                <w:kern w:val="0"/>
                <w:sz w:val="21"/>
                <w:szCs w:val="21"/>
                <w:highlight w:val="none"/>
                <w:lang w:val="en-US" w:eastAsia="en-US" w:bidi="ar-SA"/>
              </w:rPr>
              <w:t>同一项目获得多个奖项的，该项目获奖只按其中一个奖项所在最高级别累计得分；颁奖单位为协会的需提供该协会在中国社会组织公共服务平台的网页查询结果截图，否则不得分。</w:t>
            </w:r>
          </w:p>
        </w:tc>
      </w:tr>
      <w:tr>
        <w:tblPrEx>
          <w:tblCellMar>
            <w:top w:w="0" w:type="dxa"/>
            <w:left w:w="0" w:type="dxa"/>
            <w:bottom w:w="0" w:type="dxa"/>
            <w:right w:w="0" w:type="dxa"/>
          </w:tblCellMar>
        </w:tblPrEx>
        <w:trPr>
          <w:trHeight w:val="2670" w:hRule="atLeast"/>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rPr>
                <w:rFonts w:hint="eastAsia" w:ascii="方正仿宋_GB2312" w:hAnsi="方正仿宋_GB2312" w:eastAsia="方正仿宋_GB2312" w:cs="方正仿宋_GB2312"/>
                <w:color w:val="auto"/>
                <w:sz w:val="21"/>
                <w:szCs w:val="21"/>
                <w:highlight w:val="none"/>
                <w:lang w:val="zh-CN" w:eastAsia="zh-CN"/>
              </w:rPr>
            </w:pPr>
          </w:p>
        </w:tc>
        <w:tc>
          <w:tcPr>
            <w:tcW w:w="5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left="110" w:leftChars="50" w:right="44" w:rightChars="20"/>
              <w:rPr>
                <w:rFonts w:hint="eastAsia" w:ascii="方正仿宋_GB2312" w:hAnsi="方正仿宋_GB2312" w:eastAsia="方正仿宋_GB2312" w:cs="方正仿宋_GB2312"/>
                <w:color w:val="auto"/>
                <w:sz w:val="21"/>
                <w:szCs w:val="21"/>
                <w:highlight w:val="none"/>
                <w:lang w:val="zh-CN" w:eastAsia="zh-CN"/>
              </w:rPr>
            </w:pPr>
            <w:r>
              <w:rPr>
                <w:rFonts w:hint="eastAsia" w:ascii="方正仿宋_GB2312" w:hAnsi="方正仿宋_GB2312" w:eastAsia="方正仿宋_GB2312" w:cs="方正仿宋_GB2312"/>
                <w:color w:val="auto"/>
                <w:sz w:val="21"/>
                <w:szCs w:val="21"/>
                <w:highlight w:val="none"/>
                <w:lang w:val="en-US" w:eastAsia="zh-CN"/>
              </w:rPr>
              <w:t>三、</w:t>
            </w:r>
            <w:r>
              <w:rPr>
                <w:rFonts w:hint="eastAsia" w:ascii="方正仿宋_GB2312" w:hAnsi="方正仿宋_GB2312" w:eastAsia="方正仿宋_GB2312" w:cs="方正仿宋_GB2312"/>
                <w:color w:val="auto"/>
                <w:sz w:val="21"/>
                <w:szCs w:val="21"/>
                <w:highlight w:val="none"/>
                <w:lang w:val="zh-CN" w:eastAsia="zh-CN"/>
              </w:rPr>
              <w:t>各拟投入的人员（</w:t>
            </w:r>
            <w:r>
              <w:rPr>
                <w:rFonts w:hint="eastAsia" w:ascii="方正仿宋_GB2312" w:hAnsi="方正仿宋_GB2312" w:eastAsia="方正仿宋_GB2312" w:cs="方正仿宋_GB2312"/>
                <w:color w:val="auto"/>
                <w:sz w:val="21"/>
                <w:szCs w:val="21"/>
                <w:highlight w:val="none"/>
                <w:lang w:val="en-US" w:eastAsia="zh-CN"/>
              </w:rPr>
              <w:t>项目负责人除外</w:t>
            </w:r>
            <w:r>
              <w:rPr>
                <w:rFonts w:hint="eastAsia" w:ascii="方正仿宋_GB2312" w:hAnsi="方正仿宋_GB2312" w:eastAsia="方正仿宋_GB2312" w:cs="方正仿宋_GB2312"/>
                <w:color w:val="auto"/>
                <w:sz w:val="21"/>
                <w:szCs w:val="21"/>
                <w:highlight w:val="none"/>
                <w:lang w:val="zh-CN" w:eastAsia="zh-CN"/>
              </w:rPr>
              <w:t>）：</w:t>
            </w:r>
          </w:p>
          <w:p>
            <w:pPr>
              <w:keepNext w:val="0"/>
              <w:keepLines w:val="0"/>
              <w:pageBreakBefore w:val="0"/>
              <w:kinsoku/>
              <w:wordWrap/>
              <w:overflowPunct/>
              <w:topLinePunct w:val="0"/>
              <w:autoSpaceDE/>
              <w:autoSpaceDN/>
              <w:bidi w:val="0"/>
              <w:adjustRightInd w:val="0"/>
              <w:snapToGrid w:val="0"/>
              <w:spacing w:line="240" w:lineRule="auto"/>
              <w:ind w:left="110" w:leftChars="50" w:right="44" w:rightChars="20"/>
              <w:rPr>
                <w:rFonts w:hint="eastAsia" w:ascii="方正仿宋_GB2312" w:hAnsi="方正仿宋_GB2312" w:eastAsia="方正仿宋_GB2312" w:cs="方正仿宋_GB2312"/>
                <w:color w:val="auto"/>
                <w:sz w:val="21"/>
                <w:szCs w:val="21"/>
                <w:highlight w:val="none"/>
                <w:lang w:val="en-US" w:eastAsia="zh-CN"/>
              </w:rPr>
            </w:pPr>
            <w:r>
              <w:rPr>
                <w:rFonts w:hint="eastAsia" w:ascii="方正仿宋_GB2312" w:hAnsi="方正仿宋_GB2312" w:eastAsia="方正仿宋_GB2312" w:cs="方正仿宋_GB2312"/>
                <w:color w:val="auto"/>
                <w:sz w:val="21"/>
                <w:szCs w:val="21"/>
                <w:highlight w:val="none"/>
                <w:lang w:val="en-US" w:eastAsia="zh-CN"/>
              </w:rPr>
              <w:t>1.具备</w:t>
            </w:r>
            <w:r>
              <w:rPr>
                <w:rFonts w:hint="eastAsia" w:ascii="方正仿宋_GB2312" w:hAnsi="方正仿宋_GB2312" w:eastAsia="方正仿宋_GB2312" w:cs="方正仿宋_GB2312"/>
                <w:color w:val="auto"/>
                <w:sz w:val="21"/>
                <w:szCs w:val="21"/>
                <w:highlight w:val="none"/>
                <w:lang w:val="zh-CN" w:eastAsia="zh-CN"/>
              </w:rPr>
              <w:t>水工结构专业注册资格证书或执业资格证书</w:t>
            </w:r>
            <w:r>
              <w:rPr>
                <w:rFonts w:hint="eastAsia" w:ascii="方正仿宋_GB2312" w:hAnsi="方正仿宋_GB2312" w:eastAsia="方正仿宋_GB2312" w:cs="方正仿宋_GB2312"/>
                <w:color w:val="auto"/>
                <w:sz w:val="21"/>
                <w:szCs w:val="21"/>
                <w:highlight w:val="none"/>
                <w:lang w:val="en-US" w:eastAsia="zh-CN"/>
              </w:rPr>
              <w:t>的，得1分；</w:t>
            </w:r>
          </w:p>
          <w:p>
            <w:pPr>
              <w:keepNext w:val="0"/>
              <w:keepLines w:val="0"/>
              <w:pageBreakBefore w:val="0"/>
              <w:kinsoku/>
              <w:wordWrap/>
              <w:overflowPunct/>
              <w:topLinePunct w:val="0"/>
              <w:autoSpaceDE/>
              <w:autoSpaceDN/>
              <w:bidi w:val="0"/>
              <w:adjustRightInd w:val="0"/>
              <w:snapToGrid w:val="0"/>
              <w:spacing w:line="240" w:lineRule="auto"/>
              <w:ind w:left="110" w:leftChars="50" w:right="44" w:rightChars="20"/>
              <w:rPr>
                <w:rFonts w:hint="eastAsia" w:ascii="方正仿宋_GB2312" w:hAnsi="方正仿宋_GB2312" w:eastAsia="方正仿宋_GB2312" w:cs="方正仿宋_GB2312"/>
                <w:color w:val="auto"/>
                <w:sz w:val="21"/>
                <w:szCs w:val="21"/>
                <w:highlight w:val="none"/>
                <w:lang w:val="zh-CN" w:eastAsia="zh-CN"/>
              </w:rPr>
            </w:pPr>
            <w:r>
              <w:rPr>
                <w:rFonts w:hint="eastAsia" w:ascii="方正仿宋_GB2312" w:hAnsi="方正仿宋_GB2312" w:eastAsia="方正仿宋_GB2312" w:cs="方正仿宋_GB2312"/>
                <w:color w:val="auto"/>
                <w:sz w:val="21"/>
                <w:szCs w:val="21"/>
                <w:highlight w:val="none"/>
                <w:lang w:val="en-US" w:eastAsia="zh-CN"/>
              </w:rPr>
              <w:t>2.具备</w:t>
            </w:r>
            <w:r>
              <w:rPr>
                <w:rFonts w:hint="eastAsia" w:ascii="方正仿宋_GB2312" w:hAnsi="方正仿宋_GB2312" w:eastAsia="方正仿宋_GB2312" w:cs="方正仿宋_GB2312"/>
                <w:color w:val="auto"/>
                <w:sz w:val="21"/>
                <w:szCs w:val="21"/>
                <w:highlight w:val="none"/>
                <w:lang w:val="zh-CN" w:eastAsia="zh-CN"/>
              </w:rPr>
              <w:t>造价专业注册资格证书或执业资格证书</w:t>
            </w:r>
            <w:r>
              <w:rPr>
                <w:rFonts w:hint="eastAsia" w:ascii="方正仿宋_GB2312" w:hAnsi="方正仿宋_GB2312" w:eastAsia="方正仿宋_GB2312" w:cs="方正仿宋_GB2312"/>
                <w:color w:val="auto"/>
                <w:sz w:val="21"/>
                <w:szCs w:val="21"/>
                <w:highlight w:val="none"/>
                <w:lang w:val="en-US" w:eastAsia="zh-CN"/>
              </w:rPr>
              <w:t>的，得1分；</w:t>
            </w:r>
          </w:p>
          <w:p>
            <w:pPr>
              <w:keepNext w:val="0"/>
              <w:keepLines w:val="0"/>
              <w:pageBreakBefore w:val="0"/>
              <w:kinsoku/>
              <w:wordWrap/>
              <w:overflowPunct/>
              <w:topLinePunct w:val="0"/>
              <w:autoSpaceDE/>
              <w:autoSpaceDN/>
              <w:bidi w:val="0"/>
              <w:adjustRightInd w:val="0"/>
              <w:snapToGrid w:val="0"/>
              <w:spacing w:line="240" w:lineRule="auto"/>
              <w:ind w:left="110" w:leftChars="50" w:right="44" w:rightChars="20"/>
              <w:rPr>
                <w:rFonts w:hint="eastAsia" w:ascii="方正仿宋_GB2312" w:hAnsi="方正仿宋_GB2312" w:eastAsia="方正仿宋_GB2312" w:cs="方正仿宋_GB2312"/>
                <w:color w:val="auto"/>
                <w:sz w:val="21"/>
                <w:szCs w:val="21"/>
                <w:highlight w:val="none"/>
                <w:lang w:val="zh-CN" w:eastAsia="zh-CN"/>
              </w:rPr>
            </w:pPr>
            <w:r>
              <w:rPr>
                <w:rFonts w:hint="eastAsia" w:ascii="方正仿宋_GB2312" w:hAnsi="方正仿宋_GB2312" w:eastAsia="方正仿宋_GB2312" w:cs="方正仿宋_GB2312"/>
                <w:color w:val="auto"/>
                <w:sz w:val="21"/>
                <w:szCs w:val="21"/>
                <w:highlight w:val="none"/>
                <w:lang w:val="en-US" w:eastAsia="zh-CN"/>
              </w:rPr>
              <w:t>3.具备</w:t>
            </w:r>
            <w:r>
              <w:rPr>
                <w:rFonts w:hint="eastAsia" w:ascii="方正仿宋_GB2312" w:hAnsi="方正仿宋_GB2312" w:eastAsia="方正仿宋_GB2312" w:cs="方正仿宋_GB2312"/>
                <w:color w:val="auto"/>
                <w:sz w:val="21"/>
                <w:szCs w:val="21"/>
                <w:highlight w:val="none"/>
                <w:lang w:val="zh-CN" w:eastAsia="zh-CN"/>
              </w:rPr>
              <w:t>规划专业注册资格证书或执业资格证书</w:t>
            </w:r>
            <w:r>
              <w:rPr>
                <w:rFonts w:hint="eastAsia" w:ascii="方正仿宋_GB2312" w:hAnsi="方正仿宋_GB2312" w:eastAsia="方正仿宋_GB2312" w:cs="方正仿宋_GB2312"/>
                <w:color w:val="auto"/>
                <w:sz w:val="21"/>
                <w:szCs w:val="21"/>
                <w:highlight w:val="none"/>
                <w:lang w:val="en-US" w:eastAsia="zh-CN"/>
              </w:rPr>
              <w:t>的，得1分；</w:t>
            </w:r>
          </w:p>
          <w:p>
            <w:pPr>
              <w:keepNext w:val="0"/>
              <w:keepLines w:val="0"/>
              <w:pageBreakBefore w:val="0"/>
              <w:kinsoku/>
              <w:wordWrap/>
              <w:overflowPunct/>
              <w:topLinePunct w:val="0"/>
              <w:autoSpaceDE/>
              <w:autoSpaceDN/>
              <w:bidi w:val="0"/>
              <w:adjustRightInd w:val="0"/>
              <w:snapToGrid w:val="0"/>
              <w:spacing w:line="240" w:lineRule="auto"/>
              <w:ind w:left="110" w:leftChars="50" w:right="44" w:rightChars="20"/>
              <w:rPr>
                <w:rFonts w:hint="eastAsia" w:ascii="方正仿宋_GB2312" w:hAnsi="方正仿宋_GB2312" w:eastAsia="方正仿宋_GB2312" w:cs="方正仿宋_GB2312"/>
                <w:color w:val="auto"/>
                <w:sz w:val="21"/>
                <w:szCs w:val="21"/>
                <w:highlight w:val="none"/>
                <w:lang w:val="zh-CN" w:eastAsia="zh-CN"/>
              </w:rPr>
            </w:pPr>
            <w:r>
              <w:rPr>
                <w:rFonts w:hint="eastAsia" w:ascii="方正仿宋_GB2312" w:hAnsi="方正仿宋_GB2312" w:eastAsia="方正仿宋_GB2312" w:cs="方正仿宋_GB2312"/>
                <w:color w:val="auto"/>
                <w:sz w:val="21"/>
                <w:szCs w:val="21"/>
                <w:highlight w:val="none"/>
                <w:lang w:val="en-US" w:eastAsia="zh-CN"/>
              </w:rPr>
              <w:t>4.具备</w:t>
            </w:r>
            <w:r>
              <w:rPr>
                <w:rFonts w:hint="eastAsia" w:ascii="方正仿宋_GB2312" w:hAnsi="方正仿宋_GB2312" w:eastAsia="方正仿宋_GB2312" w:cs="方正仿宋_GB2312"/>
                <w:color w:val="auto"/>
                <w:sz w:val="21"/>
                <w:szCs w:val="21"/>
                <w:highlight w:val="none"/>
                <w:lang w:val="zh-CN" w:eastAsia="zh-CN"/>
              </w:rPr>
              <w:t>工程测绘专业注册资格证书或执业资格证书</w:t>
            </w:r>
            <w:r>
              <w:rPr>
                <w:rFonts w:hint="eastAsia" w:ascii="方正仿宋_GB2312" w:hAnsi="方正仿宋_GB2312" w:eastAsia="方正仿宋_GB2312" w:cs="方正仿宋_GB2312"/>
                <w:color w:val="auto"/>
                <w:sz w:val="21"/>
                <w:szCs w:val="21"/>
                <w:highlight w:val="none"/>
                <w:lang w:val="en-US" w:eastAsia="zh-CN"/>
              </w:rPr>
              <w:t>的，得1分；</w:t>
            </w:r>
          </w:p>
          <w:p>
            <w:pPr>
              <w:keepNext w:val="0"/>
              <w:keepLines w:val="0"/>
              <w:pageBreakBefore w:val="0"/>
              <w:kinsoku/>
              <w:wordWrap/>
              <w:overflowPunct/>
              <w:topLinePunct w:val="0"/>
              <w:autoSpaceDE/>
              <w:autoSpaceDN/>
              <w:bidi w:val="0"/>
              <w:adjustRightInd w:val="0"/>
              <w:snapToGrid w:val="0"/>
              <w:spacing w:line="240" w:lineRule="auto"/>
              <w:ind w:left="110" w:leftChars="50" w:right="44" w:rightChars="20"/>
              <w:rPr>
                <w:rFonts w:hint="eastAsia" w:ascii="方正仿宋_GB2312" w:hAnsi="方正仿宋_GB2312" w:eastAsia="方正仿宋_GB2312" w:cs="方正仿宋_GB2312"/>
                <w:color w:val="auto"/>
                <w:sz w:val="21"/>
                <w:szCs w:val="21"/>
                <w:highlight w:val="none"/>
                <w:lang w:val="zh-CN" w:eastAsia="zh-CN"/>
              </w:rPr>
            </w:pPr>
            <w:r>
              <w:rPr>
                <w:rFonts w:hint="eastAsia" w:ascii="方正仿宋_GB2312" w:hAnsi="方正仿宋_GB2312" w:eastAsia="方正仿宋_GB2312" w:cs="方正仿宋_GB2312"/>
                <w:color w:val="auto"/>
                <w:sz w:val="21"/>
                <w:szCs w:val="21"/>
                <w:highlight w:val="none"/>
                <w:lang w:val="en-US" w:eastAsia="zh-CN"/>
              </w:rPr>
              <w:t>5.具备</w:t>
            </w:r>
            <w:r>
              <w:rPr>
                <w:rFonts w:hint="eastAsia" w:ascii="方正仿宋_GB2312" w:hAnsi="方正仿宋_GB2312" w:eastAsia="方正仿宋_GB2312" w:cs="方正仿宋_GB2312"/>
                <w:color w:val="auto"/>
                <w:sz w:val="21"/>
                <w:szCs w:val="21"/>
                <w:highlight w:val="none"/>
                <w:lang w:val="zh-CN" w:eastAsia="zh-CN"/>
              </w:rPr>
              <w:t>地质（岩土）相关专业注册资格证书或执业资格证书</w:t>
            </w:r>
            <w:r>
              <w:rPr>
                <w:rFonts w:hint="eastAsia" w:ascii="方正仿宋_GB2312" w:hAnsi="方正仿宋_GB2312" w:eastAsia="方正仿宋_GB2312" w:cs="方正仿宋_GB2312"/>
                <w:color w:val="auto"/>
                <w:sz w:val="21"/>
                <w:szCs w:val="21"/>
                <w:highlight w:val="none"/>
                <w:lang w:val="en-US" w:eastAsia="zh-CN"/>
              </w:rPr>
              <w:t>的，得1分</w:t>
            </w:r>
            <w:r>
              <w:rPr>
                <w:rFonts w:hint="eastAsia" w:ascii="方正仿宋_GB2312" w:hAnsi="方正仿宋_GB2312" w:eastAsia="方正仿宋_GB2312" w:cs="方正仿宋_GB2312"/>
                <w:color w:val="auto"/>
                <w:sz w:val="21"/>
                <w:szCs w:val="21"/>
                <w:highlight w:val="none"/>
                <w:lang w:val="zh-CN" w:eastAsia="zh-CN"/>
              </w:rPr>
              <w:t>。</w:t>
            </w:r>
          </w:p>
          <w:p>
            <w:pPr>
              <w:keepNext w:val="0"/>
              <w:keepLines w:val="0"/>
              <w:pageBreakBefore w:val="0"/>
              <w:kinsoku/>
              <w:wordWrap/>
              <w:overflowPunct/>
              <w:topLinePunct w:val="0"/>
              <w:autoSpaceDE/>
              <w:autoSpaceDN/>
              <w:bidi w:val="0"/>
              <w:adjustRightInd w:val="0"/>
              <w:snapToGrid w:val="0"/>
              <w:spacing w:line="240" w:lineRule="auto"/>
              <w:ind w:left="110" w:leftChars="50" w:right="44" w:rightChars="20"/>
              <w:rPr>
                <w:rFonts w:hint="eastAsia" w:ascii="方正仿宋_GB2312" w:hAnsi="方正仿宋_GB2312" w:eastAsia="方正仿宋_GB2312" w:cs="方正仿宋_GB2312"/>
                <w:color w:val="auto"/>
                <w:sz w:val="21"/>
                <w:szCs w:val="21"/>
                <w:highlight w:val="none"/>
                <w:lang w:val="zh-CN" w:eastAsia="zh-CN"/>
              </w:rPr>
            </w:pPr>
            <w:r>
              <w:rPr>
                <w:rFonts w:hint="eastAsia" w:ascii="方正仿宋_GB2312" w:hAnsi="方正仿宋_GB2312" w:eastAsia="方正仿宋_GB2312" w:cs="方正仿宋_GB2312"/>
                <w:b/>
                <w:bCs/>
                <w:color w:val="auto"/>
                <w:sz w:val="21"/>
                <w:szCs w:val="21"/>
                <w:highlight w:val="none"/>
                <w:lang w:val="en-US" w:eastAsia="en-US"/>
              </w:rPr>
              <w:t>注：本项最高得5分。须提供注册资格证书或执业资格证书复印件，投入人员必须为投标单位人员，开标前在本单位任职近三个月内任意一个月由社保管理机构出具的社保缴纳证明材料扫描件。未提供或所提供的证明资料不符合要求的不得分。</w:t>
            </w:r>
          </w:p>
        </w:tc>
      </w:tr>
      <w:tr>
        <w:tblPrEx>
          <w:tblCellMar>
            <w:top w:w="0" w:type="dxa"/>
            <w:left w:w="0" w:type="dxa"/>
            <w:bottom w:w="0" w:type="dxa"/>
            <w:right w:w="0" w:type="dxa"/>
          </w:tblCellMar>
        </w:tblPrEx>
        <w:trPr>
          <w:trHeight w:val="90" w:hRule="atLeast"/>
          <w:jc w:val="center"/>
        </w:trPr>
        <w:tc>
          <w:tcPr>
            <w:tcW w:w="625" w:type="dxa"/>
            <w:vMerge w:val="restart"/>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2.2.4（2）</w:t>
            </w:r>
          </w:p>
        </w:tc>
        <w:tc>
          <w:tcPr>
            <w:tcW w:w="1063" w:type="dxa"/>
            <w:vMerge w:val="restart"/>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0" w:beforeLines="0"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技术文件（勘察设计方案评分</w:t>
            </w:r>
          </w:p>
          <w:p>
            <w:pPr>
              <w:pStyle w:val="23"/>
              <w:keepNext w:val="0"/>
              <w:keepLines w:val="0"/>
              <w:pageBreakBefore w:val="0"/>
              <w:kinsoku/>
              <w:wordWrap/>
              <w:overflowPunct/>
              <w:topLinePunct w:val="0"/>
              <w:autoSpaceDE/>
              <w:autoSpaceDN/>
              <w:bidi w:val="0"/>
              <w:adjustRightInd w:val="0"/>
              <w:spacing w:before="0" w:beforeLines="0"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标准）</w:t>
            </w:r>
          </w:p>
          <w:p>
            <w:pPr>
              <w:pStyle w:val="23"/>
              <w:keepNext w:val="0"/>
              <w:keepLines w:val="0"/>
              <w:pageBreakBefore w:val="0"/>
              <w:kinsoku/>
              <w:wordWrap/>
              <w:overflowPunct/>
              <w:topLinePunct w:val="0"/>
              <w:autoSpaceDE/>
              <w:autoSpaceDN/>
              <w:bidi w:val="0"/>
              <w:adjustRightInd w:val="0"/>
              <w:spacing w:before="0" w:beforeLines="0"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w:t>
            </w:r>
            <w:r>
              <w:rPr>
                <w:rFonts w:hint="eastAsia" w:ascii="方正仿宋_GB2312" w:hAnsi="方正仿宋_GB2312" w:eastAsia="方正仿宋_GB2312" w:cs="方正仿宋_GB2312"/>
                <w:color w:val="auto"/>
                <w:sz w:val="21"/>
                <w:szCs w:val="21"/>
                <w:highlight w:val="none"/>
                <w:lang w:val="en-US" w:eastAsia="zh-CN"/>
              </w:rPr>
              <w:t>60</w:t>
            </w:r>
            <w:r>
              <w:rPr>
                <w:rFonts w:hint="eastAsia" w:ascii="方正仿宋_GB2312" w:hAnsi="方正仿宋_GB2312" w:eastAsia="方正仿宋_GB2312" w:cs="方正仿宋_GB2312"/>
                <w:color w:val="auto"/>
                <w:sz w:val="21"/>
                <w:szCs w:val="21"/>
                <w:highlight w:val="none"/>
                <w:lang w:eastAsia="zh-CN"/>
              </w:rPr>
              <w:t>分）</w:t>
            </w:r>
          </w:p>
        </w:tc>
        <w:tc>
          <w:tcPr>
            <w:tcW w:w="1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2312" w:hAnsi="方正仿宋_GB2312" w:eastAsia="方正仿宋_GB2312" w:cs="方正仿宋_GB2312"/>
                <w:bCs/>
                <w:sz w:val="21"/>
                <w:szCs w:val="21"/>
                <w:highlight w:val="none"/>
              </w:rPr>
            </w:pPr>
            <w:r>
              <w:rPr>
                <w:rFonts w:hint="eastAsia" w:ascii="方正仿宋_GB2312" w:hAnsi="方正仿宋_GB2312" w:eastAsia="方正仿宋_GB2312" w:cs="方正仿宋_GB2312"/>
                <w:bCs/>
                <w:sz w:val="21"/>
                <w:szCs w:val="21"/>
                <w:highlight w:val="none"/>
              </w:rPr>
              <w:t>项目设计重点、难点分析</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bCs/>
                <w:sz w:val="21"/>
                <w:szCs w:val="21"/>
                <w:highlight w:val="none"/>
                <w:lang w:eastAsia="zh-CN"/>
              </w:rPr>
              <w:t>（</w:t>
            </w:r>
            <w:r>
              <w:rPr>
                <w:rFonts w:hint="eastAsia" w:ascii="方正仿宋_GB2312" w:hAnsi="方正仿宋_GB2312" w:eastAsia="方正仿宋_GB2312" w:cs="方正仿宋_GB2312"/>
                <w:bCs/>
                <w:sz w:val="21"/>
                <w:szCs w:val="21"/>
                <w:highlight w:val="none"/>
                <w:lang w:val="en-US" w:eastAsia="zh-CN"/>
              </w:rPr>
              <w:t>12分</w:t>
            </w:r>
            <w:r>
              <w:rPr>
                <w:rFonts w:hint="eastAsia" w:ascii="方正仿宋_GB2312" w:hAnsi="方正仿宋_GB2312" w:eastAsia="方正仿宋_GB2312" w:cs="方正仿宋_GB2312"/>
                <w:bCs/>
                <w:sz w:val="21"/>
                <w:szCs w:val="21"/>
                <w:highlight w:val="none"/>
                <w:lang w:eastAsia="zh-CN"/>
              </w:rPr>
              <w:t>）</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right="48" w:rightChars="22"/>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主要考察投标人对工程的理解程度、对工程勘察设计作出的重点难点分析及本阶段设计应注意的事项。理解清晰，重点难点把握准确，分析透彻、合理、有说服力的得满分，其它按不同等级给分。</w:t>
            </w:r>
          </w:p>
          <w:p>
            <w:pPr>
              <w:pStyle w:val="26"/>
              <w:keepNext w:val="0"/>
              <w:keepLines w:val="0"/>
              <w:pageBreakBefore w:val="0"/>
              <w:numPr>
                <w:ilvl w:val="0"/>
                <w:numId w:val="0"/>
              </w:numPr>
              <w:kinsoku/>
              <w:wordWrap/>
              <w:overflowPunct/>
              <w:topLinePunct w:val="0"/>
              <w:autoSpaceDE/>
              <w:autoSpaceDN/>
              <w:bidi w:val="0"/>
              <w:spacing w:line="240" w:lineRule="auto"/>
              <w:ind w:leftChars="0"/>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【优】得（</w:t>
            </w:r>
            <w:r>
              <w:rPr>
                <w:rFonts w:hint="eastAsia" w:ascii="方正仿宋_GB2312" w:hAnsi="方正仿宋_GB2312" w:eastAsia="方正仿宋_GB2312" w:cs="方正仿宋_GB2312"/>
                <w:sz w:val="21"/>
                <w:szCs w:val="21"/>
                <w:highlight w:val="none"/>
                <w:lang w:val="en-US" w:eastAsia="zh-CN"/>
              </w:rPr>
              <w:t>11</w:t>
            </w:r>
            <w:r>
              <w:rPr>
                <w:rFonts w:hint="eastAsia" w:ascii="方正仿宋_GB2312" w:hAnsi="方正仿宋_GB2312" w:eastAsia="方正仿宋_GB2312" w:cs="方正仿宋_GB2312"/>
                <w:sz w:val="21"/>
                <w:szCs w:val="21"/>
                <w:highlight w:val="none"/>
              </w:rPr>
              <w:t>.1～1</w:t>
            </w:r>
            <w:r>
              <w:rPr>
                <w:rFonts w:hint="eastAsia" w:ascii="方正仿宋_GB2312" w:hAnsi="方正仿宋_GB2312" w:eastAsia="方正仿宋_GB2312" w:cs="方正仿宋_GB2312"/>
                <w:sz w:val="21"/>
                <w:szCs w:val="21"/>
                <w:highlight w:val="none"/>
                <w:lang w:val="en-US" w:eastAsia="zh-CN"/>
              </w:rPr>
              <w:t>2</w:t>
            </w:r>
            <w:r>
              <w:rPr>
                <w:rFonts w:hint="eastAsia" w:ascii="方正仿宋_GB2312" w:hAnsi="方正仿宋_GB2312" w:eastAsia="方正仿宋_GB2312" w:cs="方正仿宋_GB2312"/>
                <w:sz w:val="21"/>
                <w:szCs w:val="21"/>
                <w:highlight w:val="none"/>
              </w:rPr>
              <w:t>分），【良】得（</w:t>
            </w:r>
            <w:r>
              <w:rPr>
                <w:rFonts w:hint="eastAsia" w:ascii="方正仿宋_GB2312" w:hAnsi="方正仿宋_GB2312" w:eastAsia="方正仿宋_GB2312" w:cs="方正仿宋_GB2312"/>
                <w:sz w:val="21"/>
                <w:szCs w:val="21"/>
                <w:highlight w:val="none"/>
                <w:lang w:val="en-US" w:eastAsia="zh-CN"/>
              </w:rPr>
              <w:t>10</w:t>
            </w:r>
            <w:r>
              <w:rPr>
                <w:rFonts w:hint="eastAsia" w:ascii="方正仿宋_GB2312" w:hAnsi="方正仿宋_GB2312" w:eastAsia="方正仿宋_GB2312" w:cs="方正仿宋_GB2312"/>
                <w:sz w:val="21"/>
                <w:szCs w:val="21"/>
                <w:highlight w:val="none"/>
              </w:rPr>
              <w:t>.1～</w:t>
            </w:r>
            <w:r>
              <w:rPr>
                <w:rFonts w:hint="eastAsia" w:ascii="方正仿宋_GB2312" w:hAnsi="方正仿宋_GB2312" w:eastAsia="方正仿宋_GB2312" w:cs="方正仿宋_GB2312"/>
                <w:sz w:val="21"/>
                <w:szCs w:val="21"/>
                <w:highlight w:val="none"/>
                <w:lang w:val="en-US" w:eastAsia="zh-CN"/>
              </w:rPr>
              <w:t>11</w:t>
            </w:r>
            <w:r>
              <w:rPr>
                <w:rFonts w:hint="eastAsia" w:ascii="方正仿宋_GB2312" w:hAnsi="方正仿宋_GB2312" w:eastAsia="方正仿宋_GB2312" w:cs="方正仿宋_GB2312"/>
                <w:sz w:val="21"/>
                <w:szCs w:val="21"/>
                <w:highlight w:val="none"/>
              </w:rPr>
              <w:t>分），【一般】得（</w:t>
            </w:r>
            <w:r>
              <w:rPr>
                <w:rFonts w:hint="eastAsia" w:ascii="方正仿宋_GB2312" w:hAnsi="方正仿宋_GB2312" w:eastAsia="方正仿宋_GB2312" w:cs="方正仿宋_GB2312"/>
                <w:sz w:val="21"/>
                <w:szCs w:val="21"/>
                <w:highlight w:val="none"/>
                <w:lang w:val="en-US" w:eastAsia="zh-CN"/>
              </w:rPr>
              <w:t>10</w:t>
            </w:r>
            <w:r>
              <w:rPr>
                <w:rFonts w:hint="eastAsia" w:ascii="方正仿宋_GB2312" w:hAnsi="方正仿宋_GB2312" w:eastAsia="方正仿宋_GB2312" w:cs="方正仿宋_GB2312"/>
                <w:sz w:val="21"/>
                <w:szCs w:val="21"/>
                <w:highlight w:val="none"/>
              </w:rPr>
              <w:t>分）。</w:t>
            </w:r>
          </w:p>
          <w:p>
            <w:pPr>
              <w:keepNext w:val="0"/>
              <w:keepLines w:val="0"/>
              <w:pageBreakBefore w:val="0"/>
              <w:widowControl/>
              <w:kinsoku/>
              <w:wordWrap/>
              <w:overflowPunct/>
              <w:topLinePunct w:val="0"/>
              <w:autoSpaceDE/>
              <w:autoSpaceDN/>
              <w:bidi w:val="0"/>
              <w:adjustRightInd/>
              <w:snapToGrid/>
              <w:spacing w:line="240" w:lineRule="auto"/>
              <w:ind w:left="110" w:leftChars="50" w:right="44" w:rightChars="20"/>
              <w:textAlignment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sz w:val="21"/>
                <w:szCs w:val="21"/>
                <w:highlight w:val="none"/>
                <w:lang w:eastAsia="zh-CN"/>
              </w:rPr>
              <w:t>（</w:t>
            </w:r>
            <w:r>
              <w:rPr>
                <w:rFonts w:hint="eastAsia" w:ascii="方正仿宋_GB2312" w:hAnsi="方正仿宋_GB2312" w:eastAsia="方正仿宋_GB2312" w:cs="方正仿宋_GB2312"/>
                <w:sz w:val="21"/>
                <w:szCs w:val="21"/>
                <w:highlight w:val="none"/>
              </w:rPr>
              <w:t>不提供</w:t>
            </w:r>
            <w:r>
              <w:rPr>
                <w:rFonts w:hint="eastAsia" w:ascii="方正仿宋_GB2312" w:hAnsi="方正仿宋_GB2312" w:eastAsia="方正仿宋_GB2312" w:cs="方正仿宋_GB2312"/>
                <w:sz w:val="21"/>
                <w:szCs w:val="21"/>
                <w:highlight w:val="none"/>
                <w:lang w:eastAsia="zh-CN"/>
              </w:rPr>
              <w:t>的</w:t>
            </w:r>
            <w:r>
              <w:rPr>
                <w:rFonts w:hint="eastAsia" w:ascii="方正仿宋_GB2312" w:hAnsi="方正仿宋_GB2312" w:eastAsia="方正仿宋_GB2312" w:cs="方正仿宋_GB2312"/>
                <w:sz w:val="21"/>
                <w:szCs w:val="21"/>
                <w:highlight w:val="none"/>
              </w:rPr>
              <w:t>不得分。</w:t>
            </w:r>
            <w:r>
              <w:rPr>
                <w:rFonts w:hint="eastAsia" w:ascii="方正仿宋_GB2312" w:hAnsi="方正仿宋_GB2312" w:eastAsia="方正仿宋_GB2312" w:cs="方正仿宋_GB2312"/>
                <w:sz w:val="21"/>
                <w:szCs w:val="21"/>
                <w:highlight w:val="none"/>
                <w:lang w:eastAsia="zh-CN"/>
              </w:rPr>
              <w:t>）</w:t>
            </w:r>
          </w:p>
        </w:tc>
      </w:tr>
      <w:tr>
        <w:tblPrEx>
          <w:tblCellMar>
            <w:top w:w="0" w:type="dxa"/>
            <w:left w:w="0" w:type="dxa"/>
            <w:bottom w:w="0" w:type="dxa"/>
            <w:right w:w="0" w:type="dxa"/>
          </w:tblCellMar>
        </w:tblPrEx>
        <w:trPr>
          <w:trHeight w:val="1049" w:hRule="atLeast"/>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pStyle w:val="23"/>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right="48" w:rightChars="22"/>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勘察设计方案</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2312" w:hAnsi="方正仿宋_GB2312" w:eastAsia="方正仿宋_GB2312" w:cs="方正仿宋_GB2312"/>
                <w:color w:val="auto"/>
                <w:sz w:val="21"/>
                <w:szCs w:val="21"/>
                <w:highlight w:val="none"/>
                <w:lang w:val="zh-CN" w:eastAsia="zh-CN"/>
              </w:rPr>
            </w:pPr>
            <w:r>
              <w:rPr>
                <w:rFonts w:hint="eastAsia" w:ascii="方正仿宋_GB2312" w:hAnsi="方正仿宋_GB2312" w:eastAsia="方正仿宋_GB2312" w:cs="方正仿宋_GB2312"/>
                <w:bCs/>
                <w:sz w:val="21"/>
                <w:szCs w:val="21"/>
                <w:lang w:eastAsia="zh-CN"/>
              </w:rPr>
              <w:t>（</w:t>
            </w:r>
            <w:r>
              <w:rPr>
                <w:rFonts w:hint="eastAsia" w:ascii="方正仿宋_GB2312" w:hAnsi="方正仿宋_GB2312" w:eastAsia="方正仿宋_GB2312" w:cs="方正仿宋_GB2312"/>
                <w:bCs/>
                <w:sz w:val="21"/>
                <w:szCs w:val="21"/>
                <w:highlight w:val="none"/>
                <w:lang w:val="en-US" w:eastAsia="zh-CN"/>
              </w:rPr>
              <w:t>12</w:t>
            </w:r>
            <w:r>
              <w:rPr>
                <w:rFonts w:hint="eastAsia" w:ascii="方正仿宋_GB2312" w:hAnsi="方正仿宋_GB2312" w:eastAsia="方正仿宋_GB2312" w:cs="方正仿宋_GB2312"/>
                <w:bCs/>
                <w:sz w:val="21"/>
                <w:szCs w:val="21"/>
                <w:lang w:val="en-US" w:eastAsia="zh-CN"/>
              </w:rPr>
              <w:t>分</w:t>
            </w:r>
            <w:r>
              <w:rPr>
                <w:rFonts w:hint="eastAsia" w:ascii="方正仿宋_GB2312" w:hAnsi="方正仿宋_GB2312" w:eastAsia="方正仿宋_GB2312" w:cs="方正仿宋_GB2312"/>
                <w:bCs/>
                <w:sz w:val="21"/>
                <w:szCs w:val="21"/>
                <w:lang w:eastAsia="zh-CN"/>
              </w:rPr>
              <w:t>）</w:t>
            </w:r>
          </w:p>
        </w:tc>
        <w:tc>
          <w:tcPr>
            <w:tcW w:w="54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right="48" w:rightChars="22"/>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设计方案：主要考察投标人提出的勘察设计方案的合理性和可行性。合理、可行、能满足设计需要的得满分，其它按不同等级给分。</w:t>
            </w:r>
          </w:p>
          <w:p>
            <w:pPr>
              <w:pStyle w:val="26"/>
              <w:keepNext w:val="0"/>
              <w:keepLines w:val="0"/>
              <w:pageBreakBefore w:val="0"/>
              <w:numPr>
                <w:ilvl w:val="0"/>
                <w:numId w:val="0"/>
              </w:numPr>
              <w:kinsoku/>
              <w:wordWrap/>
              <w:overflowPunct/>
              <w:topLinePunct w:val="0"/>
              <w:autoSpaceDE/>
              <w:autoSpaceDN/>
              <w:bidi w:val="0"/>
              <w:spacing w:line="240" w:lineRule="auto"/>
              <w:ind w:leftChars="0"/>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【优】得（</w:t>
            </w:r>
            <w:r>
              <w:rPr>
                <w:rFonts w:hint="eastAsia" w:ascii="方正仿宋_GB2312" w:hAnsi="方正仿宋_GB2312" w:eastAsia="方正仿宋_GB2312" w:cs="方正仿宋_GB2312"/>
                <w:sz w:val="21"/>
                <w:szCs w:val="21"/>
                <w:highlight w:val="none"/>
                <w:lang w:val="en-US" w:eastAsia="zh-CN"/>
              </w:rPr>
              <w:t>11</w:t>
            </w:r>
            <w:r>
              <w:rPr>
                <w:rFonts w:hint="eastAsia" w:ascii="方正仿宋_GB2312" w:hAnsi="方正仿宋_GB2312" w:eastAsia="方正仿宋_GB2312" w:cs="方正仿宋_GB2312"/>
                <w:sz w:val="21"/>
                <w:szCs w:val="21"/>
                <w:highlight w:val="none"/>
              </w:rPr>
              <w:t>.1～1</w:t>
            </w:r>
            <w:r>
              <w:rPr>
                <w:rFonts w:hint="eastAsia" w:ascii="方正仿宋_GB2312" w:hAnsi="方正仿宋_GB2312" w:eastAsia="方正仿宋_GB2312" w:cs="方正仿宋_GB2312"/>
                <w:sz w:val="21"/>
                <w:szCs w:val="21"/>
                <w:highlight w:val="none"/>
                <w:lang w:val="en-US" w:eastAsia="zh-CN"/>
              </w:rPr>
              <w:t>2</w:t>
            </w:r>
            <w:r>
              <w:rPr>
                <w:rFonts w:hint="eastAsia" w:ascii="方正仿宋_GB2312" w:hAnsi="方正仿宋_GB2312" w:eastAsia="方正仿宋_GB2312" w:cs="方正仿宋_GB2312"/>
                <w:sz w:val="21"/>
                <w:szCs w:val="21"/>
                <w:highlight w:val="none"/>
              </w:rPr>
              <w:t>分），【良】得（</w:t>
            </w:r>
            <w:r>
              <w:rPr>
                <w:rFonts w:hint="eastAsia" w:ascii="方正仿宋_GB2312" w:hAnsi="方正仿宋_GB2312" w:eastAsia="方正仿宋_GB2312" w:cs="方正仿宋_GB2312"/>
                <w:sz w:val="21"/>
                <w:szCs w:val="21"/>
                <w:highlight w:val="none"/>
                <w:lang w:val="en-US" w:eastAsia="zh-CN"/>
              </w:rPr>
              <w:t>10</w:t>
            </w:r>
            <w:r>
              <w:rPr>
                <w:rFonts w:hint="eastAsia" w:ascii="方正仿宋_GB2312" w:hAnsi="方正仿宋_GB2312" w:eastAsia="方正仿宋_GB2312" w:cs="方正仿宋_GB2312"/>
                <w:sz w:val="21"/>
                <w:szCs w:val="21"/>
                <w:highlight w:val="none"/>
              </w:rPr>
              <w:t>.1～</w:t>
            </w:r>
            <w:r>
              <w:rPr>
                <w:rFonts w:hint="eastAsia" w:ascii="方正仿宋_GB2312" w:hAnsi="方正仿宋_GB2312" w:eastAsia="方正仿宋_GB2312" w:cs="方正仿宋_GB2312"/>
                <w:sz w:val="21"/>
                <w:szCs w:val="21"/>
                <w:highlight w:val="none"/>
                <w:lang w:val="en-US" w:eastAsia="zh-CN"/>
              </w:rPr>
              <w:t>11</w:t>
            </w:r>
            <w:r>
              <w:rPr>
                <w:rFonts w:hint="eastAsia" w:ascii="方正仿宋_GB2312" w:hAnsi="方正仿宋_GB2312" w:eastAsia="方正仿宋_GB2312" w:cs="方正仿宋_GB2312"/>
                <w:sz w:val="21"/>
                <w:szCs w:val="21"/>
                <w:highlight w:val="none"/>
              </w:rPr>
              <w:t>分），【一般】得（</w:t>
            </w:r>
            <w:r>
              <w:rPr>
                <w:rFonts w:hint="eastAsia" w:ascii="方正仿宋_GB2312" w:hAnsi="方正仿宋_GB2312" w:eastAsia="方正仿宋_GB2312" w:cs="方正仿宋_GB2312"/>
                <w:sz w:val="21"/>
                <w:szCs w:val="21"/>
                <w:highlight w:val="none"/>
                <w:lang w:val="en-US" w:eastAsia="zh-CN"/>
              </w:rPr>
              <w:t>10</w:t>
            </w:r>
            <w:r>
              <w:rPr>
                <w:rFonts w:hint="eastAsia" w:ascii="方正仿宋_GB2312" w:hAnsi="方正仿宋_GB2312" w:eastAsia="方正仿宋_GB2312" w:cs="方正仿宋_GB2312"/>
                <w:sz w:val="21"/>
                <w:szCs w:val="21"/>
                <w:highlight w:val="none"/>
              </w:rPr>
              <w:t>分）。</w:t>
            </w:r>
          </w:p>
          <w:p>
            <w:pPr>
              <w:keepNext w:val="0"/>
              <w:keepLines w:val="0"/>
              <w:pageBreakBefore w:val="0"/>
              <w:widowControl/>
              <w:kinsoku/>
              <w:wordWrap/>
              <w:overflowPunct/>
              <w:topLinePunct w:val="0"/>
              <w:autoSpaceDE/>
              <w:autoSpaceDN/>
              <w:bidi w:val="0"/>
              <w:spacing w:line="240" w:lineRule="auto"/>
              <w:ind w:left="110" w:leftChars="50" w:right="44" w:rightChars="20"/>
              <w:textAlignment w:val="center"/>
              <w:rPr>
                <w:rFonts w:hint="eastAsia" w:ascii="方正仿宋_GB2312" w:hAnsi="方正仿宋_GB2312" w:eastAsia="方正仿宋_GB2312" w:cs="方正仿宋_GB2312"/>
                <w:color w:val="auto"/>
                <w:highlight w:val="none"/>
                <w:lang w:eastAsia="zh-CN" w:bidi="ar"/>
              </w:rPr>
            </w:pP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不提供</w:t>
            </w:r>
            <w:r>
              <w:rPr>
                <w:rFonts w:hint="eastAsia" w:ascii="方正仿宋_GB2312" w:hAnsi="方正仿宋_GB2312" w:eastAsia="方正仿宋_GB2312" w:cs="方正仿宋_GB2312"/>
                <w:sz w:val="21"/>
                <w:szCs w:val="21"/>
                <w:lang w:eastAsia="zh-CN"/>
              </w:rPr>
              <w:t>的</w:t>
            </w:r>
            <w:r>
              <w:rPr>
                <w:rFonts w:hint="eastAsia" w:ascii="方正仿宋_GB2312" w:hAnsi="方正仿宋_GB2312" w:eastAsia="方正仿宋_GB2312" w:cs="方正仿宋_GB2312"/>
                <w:sz w:val="21"/>
                <w:szCs w:val="21"/>
              </w:rPr>
              <w:t>不得分。</w:t>
            </w:r>
            <w:r>
              <w:rPr>
                <w:rFonts w:hint="eastAsia" w:ascii="方正仿宋_GB2312" w:hAnsi="方正仿宋_GB2312" w:eastAsia="方正仿宋_GB2312" w:cs="方正仿宋_GB2312"/>
                <w:sz w:val="21"/>
                <w:szCs w:val="21"/>
                <w:lang w:eastAsia="zh-CN"/>
              </w:rPr>
              <w:t>）</w:t>
            </w:r>
          </w:p>
        </w:tc>
      </w:tr>
      <w:tr>
        <w:tblPrEx>
          <w:tblCellMar>
            <w:top w:w="0" w:type="dxa"/>
            <w:left w:w="0" w:type="dxa"/>
            <w:bottom w:w="0" w:type="dxa"/>
            <w:right w:w="0" w:type="dxa"/>
          </w:tblCellMar>
        </w:tblPrEx>
        <w:trPr>
          <w:trHeight w:val="975" w:hRule="atLeast"/>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ind w:right="48" w:rightChars="22"/>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进度计划及其保证措施</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bCs/>
                <w:sz w:val="21"/>
                <w:szCs w:val="21"/>
                <w:lang w:eastAsia="zh-CN"/>
              </w:rPr>
              <w:t>（</w:t>
            </w:r>
            <w:r>
              <w:rPr>
                <w:rFonts w:hint="eastAsia" w:ascii="方正仿宋_GB2312" w:hAnsi="方正仿宋_GB2312" w:eastAsia="方正仿宋_GB2312" w:cs="方正仿宋_GB2312"/>
                <w:bCs/>
                <w:sz w:val="21"/>
                <w:szCs w:val="21"/>
                <w:highlight w:val="none"/>
                <w:lang w:val="en-US" w:eastAsia="zh-CN"/>
              </w:rPr>
              <w:t>12</w:t>
            </w:r>
            <w:r>
              <w:rPr>
                <w:rFonts w:hint="eastAsia" w:ascii="方正仿宋_GB2312" w:hAnsi="方正仿宋_GB2312" w:eastAsia="方正仿宋_GB2312" w:cs="方正仿宋_GB2312"/>
                <w:bCs/>
                <w:sz w:val="21"/>
                <w:szCs w:val="21"/>
                <w:lang w:val="en-US" w:eastAsia="zh-CN"/>
              </w:rPr>
              <w:t>分</w:t>
            </w:r>
            <w:r>
              <w:rPr>
                <w:rFonts w:hint="eastAsia" w:ascii="方正仿宋_GB2312" w:hAnsi="方正仿宋_GB2312" w:eastAsia="方正仿宋_GB2312" w:cs="方正仿宋_GB2312"/>
                <w:bCs/>
                <w:sz w:val="21"/>
                <w:szCs w:val="21"/>
                <w:lang w:eastAsia="zh-CN"/>
              </w:rPr>
              <w:t>）</w:t>
            </w:r>
          </w:p>
        </w:tc>
        <w:tc>
          <w:tcPr>
            <w:tcW w:w="5476"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auto"/>
              <w:ind w:right="48" w:rightChars="22"/>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主要考察投标人的进度计划及其保证措施。进度计划满足招标文件要求，进度计划的各项保证措施（如人员、资金、设备等）具体、可行的得满分，其它按不同等级给分。</w:t>
            </w:r>
          </w:p>
          <w:p>
            <w:pPr>
              <w:pStyle w:val="26"/>
              <w:keepNext w:val="0"/>
              <w:keepLines w:val="0"/>
              <w:pageBreakBefore w:val="0"/>
              <w:numPr>
                <w:ilvl w:val="0"/>
                <w:numId w:val="0"/>
              </w:numPr>
              <w:kinsoku/>
              <w:wordWrap/>
              <w:overflowPunct/>
              <w:topLinePunct w:val="0"/>
              <w:autoSpaceDE/>
              <w:autoSpaceDN/>
              <w:bidi w:val="0"/>
              <w:spacing w:line="240" w:lineRule="auto"/>
              <w:ind w:leftChars="0"/>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【优】得（</w:t>
            </w:r>
            <w:r>
              <w:rPr>
                <w:rFonts w:hint="eastAsia" w:ascii="方正仿宋_GB2312" w:hAnsi="方正仿宋_GB2312" w:eastAsia="方正仿宋_GB2312" w:cs="方正仿宋_GB2312"/>
                <w:sz w:val="21"/>
                <w:szCs w:val="21"/>
                <w:highlight w:val="none"/>
                <w:lang w:val="en-US" w:eastAsia="zh-CN"/>
              </w:rPr>
              <w:t>11</w:t>
            </w:r>
            <w:r>
              <w:rPr>
                <w:rFonts w:hint="eastAsia" w:ascii="方正仿宋_GB2312" w:hAnsi="方正仿宋_GB2312" w:eastAsia="方正仿宋_GB2312" w:cs="方正仿宋_GB2312"/>
                <w:sz w:val="21"/>
                <w:szCs w:val="21"/>
                <w:highlight w:val="none"/>
              </w:rPr>
              <w:t>.1～1</w:t>
            </w:r>
            <w:r>
              <w:rPr>
                <w:rFonts w:hint="eastAsia" w:ascii="方正仿宋_GB2312" w:hAnsi="方正仿宋_GB2312" w:eastAsia="方正仿宋_GB2312" w:cs="方正仿宋_GB2312"/>
                <w:sz w:val="21"/>
                <w:szCs w:val="21"/>
                <w:highlight w:val="none"/>
                <w:lang w:val="en-US" w:eastAsia="zh-CN"/>
              </w:rPr>
              <w:t>2</w:t>
            </w:r>
            <w:r>
              <w:rPr>
                <w:rFonts w:hint="eastAsia" w:ascii="方正仿宋_GB2312" w:hAnsi="方正仿宋_GB2312" w:eastAsia="方正仿宋_GB2312" w:cs="方正仿宋_GB2312"/>
                <w:sz w:val="21"/>
                <w:szCs w:val="21"/>
                <w:highlight w:val="none"/>
              </w:rPr>
              <w:t>分），【良】得（</w:t>
            </w:r>
            <w:r>
              <w:rPr>
                <w:rFonts w:hint="eastAsia" w:ascii="方正仿宋_GB2312" w:hAnsi="方正仿宋_GB2312" w:eastAsia="方正仿宋_GB2312" w:cs="方正仿宋_GB2312"/>
                <w:sz w:val="21"/>
                <w:szCs w:val="21"/>
                <w:highlight w:val="none"/>
                <w:lang w:val="en-US" w:eastAsia="zh-CN"/>
              </w:rPr>
              <w:t>10</w:t>
            </w:r>
            <w:r>
              <w:rPr>
                <w:rFonts w:hint="eastAsia" w:ascii="方正仿宋_GB2312" w:hAnsi="方正仿宋_GB2312" w:eastAsia="方正仿宋_GB2312" w:cs="方正仿宋_GB2312"/>
                <w:sz w:val="21"/>
                <w:szCs w:val="21"/>
                <w:highlight w:val="none"/>
              </w:rPr>
              <w:t>.1～</w:t>
            </w:r>
            <w:r>
              <w:rPr>
                <w:rFonts w:hint="eastAsia" w:ascii="方正仿宋_GB2312" w:hAnsi="方正仿宋_GB2312" w:eastAsia="方正仿宋_GB2312" w:cs="方正仿宋_GB2312"/>
                <w:sz w:val="21"/>
                <w:szCs w:val="21"/>
                <w:highlight w:val="none"/>
                <w:lang w:val="en-US" w:eastAsia="zh-CN"/>
              </w:rPr>
              <w:t>11</w:t>
            </w:r>
            <w:r>
              <w:rPr>
                <w:rFonts w:hint="eastAsia" w:ascii="方正仿宋_GB2312" w:hAnsi="方正仿宋_GB2312" w:eastAsia="方正仿宋_GB2312" w:cs="方正仿宋_GB2312"/>
                <w:sz w:val="21"/>
                <w:szCs w:val="21"/>
                <w:highlight w:val="none"/>
              </w:rPr>
              <w:t>分），【一般】得（</w:t>
            </w:r>
            <w:r>
              <w:rPr>
                <w:rFonts w:hint="eastAsia" w:ascii="方正仿宋_GB2312" w:hAnsi="方正仿宋_GB2312" w:eastAsia="方正仿宋_GB2312" w:cs="方正仿宋_GB2312"/>
                <w:sz w:val="21"/>
                <w:szCs w:val="21"/>
                <w:highlight w:val="none"/>
                <w:lang w:val="en-US" w:eastAsia="zh-CN"/>
              </w:rPr>
              <w:t>10</w:t>
            </w:r>
            <w:r>
              <w:rPr>
                <w:rFonts w:hint="eastAsia" w:ascii="方正仿宋_GB2312" w:hAnsi="方正仿宋_GB2312" w:eastAsia="方正仿宋_GB2312" w:cs="方正仿宋_GB2312"/>
                <w:sz w:val="21"/>
                <w:szCs w:val="21"/>
                <w:highlight w:val="none"/>
              </w:rPr>
              <w:t>分）。</w:t>
            </w:r>
          </w:p>
          <w:p>
            <w:pPr>
              <w:keepNext w:val="0"/>
              <w:keepLines w:val="0"/>
              <w:pageBreakBefore w:val="0"/>
              <w:kinsoku/>
              <w:wordWrap/>
              <w:overflowPunct/>
              <w:topLinePunct w:val="0"/>
              <w:autoSpaceDE/>
              <w:autoSpaceDN/>
              <w:bidi w:val="0"/>
              <w:adjustRightInd w:val="0"/>
              <w:snapToGrid w:val="0"/>
              <w:spacing w:line="240" w:lineRule="auto"/>
              <w:ind w:left="110" w:leftChars="50" w:right="44" w:rightChars="20"/>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不提供</w:t>
            </w:r>
            <w:r>
              <w:rPr>
                <w:rFonts w:hint="eastAsia" w:ascii="方正仿宋_GB2312" w:hAnsi="方正仿宋_GB2312" w:eastAsia="方正仿宋_GB2312" w:cs="方正仿宋_GB2312"/>
                <w:sz w:val="21"/>
                <w:szCs w:val="21"/>
                <w:lang w:eastAsia="zh-CN"/>
              </w:rPr>
              <w:t>的</w:t>
            </w:r>
            <w:r>
              <w:rPr>
                <w:rFonts w:hint="eastAsia" w:ascii="方正仿宋_GB2312" w:hAnsi="方正仿宋_GB2312" w:eastAsia="方正仿宋_GB2312" w:cs="方正仿宋_GB2312"/>
                <w:sz w:val="21"/>
                <w:szCs w:val="21"/>
              </w:rPr>
              <w:t>不得分。</w:t>
            </w:r>
            <w:r>
              <w:rPr>
                <w:rFonts w:hint="eastAsia" w:ascii="方正仿宋_GB2312" w:hAnsi="方正仿宋_GB2312" w:eastAsia="方正仿宋_GB2312" w:cs="方正仿宋_GB2312"/>
                <w:sz w:val="21"/>
                <w:szCs w:val="21"/>
                <w:lang w:eastAsia="zh-CN"/>
              </w:rPr>
              <w:t>）</w:t>
            </w:r>
          </w:p>
        </w:tc>
      </w:tr>
      <w:tr>
        <w:tblPrEx>
          <w:tblCellMar>
            <w:top w:w="0" w:type="dxa"/>
            <w:left w:w="0" w:type="dxa"/>
            <w:bottom w:w="0" w:type="dxa"/>
            <w:right w:w="0" w:type="dxa"/>
          </w:tblCellMar>
        </w:tblPrEx>
        <w:trPr>
          <w:trHeight w:val="686" w:hRule="atLeast"/>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auto"/>
              <w:ind w:right="48" w:rightChars="22"/>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质量控制措施</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2312" w:hAnsi="方正仿宋_GB2312" w:eastAsia="方正仿宋_GB2312" w:cs="方正仿宋_GB2312"/>
                <w:color w:val="auto"/>
                <w:sz w:val="21"/>
                <w:szCs w:val="21"/>
                <w:highlight w:val="none"/>
                <w:lang w:val="zh-CN" w:eastAsia="zh-CN"/>
              </w:rPr>
            </w:pPr>
            <w:r>
              <w:rPr>
                <w:rFonts w:hint="eastAsia" w:ascii="方正仿宋_GB2312" w:hAnsi="方正仿宋_GB2312" w:eastAsia="方正仿宋_GB2312" w:cs="方正仿宋_GB2312"/>
                <w:bCs/>
                <w:sz w:val="21"/>
                <w:szCs w:val="21"/>
                <w:lang w:eastAsia="zh-CN"/>
              </w:rPr>
              <w:t>（</w:t>
            </w:r>
            <w:r>
              <w:rPr>
                <w:rFonts w:hint="eastAsia" w:ascii="方正仿宋_GB2312" w:hAnsi="方正仿宋_GB2312" w:eastAsia="方正仿宋_GB2312" w:cs="方正仿宋_GB2312"/>
                <w:bCs/>
                <w:sz w:val="21"/>
                <w:szCs w:val="21"/>
                <w:highlight w:val="none"/>
                <w:lang w:val="en-US" w:eastAsia="zh-CN"/>
              </w:rPr>
              <w:t>12</w:t>
            </w:r>
            <w:r>
              <w:rPr>
                <w:rFonts w:hint="eastAsia" w:ascii="方正仿宋_GB2312" w:hAnsi="方正仿宋_GB2312" w:eastAsia="方正仿宋_GB2312" w:cs="方正仿宋_GB2312"/>
                <w:bCs/>
                <w:sz w:val="21"/>
                <w:szCs w:val="21"/>
                <w:lang w:val="en-US" w:eastAsia="zh-CN"/>
              </w:rPr>
              <w:t>分</w:t>
            </w:r>
            <w:r>
              <w:rPr>
                <w:rFonts w:hint="eastAsia" w:ascii="方正仿宋_GB2312" w:hAnsi="方正仿宋_GB2312" w:eastAsia="方正仿宋_GB2312" w:cs="方正仿宋_GB2312"/>
                <w:bCs/>
                <w:sz w:val="21"/>
                <w:szCs w:val="21"/>
                <w:lang w:eastAsia="zh-CN"/>
              </w:rPr>
              <w:t>）</w:t>
            </w:r>
          </w:p>
        </w:tc>
        <w:tc>
          <w:tcPr>
            <w:tcW w:w="547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auto"/>
              <w:ind w:right="48" w:rightChars="22"/>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主要考察投标人勘察设计过程的质量控制措施。质量控制措施具体、责任明确、满足有关规程规范的可得满分，其它按不同等级给分。</w:t>
            </w:r>
          </w:p>
          <w:p>
            <w:pPr>
              <w:pStyle w:val="26"/>
              <w:keepNext w:val="0"/>
              <w:keepLines w:val="0"/>
              <w:pageBreakBefore w:val="0"/>
              <w:numPr>
                <w:ilvl w:val="0"/>
                <w:numId w:val="0"/>
              </w:numPr>
              <w:kinsoku/>
              <w:wordWrap/>
              <w:overflowPunct/>
              <w:topLinePunct w:val="0"/>
              <w:autoSpaceDE/>
              <w:autoSpaceDN/>
              <w:bidi w:val="0"/>
              <w:spacing w:line="240" w:lineRule="auto"/>
              <w:ind w:leftChars="0"/>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【优】得（</w:t>
            </w:r>
            <w:r>
              <w:rPr>
                <w:rFonts w:hint="eastAsia" w:ascii="方正仿宋_GB2312" w:hAnsi="方正仿宋_GB2312" w:eastAsia="方正仿宋_GB2312" w:cs="方正仿宋_GB2312"/>
                <w:sz w:val="21"/>
                <w:szCs w:val="21"/>
                <w:highlight w:val="none"/>
                <w:lang w:val="en-US" w:eastAsia="zh-CN"/>
              </w:rPr>
              <w:t>11</w:t>
            </w:r>
            <w:r>
              <w:rPr>
                <w:rFonts w:hint="eastAsia" w:ascii="方正仿宋_GB2312" w:hAnsi="方正仿宋_GB2312" w:eastAsia="方正仿宋_GB2312" w:cs="方正仿宋_GB2312"/>
                <w:sz w:val="21"/>
                <w:szCs w:val="21"/>
                <w:highlight w:val="none"/>
              </w:rPr>
              <w:t>.1～1</w:t>
            </w:r>
            <w:r>
              <w:rPr>
                <w:rFonts w:hint="eastAsia" w:ascii="方正仿宋_GB2312" w:hAnsi="方正仿宋_GB2312" w:eastAsia="方正仿宋_GB2312" w:cs="方正仿宋_GB2312"/>
                <w:sz w:val="21"/>
                <w:szCs w:val="21"/>
                <w:highlight w:val="none"/>
                <w:lang w:val="en-US" w:eastAsia="zh-CN"/>
              </w:rPr>
              <w:t>2</w:t>
            </w:r>
            <w:r>
              <w:rPr>
                <w:rFonts w:hint="eastAsia" w:ascii="方正仿宋_GB2312" w:hAnsi="方正仿宋_GB2312" w:eastAsia="方正仿宋_GB2312" w:cs="方正仿宋_GB2312"/>
                <w:sz w:val="21"/>
                <w:szCs w:val="21"/>
                <w:highlight w:val="none"/>
              </w:rPr>
              <w:t>分），【良】得（</w:t>
            </w:r>
            <w:r>
              <w:rPr>
                <w:rFonts w:hint="eastAsia" w:ascii="方正仿宋_GB2312" w:hAnsi="方正仿宋_GB2312" w:eastAsia="方正仿宋_GB2312" w:cs="方正仿宋_GB2312"/>
                <w:sz w:val="21"/>
                <w:szCs w:val="21"/>
                <w:highlight w:val="none"/>
                <w:lang w:val="en-US" w:eastAsia="zh-CN"/>
              </w:rPr>
              <w:t>10</w:t>
            </w:r>
            <w:r>
              <w:rPr>
                <w:rFonts w:hint="eastAsia" w:ascii="方正仿宋_GB2312" w:hAnsi="方正仿宋_GB2312" w:eastAsia="方正仿宋_GB2312" w:cs="方正仿宋_GB2312"/>
                <w:sz w:val="21"/>
                <w:szCs w:val="21"/>
                <w:highlight w:val="none"/>
              </w:rPr>
              <w:t>.1～</w:t>
            </w:r>
            <w:r>
              <w:rPr>
                <w:rFonts w:hint="eastAsia" w:ascii="方正仿宋_GB2312" w:hAnsi="方正仿宋_GB2312" w:eastAsia="方正仿宋_GB2312" w:cs="方正仿宋_GB2312"/>
                <w:sz w:val="21"/>
                <w:szCs w:val="21"/>
                <w:highlight w:val="none"/>
                <w:lang w:val="en-US" w:eastAsia="zh-CN"/>
              </w:rPr>
              <w:t>11</w:t>
            </w:r>
            <w:r>
              <w:rPr>
                <w:rFonts w:hint="eastAsia" w:ascii="方正仿宋_GB2312" w:hAnsi="方正仿宋_GB2312" w:eastAsia="方正仿宋_GB2312" w:cs="方正仿宋_GB2312"/>
                <w:sz w:val="21"/>
                <w:szCs w:val="21"/>
                <w:highlight w:val="none"/>
              </w:rPr>
              <w:t>分），【一般】得（</w:t>
            </w:r>
            <w:r>
              <w:rPr>
                <w:rFonts w:hint="eastAsia" w:ascii="方正仿宋_GB2312" w:hAnsi="方正仿宋_GB2312" w:eastAsia="方正仿宋_GB2312" w:cs="方正仿宋_GB2312"/>
                <w:sz w:val="21"/>
                <w:szCs w:val="21"/>
                <w:highlight w:val="none"/>
                <w:lang w:val="en-US" w:eastAsia="zh-CN"/>
              </w:rPr>
              <w:t>10</w:t>
            </w:r>
            <w:r>
              <w:rPr>
                <w:rFonts w:hint="eastAsia" w:ascii="方正仿宋_GB2312" w:hAnsi="方正仿宋_GB2312" w:eastAsia="方正仿宋_GB2312" w:cs="方正仿宋_GB2312"/>
                <w:sz w:val="21"/>
                <w:szCs w:val="21"/>
                <w:highlight w:val="none"/>
              </w:rPr>
              <w:t>分）。</w:t>
            </w:r>
          </w:p>
          <w:p>
            <w:pPr>
              <w:keepNext w:val="0"/>
              <w:keepLines w:val="0"/>
              <w:pageBreakBefore w:val="0"/>
              <w:widowControl/>
              <w:kinsoku/>
              <w:wordWrap/>
              <w:overflowPunct/>
              <w:topLinePunct w:val="0"/>
              <w:autoSpaceDE/>
              <w:autoSpaceDN/>
              <w:bidi w:val="0"/>
              <w:spacing w:line="240" w:lineRule="auto"/>
              <w:ind w:left="110" w:leftChars="50" w:right="44" w:rightChars="20"/>
              <w:jc w:val="both"/>
              <w:textAlignment w:val="center"/>
              <w:rPr>
                <w:rFonts w:hint="eastAsia" w:ascii="方正仿宋_GB2312" w:hAnsi="方正仿宋_GB2312" w:eastAsia="方正仿宋_GB2312" w:cs="方正仿宋_GB2312"/>
                <w:color w:val="auto"/>
                <w:highlight w:val="none"/>
                <w:lang w:eastAsia="zh-CN" w:bidi="ar"/>
              </w:rPr>
            </w:pP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不提供</w:t>
            </w:r>
            <w:r>
              <w:rPr>
                <w:rFonts w:hint="eastAsia" w:ascii="方正仿宋_GB2312" w:hAnsi="方正仿宋_GB2312" w:eastAsia="方正仿宋_GB2312" w:cs="方正仿宋_GB2312"/>
                <w:sz w:val="21"/>
                <w:szCs w:val="21"/>
                <w:lang w:eastAsia="zh-CN"/>
              </w:rPr>
              <w:t>的</w:t>
            </w:r>
            <w:r>
              <w:rPr>
                <w:rFonts w:hint="eastAsia" w:ascii="方正仿宋_GB2312" w:hAnsi="方正仿宋_GB2312" w:eastAsia="方正仿宋_GB2312" w:cs="方正仿宋_GB2312"/>
                <w:sz w:val="21"/>
                <w:szCs w:val="21"/>
              </w:rPr>
              <w:t>不得分。</w:t>
            </w:r>
            <w:r>
              <w:rPr>
                <w:rFonts w:hint="eastAsia" w:ascii="方正仿宋_GB2312" w:hAnsi="方正仿宋_GB2312" w:eastAsia="方正仿宋_GB2312" w:cs="方正仿宋_GB2312"/>
                <w:sz w:val="21"/>
                <w:szCs w:val="21"/>
                <w:lang w:eastAsia="zh-CN"/>
              </w:rPr>
              <w:t>）</w:t>
            </w:r>
          </w:p>
        </w:tc>
      </w:tr>
      <w:tr>
        <w:tblPrEx>
          <w:tblCellMar>
            <w:top w:w="0" w:type="dxa"/>
            <w:left w:w="0" w:type="dxa"/>
            <w:bottom w:w="0" w:type="dxa"/>
            <w:right w:w="0" w:type="dxa"/>
          </w:tblCellMar>
        </w:tblPrEx>
        <w:trPr>
          <w:trHeight w:val="1183" w:hRule="atLeast"/>
          <w:jc w:val="center"/>
        </w:trPr>
        <w:tc>
          <w:tcPr>
            <w:tcW w:w="6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06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pacing w:before="120" w:beforeLines="50" w:line="240" w:lineRule="auto"/>
              <w:jc w:val="center"/>
              <w:rPr>
                <w:rFonts w:hint="eastAsia" w:ascii="方正仿宋_GB2312" w:hAnsi="方正仿宋_GB2312" w:eastAsia="方正仿宋_GB2312" w:cs="方正仿宋_GB2312"/>
                <w:color w:val="auto"/>
                <w:sz w:val="21"/>
                <w:szCs w:val="21"/>
                <w:highlight w:val="none"/>
                <w:lang w:eastAsia="zh-CN"/>
              </w:rPr>
            </w:pPr>
          </w:p>
        </w:tc>
        <w:tc>
          <w:tcPr>
            <w:tcW w:w="1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auto"/>
              <w:ind w:right="48" w:rightChars="22"/>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造价控制措施</w:t>
            </w:r>
          </w:p>
          <w:p>
            <w:pPr>
              <w:keepNext w:val="0"/>
              <w:keepLines w:val="0"/>
              <w:pageBreakBefore w:val="0"/>
              <w:kinsoku/>
              <w:wordWrap/>
              <w:overflowPunct/>
              <w:topLinePunct w:val="0"/>
              <w:autoSpaceDE/>
              <w:autoSpaceDN/>
              <w:bidi w:val="0"/>
              <w:adjustRightInd w:val="0"/>
              <w:snapToGrid w:val="0"/>
              <w:spacing w:line="240" w:lineRule="auto"/>
              <w:jc w:val="center"/>
              <w:rPr>
                <w:rFonts w:hint="eastAsia" w:ascii="方正仿宋_GB2312" w:hAnsi="方正仿宋_GB2312" w:eastAsia="方正仿宋_GB2312" w:cs="方正仿宋_GB2312"/>
                <w:color w:val="auto"/>
                <w:sz w:val="21"/>
                <w:szCs w:val="21"/>
                <w:highlight w:val="none"/>
                <w:lang w:val="zh-CN" w:eastAsia="zh-CN"/>
              </w:rPr>
            </w:pPr>
            <w:r>
              <w:rPr>
                <w:rFonts w:hint="eastAsia" w:ascii="方正仿宋_GB2312" w:hAnsi="方正仿宋_GB2312" w:eastAsia="方正仿宋_GB2312" w:cs="方正仿宋_GB2312"/>
                <w:bCs/>
                <w:sz w:val="21"/>
                <w:szCs w:val="21"/>
                <w:lang w:eastAsia="zh-CN"/>
              </w:rPr>
              <w:t>（</w:t>
            </w:r>
            <w:r>
              <w:rPr>
                <w:rFonts w:hint="eastAsia" w:ascii="方正仿宋_GB2312" w:hAnsi="方正仿宋_GB2312" w:eastAsia="方正仿宋_GB2312" w:cs="方正仿宋_GB2312"/>
                <w:bCs/>
                <w:sz w:val="21"/>
                <w:szCs w:val="21"/>
                <w:highlight w:val="none"/>
                <w:lang w:val="en-US" w:eastAsia="zh-CN"/>
              </w:rPr>
              <w:t>12</w:t>
            </w:r>
            <w:r>
              <w:rPr>
                <w:rFonts w:hint="eastAsia" w:ascii="方正仿宋_GB2312" w:hAnsi="方正仿宋_GB2312" w:eastAsia="方正仿宋_GB2312" w:cs="方正仿宋_GB2312"/>
                <w:bCs/>
                <w:sz w:val="21"/>
                <w:szCs w:val="21"/>
                <w:lang w:val="en-US" w:eastAsia="zh-CN"/>
              </w:rPr>
              <w:t>分</w:t>
            </w:r>
            <w:r>
              <w:rPr>
                <w:rFonts w:hint="eastAsia" w:ascii="方正仿宋_GB2312" w:hAnsi="方正仿宋_GB2312" w:eastAsia="方正仿宋_GB2312" w:cs="方正仿宋_GB2312"/>
                <w:bCs/>
                <w:sz w:val="21"/>
                <w:szCs w:val="21"/>
                <w:lang w:eastAsia="zh-CN"/>
              </w:rPr>
              <w:t>）</w:t>
            </w:r>
          </w:p>
        </w:tc>
        <w:tc>
          <w:tcPr>
            <w:tcW w:w="54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40" w:lineRule="auto"/>
              <w:ind w:right="48" w:rightChars="22"/>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主要考察投标人针对本工程提出的造价控制措施。造价控制措施切实可行的得满分，其它按不同等级给分。</w:t>
            </w:r>
          </w:p>
          <w:p>
            <w:pPr>
              <w:pStyle w:val="26"/>
              <w:keepNext w:val="0"/>
              <w:keepLines w:val="0"/>
              <w:pageBreakBefore w:val="0"/>
              <w:numPr>
                <w:ilvl w:val="0"/>
                <w:numId w:val="0"/>
              </w:numPr>
              <w:kinsoku/>
              <w:wordWrap/>
              <w:overflowPunct/>
              <w:topLinePunct w:val="0"/>
              <w:autoSpaceDE/>
              <w:autoSpaceDN/>
              <w:bidi w:val="0"/>
              <w:spacing w:line="240" w:lineRule="auto"/>
              <w:ind w:leftChars="0"/>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【优】得（</w:t>
            </w:r>
            <w:r>
              <w:rPr>
                <w:rFonts w:hint="eastAsia" w:ascii="方正仿宋_GB2312" w:hAnsi="方正仿宋_GB2312" w:eastAsia="方正仿宋_GB2312" w:cs="方正仿宋_GB2312"/>
                <w:sz w:val="21"/>
                <w:szCs w:val="21"/>
                <w:highlight w:val="none"/>
                <w:lang w:val="en-US" w:eastAsia="zh-CN"/>
              </w:rPr>
              <w:t>11</w:t>
            </w:r>
            <w:r>
              <w:rPr>
                <w:rFonts w:hint="eastAsia" w:ascii="方正仿宋_GB2312" w:hAnsi="方正仿宋_GB2312" w:eastAsia="方正仿宋_GB2312" w:cs="方正仿宋_GB2312"/>
                <w:sz w:val="21"/>
                <w:szCs w:val="21"/>
                <w:highlight w:val="none"/>
              </w:rPr>
              <w:t>.1～1</w:t>
            </w:r>
            <w:r>
              <w:rPr>
                <w:rFonts w:hint="eastAsia" w:ascii="方正仿宋_GB2312" w:hAnsi="方正仿宋_GB2312" w:eastAsia="方正仿宋_GB2312" w:cs="方正仿宋_GB2312"/>
                <w:sz w:val="21"/>
                <w:szCs w:val="21"/>
                <w:highlight w:val="none"/>
                <w:lang w:val="en-US" w:eastAsia="zh-CN"/>
              </w:rPr>
              <w:t>2</w:t>
            </w:r>
            <w:r>
              <w:rPr>
                <w:rFonts w:hint="eastAsia" w:ascii="方正仿宋_GB2312" w:hAnsi="方正仿宋_GB2312" w:eastAsia="方正仿宋_GB2312" w:cs="方正仿宋_GB2312"/>
                <w:sz w:val="21"/>
                <w:szCs w:val="21"/>
                <w:highlight w:val="none"/>
              </w:rPr>
              <w:t>分），【良】得（</w:t>
            </w:r>
            <w:r>
              <w:rPr>
                <w:rFonts w:hint="eastAsia" w:ascii="方正仿宋_GB2312" w:hAnsi="方正仿宋_GB2312" w:eastAsia="方正仿宋_GB2312" w:cs="方正仿宋_GB2312"/>
                <w:sz w:val="21"/>
                <w:szCs w:val="21"/>
                <w:highlight w:val="none"/>
                <w:lang w:val="en-US" w:eastAsia="zh-CN"/>
              </w:rPr>
              <w:t>10</w:t>
            </w:r>
            <w:r>
              <w:rPr>
                <w:rFonts w:hint="eastAsia" w:ascii="方正仿宋_GB2312" w:hAnsi="方正仿宋_GB2312" w:eastAsia="方正仿宋_GB2312" w:cs="方正仿宋_GB2312"/>
                <w:sz w:val="21"/>
                <w:szCs w:val="21"/>
                <w:highlight w:val="none"/>
              </w:rPr>
              <w:t>.1～</w:t>
            </w:r>
            <w:r>
              <w:rPr>
                <w:rFonts w:hint="eastAsia" w:ascii="方正仿宋_GB2312" w:hAnsi="方正仿宋_GB2312" w:eastAsia="方正仿宋_GB2312" w:cs="方正仿宋_GB2312"/>
                <w:sz w:val="21"/>
                <w:szCs w:val="21"/>
                <w:highlight w:val="none"/>
                <w:lang w:val="en-US" w:eastAsia="zh-CN"/>
              </w:rPr>
              <w:t>11</w:t>
            </w:r>
            <w:r>
              <w:rPr>
                <w:rFonts w:hint="eastAsia" w:ascii="方正仿宋_GB2312" w:hAnsi="方正仿宋_GB2312" w:eastAsia="方正仿宋_GB2312" w:cs="方正仿宋_GB2312"/>
                <w:sz w:val="21"/>
                <w:szCs w:val="21"/>
                <w:highlight w:val="none"/>
              </w:rPr>
              <w:t>分），【一般】得（</w:t>
            </w:r>
            <w:r>
              <w:rPr>
                <w:rFonts w:hint="eastAsia" w:ascii="方正仿宋_GB2312" w:hAnsi="方正仿宋_GB2312" w:eastAsia="方正仿宋_GB2312" w:cs="方正仿宋_GB2312"/>
                <w:sz w:val="21"/>
                <w:szCs w:val="21"/>
                <w:highlight w:val="none"/>
                <w:lang w:val="en-US" w:eastAsia="zh-CN"/>
              </w:rPr>
              <w:t>10</w:t>
            </w:r>
            <w:r>
              <w:rPr>
                <w:rFonts w:hint="eastAsia" w:ascii="方正仿宋_GB2312" w:hAnsi="方正仿宋_GB2312" w:eastAsia="方正仿宋_GB2312" w:cs="方正仿宋_GB2312"/>
                <w:sz w:val="21"/>
                <w:szCs w:val="21"/>
                <w:highlight w:val="none"/>
              </w:rPr>
              <w:t>分）。</w:t>
            </w:r>
          </w:p>
          <w:p>
            <w:pPr>
              <w:keepNext w:val="0"/>
              <w:keepLines w:val="0"/>
              <w:pageBreakBefore w:val="0"/>
              <w:widowControl/>
              <w:kinsoku/>
              <w:wordWrap/>
              <w:overflowPunct/>
              <w:topLinePunct w:val="0"/>
              <w:autoSpaceDE/>
              <w:autoSpaceDN/>
              <w:bidi w:val="0"/>
              <w:spacing w:line="240" w:lineRule="auto"/>
              <w:ind w:left="110" w:leftChars="50" w:right="44" w:rightChars="20"/>
              <w:textAlignment w:val="center"/>
              <w:rPr>
                <w:rFonts w:hint="eastAsia" w:ascii="方正仿宋_GB2312" w:hAnsi="方正仿宋_GB2312" w:eastAsia="方正仿宋_GB2312" w:cs="方正仿宋_GB2312"/>
                <w:color w:val="auto"/>
                <w:highlight w:val="none"/>
                <w:lang w:eastAsia="zh-CN" w:bidi="ar"/>
              </w:rPr>
            </w:pP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不提供</w:t>
            </w:r>
            <w:r>
              <w:rPr>
                <w:rFonts w:hint="eastAsia" w:ascii="方正仿宋_GB2312" w:hAnsi="方正仿宋_GB2312" w:eastAsia="方正仿宋_GB2312" w:cs="方正仿宋_GB2312"/>
                <w:sz w:val="21"/>
                <w:szCs w:val="21"/>
                <w:lang w:eastAsia="zh-CN"/>
              </w:rPr>
              <w:t>的</w:t>
            </w:r>
            <w:r>
              <w:rPr>
                <w:rFonts w:hint="eastAsia" w:ascii="方正仿宋_GB2312" w:hAnsi="方正仿宋_GB2312" w:eastAsia="方正仿宋_GB2312" w:cs="方正仿宋_GB2312"/>
                <w:sz w:val="21"/>
                <w:szCs w:val="21"/>
              </w:rPr>
              <w:t>不得分。</w:t>
            </w:r>
            <w:r>
              <w:rPr>
                <w:rFonts w:hint="eastAsia" w:ascii="方正仿宋_GB2312" w:hAnsi="方正仿宋_GB2312" w:eastAsia="方正仿宋_GB2312" w:cs="方正仿宋_GB2312"/>
                <w:sz w:val="21"/>
                <w:szCs w:val="21"/>
                <w:lang w:eastAsia="zh-CN"/>
              </w:rPr>
              <w:t>）</w:t>
            </w:r>
          </w:p>
        </w:tc>
      </w:tr>
      <w:tr>
        <w:tblPrEx>
          <w:tblCellMar>
            <w:top w:w="0" w:type="dxa"/>
            <w:left w:w="0" w:type="dxa"/>
            <w:bottom w:w="0" w:type="dxa"/>
            <w:right w:w="0" w:type="dxa"/>
          </w:tblCellMar>
        </w:tblPrEx>
        <w:trPr>
          <w:trHeight w:val="1183" w:hRule="atLeast"/>
          <w:jc w:val="center"/>
        </w:trPr>
        <w:tc>
          <w:tcPr>
            <w:tcW w:w="625" w:type="dxa"/>
            <w:tcBorders>
              <w:top w:val="single" w:color="auto" w:sz="4" w:space="0"/>
              <w:left w:val="single" w:color="auto" w:sz="4" w:space="0"/>
              <w:bottom w:val="single" w:color="auto" w:sz="4" w:space="0"/>
              <w:right w:val="single" w:color="auto" w:sz="4" w:space="0"/>
            </w:tcBorders>
            <w:noWrap w:val="0"/>
            <w:vAlign w:val="center"/>
          </w:tcPr>
          <w:p>
            <w:pPr>
              <w:pStyle w:val="23"/>
              <w:jc w:val="center"/>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rPr>
              <w:t>2.2.4（</w:t>
            </w:r>
            <w:r>
              <w:rPr>
                <w:rFonts w:hint="eastAsia" w:ascii="方正仿宋_GB2312" w:hAnsi="方正仿宋_GB2312" w:eastAsia="方正仿宋_GB2312" w:cs="方正仿宋_GB2312"/>
                <w:color w:val="auto"/>
                <w:sz w:val="21"/>
                <w:szCs w:val="21"/>
                <w:highlight w:val="none"/>
                <w:lang w:val="en-US" w:eastAsia="zh-CN"/>
              </w:rPr>
              <w:t>3</w:t>
            </w:r>
            <w:r>
              <w:rPr>
                <w:rFonts w:hint="eastAsia" w:ascii="方正仿宋_GB2312" w:hAnsi="方正仿宋_GB2312" w:eastAsia="方正仿宋_GB2312" w:cs="方正仿宋_GB2312"/>
                <w:color w:val="auto"/>
                <w:sz w:val="21"/>
                <w:szCs w:val="21"/>
                <w:highlight w:val="none"/>
              </w:rPr>
              <w:t>）</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方正仿宋_GB2312" w:hAnsi="方正仿宋_GB2312" w:eastAsia="方正仿宋_GB2312" w:cs="方正仿宋_GB2312"/>
                <w:bCs/>
                <w:color w:val="auto"/>
                <w:sz w:val="21"/>
                <w:szCs w:val="21"/>
                <w:highlight w:val="none"/>
                <w:lang w:eastAsia="zh-CN"/>
              </w:rPr>
            </w:pPr>
            <w:r>
              <w:rPr>
                <w:rFonts w:hint="eastAsia" w:ascii="方正仿宋_GB2312" w:hAnsi="方正仿宋_GB2312" w:eastAsia="方正仿宋_GB2312" w:cs="方正仿宋_GB2312"/>
                <w:bCs/>
                <w:color w:val="auto"/>
                <w:sz w:val="21"/>
                <w:szCs w:val="21"/>
                <w:highlight w:val="none"/>
                <w:lang w:eastAsia="zh-CN"/>
              </w:rPr>
              <w:t>投标报价评分标准</w:t>
            </w:r>
          </w:p>
          <w:p>
            <w:pPr>
              <w:snapToGrid w:val="0"/>
              <w:jc w:val="center"/>
              <w:rPr>
                <w:rFonts w:hint="eastAsia" w:ascii="方正仿宋_GB2312" w:hAnsi="方正仿宋_GB2312" w:eastAsia="方正仿宋_GB2312" w:cs="方正仿宋_GB2312"/>
                <w:bCs/>
                <w:color w:val="auto"/>
                <w:sz w:val="21"/>
                <w:szCs w:val="21"/>
                <w:highlight w:val="none"/>
                <w:lang w:eastAsia="zh-CN"/>
              </w:rPr>
            </w:pPr>
            <w:r>
              <w:rPr>
                <w:rFonts w:hint="eastAsia" w:ascii="方正仿宋_GB2312" w:hAnsi="方正仿宋_GB2312" w:eastAsia="方正仿宋_GB2312" w:cs="方正仿宋_GB2312"/>
                <w:bCs/>
                <w:color w:val="auto"/>
                <w:sz w:val="21"/>
                <w:szCs w:val="21"/>
                <w:highlight w:val="none"/>
                <w:lang w:eastAsia="zh-CN"/>
              </w:rPr>
              <w:t>（</w:t>
            </w:r>
            <w:r>
              <w:rPr>
                <w:rFonts w:hint="eastAsia" w:ascii="方正仿宋_GB2312" w:hAnsi="方正仿宋_GB2312" w:eastAsia="方正仿宋_GB2312" w:cs="方正仿宋_GB2312"/>
                <w:bCs/>
                <w:color w:val="auto"/>
                <w:sz w:val="21"/>
                <w:szCs w:val="21"/>
                <w:highlight w:val="none"/>
                <w:lang w:val="en-US" w:eastAsia="zh-CN"/>
              </w:rPr>
              <w:t>10</w:t>
            </w:r>
            <w:r>
              <w:rPr>
                <w:rFonts w:hint="eastAsia" w:ascii="方正仿宋_GB2312" w:hAnsi="方正仿宋_GB2312" w:eastAsia="方正仿宋_GB2312" w:cs="方正仿宋_GB2312"/>
                <w:bCs/>
                <w:color w:val="auto"/>
                <w:sz w:val="21"/>
                <w:szCs w:val="21"/>
                <w:highlight w:val="none"/>
                <w:lang w:eastAsia="zh-CN"/>
              </w:rPr>
              <w:t>分）</w:t>
            </w:r>
          </w:p>
        </w:tc>
        <w:tc>
          <w:tcPr>
            <w:tcW w:w="18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2312" w:hAnsi="方正仿宋_GB2312" w:eastAsia="方正仿宋_GB2312" w:cs="方正仿宋_GB2312"/>
                <w:bCs/>
                <w:sz w:val="21"/>
                <w:szCs w:val="21"/>
                <w:highlight w:val="none"/>
                <w:lang w:val="en-US" w:eastAsia="zh-CN"/>
              </w:rPr>
            </w:pPr>
            <w:r>
              <w:rPr>
                <w:rFonts w:hint="eastAsia" w:ascii="方正仿宋_GB2312" w:hAnsi="方正仿宋_GB2312" w:eastAsia="方正仿宋_GB2312" w:cs="方正仿宋_GB2312"/>
                <w:bCs/>
                <w:sz w:val="21"/>
                <w:szCs w:val="21"/>
                <w:highlight w:val="none"/>
                <w:lang w:val="en-US" w:eastAsia="zh-CN"/>
              </w:rPr>
              <w:t>投标报价</w:t>
            </w:r>
          </w:p>
          <w:p>
            <w:pPr>
              <w:jc w:val="center"/>
              <w:rPr>
                <w:rFonts w:hint="default" w:ascii="方正仿宋_GB2312" w:hAnsi="方正仿宋_GB2312" w:eastAsia="方正仿宋_GB2312" w:cs="方正仿宋_GB2312"/>
                <w:bCs/>
                <w:sz w:val="21"/>
                <w:szCs w:val="21"/>
                <w:highlight w:val="none"/>
                <w:lang w:eastAsia="zh-CN"/>
              </w:rPr>
            </w:pPr>
            <w:r>
              <w:rPr>
                <w:rFonts w:hint="eastAsia" w:ascii="方正仿宋_GB2312" w:hAnsi="方正仿宋_GB2312" w:eastAsia="方正仿宋_GB2312" w:cs="方正仿宋_GB2312"/>
                <w:bCs/>
                <w:sz w:val="21"/>
                <w:szCs w:val="21"/>
                <w:lang w:eastAsia="zh-CN"/>
              </w:rPr>
              <w:t>（</w:t>
            </w:r>
            <w:r>
              <w:rPr>
                <w:rFonts w:hint="eastAsia" w:ascii="方正仿宋_GB2312" w:hAnsi="方正仿宋_GB2312" w:eastAsia="方正仿宋_GB2312" w:cs="方正仿宋_GB2312"/>
                <w:bCs/>
                <w:sz w:val="21"/>
                <w:szCs w:val="21"/>
                <w:highlight w:val="none"/>
                <w:lang w:val="en-US" w:eastAsia="zh-CN"/>
              </w:rPr>
              <w:t>10</w:t>
            </w:r>
            <w:r>
              <w:rPr>
                <w:rFonts w:hint="eastAsia" w:ascii="方正仿宋_GB2312" w:hAnsi="方正仿宋_GB2312" w:eastAsia="方正仿宋_GB2312" w:cs="方正仿宋_GB2312"/>
                <w:bCs/>
                <w:sz w:val="21"/>
                <w:szCs w:val="21"/>
                <w:lang w:val="en-US" w:eastAsia="zh-CN"/>
              </w:rPr>
              <w:t>分</w:t>
            </w:r>
            <w:r>
              <w:rPr>
                <w:rFonts w:hint="eastAsia" w:ascii="方正仿宋_GB2312" w:hAnsi="方正仿宋_GB2312" w:eastAsia="方正仿宋_GB2312" w:cs="方正仿宋_GB2312"/>
                <w:bCs/>
                <w:sz w:val="21"/>
                <w:szCs w:val="21"/>
                <w:lang w:eastAsia="zh-CN"/>
              </w:rPr>
              <w:t>）</w:t>
            </w:r>
          </w:p>
        </w:tc>
        <w:tc>
          <w:tcPr>
            <w:tcW w:w="5476" w:type="dxa"/>
            <w:tcBorders>
              <w:top w:val="single" w:color="000000" w:sz="4" w:space="0"/>
              <w:left w:val="single" w:color="000000" w:sz="4" w:space="0"/>
              <w:bottom w:val="single" w:color="000000" w:sz="4" w:space="0"/>
              <w:right w:val="single" w:color="000000" w:sz="4" w:space="0"/>
            </w:tcBorders>
            <w:noWrap w:val="0"/>
            <w:vAlign w:val="center"/>
          </w:tcPr>
          <w:p>
            <w:pPr>
              <w:widowControl/>
              <w:ind w:right="48" w:rightChars="22"/>
              <w:jc w:val="both"/>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sz w:val="21"/>
                <w:szCs w:val="21"/>
                <w:highlight w:val="none"/>
                <w:lang w:val="en-US" w:eastAsia="zh-CN"/>
              </w:rPr>
              <w:t>投标人的投标报价等于评标基准价的得10分，投标报价比评标基准价每高1%扣0.5分，每低1%扣0.2分。扣至0分为止。</w:t>
            </w:r>
          </w:p>
        </w:tc>
      </w:tr>
    </w:tbl>
    <w:p>
      <w:pPr>
        <w:rPr>
          <w:rFonts w:ascii="宋体" w:hAnsi="宋体" w:eastAsia="宋体"/>
          <w:color w:val="auto"/>
          <w:sz w:val="21"/>
          <w:szCs w:val="21"/>
          <w:highlight w:val="none"/>
          <w:lang w:eastAsia="zh-CN"/>
        </w:rPr>
      </w:pPr>
    </w:p>
    <w:p>
      <w:pPr>
        <w:numPr>
          <w:ilvl w:val="0"/>
          <w:numId w:val="0"/>
        </w:numPr>
        <w:rPr>
          <w:rFonts w:ascii="宋体" w:hAnsi="宋体" w:eastAsia="宋体"/>
          <w:color w:val="auto"/>
          <w:sz w:val="21"/>
          <w:szCs w:val="21"/>
          <w:highlight w:val="none"/>
          <w:lang w:eastAsia="zh-CN"/>
        </w:rPr>
      </w:pPr>
      <w:r>
        <w:rPr>
          <w:rFonts w:hint="eastAsia" w:ascii="方正仿宋_GB2312" w:hAnsi="方正仿宋_GB2312" w:eastAsia="方正仿宋_GB2312" w:cs="方正仿宋_GB2312"/>
          <w:color w:val="auto"/>
          <w:kern w:val="2"/>
          <w:sz w:val="21"/>
          <w:szCs w:val="24"/>
          <w:highlight w:val="none"/>
          <w:lang w:eastAsia="zh-CN"/>
        </w:rPr>
        <w:t>注：评委评出各有效投标文件的得分算术平均值作为该投标单位最后得分（评分如出现小数，则保留小数点后两位，第三位四舍五入）</w:t>
      </w:r>
      <w:r>
        <w:rPr>
          <w:rFonts w:hint="eastAsia" w:ascii="方正仿宋_GB2312" w:hAnsi="方正仿宋_GB2312" w:eastAsia="方正仿宋_GB2312" w:cs="方正仿宋_GB2312"/>
          <w:color w:val="auto"/>
          <w:kern w:val="2"/>
          <w:sz w:val="21"/>
          <w:szCs w:val="24"/>
          <w:highlight w:val="none"/>
          <w:lang w:eastAsia="zh-CN"/>
        </w:rPr>
        <w:br w:type="page"/>
      </w:r>
      <w:bookmarkStart w:id="47" w:name="_Toc25137994"/>
      <w:bookmarkStart w:id="48" w:name="_Toc109809395"/>
      <w:bookmarkStart w:id="49" w:name="_Toc109809434"/>
      <w:r>
        <w:rPr>
          <w:rFonts w:ascii="宋体" w:hAnsi="宋体" w:eastAsia="宋体"/>
          <w:color w:val="auto"/>
          <w:sz w:val="21"/>
          <w:szCs w:val="21"/>
          <w:highlight w:val="none"/>
          <w:lang w:eastAsia="zh-CN"/>
        </w:rPr>
        <w:t>1. 评标方法</w:t>
      </w:r>
      <w:bookmarkEnd w:id="47"/>
      <w:bookmarkEnd w:id="48"/>
      <w:bookmarkEnd w:id="49"/>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本次评标采用综合评估法。评标委员会对满足招标文件实质性要求的投标文件，按照本章第 2.2款规定的评分标准进行打分，并按得分由高到低顺序推荐中标候选人，或根据招标人授权直接确定中标人，但投标报价低于其成本的除外。综合评分相等时，以投标报价低的优先；投标报价也相等的，以设计方案得分高的优先；如果勘察设计方案得分也相等，按照评标办法前附表的规定确定中标候选人顺序。</w:t>
      </w:r>
    </w:p>
    <w:p>
      <w:pPr>
        <w:spacing w:line="360" w:lineRule="auto"/>
        <w:jc w:val="both"/>
        <w:rPr>
          <w:rFonts w:ascii="宋体" w:hAnsi="宋体" w:eastAsia="宋体"/>
          <w:color w:val="auto"/>
          <w:sz w:val="21"/>
          <w:szCs w:val="21"/>
          <w:highlight w:val="none"/>
          <w:lang w:eastAsia="zh-CN"/>
        </w:rPr>
      </w:pPr>
      <w:bookmarkStart w:id="50" w:name="_Toc25137995"/>
    </w:p>
    <w:p>
      <w:pPr>
        <w:pStyle w:val="3"/>
        <w:spacing w:line="443" w:lineRule="exact"/>
        <w:ind w:right="44"/>
        <w:jc w:val="both"/>
        <w:rPr>
          <w:rFonts w:ascii="宋体" w:hAnsi="宋体" w:eastAsia="宋体"/>
          <w:color w:val="auto"/>
          <w:sz w:val="21"/>
          <w:szCs w:val="21"/>
          <w:highlight w:val="none"/>
          <w:lang w:eastAsia="zh-CN"/>
        </w:rPr>
      </w:pPr>
      <w:bookmarkStart w:id="51" w:name="_Toc109809396"/>
      <w:bookmarkStart w:id="52" w:name="_Toc109809435"/>
      <w:r>
        <w:rPr>
          <w:rFonts w:ascii="宋体" w:hAnsi="宋体" w:eastAsia="宋体"/>
          <w:color w:val="auto"/>
          <w:sz w:val="21"/>
          <w:szCs w:val="21"/>
          <w:highlight w:val="none"/>
          <w:lang w:eastAsia="zh-CN"/>
        </w:rPr>
        <w:t>2. 评审标准</w:t>
      </w:r>
      <w:bookmarkEnd w:id="50"/>
      <w:bookmarkEnd w:id="51"/>
      <w:bookmarkEnd w:id="52"/>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2.1初步评审标准</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2.1.1形式评审标准：见评标办法前附表。</w:t>
      </w:r>
    </w:p>
    <w:p>
      <w:pPr>
        <w:pStyle w:val="8"/>
        <w:spacing w:line="360" w:lineRule="auto"/>
        <w:ind w:left="0" w:firstLine="420" w:firstLineChars="200"/>
        <w:jc w:val="both"/>
        <w:rPr>
          <w:color w:val="auto"/>
          <w:highlight w:val="none"/>
          <w:lang w:eastAsia="zh-CN"/>
        </w:rPr>
      </w:pPr>
      <w:r>
        <w:rPr>
          <w:color w:val="auto"/>
          <w:highlight w:val="none"/>
          <w:lang w:eastAsia="zh-CN"/>
        </w:rPr>
        <w:t>2.1.2资格评审标准：见评标办法前附表。</w:t>
      </w:r>
    </w:p>
    <w:p>
      <w:pPr>
        <w:pStyle w:val="8"/>
        <w:spacing w:line="360" w:lineRule="auto"/>
        <w:ind w:left="0" w:firstLine="420" w:firstLineChars="200"/>
        <w:jc w:val="both"/>
        <w:rPr>
          <w:color w:val="auto"/>
          <w:highlight w:val="none"/>
          <w:lang w:eastAsia="zh-CN"/>
        </w:rPr>
      </w:pPr>
      <w:r>
        <w:rPr>
          <w:color w:val="auto"/>
          <w:highlight w:val="none"/>
          <w:lang w:eastAsia="zh-CN"/>
        </w:rPr>
        <w:t>2.1.3响应性评审标准：见评标办法前附表。</w:t>
      </w:r>
    </w:p>
    <w:p>
      <w:pPr>
        <w:spacing w:line="360" w:lineRule="auto"/>
        <w:jc w:val="both"/>
        <w:rPr>
          <w:rFonts w:ascii="宋体" w:hAnsi="宋体" w:eastAsia="宋体"/>
          <w:color w:val="auto"/>
          <w:sz w:val="21"/>
          <w:szCs w:val="21"/>
          <w:highlight w:val="none"/>
          <w:lang w:eastAsia="zh-CN"/>
        </w:rPr>
      </w:pPr>
    </w:p>
    <w:p>
      <w:pPr>
        <w:pStyle w:val="4"/>
        <w:ind w:right="44"/>
        <w:jc w:val="both"/>
        <w:rPr>
          <w:color w:val="auto"/>
          <w:sz w:val="21"/>
          <w:szCs w:val="21"/>
          <w:highlight w:val="none"/>
          <w:lang w:eastAsia="zh-CN"/>
        </w:rPr>
      </w:pPr>
      <w:r>
        <w:rPr>
          <w:color w:val="auto"/>
          <w:sz w:val="21"/>
          <w:szCs w:val="21"/>
          <w:highlight w:val="none"/>
          <w:lang w:eastAsia="zh-CN"/>
        </w:rPr>
        <w:t>2.2分值构成与评分标准</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2.2.1 分值构成</w:t>
      </w:r>
    </w:p>
    <w:p>
      <w:pPr>
        <w:pStyle w:val="8"/>
        <w:spacing w:line="360" w:lineRule="auto"/>
        <w:ind w:left="0" w:firstLine="420" w:firstLineChars="200"/>
        <w:jc w:val="both"/>
        <w:rPr>
          <w:color w:val="auto"/>
          <w:highlight w:val="none"/>
          <w:lang w:eastAsia="zh-CN"/>
        </w:rPr>
      </w:pPr>
      <w:r>
        <w:rPr>
          <w:color w:val="auto"/>
          <w:highlight w:val="none"/>
          <w:lang w:eastAsia="zh-CN"/>
        </w:rPr>
        <w:t>（1）</w:t>
      </w:r>
      <w:r>
        <w:rPr>
          <w:rFonts w:hint="eastAsia"/>
          <w:color w:val="auto"/>
          <w:highlight w:val="none"/>
          <w:lang w:eastAsia="zh-CN"/>
        </w:rPr>
        <w:t>商务文件（资信业绩）</w:t>
      </w:r>
      <w:r>
        <w:rPr>
          <w:color w:val="auto"/>
          <w:highlight w:val="none"/>
          <w:lang w:eastAsia="zh-CN"/>
        </w:rPr>
        <w:t>部分：见评标办法前附表；</w:t>
      </w:r>
    </w:p>
    <w:p>
      <w:pPr>
        <w:pStyle w:val="8"/>
        <w:spacing w:line="360" w:lineRule="auto"/>
        <w:ind w:left="0" w:firstLine="420" w:firstLineChars="200"/>
        <w:jc w:val="both"/>
        <w:rPr>
          <w:color w:val="auto"/>
          <w:highlight w:val="none"/>
          <w:lang w:eastAsia="zh-CN"/>
        </w:rPr>
      </w:pPr>
      <w:r>
        <w:rPr>
          <w:color w:val="auto"/>
          <w:highlight w:val="none"/>
          <w:lang w:eastAsia="zh-CN"/>
        </w:rPr>
        <w:t>（2）</w:t>
      </w:r>
      <w:r>
        <w:rPr>
          <w:rFonts w:hint="eastAsia"/>
          <w:color w:val="auto"/>
          <w:highlight w:val="none"/>
          <w:u w:val="single"/>
          <w:lang w:eastAsia="zh-CN"/>
        </w:rPr>
        <w:t>技术文件（设计方案）</w:t>
      </w:r>
      <w:r>
        <w:rPr>
          <w:color w:val="auto"/>
          <w:highlight w:val="none"/>
          <w:lang w:eastAsia="zh-CN"/>
        </w:rPr>
        <w:t>部分：见评标办法前附表；</w:t>
      </w:r>
    </w:p>
    <w:p>
      <w:pPr>
        <w:pStyle w:val="8"/>
        <w:spacing w:line="360" w:lineRule="auto"/>
        <w:ind w:left="0" w:firstLine="420" w:firstLineChars="200"/>
        <w:jc w:val="both"/>
        <w:rPr>
          <w:strike w:val="0"/>
          <w:color w:val="auto"/>
          <w:highlight w:val="none"/>
          <w:lang w:eastAsia="zh-CN"/>
        </w:rPr>
      </w:pPr>
      <w:r>
        <w:rPr>
          <w:strike w:val="0"/>
          <w:color w:val="auto"/>
          <w:highlight w:val="none"/>
          <w:lang w:eastAsia="zh-CN"/>
        </w:rPr>
        <w:t>（3）投标报价：见评标办法前附表；</w:t>
      </w:r>
    </w:p>
    <w:p>
      <w:pPr>
        <w:pStyle w:val="8"/>
        <w:spacing w:line="360" w:lineRule="auto"/>
        <w:ind w:left="0" w:firstLine="420" w:firstLineChars="200"/>
        <w:jc w:val="both"/>
        <w:rPr>
          <w:strike/>
          <w:color w:val="auto"/>
          <w:highlight w:val="none"/>
          <w:lang w:eastAsia="zh-CN"/>
        </w:rPr>
      </w:pPr>
      <w:r>
        <w:rPr>
          <w:strike/>
          <w:color w:val="auto"/>
          <w:highlight w:val="none"/>
          <w:lang w:eastAsia="zh-CN"/>
        </w:rPr>
        <w:t>（4）其他评分因素：见评标办法前附表。</w:t>
      </w:r>
    </w:p>
    <w:p>
      <w:pPr>
        <w:pStyle w:val="8"/>
        <w:spacing w:line="360" w:lineRule="auto"/>
        <w:ind w:left="0" w:firstLine="420" w:firstLineChars="200"/>
        <w:jc w:val="both"/>
        <w:rPr>
          <w:strike w:val="0"/>
          <w:color w:val="auto"/>
          <w:highlight w:val="none"/>
          <w:u w:val="single"/>
          <w:lang w:eastAsia="zh-CN"/>
        </w:rPr>
      </w:pPr>
      <w:r>
        <w:rPr>
          <w:strike w:val="0"/>
          <w:color w:val="auto"/>
          <w:highlight w:val="none"/>
          <w:u w:val="single"/>
          <w:lang w:eastAsia="zh-CN"/>
        </w:rPr>
        <w:t>2.2.2评标基准价计算</w:t>
      </w:r>
    </w:p>
    <w:p>
      <w:pPr>
        <w:pStyle w:val="8"/>
        <w:spacing w:line="360" w:lineRule="auto"/>
        <w:ind w:left="0" w:firstLine="420" w:firstLineChars="200"/>
        <w:jc w:val="both"/>
        <w:rPr>
          <w:strike w:val="0"/>
          <w:color w:val="auto"/>
          <w:highlight w:val="none"/>
          <w:u w:val="single"/>
          <w:lang w:eastAsia="zh-CN"/>
        </w:rPr>
      </w:pPr>
      <w:r>
        <w:rPr>
          <w:strike w:val="0"/>
          <w:color w:val="auto"/>
          <w:highlight w:val="none"/>
          <w:u w:val="single"/>
          <w:lang w:eastAsia="zh-CN"/>
        </w:rPr>
        <w:t>评标基准价计算方法：见评标办法前附表。</w:t>
      </w:r>
    </w:p>
    <w:p>
      <w:pPr>
        <w:pStyle w:val="8"/>
        <w:spacing w:line="360" w:lineRule="auto"/>
        <w:ind w:left="0" w:firstLine="420" w:firstLineChars="200"/>
        <w:jc w:val="both"/>
        <w:rPr>
          <w:strike w:val="0"/>
          <w:color w:val="auto"/>
          <w:highlight w:val="none"/>
          <w:u w:val="single"/>
          <w:lang w:eastAsia="zh-CN"/>
        </w:rPr>
      </w:pPr>
      <w:r>
        <w:rPr>
          <w:strike w:val="0"/>
          <w:color w:val="auto"/>
          <w:highlight w:val="none"/>
          <w:u w:val="single"/>
          <w:lang w:eastAsia="zh-CN"/>
        </w:rPr>
        <w:t>2.2.3投标报价的偏差率计算</w:t>
      </w:r>
    </w:p>
    <w:p>
      <w:pPr>
        <w:pStyle w:val="8"/>
        <w:spacing w:line="360" w:lineRule="auto"/>
        <w:ind w:left="0" w:firstLine="420" w:firstLineChars="200"/>
        <w:jc w:val="both"/>
        <w:rPr>
          <w:color w:val="auto"/>
          <w:highlight w:val="none"/>
          <w:u w:val="single"/>
          <w:lang w:eastAsia="zh-CN"/>
        </w:rPr>
      </w:pPr>
      <w:r>
        <w:rPr>
          <w:strike w:val="0"/>
          <w:color w:val="auto"/>
          <w:highlight w:val="none"/>
          <w:u w:val="single"/>
          <w:lang w:eastAsia="zh-CN"/>
        </w:rPr>
        <w:t>投标报价的偏差率计算公式：见评标办法前附表。</w:t>
      </w:r>
    </w:p>
    <w:p>
      <w:pPr>
        <w:pStyle w:val="8"/>
        <w:spacing w:line="360" w:lineRule="auto"/>
        <w:ind w:left="0" w:firstLine="420" w:firstLineChars="200"/>
        <w:jc w:val="both"/>
        <w:rPr>
          <w:color w:val="auto"/>
          <w:highlight w:val="none"/>
          <w:lang w:eastAsia="zh-CN"/>
        </w:rPr>
      </w:pPr>
      <w:r>
        <w:rPr>
          <w:color w:val="auto"/>
          <w:highlight w:val="none"/>
          <w:lang w:eastAsia="zh-CN"/>
        </w:rPr>
        <w:t>2.2.4评分标准</w:t>
      </w:r>
    </w:p>
    <w:p>
      <w:pPr>
        <w:pStyle w:val="8"/>
        <w:spacing w:line="360" w:lineRule="auto"/>
        <w:ind w:left="0" w:firstLine="420" w:firstLineChars="200"/>
        <w:jc w:val="both"/>
        <w:rPr>
          <w:color w:val="auto"/>
          <w:highlight w:val="none"/>
          <w:lang w:eastAsia="zh-CN"/>
        </w:rPr>
      </w:pPr>
      <w:r>
        <w:rPr>
          <w:color w:val="auto"/>
          <w:highlight w:val="none"/>
          <w:lang w:eastAsia="zh-CN"/>
        </w:rPr>
        <w:t>（1）</w:t>
      </w:r>
      <w:r>
        <w:rPr>
          <w:rFonts w:hint="eastAsia"/>
          <w:color w:val="auto"/>
          <w:highlight w:val="none"/>
          <w:lang w:eastAsia="zh-CN"/>
        </w:rPr>
        <w:t>商务文件（资信业绩）</w:t>
      </w:r>
      <w:r>
        <w:rPr>
          <w:color w:val="auto"/>
          <w:highlight w:val="none"/>
          <w:lang w:eastAsia="zh-CN"/>
        </w:rPr>
        <w:t>评分标准：见评标办法前附表；</w:t>
      </w:r>
    </w:p>
    <w:p>
      <w:pPr>
        <w:pStyle w:val="8"/>
        <w:spacing w:line="360" w:lineRule="auto"/>
        <w:ind w:left="0" w:firstLine="420" w:firstLineChars="200"/>
        <w:jc w:val="both"/>
        <w:rPr>
          <w:color w:val="auto"/>
          <w:highlight w:val="none"/>
          <w:lang w:eastAsia="zh-CN"/>
        </w:rPr>
      </w:pPr>
      <w:r>
        <w:rPr>
          <w:color w:val="auto"/>
          <w:highlight w:val="none"/>
          <w:lang w:eastAsia="zh-CN"/>
        </w:rPr>
        <w:t>（2）</w:t>
      </w:r>
      <w:r>
        <w:rPr>
          <w:rFonts w:hint="eastAsia"/>
          <w:color w:val="auto"/>
          <w:highlight w:val="none"/>
          <w:u w:val="single"/>
          <w:lang w:eastAsia="zh-CN"/>
        </w:rPr>
        <w:t>技术文件（设计方案）</w:t>
      </w:r>
      <w:r>
        <w:rPr>
          <w:color w:val="auto"/>
          <w:highlight w:val="none"/>
          <w:lang w:eastAsia="zh-CN"/>
        </w:rPr>
        <w:t>评分标准：见评标办法前附表；</w:t>
      </w:r>
    </w:p>
    <w:p>
      <w:pPr>
        <w:pStyle w:val="8"/>
        <w:spacing w:line="360" w:lineRule="auto"/>
        <w:ind w:left="0" w:firstLine="420" w:firstLineChars="200"/>
        <w:jc w:val="both"/>
        <w:rPr>
          <w:strike w:val="0"/>
          <w:color w:val="auto"/>
          <w:highlight w:val="none"/>
          <w:lang w:eastAsia="zh-CN"/>
        </w:rPr>
      </w:pPr>
      <w:r>
        <w:rPr>
          <w:strike w:val="0"/>
          <w:color w:val="auto"/>
          <w:highlight w:val="none"/>
          <w:lang w:eastAsia="zh-CN"/>
        </w:rPr>
        <w:t>（3）投标报价评分标准：见评标办法前附表；</w:t>
      </w:r>
    </w:p>
    <w:p>
      <w:pPr>
        <w:pStyle w:val="8"/>
        <w:spacing w:line="360" w:lineRule="auto"/>
        <w:ind w:left="0" w:firstLine="420" w:firstLineChars="200"/>
        <w:jc w:val="both"/>
        <w:rPr>
          <w:strike/>
          <w:color w:val="auto"/>
          <w:highlight w:val="none"/>
          <w:lang w:eastAsia="zh-CN"/>
        </w:rPr>
      </w:pPr>
      <w:r>
        <w:rPr>
          <w:strike/>
          <w:color w:val="auto"/>
          <w:highlight w:val="none"/>
          <w:lang w:eastAsia="zh-CN"/>
        </w:rPr>
        <w:t>（4）其他因素评分标准：见评标办法前附表。</w:t>
      </w:r>
    </w:p>
    <w:p>
      <w:pPr>
        <w:spacing w:line="360" w:lineRule="auto"/>
        <w:jc w:val="both"/>
        <w:rPr>
          <w:rFonts w:ascii="宋体" w:hAnsi="宋体" w:eastAsia="宋体"/>
          <w:color w:val="auto"/>
          <w:sz w:val="21"/>
          <w:szCs w:val="21"/>
          <w:highlight w:val="none"/>
          <w:lang w:eastAsia="zh-CN"/>
        </w:rPr>
      </w:pPr>
      <w:bookmarkStart w:id="53" w:name="_Toc25137996"/>
    </w:p>
    <w:p>
      <w:pPr>
        <w:pStyle w:val="3"/>
        <w:spacing w:line="443" w:lineRule="exact"/>
        <w:ind w:right="44"/>
        <w:jc w:val="both"/>
        <w:rPr>
          <w:rFonts w:ascii="宋体" w:hAnsi="宋体" w:eastAsia="宋体"/>
          <w:color w:val="auto"/>
          <w:sz w:val="21"/>
          <w:szCs w:val="21"/>
          <w:highlight w:val="none"/>
          <w:lang w:eastAsia="zh-CN"/>
        </w:rPr>
      </w:pPr>
      <w:bookmarkStart w:id="54" w:name="_Toc109809397"/>
      <w:bookmarkStart w:id="55" w:name="_Toc109809436"/>
      <w:r>
        <w:rPr>
          <w:rFonts w:ascii="宋体" w:hAnsi="宋体" w:eastAsia="宋体"/>
          <w:color w:val="auto"/>
          <w:sz w:val="21"/>
          <w:szCs w:val="21"/>
          <w:highlight w:val="none"/>
          <w:lang w:eastAsia="zh-CN"/>
        </w:rPr>
        <w:t>3. 评标程序</w:t>
      </w:r>
      <w:bookmarkEnd w:id="53"/>
      <w:bookmarkEnd w:id="54"/>
      <w:bookmarkEnd w:id="55"/>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3.1 初步评审</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3.1.1评标委员会可以要求投标人提交第二章“投标人须知”规定的有关证明和证件的原件，以便核验。评标委员会依据本章第 2.1款规定的标准对投标文件进行初步评审。有一项不符合评审标准的，评标委员会应当否决其投标。</w:t>
      </w:r>
    </w:p>
    <w:p>
      <w:pPr>
        <w:pStyle w:val="8"/>
        <w:spacing w:line="360" w:lineRule="auto"/>
        <w:ind w:left="0" w:firstLine="420" w:firstLineChars="200"/>
        <w:jc w:val="both"/>
        <w:rPr>
          <w:color w:val="auto"/>
          <w:highlight w:val="none"/>
          <w:lang w:eastAsia="zh-CN"/>
        </w:rPr>
      </w:pPr>
      <w:r>
        <w:rPr>
          <w:color w:val="auto"/>
          <w:highlight w:val="none"/>
          <w:lang w:eastAsia="zh-CN"/>
        </w:rPr>
        <w:t>3.1.2投标人有以下情形之一的，评标委员会应当否决其投标：</w:t>
      </w:r>
    </w:p>
    <w:p>
      <w:pPr>
        <w:pStyle w:val="8"/>
        <w:spacing w:line="360" w:lineRule="auto"/>
        <w:ind w:left="0" w:firstLine="420" w:firstLineChars="200"/>
        <w:jc w:val="both"/>
        <w:rPr>
          <w:color w:val="auto"/>
          <w:highlight w:val="none"/>
          <w:lang w:eastAsia="zh-CN"/>
        </w:rPr>
      </w:pPr>
      <w:r>
        <w:rPr>
          <w:color w:val="auto"/>
          <w:highlight w:val="none"/>
          <w:lang w:eastAsia="zh-CN"/>
        </w:rPr>
        <w:t>（1）投标文件没有对招标文件的实质性要求和条件作出响应，或者对招标文件的偏差超出招标文件规定的偏差范围或最高项数；</w:t>
      </w:r>
    </w:p>
    <w:p>
      <w:pPr>
        <w:pStyle w:val="8"/>
        <w:spacing w:line="360" w:lineRule="auto"/>
        <w:ind w:left="0" w:firstLine="420" w:firstLineChars="200"/>
        <w:jc w:val="both"/>
        <w:rPr>
          <w:color w:val="auto"/>
          <w:highlight w:val="none"/>
          <w:lang w:eastAsia="zh-CN"/>
        </w:rPr>
      </w:pPr>
      <w:r>
        <w:rPr>
          <w:color w:val="auto"/>
          <w:highlight w:val="none"/>
          <w:lang w:eastAsia="zh-CN"/>
        </w:rPr>
        <w:t>（2）有串通投标、弄虚作假、行贿等违法行为。</w:t>
      </w:r>
    </w:p>
    <w:p>
      <w:pPr>
        <w:pStyle w:val="8"/>
        <w:spacing w:line="360" w:lineRule="auto"/>
        <w:ind w:left="0" w:firstLine="420" w:firstLineChars="200"/>
        <w:jc w:val="both"/>
        <w:rPr>
          <w:color w:val="auto"/>
          <w:highlight w:val="none"/>
          <w:lang w:eastAsia="zh-CN"/>
        </w:rPr>
      </w:pPr>
      <w:r>
        <w:rPr>
          <w:color w:val="auto"/>
          <w:highlight w:val="none"/>
          <w:lang w:eastAsia="zh-CN"/>
        </w:rPr>
        <w:t>3.1.3投标报价有算术错误及其他错误的，评标委员会按以下原则要求投标人对投标报价进行修正，并要求投标人书面澄清确认。投标人拒不澄清确认的，评标委员会应当否决其投标：</w:t>
      </w:r>
    </w:p>
    <w:p>
      <w:pPr>
        <w:pStyle w:val="8"/>
        <w:spacing w:line="360" w:lineRule="auto"/>
        <w:ind w:left="0" w:firstLine="420" w:firstLineChars="200"/>
        <w:jc w:val="both"/>
        <w:rPr>
          <w:color w:val="auto"/>
          <w:highlight w:val="none"/>
          <w:lang w:eastAsia="zh-CN"/>
        </w:rPr>
      </w:pPr>
      <w:r>
        <w:rPr>
          <w:color w:val="auto"/>
          <w:highlight w:val="none"/>
          <w:lang w:eastAsia="zh-CN"/>
        </w:rPr>
        <w:t>（1）投标文件中的大写金额与小写金额不一致的，以大写金额为准；</w:t>
      </w:r>
    </w:p>
    <w:p>
      <w:pPr>
        <w:pStyle w:val="8"/>
        <w:spacing w:line="360" w:lineRule="auto"/>
        <w:ind w:left="0" w:firstLine="420" w:firstLineChars="200"/>
        <w:jc w:val="both"/>
        <w:rPr>
          <w:color w:val="auto"/>
          <w:highlight w:val="none"/>
          <w:lang w:eastAsia="zh-CN"/>
        </w:rPr>
      </w:pPr>
      <w:r>
        <w:rPr>
          <w:color w:val="auto"/>
          <w:highlight w:val="none"/>
          <w:lang w:eastAsia="zh-CN"/>
        </w:rPr>
        <w:t>（2）总价金额与单价金额不一致的，以单价金额为准，但单价金额小数点有明显错误的除外。</w:t>
      </w:r>
    </w:p>
    <w:p>
      <w:pPr>
        <w:pStyle w:val="8"/>
        <w:ind w:left="0" w:firstLine="420" w:firstLineChars="200"/>
        <w:rPr>
          <w:rFonts w:ascii="宋体" w:hAnsi="宋体" w:eastAsia="宋体"/>
          <w:color w:val="auto"/>
          <w:sz w:val="21"/>
          <w:szCs w:val="21"/>
          <w:highlight w:val="none"/>
          <w:lang w:eastAsia="zh-CN"/>
        </w:rPr>
      </w:pPr>
      <w:r>
        <w:rPr>
          <w:rFonts w:ascii="宋体" w:hAnsi="宋体" w:eastAsia="宋体" w:cs="Times New Roman"/>
          <w:color w:val="auto"/>
          <w:highlight w:val="none"/>
          <w:lang w:eastAsia="zh-CN"/>
        </w:rPr>
        <w:t>（</w:t>
      </w:r>
      <w:r>
        <w:rPr>
          <w:rFonts w:hint="default" w:ascii="宋体" w:hAnsi="宋体" w:eastAsia="宋体" w:cs="Times New Roman"/>
          <w:color w:val="auto"/>
          <w:highlight w:val="none"/>
          <w:lang w:val="en-US" w:eastAsia="zh-CN"/>
        </w:rPr>
        <w:t>3</w:t>
      </w:r>
      <w:r>
        <w:rPr>
          <w:rFonts w:ascii="宋体" w:hAnsi="宋体" w:eastAsia="宋体" w:cs="Times New Roman"/>
          <w:color w:val="auto"/>
          <w:highlight w:val="none"/>
          <w:lang w:eastAsia="zh-CN"/>
        </w:rPr>
        <w:t>）</w:t>
      </w:r>
      <w:r>
        <w:rPr>
          <w:rFonts w:hint="default" w:ascii="宋体" w:hAnsi="宋体" w:eastAsia="宋体" w:cs="Times New Roman"/>
          <w:color w:val="auto"/>
          <w:sz w:val="21"/>
          <w:szCs w:val="21"/>
          <w:highlight w:val="none"/>
          <w:lang w:val="en-US" w:eastAsia="zh-CN"/>
        </w:rPr>
        <w:t>总价金额与依据投标下浮率计算出的结果不一致的，以投标下浮率为准修正总价。</w:t>
      </w:r>
    </w:p>
    <w:p>
      <w:pPr>
        <w:pStyle w:val="4"/>
        <w:ind w:right="44"/>
        <w:jc w:val="both"/>
        <w:rPr>
          <w:b/>
          <w:bCs/>
          <w:color w:val="auto"/>
          <w:sz w:val="21"/>
          <w:szCs w:val="21"/>
          <w:highlight w:val="none"/>
          <w:lang w:eastAsia="zh-CN"/>
        </w:rPr>
      </w:pPr>
      <w:r>
        <w:rPr>
          <w:b/>
          <w:bCs/>
          <w:color w:val="auto"/>
          <w:sz w:val="21"/>
          <w:szCs w:val="21"/>
          <w:highlight w:val="none"/>
          <w:lang w:eastAsia="zh-CN"/>
        </w:rPr>
        <w:t>3.2 详细评审</w:t>
      </w:r>
    </w:p>
    <w:p>
      <w:pPr>
        <w:spacing w:line="360" w:lineRule="auto"/>
        <w:jc w:val="both"/>
        <w:rPr>
          <w:rFonts w:ascii="宋体" w:hAnsi="宋体" w:eastAsia="宋体"/>
          <w:color w:val="auto"/>
          <w:sz w:val="21"/>
          <w:szCs w:val="21"/>
          <w:highlight w:val="none"/>
          <w:lang w:eastAsia="zh-CN"/>
        </w:rPr>
      </w:pPr>
    </w:p>
    <w:p>
      <w:pPr>
        <w:pStyle w:val="8"/>
        <w:spacing w:line="360" w:lineRule="auto"/>
        <w:ind w:firstLine="420" w:firstLineChars="200"/>
        <w:jc w:val="both"/>
        <w:rPr>
          <w:color w:val="auto"/>
          <w:highlight w:val="none"/>
          <w:u w:val="none"/>
          <w:lang w:eastAsia="zh-CN"/>
        </w:rPr>
      </w:pPr>
      <w:r>
        <w:rPr>
          <w:color w:val="auto"/>
          <w:highlight w:val="none"/>
          <w:u w:val="none"/>
          <w:lang w:eastAsia="zh-CN"/>
        </w:rPr>
        <w:t>3.2.1</w:t>
      </w:r>
      <w:r>
        <w:rPr>
          <w:rFonts w:hint="eastAsia" w:cs="宋体"/>
          <w:color w:val="auto"/>
          <w:highlight w:val="none"/>
          <w:u w:val="none"/>
          <w:lang w:eastAsia="zh-CN"/>
        </w:rPr>
        <w:t>评标委员会按本章第</w:t>
      </w:r>
      <w:r>
        <w:rPr>
          <w:color w:val="auto"/>
          <w:highlight w:val="none"/>
          <w:u w:val="none"/>
          <w:lang w:eastAsia="zh-CN"/>
        </w:rPr>
        <w:t xml:space="preserve"> 2.2</w:t>
      </w:r>
      <w:r>
        <w:rPr>
          <w:rFonts w:hint="eastAsia" w:cs="宋体"/>
          <w:color w:val="auto"/>
          <w:highlight w:val="none"/>
          <w:u w:val="none"/>
          <w:lang w:eastAsia="zh-CN"/>
        </w:rPr>
        <w:t>款规定的量化因素和分值进行打分，并计算出综合评估得分。</w:t>
      </w:r>
    </w:p>
    <w:p>
      <w:pPr>
        <w:pStyle w:val="8"/>
        <w:spacing w:line="360" w:lineRule="auto"/>
        <w:ind w:firstLine="420" w:firstLineChars="200"/>
        <w:jc w:val="both"/>
        <w:rPr>
          <w:color w:val="auto"/>
          <w:highlight w:val="none"/>
          <w:u w:val="none"/>
          <w:lang w:eastAsia="zh-CN"/>
        </w:rPr>
      </w:pPr>
      <w:r>
        <w:rPr>
          <w:rFonts w:hint="eastAsia" w:cs="宋体"/>
          <w:color w:val="auto"/>
          <w:highlight w:val="none"/>
          <w:u w:val="none"/>
          <w:lang w:eastAsia="zh-CN"/>
        </w:rPr>
        <w:t>（</w:t>
      </w:r>
      <w:r>
        <w:rPr>
          <w:color w:val="auto"/>
          <w:highlight w:val="none"/>
          <w:u w:val="none"/>
          <w:lang w:eastAsia="zh-CN"/>
        </w:rPr>
        <w:t>1</w:t>
      </w:r>
      <w:r>
        <w:rPr>
          <w:rFonts w:hint="eastAsia" w:cs="宋体"/>
          <w:color w:val="auto"/>
          <w:highlight w:val="none"/>
          <w:u w:val="none"/>
          <w:lang w:eastAsia="zh-CN"/>
        </w:rPr>
        <w:t>）按本章第</w:t>
      </w:r>
      <w:r>
        <w:rPr>
          <w:color w:val="auto"/>
          <w:highlight w:val="none"/>
          <w:u w:val="none"/>
          <w:lang w:eastAsia="zh-CN"/>
        </w:rPr>
        <w:t>2.2.4</w:t>
      </w:r>
      <w:r>
        <w:rPr>
          <w:rFonts w:hint="eastAsia" w:cs="宋体"/>
          <w:color w:val="auto"/>
          <w:highlight w:val="none"/>
          <w:u w:val="none"/>
          <w:lang w:eastAsia="zh-CN"/>
        </w:rPr>
        <w:t>（</w:t>
      </w:r>
      <w:r>
        <w:rPr>
          <w:color w:val="auto"/>
          <w:highlight w:val="none"/>
          <w:u w:val="none"/>
          <w:lang w:eastAsia="zh-CN"/>
        </w:rPr>
        <w:t>1</w:t>
      </w:r>
      <w:r>
        <w:rPr>
          <w:rFonts w:hint="eastAsia" w:cs="宋体"/>
          <w:color w:val="auto"/>
          <w:highlight w:val="none"/>
          <w:u w:val="none"/>
          <w:lang w:eastAsia="zh-CN"/>
        </w:rPr>
        <w:t>）目规定的评审因素和分值对商务文件（</w:t>
      </w:r>
      <w:r>
        <w:rPr>
          <w:rFonts w:hint="eastAsia" w:cs="宋体"/>
          <w:color w:val="auto"/>
          <w:u w:val="single"/>
          <w:lang w:eastAsia="zh-CN"/>
        </w:rPr>
        <w:t>资信业绩评分标准</w:t>
      </w:r>
      <w:r>
        <w:rPr>
          <w:rFonts w:hint="eastAsia" w:cs="宋体"/>
          <w:color w:val="auto"/>
          <w:highlight w:val="none"/>
          <w:u w:val="none"/>
          <w:lang w:eastAsia="zh-CN"/>
        </w:rPr>
        <w:t>）评分计算出得分</w:t>
      </w:r>
      <w:r>
        <w:rPr>
          <w:color w:val="auto"/>
          <w:highlight w:val="none"/>
          <w:u w:val="none"/>
          <w:lang w:eastAsia="zh-CN"/>
        </w:rPr>
        <w:t>A</w:t>
      </w:r>
      <w:r>
        <w:rPr>
          <w:rFonts w:hint="eastAsia" w:cs="宋体"/>
          <w:color w:val="auto"/>
          <w:highlight w:val="none"/>
          <w:u w:val="none"/>
          <w:lang w:eastAsia="zh-CN"/>
        </w:rPr>
        <w:t>；</w:t>
      </w:r>
    </w:p>
    <w:p>
      <w:pPr>
        <w:pStyle w:val="8"/>
        <w:spacing w:line="360" w:lineRule="auto"/>
        <w:ind w:firstLine="420" w:firstLineChars="200"/>
        <w:jc w:val="both"/>
        <w:rPr>
          <w:color w:val="auto"/>
          <w:highlight w:val="none"/>
          <w:u w:val="none"/>
          <w:lang w:eastAsia="zh-CN"/>
        </w:rPr>
      </w:pPr>
      <w:r>
        <w:rPr>
          <w:rFonts w:hint="eastAsia" w:cs="宋体"/>
          <w:color w:val="auto"/>
          <w:highlight w:val="none"/>
          <w:u w:val="none"/>
          <w:lang w:eastAsia="zh-CN"/>
        </w:rPr>
        <w:t>（</w:t>
      </w:r>
      <w:r>
        <w:rPr>
          <w:color w:val="auto"/>
          <w:highlight w:val="none"/>
          <w:u w:val="none"/>
          <w:lang w:eastAsia="zh-CN"/>
        </w:rPr>
        <w:t>2</w:t>
      </w:r>
      <w:r>
        <w:rPr>
          <w:rFonts w:hint="eastAsia" w:cs="宋体"/>
          <w:color w:val="auto"/>
          <w:highlight w:val="none"/>
          <w:u w:val="none"/>
          <w:lang w:eastAsia="zh-CN"/>
        </w:rPr>
        <w:t>）按照本章第</w:t>
      </w:r>
      <w:r>
        <w:rPr>
          <w:color w:val="auto"/>
          <w:highlight w:val="none"/>
          <w:u w:val="none"/>
          <w:lang w:eastAsia="zh-CN"/>
        </w:rPr>
        <w:t>2.1.3</w:t>
      </w:r>
      <w:r>
        <w:rPr>
          <w:rFonts w:hint="eastAsia" w:cs="宋体"/>
          <w:color w:val="auto"/>
          <w:highlight w:val="none"/>
          <w:u w:val="none"/>
          <w:lang w:eastAsia="zh-CN"/>
        </w:rPr>
        <w:t>目规定的标准对技术部分进行响应性（技术标暗标）评审；</w:t>
      </w:r>
    </w:p>
    <w:p>
      <w:pPr>
        <w:pStyle w:val="8"/>
        <w:spacing w:line="360" w:lineRule="auto"/>
        <w:ind w:firstLine="420" w:firstLineChars="200"/>
        <w:jc w:val="both"/>
        <w:rPr>
          <w:rFonts w:cs="宋体"/>
          <w:color w:val="auto"/>
          <w:highlight w:val="none"/>
          <w:u w:val="none"/>
          <w:lang w:eastAsia="zh-CN"/>
        </w:rPr>
      </w:pPr>
      <w:r>
        <w:rPr>
          <w:rFonts w:hint="eastAsia" w:cs="宋体"/>
          <w:color w:val="auto"/>
          <w:highlight w:val="none"/>
          <w:u w:val="none"/>
          <w:lang w:eastAsia="zh-CN"/>
        </w:rPr>
        <w:t>（</w:t>
      </w:r>
      <w:r>
        <w:rPr>
          <w:color w:val="auto"/>
          <w:highlight w:val="none"/>
          <w:u w:val="none"/>
          <w:lang w:eastAsia="zh-CN"/>
        </w:rPr>
        <w:t>3</w:t>
      </w:r>
      <w:r>
        <w:rPr>
          <w:rFonts w:hint="eastAsia" w:cs="宋体"/>
          <w:color w:val="auto"/>
          <w:highlight w:val="none"/>
          <w:u w:val="none"/>
          <w:lang w:eastAsia="zh-CN"/>
        </w:rPr>
        <w:t>）按本章第</w:t>
      </w:r>
      <w:r>
        <w:rPr>
          <w:color w:val="auto"/>
          <w:highlight w:val="none"/>
          <w:u w:val="none"/>
          <w:lang w:eastAsia="zh-CN"/>
        </w:rPr>
        <w:t>2.2.4</w:t>
      </w:r>
      <w:r>
        <w:rPr>
          <w:rFonts w:hint="eastAsia" w:cs="宋体"/>
          <w:color w:val="auto"/>
          <w:highlight w:val="none"/>
          <w:u w:val="none"/>
          <w:lang w:eastAsia="zh-CN"/>
        </w:rPr>
        <w:t>（</w:t>
      </w:r>
      <w:r>
        <w:rPr>
          <w:color w:val="auto"/>
          <w:highlight w:val="none"/>
          <w:u w:val="none"/>
          <w:lang w:eastAsia="zh-CN"/>
        </w:rPr>
        <w:t>2</w:t>
      </w:r>
      <w:r>
        <w:rPr>
          <w:rFonts w:hint="eastAsia" w:cs="宋体"/>
          <w:color w:val="auto"/>
          <w:highlight w:val="none"/>
          <w:u w:val="none"/>
          <w:lang w:eastAsia="zh-CN"/>
        </w:rPr>
        <w:t>）目规定的评审因素和分值对</w:t>
      </w:r>
      <w:r>
        <w:rPr>
          <w:rFonts w:hint="eastAsia"/>
          <w:color w:val="auto"/>
          <w:highlight w:val="none"/>
          <w:u w:val="none"/>
          <w:lang w:eastAsia="zh-CN"/>
        </w:rPr>
        <w:t>技术文件（</w:t>
      </w:r>
      <w:r>
        <w:rPr>
          <w:rFonts w:hint="eastAsia"/>
          <w:color w:val="auto"/>
          <w:u w:val="single"/>
          <w:lang w:eastAsia="zh-CN"/>
        </w:rPr>
        <w:t>勘察设计方案评分标准）</w:t>
      </w:r>
      <w:r>
        <w:rPr>
          <w:rFonts w:hint="eastAsia" w:cs="宋体"/>
          <w:color w:val="auto"/>
          <w:highlight w:val="none"/>
          <w:u w:val="none"/>
          <w:lang w:eastAsia="zh-CN"/>
        </w:rPr>
        <w:t>评分计算出得分</w:t>
      </w:r>
      <w:r>
        <w:rPr>
          <w:color w:val="auto"/>
          <w:highlight w:val="none"/>
          <w:u w:val="none"/>
          <w:lang w:eastAsia="zh-CN"/>
        </w:rPr>
        <w:t>B</w:t>
      </w:r>
      <w:r>
        <w:rPr>
          <w:rFonts w:hint="eastAsia" w:cs="宋体"/>
          <w:color w:val="auto"/>
          <w:highlight w:val="none"/>
          <w:u w:val="none"/>
          <w:lang w:eastAsia="zh-CN"/>
        </w:rPr>
        <w:t>；</w:t>
      </w:r>
    </w:p>
    <w:p>
      <w:pPr>
        <w:spacing w:line="360" w:lineRule="auto"/>
        <w:ind w:firstLine="440" w:firstLineChars="200"/>
        <w:rPr>
          <w:rFonts w:hint="eastAsia" w:cs="宋体"/>
          <w:color w:val="auto"/>
          <w:highlight w:val="none"/>
          <w:u w:val="none"/>
          <w:lang w:eastAsia="zh-CN"/>
        </w:rPr>
      </w:pPr>
      <w:r>
        <w:rPr>
          <w:rFonts w:hint="eastAsia"/>
          <w:color w:val="auto"/>
          <w:highlight w:val="none"/>
          <w:u w:val="none"/>
          <w:lang w:eastAsia="zh-CN"/>
        </w:rPr>
        <w:t>（</w:t>
      </w:r>
      <w:r>
        <w:rPr>
          <w:color w:val="auto"/>
          <w:highlight w:val="none"/>
          <w:u w:val="none"/>
          <w:lang w:eastAsia="zh-CN"/>
        </w:rPr>
        <w:t>4</w:t>
      </w:r>
      <w:r>
        <w:rPr>
          <w:rFonts w:hint="eastAsia"/>
          <w:color w:val="auto"/>
          <w:highlight w:val="none"/>
          <w:u w:val="none"/>
          <w:lang w:eastAsia="zh-CN"/>
        </w:rPr>
        <w:t>）</w:t>
      </w:r>
      <w:r>
        <w:rPr>
          <w:rFonts w:hint="eastAsia" w:cs="宋体"/>
          <w:color w:val="auto"/>
          <w:highlight w:val="none"/>
          <w:u w:val="none"/>
          <w:lang w:eastAsia="zh-CN"/>
        </w:rPr>
        <w:t>评标委员会揭晓投标人身份。</w:t>
      </w:r>
    </w:p>
    <w:p>
      <w:pPr>
        <w:ind w:firstLine="440" w:firstLineChars="200"/>
        <w:rPr>
          <w:color w:val="auto"/>
          <w:highlight w:val="none"/>
          <w:u w:val="none"/>
          <w:lang w:eastAsia="zh-CN"/>
        </w:rPr>
      </w:pPr>
      <w:r>
        <w:rPr>
          <w:rFonts w:hint="eastAsia" w:cs="宋体"/>
          <w:color w:val="auto"/>
          <w:highlight w:val="none"/>
          <w:u w:val="none"/>
          <w:lang w:eastAsia="zh-CN"/>
        </w:rPr>
        <w:t>（</w:t>
      </w:r>
      <w:r>
        <w:rPr>
          <w:rFonts w:hint="eastAsia" w:cs="宋体"/>
          <w:color w:val="auto"/>
          <w:highlight w:val="none"/>
          <w:u w:val="none"/>
          <w:lang w:val="en-US" w:eastAsia="zh-CN"/>
        </w:rPr>
        <w:t>5</w:t>
      </w:r>
      <w:r>
        <w:rPr>
          <w:rFonts w:hint="eastAsia" w:cs="宋体"/>
          <w:color w:val="auto"/>
          <w:highlight w:val="none"/>
          <w:u w:val="none"/>
          <w:lang w:eastAsia="zh-CN"/>
        </w:rPr>
        <w:t>）</w:t>
      </w:r>
      <w:r>
        <w:rPr>
          <w:rFonts w:hint="eastAsia" w:ascii="宋体" w:hAnsi="宋体" w:eastAsia="宋体" w:cs="宋体"/>
          <w:color w:val="auto"/>
          <w:sz w:val="21"/>
          <w:szCs w:val="21"/>
          <w:highlight w:val="none"/>
          <w:u w:val="none"/>
          <w:lang w:val="en-US" w:eastAsia="zh-CN" w:bidi="ar-SA"/>
        </w:rPr>
        <w:t>按本章第2.2.4（3）目规定的评审因素和分值对投标报价计算出得分C；</w:t>
      </w:r>
    </w:p>
    <w:p>
      <w:pPr>
        <w:pStyle w:val="8"/>
        <w:spacing w:line="360" w:lineRule="auto"/>
        <w:ind w:firstLine="420" w:firstLineChars="200"/>
        <w:jc w:val="both"/>
        <w:rPr>
          <w:color w:val="auto"/>
          <w:highlight w:val="none"/>
          <w:u w:val="none"/>
          <w:lang w:eastAsia="zh-CN"/>
        </w:rPr>
      </w:pPr>
      <w:r>
        <w:rPr>
          <w:color w:val="auto"/>
          <w:highlight w:val="none"/>
          <w:u w:val="none"/>
          <w:lang w:eastAsia="zh-CN"/>
        </w:rPr>
        <w:t>3.2.2</w:t>
      </w:r>
      <w:r>
        <w:rPr>
          <w:rFonts w:hint="eastAsia" w:cs="宋体"/>
          <w:color w:val="auto"/>
          <w:highlight w:val="none"/>
          <w:u w:val="none"/>
          <w:lang w:eastAsia="zh-CN"/>
        </w:rPr>
        <w:t>评分分值计算保留小数点后两位，小数点后第三位</w:t>
      </w:r>
      <w:r>
        <w:rPr>
          <w:rFonts w:cs="Calibri"/>
          <w:color w:val="auto"/>
          <w:highlight w:val="none"/>
          <w:u w:val="none"/>
          <w:lang w:eastAsia="zh-CN"/>
        </w:rPr>
        <w:t>“</w:t>
      </w:r>
      <w:r>
        <w:rPr>
          <w:rFonts w:hint="eastAsia" w:cs="宋体"/>
          <w:color w:val="auto"/>
          <w:highlight w:val="none"/>
          <w:u w:val="none"/>
          <w:lang w:eastAsia="zh-CN"/>
        </w:rPr>
        <w:t>四舍五入</w:t>
      </w:r>
      <w:r>
        <w:rPr>
          <w:rFonts w:cs="Calibri"/>
          <w:color w:val="auto"/>
          <w:highlight w:val="none"/>
          <w:u w:val="none"/>
          <w:lang w:eastAsia="zh-CN"/>
        </w:rPr>
        <w:t>”</w:t>
      </w:r>
      <w:r>
        <w:rPr>
          <w:rFonts w:hint="eastAsia" w:cs="宋体"/>
          <w:color w:val="auto"/>
          <w:highlight w:val="none"/>
          <w:u w:val="none"/>
          <w:lang w:eastAsia="zh-CN"/>
        </w:rPr>
        <w:t>。</w:t>
      </w:r>
    </w:p>
    <w:p>
      <w:pPr>
        <w:pStyle w:val="8"/>
        <w:spacing w:line="360" w:lineRule="auto"/>
        <w:ind w:firstLine="420" w:firstLineChars="200"/>
        <w:jc w:val="both"/>
        <w:rPr>
          <w:color w:val="auto"/>
          <w:highlight w:val="none"/>
          <w:u w:val="none"/>
          <w:lang w:eastAsia="zh-CN"/>
        </w:rPr>
      </w:pPr>
      <w:r>
        <w:rPr>
          <w:color w:val="auto"/>
          <w:highlight w:val="none"/>
          <w:u w:val="none"/>
          <w:lang w:eastAsia="zh-CN"/>
        </w:rPr>
        <w:t>3.2.3</w:t>
      </w:r>
      <w:r>
        <w:rPr>
          <w:rFonts w:hint="eastAsia"/>
          <w:color w:val="auto"/>
          <w:highlight w:val="none"/>
          <w:u w:val="none"/>
          <w:lang w:eastAsia="zh-CN"/>
        </w:rPr>
        <w:t>投标人的综合得分（满分</w:t>
      </w:r>
      <w:r>
        <w:rPr>
          <w:color w:val="auto"/>
          <w:highlight w:val="none"/>
          <w:u w:val="none"/>
          <w:lang w:eastAsia="zh-CN"/>
        </w:rPr>
        <w:t>100</w:t>
      </w:r>
      <w:r>
        <w:rPr>
          <w:rFonts w:hint="eastAsia"/>
          <w:color w:val="auto"/>
          <w:highlight w:val="none"/>
          <w:u w:val="none"/>
          <w:lang w:eastAsia="zh-CN"/>
        </w:rPr>
        <w:t>分）＝商务文件部分（30分）+技术文件（勘察设计方案部分）（</w:t>
      </w:r>
      <w:r>
        <w:rPr>
          <w:rFonts w:hint="eastAsia"/>
          <w:color w:val="auto"/>
          <w:highlight w:val="none"/>
          <w:u w:val="none"/>
          <w:lang w:val="en-US" w:eastAsia="zh-CN"/>
        </w:rPr>
        <w:t>6</w:t>
      </w:r>
      <w:r>
        <w:rPr>
          <w:rFonts w:hint="eastAsia"/>
          <w:color w:val="auto"/>
          <w:highlight w:val="none"/>
          <w:u w:val="none"/>
          <w:lang w:eastAsia="zh-CN"/>
        </w:rPr>
        <w:t>0分）</w:t>
      </w:r>
      <w:r>
        <w:rPr>
          <w:rFonts w:hint="eastAsia" w:ascii="宋体" w:hAnsi="宋体" w:eastAsia="宋体" w:cs="宋体"/>
          <w:color w:val="auto"/>
          <w:highlight w:val="none"/>
          <w:u w:val="none"/>
          <w:lang w:eastAsia="zh-CN"/>
        </w:rPr>
        <w:t>+投标报价得分（</w:t>
      </w:r>
      <w:r>
        <w:rPr>
          <w:rFonts w:hint="eastAsia" w:ascii="宋体" w:hAnsi="宋体" w:eastAsia="宋体" w:cs="宋体"/>
          <w:color w:val="auto"/>
          <w:highlight w:val="none"/>
          <w:u w:val="none"/>
          <w:lang w:val="en-US" w:eastAsia="zh-CN"/>
        </w:rPr>
        <w:t>10分</w:t>
      </w:r>
      <w:r>
        <w:rPr>
          <w:rFonts w:hint="eastAsia" w:ascii="宋体" w:hAnsi="宋体" w:eastAsia="宋体" w:cs="宋体"/>
          <w:color w:val="auto"/>
          <w:highlight w:val="none"/>
          <w:u w:val="none"/>
          <w:lang w:eastAsia="zh-CN"/>
        </w:rPr>
        <w:t>）</w:t>
      </w:r>
    </w:p>
    <w:p>
      <w:pPr>
        <w:pStyle w:val="8"/>
        <w:spacing w:line="360" w:lineRule="auto"/>
        <w:ind w:left="0" w:firstLine="420" w:firstLineChars="200"/>
        <w:jc w:val="both"/>
        <w:rPr>
          <w:strike/>
          <w:color w:val="auto"/>
          <w:highlight w:val="none"/>
          <w:lang w:eastAsia="zh-CN"/>
        </w:rPr>
      </w:pPr>
      <w:r>
        <w:rPr>
          <w:strike/>
          <w:color w:val="auto"/>
          <w:highlight w:val="none"/>
          <w:lang w:eastAsia="zh-CN"/>
        </w:rPr>
        <w:t>3.2.1评标委员会按本章第 2.2款规定的量化因素和分值进行打分，并计算出综合评估得分。</w:t>
      </w:r>
    </w:p>
    <w:p>
      <w:pPr>
        <w:pStyle w:val="8"/>
        <w:spacing w:line="360" w:lineRule="auto"/>
        <w:ind w:left="0" w:firstLine="420" w:firstLineChars="200"/>
        <w:jc w:val="both"/>
        <w:rPr>
          <w:strike/>
          <w:color w:val="auto"/>
          <w:highlight w:val="none"/>
          <w:lang w:eastAsia="zh-CN"/>
        </w:rPr>
      </w:pPr>
      <w:r>
        <w:rPr>
          <w:strike/>
          <w:color w:val="auto"/>
          <w:highlight w:val="none"/>
          <w:lang w:eastAsia="zh-CN"/>
        </w:rPr>
        <w:t>（1）按本章第2.2.4（1）目规定的评审因素和分值对资信业绩部分计算出得分A；</w:t>
      </w:r>
    </w:p>
    <w:p>
      <w:pPr>
        <w:pStyle w:val="8"/>
        <w:spacing w:line="360" w:lineRule="auto"/>
        <w:ind w:left="0" w:firstLine="420" w:firstLineChars="200"/>
        <w:jc w:val="both"/>
        <w:rPr>
          <w:strike/>
          <w:color w:val="auto"/>
          <w:highlight w:val="none"/>
          <w:lang w:eastAsia="zh-CN"/>
        </w:rPr>
      </w:pPr>
      <w:r>
        <w:rPr>
          <w:strike/>
          <w:color w:val="auto"/>
          <w:highlight w:val="none"/>
          <w:lang w:eastAsia="zh-CN"/>
        </w:rPr>
        <w:t>（2）按本章第2.2.4（2）目规定的评审因素和分值对勘察设计方案部分计算出得分B；</w:t>
      </w:r>
    </w:p>
    <w:p>
      <w:pPr>
        <w:pStyle w:val="8"/>
        <w:spacing w:line="360" w:lineRule="auto"/>
        <w:ind w:left="0" w:firstLine="420" w:firstLineChars="200"/>
        <w:jc w:val="both"/>
        <w:rPr>
          <w:strike/>
          <w:color w:val="auto"/>
          <w:highlight w:val="none"/>
          <w:lang w:eastAsia="zh-CN"/>
        </w:rPr>
      </w:pPr>
      <w:r>
        <w:rPr>
          <w:strike/>
          <w:color w:val="auto"/>
          <w:highlight w:val="none"/>
          <w:lang w:eastAsia="zh-CN"/>
        </w:rPr>
        <w:t>（3）按本章第2.2.4（3）目规定的评审因素和分值对投标报价计算出得分C；</w:t>
      </w:r>
    </w:p>
    <w:p>
      <w:pPr>
        <w:pStyle w:val="8"/>
        <w:spacing w:line="360" w:lineRule="auto"/>
        <w:ind w:left="1" w:firstLine="420" w:firstLineChars="200"/>
        <w:jc w:val="both"/>
        <w:rPr>
          <w:strike/>
          <w:color w:val="auto"/>
          <w:highlight w:val="none"/>
          <w:lang w:eastAsia="zh-CN"/>
        </w:rPr>
      </w:pPr>
      <w:r>
        <w:rPr>
          <w:strike/>
          <w:color w:val="auto"/>
          <w:highlight w:val="none"/>
          <w:lang w:eastAsia="zh-CN"/>
        </w:rPr>
        <w:t>（4）按本章第2.2.4（4）目规定的评审因素和分值对其他部分计算出得分D。</w:t>
      </w:r>
    </w:p>
    <w:p>
      <w:pPr>
        <w:pStyle w:val="8"/>
        <w:spacing w:line="360" w:lineRule="auto"/>
        <w:ind w:left="1" w:firstLine="420" w:firstLineChars="200"/>
        <w:jc w:val="both"/>
        <w:rPr>
          <w:strike/>
          <w:color w:val="auto"/>
          <w:highlight w:val="none"/>
          <w:lang w:eastAsia="zh-CN"/>
        </w:rPr>
      </w:pPr>
      <w:r>
        <w:rPr>
          <w:strike/>
          <w:color w:val="auto"/>
          <w:highlight w:val="none"/>
          <w:lang w:eastAsia="zh-CN"/>
        </w:rPr>
        <w:t>3.2.2评分分值计算保留小数点后两位，小数点后第三位“四舍五入”。</w:t>
      </w:r>
    </w:p>
    <w:p>
      <w:pPr>
        <w:pStyle w:val="8"/>
        <w:spacing w:line="360" w:lineRule="auto"/>
        <w:ind w:left="0" w:firstLine="420" w:firstLineChars="200"/>
        <w:jc w:val="both"/>
        <w:rPr>
          <w:color w:val="auto"/>
          <w:highlight w:val="none"/>
          <w:lang w:eastAsia="zh-CN"/>
        </w:rPr>
      </w:pPr>
      <w:r>
        <w:rPr>
          <w:strike/>
          <w:color w:val="auto"/>
          <w:highlight w:val="none"/>
          <w:lang w:eastAsia="zh-CN"/>
        </w:rPr>
        <w:t>3.2.3投标人得分=A+B+C+D。</w:t>
      </w:r>
    </w:p>
    <w:p>
      <w:pPr>
        <w:pStyle w:val="8"/>
        <w:spacing w:line="360" w:lineRule="auto"/>
        <w:ind w:left="0" w:firstLine="420" w:firstLineChars="200"/>
        <w:jc w:val="both"/>
        <w:rPr>
          <w:color w:val="auto"/>
          <w:highlight w:val="none"/>
          <w:lang w:eastAsia="zh-CN"/>
        </w:rPr>
      </w:pPr>
      <w:r>
        <w:rPr>
          <w:color w:val="auto"/>
          <w:highlight w:val="none"/>
          <w:lang w:eastAsia="zh-CN"/>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3.3  投标文件的澄清</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Style w:val="8"/>
        <w:spacing w:line="360" w:lineRule="auto"/>
        <w:ind w:left="0" w:firstLine="420" w:firstLineChars="200"/>
        <w:jc w:val="both"/>
        <w:rPr>
          <w:color w:val="auto"/>
          <w:highlight w:val="none"/>
          <w:lang w:eastAsia="zh-CN"/>
        </w:rPr>
      </w:pPr>
      <w:r>
        <w:rPr>
          <w:color w:val="auto"/>
          <w:highlight w:val="none"/>
          <w:lang w:eastAsia="zh-CN"/>
        </w:rPr>
        <w:t>3.3.2澄清、说明或补正不得超出投标文件的范围且不得改变投标文件的实质性内容，并构成投标文件的组成部分。</w:t>
      </w:r>
    </w:p>
    <w:p>
      <w:pPr>
        <w:pStyle w:val="8"/>
        <w:spacing w:line="360" w:lineRule="auto"/>
        <w:ind w:left="0" w:firstLine="420" w:firstLineChars="200"/>
        <w:jc w:val="both"/>
        <w:rPr>
          <w:color w:val="auto"/>
          <w:highlight w:val="none"/>
          <w:lang w:eastAsia="zh-CN"/>
        </w:rPr>
      </w:pPr>
      <w:r>
        <w:rPr>
          <w:color w:val="auto"/>
          <w:highlight w:val="none"/>
          <w:lang w:eastAsia="zh-CN"/>
        </w:rPr>
        <w:t>3.3.3评标委员会对投标人提交的澄清、说明或补正有疑问的，可以要求投标人进一步澄清、说明或补正，直至满足评标委员会的要求。</w:t>
      </w:r>
    </w:p>
    <w:p>
      <w:pPr>
        <w:spacing w:line="360" w:lineRule="auto"/>
        <w:jc w:val="both"/>
        <w:rPr>
          <w:rFonts w:ascii="宋体" w:hAnsi="宋体" w:eastAsia="宋体"/>
          <w:color w:val="auto"/>
          <w:sz w:val="21"/>
          <w:szCs w:val="21"/>
          <w:highlight w:val="none"/>
          <w:lang w:eastAsia="zh-CN"/>
        </w:rPr>
      </w:pPr>
    </w:p>
    <w:p>
      <w:pPr>
        <w:pStyle w:val="4"/>
        <w:ind w:right="44"/>
        <w:jc w:val="both"/>
        <w:rPr>
          <w:b/>
          <w:bCs/>
          <w:color w:val="auto"/>
          <w:sz w:val="21"/>
          <w:szCs w:val="21"/>
          <w:highlight w:val="none"/>
          <w:lang w:eastAsia="zh-CN"/>
        </w:rPr>
      </w:pPr>
      <w:r>
        <w:rPr>
          <w:b/>
          <w:bCs/>
          <w:color w:val="auto"/>
          <w:sz w:val="21"/>
          <w:szCs w:val="21"/>
          <w:highlight w:val="none"/>
          <w:lang w:eastAsia="zh-CN"/>
        </w:rPr>
        <w:t>3.4 评标结果</w:t>
      </w:r>
    </w:p>
    <w:p>
      <w:pPr>
        <w:spacing w:line="360" w:lineRule="auto"/>
        <w:jc w:val="both"/>
        <w:rPr>
          <w:rFonts w:ascii="宋体" w:hAnsi="宋体" w:eastAsia="宋体"/>
          <w:color w:val="auto"/>
          <w:sz w:val="21"/>
          <w:szCs w:val="21"/>
          <w:highlight w:val="none"/>
          <w:lang w:eastAsia="zh-CN"/>
        </w:rPr>
      </w:pPr>
    </w:p>
    <w:p>
      <w:pPr>
        <w:pStyle w:val="8"/>
        <w:spacing w:line="360" w:lineRule="auto"/>
        <w:ind w:left="0" w:firstLine="420" w:firstLineChars="200"/>
        <w:jc w:val="both"/>
        <w:rPr>
          <w:color w:val="auto"/>
          <w:highlight w:val="none"/>
          <w:lang w:eastAsia="zh-CN"/>
        </w:rPr>
      </w:pPr>
      <w:r>
        <w:rPr>
          <w:color w:val="auto"/>
          <w:highlight w:val="none"/>
          <w:lang w:eastAsia="zh-CN"/>
        </w:rPr>
        <w:t>3.4.1除第二章“投标人须知”前附表授权直接确定中标人外，评标委员会按照得分由高到低的顺序推荐中标候选人，并标明排序。</w:t>
      </w:r>
    </w:p>
    <w:p>
      <w:pPr>
        <w:pStyle w:val="8"/>
        <w:spacing w:line="360" w:lineRule="auto"/>
        <w:ind w:left="0" w:firstLine="420" w:firstLineChars="200"/>
        <w:jc w:val="both"/>
        <w:rPr>
          <w:color w:val="auto"/>
          <w:highlight w:val="none"/>
          <w:lang w:eastAsia="zh-CN"/>
        </w:rPr>
      </w:pPr>
      <w:r>
        <w:rPr>
          <w:color w:val="auto"/>
          <w:highlight w:val="none"/>
          <w:lang w:eastAsia="zh-CN"/>
        </w:rPr>
        <w:t>3.4.2评标委员会完成评标后，应当向招标人提交书面评标报告和中标候选人名单。</w:t>
      </w:r>
      <w:bookmarkStart w:id="56" w:name="_Toc25137997"/>
    </w:p>
    <w:p>
      <w:pPr>
        <w:pStyle w:val="2"/>
        <w:jc w:val="center"/>
        <w:rPr>
          <w:rFonts w:ascii="宋体" w:hAnsi="宋体" w:eastAsia="宋体"/>
          <w:color w:val="auto"/>
          <w:highlight w:val="none"/>
          <w:lang w:eastAsia="zh-CN"/>
        </w:rPr>
      </w:pPr>
      <w:r>
        <w:rPr>
          <w:rFonts w:ascii="宋体" w:hAnsi="宋体" w:eastAsia="宋体"/>
          <w:color w:val="auto"/>
          <w:highlight w:val="none"/>
          <w:lang w:eastAsia="zh-CN"/>
        </w:rPr>
        <w:br w:type="page"/>
      </w:r>
      <w:bookmarkStart w:id="57" w:name="_Toc109809437"/>
      <w:bookmarkStart w:id="58" w:name="_Toc109809398"/>
      <w:r>
        <w:rPr>
          <w:rFonts w:ascii="宋体" w:hAnsi="宋体" w:eastAsia="宋体"/>
          <w:color w:val="auto"/>
          <w:highlight w:val="none"/>
          <w:lang w:eastAsia="zh-CN"/>
        </w:rPr>
        <w:t>第四章</w:t>
      </w:r>
      <w:r>
        <w:rPr>
          <w:rFonts w:hint="eastAsia" w:ascii="宋体" w:hAnsi="宋体" w:eastAsia="宋体"/>
          <w:color w:val="auto"/>
          <w:highlight w:val="none"/>
          <w:lang w:eastAsia="zh-CN"/>
        </w:rPr>
        <w:t xml:space="preserve">  </w:t>
      </w:r>
      <w:r>
        <w:rPr>
          <w:rFonts w:ascii="宋体" w:hAnsi="宋体" w:eastAsia="宋体"/>
          <w:color w:val="auto"/>
          <w:highlight w:val="none"/>
          <w:lang w:eastAsia="zh-CN"/>
        </w:rPr>
        <w:t>合同条款及格式</w:t>
      </w:r>
      <w:bookmarkEnd w:id="56"/>
      <w:bookmarkEnd w:id="57"/>
      <w:bookmarkEnd w:id="58"/>
    </w:p>
    <w:p>
      <w:pPr>
        <w:pStyle w:val="8"/>
        <w:ind w:left="0"/>
        <w:jc w:val="center"/>
        <w:rPr>
          <w:color w:val="auto"/>
          <w:spacing w:val="-1"/>
          <w:highlight w:val="none"/>
          <w:lang w:eastAsia="zh-CN"/>
        </w:rPr>
      </w:pPr>
    </w:p>
    <w:p>
      <w:pPr>
        <w:pStyle w:val="8"/>
        <w:ind w:left="0"/>
        <w:jc w:val="center"/>
        <w:rPr>
          <w:color w:val="auto"/>
          <w:highlight w:val="none"/>
          <w:lang w:eastAsia="zh-CN"/>
        </w:rPr>
      </w:pPr>
      <w:r>
        <w:rPr>
          <w:rFonts w:hint="eastAsia"/>
          <w:color w:val="auto"/>
          <w:spacing w:val="-1"/>
          <w:highlight w:val="none"/>
          <w:lang w:eastAsia="zh-CN"/>
        </w:rPr>
        <w:t>（另册）</w:t>
      </w:r>
    </w:p>
    <w:p>
      <w:pPr>
        <w:rPr>
          <w:rFonts w:ascii="宋体" w:hAnsi="宋体" w:eastAsia="宋体" w:cs="宋体"/>
          <w:color w:val="auto"/>
          <w:sz w:val="20"/>
          <w:szCs w:val="20"/>
          <w:highlight w:val="none"/>
          <w:lang w:eastAsia="zh-CN"/>
        </w:rPr>
      </w:pPr>
      <w:r>
        <w:rPr>
          <w:rFonts w:ascii="宋体" w:hAnsi="宋体" w:eastAsia="宋体" w:cs="宋体"/>
          <w:color w:val="auto"/>
          <w:sz w:val="20"/>
          <w:szCs w:val="20"/>
          <w:highlight w:val="none"/>
          <w:lang w:eastAsia="zh-CN"/>
        </w:rPr>
        <w:br w:type="page"/>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pStyle w:val="2"/>
        <w:spacing w:line="738" w:lineRule="exact"/>
        <w:ind w:right="3"/>
        <w:jc w:val="center"/>
        <w:rPr>
          <w:rFonts w:ascii="宋体" w:hAnsi="宋体" w:eastAsia="宋体"/>
          <w:b w:val="0"/>
          <w:bCs w:val="0"/>
          <w:color w:val="auto"/>
          <w:highlight w:val="none"/>
          <w:lang w:eastAsia="zh-CN"/>
        </w:rPr>
      </w:pPr>
      <w:bookmarkStart w:id="59" w:name="_Toc109809438"/>
      <w:bookmarkStart w:id="60" w:name="_Toc25138016"/>
      <w:bookmarkStart w:id="61" w:name="_Toc109809399"/>
      <w:r>
        <w:rPr>
          <w:rFonts w:ascii="宋体" w:hAnsi="宋体" w:eastAsia="宋体"/>
          <w:color w:val="auto"/>
          <w:highlight w:val="none"/>
          <w:lang w:eastAsia="zh-CN"/>
        </w:rPr>
        <w:t>第二卷</w:t>
      </w:r>
      <w:bookmarkEnd w:id="59"/>
      <w:bookmarkEnd w:id="60"/>
      <w:bookmarkEnd w:id="61"/>
    </w:p>
    <w:p>
      <w:pPr>
        <w:spacing w:line="738" w:lineRule="exact"/>
        <w:jc w:val="center"/>
        <w:rPr>
          <w:rFonts w:ascii="宋体" w:hAnsi="宋体" w:eastAsia="宋体"/>
          <w:color w:val="auto"/>
          <w:highlight w:val="none"/>
          <w:lang w:eastAsia="zh-CN"/>
        </w:rPr>
        <w:sectPr>
          <w:footerReference r:id="rId4" w:type="default"/>
          <w:pgSz w:w="11907" w:h="16839"/>
          <w:pgMar w:top="1440" w:right="1440" w:bottom="1440" w:left="1440" w:header="0" w:footer="921" w:gutter="0"/>
          <w:cols w:space="720" w:num="1"/>
        </w:sectPr>
      </w:pPr>
    </w:p>
    <w:p>
      <w:pPr>
        <w:spacing w:before="3"/>
        <w:rPr>
          <w:rFonts w:ascii="宋体" w:hAnsi="宋体" w:eastAsia="宋体" w:cs="Microsoft JhengHei"/>
          <w:b/>
          <w:bCs/>
          <w:color w:val="auto"/>
          <w:sz w:val="18"/>
          <w:szCs w:val="18"/>
          <w:highlight w:val="none"/>
          <w:lang w:eastAsia="zh-CN"/>
        </w:rPr>
      </w:pPr>
    </w:p>
    <w:p>
      <w:pPr>
        <w:pStyle w:val="2"/>
        <w:numPr>
          <w:ilvl w:val="0"/>
          <w:numId w:val="1"/>
        </w:numPr>
        <w:jc w:val="center"/>
        <w:rPr>
          <w:rFonts w:ascii="宋体" w:hAnsi="宋体" w:eastAsia="宋体"/>
          <w:color w:val="auto"/>
          <w:highlight w:val="none"/>
          <w:lang w:eastAsia="zh-CN"/>
        </w:rPr>
      </w:pPr>
      <w:bookmarkStart w:id="62" w:name="_Toc25138017"/>
      <w:r>
        <w:rPr>
          <w:rFonts w:hint="eastAsia" w:ascii="宋体" w:hAnsi="宋体" w:eastAsia="宋体"/>
          <w:color w:val="auto"/>
          <w:highlight w:val="none"/>
          <w:lang w:eastAsia="zh-CN"/>
        </w:rPr>
        <w:t xml:space="preserve"> </w:t>
      </w:r>
      <w:bookmarkEnd w:id="62"/>
      <w:r>
        <w:rPr>
          <w:rFonts w:hint="eastAsia" w:ascii="宋体" w:hAnsi="宋体" w:eastAsia="宋体"/>
          <w:color w:val="auto"/>
          <w:highlight w:val="none"/>
          <w:lang w:eastAsia="zh-CN"/>
        </w:rPr>
        <w:t>勘察、设计需求书</w:t>
      </w:r>
    </w:p>
    <w:p>
      <w:pPr>
        <w:widowControl/>
        <w:spacing w:after="200" w:line="360" w:lineRule="auto"/>
        <w:ind w:right="-394" w:rightChars="-179"/>
        <w:jc w:val="center"/>
        <w:rPr>
          <w:rFonts w:hint="default" w:ascii="Times New Roman" w:hAnsi="Times New Roman" w:cs="Times New Roman"/>
          <w:b/>
          <w:bCs/>
          <w:color w:val="auto"/>
          <w:kern w:val="0"/>
          <w:sz w:val="36"/>
          <w:szCs w:val="36"/>
          <w:highlight w:val="none"/>
        </w:rPr>
      </w:pPr>
      <w:bookmarkStart w:id="63" w:name="_Toc101777645"/>
      <w:bookmarkStart w:id="64" w:name="_Toc85854822"/>
    </w:p>
    <w:p>
      <w:pPr>
        <w:pStyle w:val="5"/>
        <w:jc w:val="center"/>
        <w:rPr>
          <w:rFonts w:ascii="宋体" w:hAnsi="宋体"/>
          <w:color w:val="auto"/>
          <w:sz w:val="28"/>
          <w:szCs w:val="28"/>
          <w:highlight w:val="none"/>
        </w:rPr>
      </w:pPr>
      <w:r>
        <w:rPr>
          <w:rFonts w:ascii="宋体" w:hAnsi="宋体"/>
          <w:color w:val="auto"/>
          <w:sz w:val="28"/>
          <w:szCs w:val="28"/>
          <w:highlight w:val="none"/>
        </w:rPr>
        <w:t>（另册）</w:t>
      </w:r>
    </w:p>
    <w:p>
      <w:pPr>
        <w:spacing w:line="360" w:lineRule="auto"/>
        <w:ind w:right="-394" w:rightChars="-179"/>
        <w:jc w:val="center"/>
        <w:rPr>
          <w:rFonts w:hint="default" w:ascii="Times New Roman" w:hAnsi="Times New Roman" w:cs="Times New Roman"/>
          <w:color w:val="auto"/>
          <w:sz w:val="28"/>
          <w:szCs w:val="28"/>
          <w:highlight w:val="none"/>
        </w:rPr>
      </w:pPr>
    </w:p>
    <w:p>
      <w:pPr>
        <w:spacing w:line="360" w:lineRule="auto"/>
        <w:ind w:right="-394" w:rightChars="-179"/>
        <w:jc w:val="center"/>
        <w:rPr>
          <w:rFonts w:hint="default" w:ascii="Times New Roman" w:hAnsi="Times New Roman" w:cs="Times New Roman"/>
          <w:color w:val="auto"/>
          <w:sz w:val="28"/>
          <w:szCs w:val="28"/>
          <w:highlight w:val="none"/>
        </w:rPr>
      </w:pPr>
    </w:p>
    <w:p>
      <w:pPr>
        <w:pStyle w:val="5"/>
        <w:rPr>
          <w:rFonts w:hint="default"/>
          <w:color w:val="auto"/>
          <w:highlight w:val="none"/>
        </w:rPr>
      </w:pPr>
    </w:p>
    <w:p>
      <w:pPr>
        <w:spacing w:line="360" w:lineRule="auto"/>
        <w:ind w:right="-394" w:rightChars="-179"/>
        <w:jc w:val="center"/>
        <w:rPr>
          <w:rFonts w:hint="default" w:ascii="Times New Roman" w:hAnsi="Times New Roman" w:cs="Times New Roman"/>
          <w:color w:val="auto"/>
          <w:sz w:val="28"/>
          <w:szCs w:val="28"/>
          <w:highlight w:val="none"/>
        </w:rPr>
      </w:pPr>
    </w:p>
    <w:p>
      <w:pPr>
        <w:spacing w:line="360" w:lineRule="auto"/>
        <w:ind w:right="-394" w:rightChars="-179"/>
        <w:jc w:val="center"/>
        <w:rPr>
          <w:rFonts w:hint="default" w:ascii="Times New Roman" w:hAnsi="Times New Roman" w:cs="Times New Roman"/>
          <w:color w:val="auto"/>
          <w:sz w:val="28"/>
          <w:szCs w:val="28"/>
          <w:highlight w:val="none"/>
        </w:rPr>
      </w:pPr>
    </w:p>
    <w:p>
      <w:pPr>
        <w:spacing w:line="360" w:lineRule="auto"/>
        <w:ind w:right="-394" w:rightChars="-179"/>
        <w:jc w:val="center"/>
        <w:rPr>
          <w:rFonts w:hint="default" w:ascii="Times New Roman" w:hAnsi="Times New Roman" w:cs="Times New Roman"/>
          <w:color w:val="auto"/>
          <w:sz w:val="28"/>
          <w:szCs w:val="28"/>
          <w:highlight w:val="none"/>
        </w:rPr>
      </w:pPr>
    </w:p>
    <w:p>
      <w:pPr>
        <w:spacing w:line="360" w:lineRule="auto"/>
        <w:ind w:right="-394" w:rightChars="-179"/>
        <w:jc w:val="center"/>
        <w:rPr>
          <w:rFonts w:hint="default" w:ascii="Times New Roman" w:hAnsi="Times New Roman" w:cs="Times New Roman"/>
          <w:color w:val="auto"/>
          <w:sz w:val="28"/>
          <w:szCs w:val="28"/>
          <w:highlight w:val="none"/>
        </w:rPr>
      </w:pPr>
    </w:p>
    <w:p>
      <w:pPr>
        <w:spacing w:line="360" w:lineRule="auto"/>
        <w:ind w:right="-394" w:rightChars="-179"/>
        <w:jc w:val="center"/>
        <w:rPr>
          <w:rFonts w:hint="default" w:ascii="Times New Roman" w:hAnsi="Times New Roman" w:cs="Times New Roman"/>
          <w:color w:val="auto"/>
          <w:sz w:val="28"/>
          <w:szCs w:val="28"/>
          <w:highlight w:val="none"/>
        </w:rPr>
      </w:pPr>
    </w:p>
    <w:p>
      <w:pPr>
        <w:spacing w:line="360" w:lineRule="auto"/>
        <w:ind w:right="-394" w:rightChars="-179"/>
        <w:jc w:val="center"/>
        <w:rPr>
          <w:rFonts w:hint="default" w:ascii="Times New Roman" w:hAnsi="Times New Roman" w:cs="Times New Roman"/>
          <w:b/>
          <w:color w:val="auto"/>
          <w:sz w:val="48"/>
          <w:szCs w:val="48"/>
          <w:highlight w:val="none"/>
        </w:rPr>
      </w:pPr>
    </w:p>
    <w:p>
      <w:pPr>
        <w:pageBreakBefore/>
        <w:adjustRightInd w:val="0"/>
        <w:snapToGrid w:val="0"/>
        <w:spacing w:line="360" w:lineRule="auto"/>
        <w:ind w:right="-394" w:rightChars="-179" w:firstLine="560" w:firstLineChars="200"/>
        <w:rPr>
          <w:rFonts w:hint="default" w:ascii="Times New Roman" w:hAnsi="Times New Roman" w:cs="Times New Roman"/>
          <w:b/>
          <w:color w:val="auto"/>
          <w:sz w:val="28"/>
          <w:szCs w:val="21"/>
          <w:highlight w:val="none"/>
        </w:rPr>
        <w:sectPr>
          <w:footerReference r:id="rId5" w:type="default"/>
          <w:footerReference r:id="rId6" w:type="even"/>
          <w:pgSz w:w="11905" w:h="16838"/>
          <w:pgMar w:top="1440" w:right="1800" w:bottom="1440" w:left="1800" w:header="851" w:footer="907" w:gutter="283"/>
          <w:cols w:space="720" w:num="1"/>
          <w:docGrid w:linePitch="312" w:charSpace="0"/>
        </w:sectPr>
      </w:pPr>
    </w:p>
    <w:bookmarkEnd w:id="63"/>
    <w:bookmarkEnd w:id="64"/>
    <w:p>
      <w:pPr>
        <w:pStyle w:val="5"/>
        <w:ind w:firstLine="0"/>
        <w:rPr>
          <w:rFonts w:ascii="宋体" w:hAnsi="宋体"/>
          <w:color w:val="auto"/>
          <w:sz w:val="26"/>
          <w:szCs w:val="26"/>
          <w:highlight w:val="none"/>
        </w:rPr>
      </w:pPr>
    </w:p>
    <w:p>
      <w:pPr>
        <w:pStyle w:val="2"/>
        <w:spacing w:line="589" w:lineRule="exact"/>
        <w:ind w:right="3"/>
        <w:jc w:val="center"/>
        <w:rPr>
          <w:rFonts w:ascii="宋体" w:hAnsi="宋体" w:eastAsia="宋体"/>
          <w:b w:val="0"/>
          <w:bCs w:val="0"/>
          <w:color w:val="auto"/>
          <w:highlight w:val="none"/>
          <w:lang w:eastAsia="zh-CN"/>
        </w:rPr>
      </w:pPr>
      <w:bookmarkStart w:id="65" w:name="_Toc25138019"/>
      <w:bookmarkStart w:id="66" w:name="_Toc109809440"/>
      <w:bookmarkStart w:id="67" w:name="_Toc109809401"/>
      <w:r>
        <w:rPr>
          <w:rFonts w:ascii="宋体" w:hAnsi="宋体" w:eastAsia="宋体"/>
          <w:color w:val="auto"/>
          <w:highlight w:val="none"/>
          <w:lang w:eastAsia="zh-CN"/>
        </w:rPr>
        <w:t>第三卷</w:t>
      </w:r>
      <w:bookmarkEnd w:id="65"/>
      <w:bookmarkEnd w:id="66"/>
      <w:bookmarkEnd w:id="67"/>
    </w:p>
    <w:p>
      <w:pPr>
        <w:spacing w:line="589" w:lineRule="exact"/>
        <w:jc w:val="center"/>
        <w:rPr>
          <w:rFonts w:ascii="宋体" w:hAnsi="宋体" w:eastAsia="宋体"/>
          <w:color w:val="auto"/>
          <w:highlight w:val="none"/>
          <w:lang w:eastAsia="zh-CN"/>
        </w:rPr>
        <w:sectPr>
          <w:footerReference r:id="rId8" w:type="first"/>
          <w:footerReference r:id="rId7" w:type="default"/>
          <w:pgSz w:w="11907" w:h="16839"/>
          <w:pgMar w:top="1440" w:right="1440" w:bottom="1440" w:left="1440" w:header="0" w:footer="921" w:gutter="0"/>
          <w:cols w:space="720" w:num="1"/>
          <w:titlePg/>
          <w:docGrid w:linePitch="299" w:charSpace="0"/>
        </w:sectPr>
      </w:pPr>
    </w:p>
    <w:p>
      <w:pPr>
        <w:pStyle w:val="2"/>
        <w:jc w:val="center"/>
        <w:rPr>
          <w:rFonts w:ascii="宋体" w:hAnsi="宋体" w:eastAsia="宋体"/>
          <w:color w:val="auto"/>
          <w:highlight w:val="none"/>
          <w:lang w:eastAsia="zh-CN"/>
        </w:rPr>
      </w:pPr>
      <w:bookmarkStart w:id="68" w:name="_Toc109809402"/>
      <w:bookmarkStart w:id="69" w:name="_Toc109809441"/>
      <w:bookmarkStart w:id="70" w:name="_Toc25138020"/>
      <w:r>
        <w:rPr>
          <w:rFonts w:ascii="宋体" w:hAnsi="宋体" w:eastAsia="宋体"/>
          <w:color w:val="auto"/>
          <w:highlight w:val="none"/>
          <w:lang w:eastAsia="zh-CN"/>
        </w:rPr>
        <w:t>第六章</w:t>
      </w:r>
      <w:r>
        <w:rPr>
          <w:rFonts w:hint="eastAsia" w:ascii="宋体" w:hAnsi="宋体" w:eastAsia="宋体"/>
          <w:color w:val="auto"/>
          <w:highlight w:val="none"/>
          <w:lang w:eastAsia="zh-CN"/>
        </w:rPr>
        <w:t xml:space="preserve">  </w:t>
      </w:r>
      <w:r>
        <w:rPr>
          <w:rFonts w:ascii="宋体" w:hAnsi="宋体" w:eastAsia="宋体"/>
          <w:color w:val="auto"/>
          <w:highlight w:val="none"/>
          <w:lang w:eastAsia="zh-CN"/>
        </w:rPr>
        <w:t>投标文件格式</w:t>
      </w:r>
      <w:bookmarkEnd w:id="68"/>
      <w:bookmarkEnd w:id="69"/>
      <w:bookmarkEnd w:id="70"/>
    </w:p>
    <w:p>
      <w:pPr>
        <w:rPr>
          <w:color w:val="auto"/>
          <w:highlight w:val="none"/>
          <w:lang w:eastAsia="zh-CN"/>
        </w:rPr>
      </w:pPr>
    </w:p>
    <w:p>
      <w:pPr>
        <w:rPr>
          <w:rFonts w:eastAsia="宋体"/>
          <w:color w:val="auto"/>
          <w:highlight w:val="none"/>
          <w:lang w:eastAsia="zh-CN"/>
        </w:rPr>
      </w:pPr>
    </w:p>
    <w:p>
      <w:pPr>
        <w:pStyle w:val="2"/>
        <w:jc w:val="center"/>
        <w:rPr>
          <w:rFonts w:ascii="宋体" w:hAnsi="宋体" w:eastAsia="宋体"/>
          <w:color w:val="auto"/>
          <w:highlight w:val="none"/>
          <w:lang w:eastAsia="zh-CN"/>
        </w:rPr>
        <w:sectPr>
          <w:pgSz w:w="11907" w:h="16839"/>
          <w:pgMar w:top="1440" w:right="1440" w:bottom="1440" w:left="1440" w:header="0" w:footer="921" w:gutter="0"/>
          <w:cols w:space="720" w:num="1"/>
        </w:sectPr>
      </w:pPr>
    </w:p>
    <w:p>
      <w:pPr>
        <w:pStyle w:val="3"/>
        <w:jc w:val="center"/>
        <w:rPr>
          <w:rFonts w:ascii="宋体" w:hAnsi="宋体" w:eastAsia="宋体" w:cs="宋体"/>
          <w:color w:val="auto"/>
          <w:highlight w:val="none"/>
          <w:lang w:eastAsia="zh-CN"/>
        </w:rPr>
      </w:pPr>
      <w:bookmarkStart w:id="71" w:name="_Toc109809403"/>
      <w:bookmarkStart w:id="72" w:name="_Toc109809442"/>
      <w:bookmarkStart w:id="73" w:name="_Toc25072139"/>
      <w:bookmarkStart w:id="74" w:name="_Toc25151932"/>
      <w:bookmarkStart w:id="75" w:name="_Toc25152753"/>
      <w:bookmarkStart w:id="76" w:name="_Toc25138022"/>
      <w:r>
        <w:rPr>
          <w:rFonts w:hint="eastAsia" w:ascii="宋体" w:hAnsi="宋体" w:eastAsia="宋体"/>
          <w:color w:val="auto"/>
          <w:highlight w:val="none"/>
          <w:lang w:eastAsia="zh-CN"/>
        </w:rPr>
        <w:t>设计投标文件编制要求</w:t>
      </w:r>
      <w:bookmarkEnd w:id="71"/>
      <w:bookmarkEnd w:id="72"/>
    </w:p>
    <w:p>
      <w:pPr>
        <w:adjustRightInd w:val="0"/>
        <w:spacing w:line="360" w:lineRule="auto"/>
        <w:ind w:firstLine="422" w:firstLineChars="200"/>
        <w:jc w:val="both"/>
        <w:rPr>
          <w:rFonts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1、投标文件</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1.1  投标文件由商务文件（含资格审查部分、资信业绩部分）、技术文件（含设计方案部分）两个部分组成。各部分投标文件应分别编制。资信文件（含资格审查文件）和设计方案文件两部分组成的总页数不限，设计方案电子文档（上传系统文件）大小不超</w:t>
      </w:r>
      <w:r>
        <w:rPr>
          <w:rFonts w:ascii="宋体" w:hAnsi="宋体" w:eastAsia="宋体"/>
          <w:color w:val="auto"/>
          <w:sz w:val="21"/>
          <w:szCs w:val="21"/>
          <w:highlight w:val="none"/>
          <w:lang w:eastAsia="zh-CN"/>
        </w:rPr>
        <w:t>1000M</w:t>
      </w:r>
      <w:r>
        <w:rPr>
          <w:rFonts w:hint="eastAsia" w:ascii="宋体" w:hAnsi="宋体" w:eastAsia="宋体"/>
          <w:color w:val="auto"/>
          <w:sz w:val="21"/>
          <w:szCs w:val="21"/>
          <w:highlight w:val="none"/>
          <w:lang w:eastAsia="zh-CN"/>
        </w:rPr>
        <w:t>。</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1.2  投标文件应做到清晰、完整，文本、图纸规格应当尽量统一。除非另有规定，否则投标文件的计量单位宜采用国际标准计量单位，尺寸齐全、准确，所有文字说明和文字标注以中文为准，报价均为人民币，时间均为北京时间。</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1.3  每个投标人报送一个投标方案，投标文件应达到招标文件规定的深度，满足评审需要。不响应招标文件要求的投标文件可能被拒绝，责任由投标人自负。</w:t>
      </w:r>
    </w:p>
    <w:p>
      <w:pPr>
        <w:adjustRightInd w:val="0"/>
        <w:spacing w:line="360" w:lineRule="auto"/>
        <w:ind w:firstLine="422" w:firstLineChars="200"/>
        <w:jc w:val="both"/>
        <w:rPr>
          <w:rFonts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2、商务文件（含资格审查部分、资信业绩部分）编制要求</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2.1  商务文件（含资格审查部分、资信业绩部分）由下列资料组成：</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（1）封面：写明项目名称、商务文件（含资格审查部分、资信业绩部分）、投标人单位及年月日；加盖投标人公章。</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（2）目录。</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（3）填妥并签字盖章的《投标书》（格式见格式一）。</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（4）填妥并签字盖章的《法定代表人身份证明》和《授权委托书》（格式见格式二）。</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（5）填妥并签字盖章的《投标申请人声明》（格式见格式四）</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（6）填妥并签字盖章的《投标人廉洁承诺书》（格式见格式八）</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（7）填妥并签字盖章的《联合体投标协议书》（非联合体投标人，无需提供）（格式见招标公告附件三）</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（8）填妥并签字盖章的《信用记录承诺函》（格式见格式九）</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（9）填妥并签字盖章的《合作设计协议》（外国或香港、澳门、台湾的设计企业提供）（格式见格式三）</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（10）投标人资质证书扫描件，香港企业须提供满足招标文件要求的相应资质证书及备案证明资料扫描件。</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（11）企业营业执照副本扫描件，香港企业提供在香港进行商业登记的证明文书。</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（12）投标人及项目负责人已在广州公共资源交易中心已办理企业信息登记的证明材料</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（13）拟派项目负责人资格证书扫描件</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（14）投标人认为有必要提供的其他资格要求证明资料扫描件</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（15）填妥并签字盖章的《勘察设计费报价表》（格式见格式五）</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（16）企业类似业绩证明资料扫描件（格式见格式七）</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（17）企业业绩获奖证明资料扫描件</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（18）项目负责人设计经历及业务能力证明材料扫描件</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（19）为本项目拟投入的技术力量。主要包括各专业负责人的职称、执业资格等证明材料，并能保证材料的真实性。（格式见格式六）</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（20）信誉证明材料扫描件</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（21）投标人认为有必要提供的其他资料。</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投标人在评标过程中作出的符合法律法规和招标文件规定的澄清确认，构成投标文件的组成部分。</w:t>
      </w:r>
    </w:p>
    <w:p>
      <w:pPr>
        <w:adjustRightInd w:val="0"/>
        <w:spacing w:line="360" w:lineRule="auto"/>
        <w:ind w:firstLine="420" w:firstLineChars="200"/>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2.2  接收投标文件备用光盘时，如果包封上没有按规定密封并加写标志，招标人将不承担投标文件错放或提前开封的责任，由此造成的提前开封的投标文件，招标人予以拒绝，并退还给投标人。</w:t>
      </w:r>
    </w:p>
    <w:p>
      <w:pPr>
        <w:adjustRightInd w:val="0"/>
        <w:spacing w:line="360" w:lineRule="auto"/>
        <w:ind w:firstLine="420" w:firstLineChars="200"/>
        <w:jc w:val="both"/>
        <w:rPr>
          <w:rFonts w:hint="eastAsia" w:ascii="宋体" w:hAnsi="宋体" w:eastAsia="宋体"/>
          <w:b/>
          <w:color w:val="auto"/>
          <w:sz w:val="21"/>
          <w:szCs w:val="21"/>
          <w:highlight w:val="none"/>
          <w:lang w:eastAsia="zh-CN"/>
        </w:rPr>
      </w:pPr>
      <w:r>
        <w:rPr>
          <w:rFonts w:hint="eastAsia" w:ascii="宋体" w:hAnsi="宋体" w:eastAsia="宋体"/>
          <w:color w:val="auto"/>
          <w:sz w:val="21"/>
          <w:szCs w:val="21"/>
          <w:highlight w:val="none"/>
          <w:lang w:eastAsia="zh-CN"/>
        </w:rPr>
        <w:t>2.3  签署要求：按格式要求签字盖章。</w:t>
      </w:r>
    </w:p>
    <w:p>
      <w:pPr>
        <w:adjustRightInd w:val="0"/>
        <w:spacing w:line="360" w:lineRule="auto"/>
        <w:ind w:firstLine="422" w:firstLineChars="200"/>
        <w:jc w:val="both"/>
        <w:rPr>
          <w:rFonts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3、技术文件（含设计方案部分）编制要求（暗标，不得标注名称、印章、商标、图形等记认符号，使人辨认出投标人或其专业技术人员的身份，上传系统，电子文档上传不超</w:t>
      </w:r>
      <w:r>
        <w:rPr>
          <w:rFonts w:ascii="宋体" w:hAnsi="宋体" w:eastAsia="宋体"/>
          <w:b/>
          <w:color w:val="auto"/>
          <w:sz w:val="21"/>
          <w:szCs w:val="21"/>
          <w:highlight w:val="none"/>
          <w:lang w:eastAsia="zh-CN"/>
        </w:rPr>
        <w:t>1000M</w:t>
      </w:r>
      <w:r>
        <w:rPr>
          <w:rFonts w:hint="eastAsia" w:ascii="宋体" w:hAnsi="宋体" w:eastAsia="宋体"/>
          <w:b/>
          <w:color w:val="auto"/>
          <w:sz w:val="21"/>
          <w:szCs w:val="21"/>
          <w:highlight w:val="none"/>
          <w:lang w:eastAsia="zh-CN"/>
        </w:rPr>
        <w:t>）</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3.1  技术文件（含设计方案部分）由下列资料组成：</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olor w:val="auto"/>
          <w:sz w:val="21"/>
          <w:szCs w:val="21"/>
          <w:highlight w:val="none"/>
          <w:lang w:eastAsia="zh-CN"/>
        </w:rPr>
        <w:t>1</w:t>
      </w:r>
      <w:r>
        <w:rPr>
          <w:rFonts w:hint="eastAsia" w:ascii="宋体" w:hAnsi="宋体" w:eastAsia="宋体"/>
          <w:color w:val="auto"/>
          <w:sz w:val="21"/>
          <w:szCs w:val="21"/>
          <w:highlight w:val="none"/>
          <w:lang w:eastAsia="zh-CN"/>
        </w:rPr>
        <w:t>）首页：写明项目名称、设计作品主题（不宜超过</w:t>
      </w:r>
      <w:r>
        <w:rPr>
          <w:rFonts w:ascii="宋体" w:hAnsi="宋体" w:eastAsia="宋体"/>
          <w:color w:val="auto"/>
          <w:sz w:val="21"/>
          <w:szCs w:val="21"/>
          <w:highlight w:val="none"/>
          <w:lang w:eastAsia="zh-CN"/>
        </w:rPr>
        <w:t>20</w:t>
      </w:r>
      <w:r>
        <w:rPr>
          <w:rFonts w:hint="eastAsia" w:ascii="宋体" w:hAnsi="宋体" w:eastAsia="宋体"/>
          <w:color w:val="auto"/>
          <w:sz w:val="21"/>
          <w:szCs w:val="21"/>
          <w:highlight w:val="none"/>
          <w:lang w:eastAsia="zh-CN"/>
        </w:rPr>
        <w:t>个字）、编制年月；</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olor w:val="auto"/>
          <w:sz w:val="21"/>
          <w:szCs w:val="21"/>
          <w:highlight w:val="none"/>
          <w:lang w:eastAsia="zh-CN"/>
        </w:rPr>
        <w:t>2</w:t>
      </w:r>
      <w:r>
        <w:rPr>
          <w:rFonts w:hint="eastAsia" w:ascii="宋体" w:hAnsi="宋体" w:eastAsia="宋体"/>
          <w:color w:val="auto"/>
          <w:sz w:val="21"/>
          <w:szCs w:val="21"/>
          <w:highlight w:val="none"/>
          <w:lang w:eastAsia="zh-CN"/>
        </w:rPr>
        <w:t>）目录；</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olor w:val="auto"/>
          <w:sz w:val="21"/>
          <w:szCs w:val="21"/>
          <w:highlight w:val="none"/>
          <w:lang w:eastAsia="zh-CN"/>
        </w:rPr>
        <w:t>3</w:t>
      </w:r>
      <w:r>
        <w:rPr>
          <w:rFonts w:hint="eastAsia" w:ascii="宋体" w:hAnsi="宋体" w:eastAsia="宋体"/>
          <w:color w:val="auto"/>
          <w:sz w:val="21"/>
          <w:szCs w:val="21"/>
          <w:highlight w:val="none"/>
          <w:lang w:eastAsia="zh-CN"/>
        </w:rPr>
        <w:t>）设计说明书；</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olor w:val="auto"/>
          <w:sz w:val="21"/>
          <w:szCs w:val="21"/>
          <w:highlight w:val="none"/>
          <w:lang w:eastAsia="zh-CN"/>
        </w:rPr>
        <w:t>4</w:t>
      </w:r>
      <w:r>
        <w:rPr>
          <w:rFonts w:hint="eastAsia" w:ascii="宋体" w:hAnsi="宋体" w:eastAsia="宋体"/>
          <w:color w:val="auto"/>
          <w:sz w:val="21"/>
          <w:szCs w:val="21"/>
          <w:highlight w:val="none"/>
          <w:lang w:eastAsia="zh-CN"/>
        </w:rPr>
        <w:t>）设计图纸（需包括表现图、分析示意图、总平面图、各层平面图、剖面图、立面图、效果图等，可以水平或垂直展示）；</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olor w:val="auto"/>
          <w:sz w:val="21"/>
          <w:szCs w:val="21"/>
          <w:highlight w:val="none"/>
          <w:lang w:eastAsia="zh-CN"/>
        </w:rPr>
        <w:t>5</w:t>
      </w:r>
      <w:r>
        <w:rPr>
          <w:rFonts w:hint="eastAsia" w:ascii="宋体" w:hAnsi="宋体" w:eastAsia="宋体"/>
          <w:color w:val="auto"/>
          <w:sz w:val="21"/>
          <w:szCs w:val="21"/>
          <w:highlight w:val="none"/>
          <w:lang w:eastAsia="zh-CN"/>
        </w:rPr>
        <w:t>）《工期计划表》（初步设计、施工图设计的总工时和工期）；</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olor w:val="auto"/>
          <w:sz w:val="21"/>
          <w:szCs w:val="21"/>
          <w:highlight w:val="none"/>
          <w:lang w:eastAsia="zh-CN"/>
        </w:rPr>
        <w:t>6</w:t>
      </w:r>
      <w:r>
        <w:rPr>
          <w:rFonts w:hint="eastAsia" w:ascii="宋体" w:hAnsi="宋体" w:eastAsia="宋体"/>
          <w:color w:val="auto"/>
          <w:sz w:val="21"/>
          <w:szCs w:val="21"/>
          <w:highlight w:val="none"/>
          <w:lang w:eastAsia="zh-CN"/>
        </w:rPr>
        <w:t>）投标人提出的建议、工程创新和替代方案（如果有）；</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olor w:val="auto"/>
          <w:sz w:val="21"/>
          <w:szCs w:val="21"/>
          <w:highlight w:val="none"/>
          <w:lang w:eastAsia="zh-CN"/>
        </w:rPr>
        <w:t>7</w:t>
      </w:r>
      <w:r>
        <w:rPr>
          <w:rFonts w:hint="eastAsia" w:ascii="宋体" w:hAnsi="宋体" w:eastAsia="宋体"/>
          <w:color w:val="auto"/>
          <w:sz w:val="21"/>
          <w:szCs w:val="21"/>
          <w:highlight w:val="none"/>
          <w:lang w:eastAsia="zh-CN"/>
        </w:rPr>
        <w:t>）完成本项目的难点，保障工期、质量的主要措施；</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w:t>
      </w:r>
      <w:r>
        <w:rPr>
          <w:rFonts w:ascii="宋体" w:hAnsi="宋体" w:eastAsia="宋体"/>
          <w:color w:val="auto"/>
          <w:sz w:val="21"/>
          <w:szCs w:val="21"/>
          <w:highlight w:val="none"/>
          <w:lang w:eastAsia="zh-CN"/>
        </w:rPr>
        <w:t>8</w:t>
      </w:r>
      <w:r>
        <w:rPr>
          <w:rFonts w:hint="eastAsia" w:ascii="宋体" w:hAnsi="宋体" w:eastAsia="宋体"/>
          <w:color w:val="auto"/>
          <w:sz w:val="21"/>
          <w:szCs w:val="21"/>
          <w:highlight w:val="none"/>
          <w:lang w:eastAsia="zh-CN"/>
        </w:rPr>
        <w:t>）投标人认为有必要提供的其他资料。</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注：技术文件（含设计方案部分）为暗标。技术标中不能辨认出投标人或其专业技术人员的身份。不在设计方案上标注或做任何可以辨认投标人及专业技术人员身份的名称、印章、商标、图形等记认符号。</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投标人在评标过程中作出的符合法律法规和招标文件规定的澄清确认，构成投标文件的组成部分。</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3.2  技术文件（含设计方案部分）必须隐匿投标人及专业技术人员的名称，投标人不得在设计方案文件的设计方案、计算机文件、展示图纸上标注或做任何可以辨认投标人及专业技术人员身份的名称、印章、商标、图形等记认符号。</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3.3  技术文件备用光盘（暗标，不得标注名称、印章、商标、图形等记认符号，使人辨认出投标人或其专业技术人员的身份）及保密信封（此部分为纸质资料，与投标文件光盘（备用）一起提交）。</w:t>
      </w:r>
      <w:r>
        <w:rPr>
          <w:rFonts w:hint="eastAsia" w:ascii="宋体" w:hAnsi="宋体" w:eastAsia="宋体"/>
          <w:color w:val="auto"/>
          <w:sz w:val="21"/>
          <w:szCs w:val="21"/>
          <w:highlight w:val="none"/>
          <w:u w:val="none"/>
          <w:lang w:eastAsia="zh-CN"/>
        </w:rPr>
        <w:t>投标人也可不提交投标文件光盘（备用）及保密信封（备用）。</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3.4  保密信封</w:t>
      </w:r>
      <w:r>
        <w:rPr>
          <w:rFonts w:hint="eastAsia" w:ascii="宋体" w:hAnsi="宋体" w:eastAsia="宋体"/>
          <w:b/>
          <w:color w:val="auto"/>
          <w:sz w:val="21"/>
          <w:szCs w:val="21"/>
          <w:highlight w:val="none"/>
          <w:lang w:eastAsia="zh-CN"/>
        </w:rPr>
        <w:t>（此部分为纸质资料，与投标文件光盘（备用）一起提交）</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（1）设计投标保密信封，内附</w:t>
      </w:r>
      <w:r>
        <w:rPr>
          <w:rFonts w:ascii="宋体" w:hAnsi="宋体" w:eastAsia="宋体"/>
          <w:color w:val="auto"/>
          <w:sz w:val="21"/>
          <w:szCs w:val="21"/>
          <w:highlight w:val="none"/>
          <w:lang w:eastAsia="zh-CN"/>
        </w:rPr>
        <w:t>A3</w:t>
      </w:r>
      <w:r>
        <w:rPr>
          <w:rFonts w:hint="eastAsia" w:ascii="宋体" w:hAnsi="宋体" w:eastAsia="宋体"/>
          <w:color w:val="auto"/>
          <w:sz w:val="21"/>
          <w:szCs w:val="21"/>
          <w:highlight w:val="none"/>
          <w:lang w:eastAsia="zh-CN"/>
        </w:rPr>
        <w:t>规格制作的表现图</w:t>
      </w:r>
      <w:r>
        <w:rPr>
          <w:rFonts w:ascii="宋体" w:hAnsi="宋体" w:eastAsia="宋体"/>
          <w:color w:val="auto"/>
          <w:sz w:val="21"/>
          <w:szCs w:val="21"/>
          <w:highlight w:val="none"/>
          <w:lang w:eastAsia="zh-CN"/>
        </w:rPr>
        <w:t>1</w:t>
      </w:r>
      <w:r>
        <w:rPr>
          <w:rFonts w:hint="eastAsia" w:ascii="宋体" w:hAnsi="宋体" w:eastAsia="宋体"/>
          <w:color w:val="auto"/>
          <w:sz w:val="21"/>
          <w:szCs w:val="21"/>
          <w:highlight w:val="none"/>
          <w:lang w:eastAsia="zh-CN"/>
        </w:rPr>
        <w:t>张，加盖投标人公章，项目负责人署名。表现图内容应与设计方案一致（并注明表现图在设计方案中的页码或图号），用于分辨投标文件对应的投标人身份。</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（2）保密信封用不透明信封独立密封。</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3.5  备用光盘</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（1）</w:t>
      </w:r>
      <w:r>
        <w:rPr>
          <w:rFonts w:hint="eastAsia" w:ascii="宋体" w:hAnsi="宋体" w:eastAsia="宋体"/>
          <w:color w:val="auto"/>
          <w:sz w:val="21"/>
          <w:szCs w:val="21"/>
          <w:highlight w:val="none"/>
          <w:u w:val="none"/>
          <w:lang w:eastAsia="zh-CN"/>
        </w:rPr>
        <w:t>投标人可制作非加密的</w:t>
      </w:r>
      <w:r>
        <w:rPr>
          <w:rFonts w:hint="eastAsia" w:ascii="宋体" w:hAnsi="宋体" w:eastAsia="宋体"/>
          <w:color w:val="auto"/>
          <w:spacing w:val="-2"/>
          <w:sz w:val="21"/>
          <w:szCs w:val="21"/>
          <w:highlight w:val="none"/>
          <w:u w:val="none"/>
          <w:lang w:eastAsia="zh-CN"/>
        </w:rPr>
        <w:t>商务文件光盘、技术文件光盘各1个</w:t>
      </w:r>
      <w:r>
        <w:rPr>
          <w:rFonts w:hint="eastAsia" w:ascii="宋体" w:hAnsi="宋体" w:eastAsia="宋体"/>
          <w:color w:val="auto"/>
          <w:sz w:val="21"/>
          <w:szCs w:val="21"/>
          <w:highlight w:val="none"/>
          <w:u w:val="none"/>
          <w:lang w:eastAsia="zh-CN"/>
        </w:rPr>
        <w:t>及制作保密信封（1个），在招标公告规定的时间、地点提交备用。</w:t>
      </w:r>
      <w:r>
        <w:rPr>
          <w:rFonts w:hint="eastAsia" w:ascii="宋体" w:hAnsi="宋体" w:eastAsia="宋体"/>
          <w:b/>
          <w:color w:val="auto"/>
          <w:sz w:val="21"/>
          <w:szCs w:val="21"/>
          <w:highlight w:val="none"/>
          <w:u w:val="none"/>
          <w:lang w:eastAsia="zh-CN"/>
        </w:rPr>
        <w:t>刻录好的投标文件光盘及保密信封密封在密封袋中。密封袋上应写明项目名称和招标人名称。</w:t>
      </w:r>
      <w:r>
        <w:rPr>
          <w:rFonts w:hint="eastAsia" w:ascii="宋体" w:hAnsi="宋体" w:eastAsia="宋体"/>
          <w:color w:val="auto"/>
          <w:sz w:val="21"/>
          <w:szCs w:val="21"/>
          <w:highlight w:val="none"/>
          <w:u w:val="none"/>
          <w:lang w:eastAsia="zh-CN"/>
        </w:rPr>
        <w:t>递交的投标文件光盘（备用）不得加密。备用光盘无法读取或导入的，则视为未提交投标文件光盘（备用）。</w:t>
      </w:r>
    </w:p>
    <w:p>
      <w:pPr>
        <w:adjustRightInd w:val="0"/>
        <w:spacing w:line="360" w:lineRule="auto"/>
        <w:ind w:firstLine="420" w:firstLineChars="200"/>
        <w:jc w:val="both"/>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（2）按招标公告要求需要提交投标文件光盘（备用），备用光盘不得加密。如使用投标文件光盘（备用）时无法读取或导入的，则视为未提交投标文件。</w:t>
      </w:r>
    </w:p>
    <w:p>
      <w:pPr>
        <w:adjustRightInd w:val="0"/>
        <w:spacing w:line="360" w:lineRule="auto"/>
        <w:ind w:firstLine="422" w:firstLineChars="200"/>
        <w:jc w:val="both"/>
        <w:rPr>
          <w:rFonts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4、接收投标文件备用光盘时，如果包封上没有按规定密封并加写标志，招标人将不承担投标文件错放或提前开封的责任，由此造成的提前开封的投标文件，招标人予以拒绝，并退还给投标人。</w:t>
      </w:r>
    </w:p>
    <w:p>
      <w:pPr>
        <w:adjustRightInd w:val="0"/>
        <w:spacing w:line="360" w:lineRule="auto"/>
        <w:ind w:firstLine="422" w:firstLineChars="200"/>
        <w:jc w:val="both"/>
        <w:rPr>
          <w:rFonts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5、深度要求</w:t>
      </w:r>
    </w:p>
    <w:p>
      <w:pPr>
        <w:adjustRightInd w:val="0"/>
        <w:spacing w:line="360" w:lineRule="auto"/>
        <w:ind w:firstLine="422" w:firstLineChars="200"/>
        <w:jc w:val="both"/>
        <w:rPr>
          <w:rFonts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w:t>
      </w:r>
      <w:r>
        <w:rPr>
          <w:rFonts w:ascii="宋体" w:hAnsi="宋体" w:eastAsia="宋体"/>
          <w:b/>
          <w:color w:val="auto"/>
          <w:sz w:val="21"/>
          <w:szCs w:val="21"/>
          <w:highlight w:val="none"/>
          <w:lang w:eastAsia="zh-CN"/>
        </w:rPr>
        <w:t>a</w:t>
      </w:r>
      <w:r>
        <w:rPr>
          <w:rFonts w:hint="eastAsia" w:ascii="宋体" w:hAnsi="宋体" w:eastAsia="宋体"/>
          <w:b/>
          <w:color w:val="auto"/>
          <w:sz w:val="21"/>
          <w:szCs w:val="21"/>
          <w:highlight w:val="none"/>
          <w:lang w:eastAsia="zh-CN"/>
        </w:rPr>
        <w:t>）投标文件宜达到建设部《建筑工程设计文件编制深度规定》（</w:t>
      </w:r>
      <w:r>
        <w:rPr>
          <w:rFonts w:ascii="宋体" w:hAnsi="宋体" w:eastAsia="宋体"/>
          <w:b/>
          <w:color w:val="auto"/>
          <w:sz w:val="21"/>
          <w:szCs w:val="21"/>
          <w:highlight w:val="none"/>
          <w:lang w:eastAsia="zh-CN"/>
        </w:rPr>
        <w:t>2016</w:t>
      </w:r>
      <w:r>
        <w:rPr>
          <w:rFonts w:hint="eastAsia" w:ascii="宋体" w:hAnsi="宋体" w:eastAsia="宋体"/>
          <w:b/>
          <w:color w:val="auto"/>
          <w:sz w:val="21"/>
          <w:szCs w:val="21"/>
          <w:highlight w:val="none"/>
          <w:lang w:eastAsia="zh-CN"/>
        </w:rPr>
        <w:t>年版）、《市政公用工程设计文件编制深度的规定》（</w:t>
      </w:r>
      <w:r>
        <w:rPr>
          <w:rFonts w:ascii="宋体" w:hAnsi="宋体" w:eastAsia="宋体"/>
          <w:b/>
          <w:color w:val="auto"/>
          <w:sz w:val="21"/>
          <w:szCs w:val="21"/>
          <w:highlight w:val="none"/>
          <w:lang w:eastAsia="zh-CN"/>
        </w:rPr>
        <w:t>2013</w:t>
      </w:r>
      <w:r>
        <w:rPr>
          <w:rFonts w:hint="eastAsia" w:ascii="宋体" w:hAnsi="宋体" w:eastAsia="宋体"/>
          <w:b/>
          <w:color w:val="auto"/>
          <w:sz w:val="21"/>
          <w:szCs w:val="21"/>
          <w:highlight w:val="none"/>
          <w:lang w:eastAsia="zh-CN"/>
        </w:rPr>
        <w:t>年版）等相应设计阶段的要求。</w:t>
      </w:r>
    </w:p>
    <w:p>
      <w:pPr>
        <w:adjustRightInd w:val="0"/>
        <w:spacing w:line="360" w:lineRule="auto"/>
        <w:ind w:firstLine="422" w:firstLineChars="200"/>
        <w:jc w:val="both"/>
        <w:rPr>
          <w:rFonts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w:t>
      </w:r>
      <w:r>
        <w:rPr>
          <w:rFonts w:ascii="宋体" w:hAnsi="宋体" w:eastAsia="宋体"/>
          <w:b/>
          <w:color w:val="auto"/>
          <w:sz w:val="21"/>
          <w:szCs w:val="21"/>
          <w:highlight w:val="none"/>
          <w:lang w:eastAsia="zh-CN"/>
        </w:rPr>
        <w:t>b</w:t>
      </w:r>
      <w:r>
        <w:rPr>
          <w:rFonts w:hint="eastAsia" w:ascii="宋体" w:hAnsi="宋体" w:eastAsia="宋体"/>
          <w:b/>
          <w:color w:val="auto"/>
          <w:sz w:val="21"/>
          <w:szCs w:val="21"/>
          <w:highlight w:val="none"/>
          <w:lang w:eastAsia="zh-CN"/>
        </w:rPr>
        <w:t>）设计独特具有独创性的节点位置，应该提供示意图。</w:t>
      </w:r>
    </w:p>
    <w:p>
      <w:pPr>
        <w:spacing w:line="360" w:lineRule="auto"/>
        <w:ind w:firstLine="480" w:firstLineChars="200"/>
        <w:rPr>
          <w:rFonts w:ascii="宋体" w:hAnsi="宋体" w:eastAsia="宋体"/>
          <w:color w:val="auto"/>
          <w:sz w:val="24"/>
          <w:szCs w:val="24"/>
          <w:highlight w:val="none"/>
          <w:lang w:eastAsia="zh-CN"/>
        </w:rPr>
      </w:pPr>
    </w:p>
    <w:p>
      <w:pPr>
        <w:pStyle w:val="3"/>
        <w:spacing w:line="360" w:lineRule="auto"/>
        <w:ind w:left="0"/>
        <w:rPr>
          <w:rFonts w:ascii="宋体" w:hAnsi="宋体" w:eastAsia="宋体"/>
          <w:color w:val="auto"/>
          <w:sz w:val="21"/>
          <w:szCs w:val="21"/>
          <w:highlight w:val="none"/>
          <w:lang w:eastAsia="zh-CN"/>
        </w:rPr>
      </w:pPr>
      <w:r>
        <w:rPr>
          <w:rFonts w:ascii="宋体" w:hAnsi="宋体" w:eastAsia="宋体"/>
          <w:color w:val="auto"/>
          <w:highlight w:val="none"/>
          <w:lang w:eastAsia="zh-CN"/>
        </w:rPr>
        <w:br w:type="page"/>
      </w:r>
      <w:bookmarkStart w:id="77" w:name="_Toc109809404"/>
      <w:bookmarkStart w:id="78" w:name="_Toc109809443"/>
      <w:r>
        <w:rPr>
          <w:rFonts w:hint="eastAsia" w:ascii="宋体" w:hAnsi="宋体" w:eastAsia="宋体"/>
          <w:color w:val="auto"/>
          <w:sz w:val="21"/>
          <w:szCs w:val="21"/>
          <w:highlight w:val="none"/>
          <w:lang w:eastAsia="zh-CN"/>
        </w:rPr>
        <w:t xml:space="preserve">格式一  </w:t>
      </w:r>
      <w:r>
        <w:rPr>
          <w:rFonts w:hint="eastAsia" w:ascii="宋体" w:hAnsi="宋体" w:eastAsia="宋体" w:cs="宋体"/>
          <w:color w:val="auto"/>
          <w:sz w:val="21"/>
          <w:szCs w:val="21"/>
          <w:highlight w:val="none"/>
          <w:lang w:eastAsia="zh-CN"/>
        </w:rPr>
        <w:t>投标书</w:t>
      </w:r>
      <w:bookmarkEnd w:id="73"/>
      <w:bookmarkEnd w:id="77"/>
      <w:bookmarkEnd w:id="78"/>
    </w:p>
    <w:p>
      <w:pPr>
        <w:jc w:val="center"/>
        <w:rPr>
          <w:rFonts w:ascii="宋体" w:hAnsi="宋体" w:eastAsia="宋体"/>
          <w:b/>
          <w:bCs/>
          <w:color w:val="auto"/>
          <w:sz w:val="32"/>
          <w:szCs w:val="32"/>
          <w:highlight w:val="none"/>
          <w:lang w:eastAsia="zh-CN"/>
        </w:rPr>
      </w:pPr>
      <w:r>
        <w:rPr>
          <w:rFonts w:hint="eastAsia" w:ascii="宋体" w:hAnsi="宋体" w:eastAsia="宋体"/>
          <w:b/>
          <w:bCs/>
          <w:color w:val="auto"/>
          <w:sz w:val="32"/>
          <w:szCs w:val="32"/>
          <w:highlight w:val="none"/>
          <w:lang w:eastAsia="zh-CN"/>
        </w:rPr>
        <w:t>投标书</w:t>
      </w:r>
    </w:p>
    <w:p>
      <w:pPr>
        <w:rPr>
          <w:rFonts w:ascii="宋体" w:hAnsi="宋体" w:eastAsia="宋体"/>
          <w:color w:val="auto"/>
          <w:sz w:val="21"/>
          <w:szCs w:val="21"/>
          <w:highlight w:val="none"/>
          <w:lang w:eastAsia="zh-CN"/>
        </w:rPr>
      </w:pPr>
    </w:p>
    <w:p>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项目名称：</w:t>
      </w:r>
      <w:r>
        <w:rPr>
          <w:rFonts w:hint="eastAsia" w:ascii="宋体" w:hAnsi="宋体" w:eastAsia="宋体"/>
          <w:color w:val="auto"/>
          <w:kern w:val="2"/>
          <w:sz w:val="21"/>
          <w:szCs w:val="21"/>
          <w:highlight w:val="none"/>
          <w:u w:val="single"/>
          <w:lang w:eastAsia="zh-CN"/>
        </w:rPr>
        <w:t xml:space="preserve">                                           </w:t>
      </w:r>
    </w:p>
    <w:p>
      <w:pPr>
        <w:pStyle w:val="12"/>
        <w:spacing w:line="360" w:lineRule="auto"/>
        <w:rPr>
          <w:rFonts w:hAnsi="宋体"/>
          <w:color w:val="auto"/>
          <w:szCs w:val="21"/>
          <w:highlight w:val="none"/>
          <w:lang w:eastAsia="zh-CN"/>
        </w:rPr>
      </w:pPr>
      <w:r>
        <w:rPr>
          <w:rFonts w:hint="eastAsia" w:hAnsi="宋体"/>
          <w:color w:val="auto"/>
          <w:szCs w:val="21"/>
          <w:highlight w:val="none"/>
          <w:lang w:eastAsia="zh-CN"/>
        </w:rPr>
        <w:t>致：</w:t>
      </w:r>
      <w:r>
        <w:rPr>
          <w:rFonts w:hint="eastAsia" w:hAnsi="宋体"/>
          <w:color w:val="auto"/>
          <w:szCs w:val="21"/>
          <w:highlight w:val="none"/>
          <w:u w:val="single"/>
          <w:lang w:eastAsia="zh-CN"/>
        </w:rPr>
        <w:t xml:space="preserve">                                           </w:t>
      </w:r>
      <w:r>
        <w:rPr>
          <w:rFonts w:hint="eastAsia" w:hAnsi="宋体"/>
          <w:color w:val="auto"/>
          <w:szCs w:val="21"/>
          <w:highlight w:val="none"/>
          <w:lang w:eastAsia="zh-CN"/>
        </w:rPr>
        <w:t>（招标人名称）</w:t>
      </w:r>
    </w:p>
    <w:p>
      <w:pPr>
        <w:pStyle w:val="12"/>
        <w:spacing w:line="360" w:lineRule="auto"/>
        <w:ind w:firstLine="420" w:firstLineChars="200"/>
        <w:rPr>
          <w:rFonts w:hAnsi="宋体"/>
          <w:color w:val="auto"/>
          <w:szCs w:val="21"/>
          <w:highlight w:val="none"/>
          <w:lang w:eastAsia="zh-CN"/>
        </w:rPr>
      </w:pPr>
      <w:r>
        <w:rPr>
          <w:rFonts w:hint="eastAsia" w:hAnsi="宋体"/>
          <w:color w:val="auto"/>
          <w:szCs w:val="21"/>
          <w:highlight w:val="none"/>
          <w:lang w:eastAsia="zh-CN"/>
        </w:rPr>
        <w:t>我方</w:t>
      </w:r>
      <w:r>
        <w:rPr>
          <w:rFonts w:hint="eastAsia" w:hAnsi="宋体"/>
          <w:color w:val="auto"/>
          <w:szCs w:val="21"/>
          <w:highlight w:val="none"/>
          <w:u w:val="single"/>
          <w:lang w:eastAsia="zh-CN"/>
        </w:rPr>
        <w:t xml:space="preserve">  （投标人名称）  </w:t>
      </w:r>
      <w:r>
        <w:rPr>
          <w:rFonts w:hint="eastAsia" w:hAnsi="宋体"/>
          <w:color w:val="auto"/>
          <w:szCs w:val="21"/>
          <w:highlight w:val="none"/>
          <w:lang w:eastAsia="zh-CN"/>
        </w:rPr>
        <w:t>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我方愿以《设计费报价汇总表》的投标总报价，承包本次招标所包含的工作，并承担质量缺陷责任。我方项目负责人是</w:t>
      </w:r>
      <w:r>
        <w:rPr>
          <w:rFonts w:hint="eastAsia" w:hAnsi="宋体"/>
          <w:color w:val="auto"/>
          <w:szCs w:val="21"/>
          <w:highlight w:val="none"/>
          <w:u w:val="single"/>
          <w:lang w:eastAsia="zh-CN"/>
        </w:rPr>
        <w:t xml:space="preserve">       </w:t>
      </w:r>
      <w:r>
        <w:rPr>
          <w:rFonts w:hint="eastAsia" w:hAnsi="宋体"/>
          <w:color w:val="auto"/>
          <w:szCs w:val="21"/>
          <w:highlight w:val="none"/>
          <w:lang w:eastAsia="zh-CN"/>
        </w:rPr>
        <w:t>。如我司成为本项目中标候选人，我司同意并授权招标人将我司投标文件资信业绩部分的人员、业绩、奖项等资料进行公开。</w:t>
      </w:r>
    </w:p>
    <w:p>
      <w:pPr>
        <w:pStyle w:val="12"/>
        <w:spacing w:line="360" w:lineRule="auto"/>
        <w:ind w:firstLine="420" w:firstLineChars="200"/>
        <w:rPr>
          <w:rFonts w:hAnsi="宋体"/>
          <w:color w:val="auto"/>
          <w:szCs w:val="21"/>
          <w:highlight w:val="none"/>
          <w:lang w:eastAsia="zh-CN"/>
        </w:rPr>
      </w:pPr>
      <w:r>
        <w:rPr>
          <w:rFonts w:hint="eastAsia" w:hAnsi="宋体"/>
          <w:color w:val="auto"/>
          <w:szCs w:val="21"/>
          <w:highlight w:val="none"/>
          <w:lang w:eastAsia="zh-CN"/>
        </w:rPr>
        <w:t>我方遵守本投标书直至投标有效期满，在该日期前，本投标书对我方一直具有约束力，随时可接受中标。我方承认所附投标文件资料为本投标书的一部分。如果我方投标书含有不符合招标文件规定的内容，我方同意按招标文件规定予以修正。我方接受你方关于任命争端裁决委员会的建议。</w:t>
      </w:r>
    </w:p>
    <w:p>
      <w:pPr>
        <w:pStyle w:val="12"/>
        <w:spacing w:line="360" w:lineRule="auto"/>
        <w:ind w:firstLine="420" w:firstLineChars="200"/>
        <w:rPr>
          <w:rFonts w:hAnsi="宋体"/>
          <w:color w:val="auto"/>
          <w:szCs w:val="21"/>
          <w:highlight w:val="none"/>
          <w:lang w:eastAsia="zh-CN"/>
        </w:rPr>
      </w:pPr>
      <w:r>
        <w:rPr>
          <w:rFonts w:hint="eastAsia" w:hAnsi="宋体"/>
          <w:color w:val="auto"/>
          <w:szCs w:val="21"/>
          <w:highlight w:val="none"/>
          <w:lang w:eastAsia="zh-CN"/>
        </w:rPr>
        <w:t>我方认同招标文件规定的评审规则，遵守评标委员会的裁决结果，并且不会采取妨碍项目进展的行为。我方理解你方没有必须接受你方可能收到的最低标或任何投标的义务。</w:t>
      </w:r>
    </w:p>
    <w:p>
      <w:pPr>
        <w:pStyle w:val="12"/>
        <w:spacing w:line="360" w:lineRule="auto"/>
        <w:ind w:firstLine="420" w:firstLineChars="200"/>
        <w:rPr>
          <w:rFonts w:hAnsi="宋体"/>
          <w:color w:val="auto"/>
          <w:szCs w:val="21"/>
          <w:highlight w:val="none"/>
          <w:lang w:eastAsia="zh-CN"/>
        </w:rPr>
      </w:pPr>
      <w:r>
        <w:rPr>
          <w:rFonts w:hint="eastAsia" w:hAnsi="宋体"/>
          <w:color w:val="auto"/>
          <w:szCs w:val="21"/>
          <w:highlight w:val="none"/>
          <w:lang w:eastAsia="zh-CN"/>
        </w:rPr>
        <w:t>如果我方中标，我方将提供规定的履约担保，将在合同规定的日期开工，并在竣工时间内，按照上述文件完成项目。</w:t>
      </w:r>
    </w:p>
    <w:p>
      <w:pPr>
        <w:pStyle w:val="12"/>
        <w:spacing w:line="360" w:lineRule="auto"/>
        <w:ind w:firstLine="420" w:firstLineChars="200"/>
        <w:rPr>
          <w:rFonts w:hAnsi="宋体"/>
          <w:color w:val="auto"/>
          <w:szCs w:val="21"/>
          <w:highlight w:val="none"/>
          <w:lang w:eastAsia="zh-CN"/>
        </w:rPr>
      </w:pPr>
      <w:r>
        <w:rPr>
          <w:rFonts w:hint="eastAsia" w:hAnsi="宋体"/>
          <w:color w:val="auto"/>
          <w:szCs w:val="21"/>
          <w:highlight w:val="none"/>
          <w:lang w:eastAsia="zh-CN"/>
        </w:rPr>
        <w:t>除非制订正式合同协议书并生效，本投标书以及你方中标通知书，应构成你我双方间具有约束力的合同。</w:t>
      </w:r>
    </w:p>
    <w:p>
      <w:pPr>
        <w:spacing w:line="360" w:lineRule="auto"/>
        <w:ind w:firstLine="420" w:firstLineChars="200"/>
        <w:rPr>
          <w:rFonts w:ascii="宋体" w:hAnsi="宋体" w:eastAsia="宋体"/>
          <w:color w:val="auto"/>
          <w:sz w:val="21"/>
          <w:szCs w:val="21"/>
          <w:highlight w:val="none"/>
          <w:lang w:eastAsia="zh-CN"/>
        </w:rPr>
      </w:pPr>
    </w:p>
    <w:p>
      <w:pPr>
        <w:pStyle w:val="12"/>
        <w:spacing w:line="360" w:lineRule="auto"/>
        <w:ind w:firstLine="420" w:firstLineChars="200"/>
        <w:rPr>
          <w:rFonts w:hAnsi="宋体"/>
          <w:color w:val="auto"/>
          <w:szCs w:val="21"/>
          <w:highlight w:val="none"/>
          <w:lang w:eastAsia="zh-CN"/>
        </w:rPr>
      </w:pPr>
      <w:r>
        <w:rPr>
          <w:rFonts w:hint="eastAsia" w:hAnsi="宋体"/>
          <w:color w:val="auto"/>
          <w:szCs w:val="21"/>
          <w:highlight w:val="none"/>
          <w:lang w:eastAsia="zh-CN"/>
        </w:rPr>
        <w:t>投标人：（盖章）</w:t>
      </w:r>
    </w:p>
    <w:p>
      <w:pPr>
        <w:pStyle w:val="12"/>
        <w:spacing w:line="360" w:lineRule="auto"/>
        <w:ind w:firstLine="420" w:firstLineChars="200"/>
        <w:rPr>
          <w:rFonts w:hAnsi="宋体"/>
          <w:color w:val="auto"/>
          <w:szCs w:val="21"/>
          <w:highlight w:val="none"/>
          <w:lang w:eastAsia="zh-CN"/>
        </w:rPr>
      </w:pPr>
      <w:r>
        <w:rPr>
          <w:rFonts w:hint="eastAsia" w:hAnsi="宋体"/>
          <w:color w:val="auto"/>
          <w:szCs w:val="21"/>
          <w:highlight w:val="none"/>
          <w:lang w:eastAsia="zh-CN"/>
        </w:rPr>
        <w:t>法定代表人：（签字或盖章）</w:t>
      </w:r>
    </w:p>
    <w:p>
      <w:pPr>
        <w:pStyle w:val="12"/>
        <w:spacing w:line="360" w:lineRule="auto"/>
        <w:ind w:firstLine="420" w:firstLineChars="200"/>
        <w:rPr>
          <w:rFonts w:hAnsi="宋体"/>
          <w:color w:val="auto"/>
          <w:szCs w:val="21"/>
          <w:highlight w:val="none"/>
          <w:lang w:eastAsia="zh-CN"/>
        </w:rPr>
      </w:pPr>
      <w:r>
        <w:rPr>
          <w:rFonts w:hint="eastAsia" w:hAnsi="宋体"/>
          <w:color w:val="auto"/>
          <w:szCs w:val="21"/>
          <w:highlight w:val="none"/>
          <w:lang w:eastAsia="zh-CN"/>
        </w:rPr>
        <w:t>委托代理人：（签字或盖章）</w:t>
      </w:r>
    </w:p>
    <w:p>
      <w:pPr>
        <w:pStyle w:val="12"/>
        <w:spacing w:line="360" w:lineRule="auto"/>
        <w:ind w:firstLine="420" w:firstLineChars="200"/>
        <w:rPr>
          <w:rFonts w:hAnsi="宋体"/>
          <w:color w:val="auto"/>
          <w:szCs w:val="21"/>
          <w:highlight w:val="none"/>
          <w:lang w:eastAsia="zh-CN"/>
        </w:rPr>
      </w:pPr>
      <w:r>
        <w:rPr>
          <w:rFonts w:hint="eastAsia" w:hAnsi="宋体"/>
          <w:color w:val="auto"/>
          <w:szCs w:val="21"/>
          <w:highlight w:val="none"/>
          <w:lang w:eastAsia="zh-CN"/>
        </w:rPr>
        <w:t>项目负责人：（签字或盖章）</w:t>
      </w:r>
    </w:p>
    <w:p>
      <w:pPr>
        <w:pStyle w:val="12"/>
        <w:spacing w:line="360" w:lineRule="auto"/>
        <w:ind w:firstLine="420" w:firstLineChars="200"/>
        <w:rPr>
          <w:rFonts w:hAnsi="宋体"/>
          <w:color w:val="auto"/>
          <w:szCs w:val="21"/>
          <w:highlight w:val="none"/>
          <w:lang w:eastAsia="zh-CN"/>
        </w:rPr>
      </w:pPr>
      <w:r>
        <w:rPr>
          <w:rFonts w:hint="eastAsia" w:hAnsi="宋体"/>
          <w:color w:val="auto"/>
          <w:szCs w:val="21"/>
          <w:highlight w:val="none"/>
          <w:lang w:eastAsia="zh-CN"/>
        </w:rPr>
        <w:t>地址：</w:t>
      </w:r>
    </w:p>
    <w:p>
      <w:pPr>
        <w:pStyle w:val="12"/>
        <w:spacing w:line="360" w:lineRule="auto"/>
        <w:ind w:firstLine="420" w:firstLineChars="200"/>
        <w:rPr>
          <w:rFonts w:hAnsi="宋体"/>
          <w:color w:val="auto"/>
          <w:szCs w:val="21"/>
          <w:highlight w:val="none"/>
          <w:lang w:eastAsia="zh-CN"/>
        </w:rPr>
      </w:pPr>
      <w:r>
        <w:rPr>
          <w:rFonts w:hint="eastAsia" w:hAnsi="宋体"/>
          <w:color w:val="auto"/>
          <w:szCs w:val="21"/>
          <w:highlight w:val="none"/>
          <w:lang w:eastAsia="zh-CN"/>
        </w:rPr>
        <w:t>邮政编码：</w:t>
      </w:r>
    </w:p>
    <w:p>
      <w:pPr>
        <w:pStyle w:val="12"/>
        <w:spacing w:line="360" w:lineRule="auto"/>
        <w:ind w:firstLine="420" w:firstLineChars="200"/>
        <w:rPr>
          <w:rFonts w:hAnsi="宋体"/>
          <w:color w:val="auto"/>
          <w:szCs w:val="21"/>
          <w:highlight w:val="none"/>
          <w:lang w:eastAsia="zh-CN"/>
        </w:rPr>
      </w:pPr>
      <w:r>
        <w:rPr>
          <w:rFonts w:hint="eastAsia" w:hAnsi="宋体"/>
          <w:color w:val="auto"/>
          <w:szCs w:val="21"/>
          <w:highlight w:val="none"/>
          <w:lang w:eastAsia="zh-CN"/>
        </w:rPr>
        <w:t>电话/传真：</w:t>
      </w:r>
      <w:r>
        <w:rPr>
          <w:rFonts w:hint="eastAsia" w:hAnsi="宋体"/>
          <w:color w:val="auto"/>
          <w:szCs w:val="21"/>
          <w:highlight w:val="none"/>
          <w:u w:val="single"/>
          <w:lang w:eastAsia="zh-CN"/>
        </w:rPr>
        <w:t xml:space="preserve">                    /FAX              </w:t>
      </w:r>
    </w:p>
    <w:p>
      <w:pPr>
        <w:pStyle w:val="12"/>
        <w:spacing w:line="360" w:lineRule="auto"/>
        <w:ind w:firstLine="420" w:firstLineChars="200"/>
        <w:rPr>
          <w:rFonts w:hAnsi="宋体"/>
          <w:color w:val="auto"/>
          <w:szCs w:val="21"/>
          <w:highlight w:val="none"/>
          <w:lang w:eastAsia="zh-CN"/>
        </w:rPr>
      </w:pPr>
      <w:r>
        <w:rPr>
          <w:rFonts w:hint="eastAsia" w:hAnsi="宋体"/>
          <w:color w:val="auto"/>
          <w:szCs w:val="21"/>
          <w:highlight w:val="none"/>
          <w:lang w:eastAsia="zh-CN"/>
        </w:rPr>
        <w:t>电子邮箱：</w:t>
      </w:r>
    </w:p>
    <w:p>
      <w:pPr>
        <w:pStyle w:val="12"/>
        <w:spacing w:line="360" w:lineRule="auto"/>
        <w:ind w:firstLine="420" w:firstLineChars="200"/>
        <w:rPr>
          <w:rFonts w:hAnsi="宋体"/>
          <w:color w:val="auto"/>
          <w:szCs w:val="21"/>
          <w:highlight w:val="none"/>
          <w:lang w:eastAsia="zh-CN"/>
        </w:rPr>
      </w:pPr>
      <w:r>
        <w:rPr>
          <w:rFonts w:hint="eastAsia" w:hAnsi="宋体"/>
          <w:color w:val="auto"/>
          <w:szCs w:val="21"/>
          <w:highlight w:val="none"/>
          <w:lang w:eastAsia="zh-CN"/>
        </w:rPr>
        <w:t>开户银行名称、帐号：</w:t>
      </w:r>
    </w:p>
    <w:p>
      <w:pPr>
        <w:pStyle w:val="12"/>
        <w:spacing w:line="360" w:lineRule="auto"/>
        <w:ind w:firstLine="420" w:firstLineChars="200"/>
        <w:rPr>
          <w:rFonts w:hAnsi="宋体"/>
          <w:color w:val="auto"/>
          <w:szCs w:val="21"/>
          <w:highlight w:val="none"/>
          <w:lang w:eastAsia="zh-CN"/>
        </w:rPr>
      </w:pPr>
      <w:r>
        <w:rPr>
          <w:rFonts w:hint="eastAsia" w:hAnsi="宋体"/>
          <w:color w:val="auto"/>
          <w:szCs w:val="21"/>
          <w:highlight w:val="none"/>
          <w:lang w:eastAsia="zh-CN"/>
        </w:rPr>
        <w:t>开户行地址/电话：</w:t>
      </w:r>
    </w:p>
    <w:p>
      <w:pPr>
        <w:spacing w:line="360" w:lineRule="auto"/>
        <w:ind w:firstLine="420" w:firstLineChars="200"/>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 xml:space="preserve">                                     日期：       年    月    日</w:t>
      </w:r>
    </w:p>
    <w:p>
      <w:pPr>
        <w:jc w:val="center"/>
        <w:rPr>
          <w:rFonts w:hint="eastAsia" w:ascii="宋体" w:hAnsi="宋体" w:eastAsia="宋体"/>
          <w:b/>
          <w:bCs/>
          <w:color w:val="auto"/>
          <w:sz w:val="32"/>
          <w:szCs w:val="32"/>
          <w:highlight w:val="none"/>
        </w:rPr>
      </w:pPr>
    </w:p>
    <w:p>
      <w:pPr>
        <w:jc w:val="center"/>
        <w:rPr>
          <w:rFonts w:hint="eastAsia" w:ascii="宋体" w:hAnsi="宋体" w:eastAsia="宋体"/>
          <w:b/>
          <w:bCs/>
          <w:color w:val="auto"/>
          <w:sz w:val="32"/>
          <w:szCs w:val="32"/>
          <w:highlight w:val="none"/>
        </w:rPr>
      </w:pPr>
    </w:p>
    <w:p>
      <w:pPr>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投标书附录</w:t>
      </w:r>
    </w:p>
    <w:p>
      <w:pPr>
        <w:pStyle w:val="8"/>
        <w:kinsoku w:val="0"/>
        <w:overflowPunct w:val="0"/>
        <w:spacing w:before="3" w:line="360" w:lineRule="auto"/>
        <w:ind w:left="102"/>
        <w:rPr>
          <w:color w:val="auto"/>
          <w:sz w:val="23"/>
          <w:szCs w:val="23"/>
          <w:highlight w:val="none"/>
        </w:rPr>
      </w:pPr>
    </w:p>
    <w:tbl>
      <w:tblPr>
        <w:tblStyle w:val="19"/>
        <w:tblW w:w="5000" w:type="pct"/>
        <w:tblInd w:w="-5" w:type="dxa"/>
        <w:tblLayout w:type="autofit"/>
        <w:tblCellMar>
          <w:top w:w="0" w:type="dxa"/>
          <w:left w:w="0" w:type="dxa"/>
          <w:bottom w:w="0" w:type="dxa"/>
          <w:right w:w="0" w:type="dxa"/>
        </w:tblCellMar>
      </w:tblPr>
      <w:tblGrid>
        <w:gridCol w:w="1305"/>
        <w:gridCol w:w="2957"/>
        <w:gridCol w:w="2865"/>
        <w:gridCol w:w="1910"/>
      </w:tblGrid>
      <w:tr>
        <w:tblPrEx>
          <w:tblCellMar>
            <w:top w:w="0" w:type="dxa"/>
            <w:left w:w="0" w:type="dxa"/>
            <w:bottom w:w="0" w:type="dxa"/>
            <w:right w:w="0" w:type="dxa"/>
          </w:tblCellMar>
        </w:tblPrEx>
        <w:trPr>
          <w:trHeight w:val="538" w:hRule="atLeast"/>
        </w:trPr>
        <w:tc>
          <w:tcPr>
            <w:tcW w:w="722" w:type="pct"/>
            <w:tcBorders>
              <w:top w:val="single" w:color="000000" w:sz="4" w:space="0"/>
              <w:left w:val="single" w:color="000000" w:sz="4" w:space="0"/>
              <w:bottom w:val="single" w:color="000000" w:sz="4" w:space="0"/>
              <w:right w:val="single" w:color="000000" w:sz="4" w:space="0"/>
            </w:tcBorders>
            <w:noWrap/>
            <w:vAlign w:val="center"/>
          </w:tcPr>
          <w:p>
            <w:pPr>
              <w:pStyle w:val="23"/>
              <w:kinsoku w:val="0"/>
              <w:overflowPunct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36" w:type="pct"/>
            <w:tcBorders>
              <w:top w:val="single" w:color="000000" w:sz="4" w:space="0"/>
              <w:left w:val="nil"/>
              <w:bottom w:val="single" w:color="000000" w:sz="4" w:space="0"/>
              <w:right w:val="single" w:color="000000" w:sz="4" w:space="0"/>
            </w:tcBorders>
            <w:noWrap/>
            <w:vAlign w:val="center"/>
          </w:tcPr>
          <w:p>
            <w:pPr>
              <w:pStyle w:val="23"/>
              <w:kinsoku w:val="0"/>
              <w:overflowPunct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条款名称</w:t>
            </w:r>
          </w:p>
        </w:tc>
        <w:tc>
          <w:tcPr>
            <w:tcW w:w="1585" w:type="pct"/>
            <w:tcBorders>
              <w:top w:val="single" w:color="000000" w:sz="4" w:space="0"/>
              <w:left w:val="nil"/>
              <w:bottom w:val="single" w:color="000000" w:sz="4" w:space="0"/>
              <w:right w:val="single" w:color="000000" w:sz="4" w:space="0"/>
            </w:tcBorders>
            <w:noWrap/>
            <w:vAlign w:val="center"/>
          </w:tcPr>
          <w:p>
            <w:pPr>
              <w:pStyle w:val="23"/>
              <w:kinsoku w:val="0"/>
              <w:overflowPunct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约定内容</w:t>
            </w:r>
          </w:p>
        </w:tc>
        <w:tc>
          <w:tcPr>
            <w:tcW w:w="1057" w:type="pct"/>
            <w:tcBorders>
              <w:top w:val="single" w:color="000000" w:sz="4" w:space="0"/>
              <w:left w:val="nil"/>
              <w:bottom w:val="single" w:color="000000" w:sz="4" w:space="0"/>
              <w:right w:val="single" w:color="000000" w:sz="4" w:space="0"/>
            </w:tcBorders>
            <w:noWrap/>
            <w:vAlign w:val="center"/>
          </w:tcPr>
          <w:p>
            <w:pPr>
              <w:pStyle w:val="23"/>
              <w:kinsoku w:val="0"/>
              <w:overflowPunct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CellMar>
            <w:top w:w="0" w:type="dxa"/>
            <w:left w:w="0" w:type="dxa"/>
            <w:bottom w:w="0" w:type="dxa"/>
            <w:right w:w="0" w:type="dxa"/>
          </w:tblCellMar>
        </w:tblPrEx>
        <w:trPr>
          <w:trHeight w:val="451" w:hRule="atLeast"/>
        </w:trPr>
        <w:tc>
          <w:tcPr>
            <w:tcW w:w="722" w:type="pct"/>
            <w:tcBorders>
              <w:top w:val="single" w:color="000000" w:sz="4" w:space="0"/>
              <w:left w:val="single" w:color="000000" w:sz="4" w:space="0"/>
              <w:bottom w:val="single" w:color="000000" w:sz="4" w:space="0"/>
              <w:right w:val="single" w:color="000000" w:sz="4" w:space="0"/>
            </w:tcBorders>
            <w:noWrap/>
            <w:vAlign w:val="center"/>
          </w:tcPr>
          <w:p>
            <w:pPr>
              <w:pStyle w:val="23"/>
              <w:kinsoku w:val="0"/>
              <w:overflowPunct w:val="0"/>
              <w:jc w:val="center"/>
              <w:rPr>
                <w:rFonts w:ascii="宋体" w:hAnsi="宋体" w:eastAsia="宋体"/>
                <w:color w:val="auto"/>
                <w:sz w:val="21"/>
                <w:szCs w:val="21"/>
                <w:highlight w:val="none"/>
              </w:rPr>
            </w:pPr>
            <w:r>
              <w:rPr>
                <w:rFonts w:ascii="宋体" w:hAnsi="宋体" w:eastAsia="宋体"/>
                <w:color w:val="auto"/>
                <w:sz w:val="21"/>
                <w:szCs w:val="21"/>
                <w:highlight w:val="none"/>
              </w:rPr>
              <w:t>1</w:t>
            </w:r>
          </w:p>
        </w:tc>
        <w:tc>
          <w:tcPr>
            <w:tcW w:w="1636" w:type="pct"/>
            <w:tcBorders>
              <w:top w:val="single" w:color="000000" w:sz="4" w:space="0"/>
              <w:left w:val="nil"/>
              <w:bottom w:val="single" w:color="000000" w:sz="4" w:space="0"/>
              <w:right w:val="single" w:color="000000" w:sz="4" w:space="0"/>
            </w:tcBorders>
            <w:noWrap/>
            <w:vAlign w:val="center"/>
          </w:tcPr>
          <w:p>
            <w:pPr>
              <w:pStyle w:val="23"/>
              <w:kinsoku w:val="0"/>
              <w:overflowPunct w:val="0"/>
              <w:ind w:left="110" w:leftChars="50"/>
              <w:jc w:val="both"/>
              <w:rPr>
                <w:rFonts w:ascii="宋体" w:hAnsi="宋体" w:eastAsia="宋体"/>
                <w:color w:val="auto"/>
                <w:sz w:val="21"/>
                <w:szCs w:val="21"/>
                <w:highlight w:val="none"/>
              </w:rPr>
            </w:pPr>
            <w:r>
              <w:rPr>
                <w:rFonts w:hint="eastAsia" w:ascii="宋体" w:hAnsi="宋体" w:eastAsia="宋体"/>
                <w:color w:val="auto"/>
                <w:spacing w:val="-1"/>
                <w:sz w:val="21"/>
                <w:szCs w:val="21"/>
                <w:highlight w:val="none"/>
              </w:rPr>
              <w:t>项目负责人</w:t>
            </w:r>
          </w:p>
        </w:tc>
        <w:tc>
          <w:tcPr>
            <w:tcW w:w="1585" w:type="pct"/>
            <w:tcBorders>
              <w:top w:val="single" w:color="000000" w:sz="4" w:space="0"/>
              <w:left w:val="nil"/>
              <w:bottom w:val="single" w:color="000000" w:sz="4" w:space="0"/>
              <w:right w:val="single" w:color="000000" w:sz="4" w:space="0"/>
            </w:tcBorders>
            <w:noWrap/>
            <w:vAlign w:val="center"/>
          </w:tcPr>
          <w:p>
            <w:pPr>
              <w:pStyle w:val="23"/>
              <w:kinsoku w:val="0"/>
              <w:overflowPunct w:val="0"/>
              <w:ind w:left="110" w:leftChars="5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057" w:type="pct"/>
            <w:tcBorders>
              <w:top w:val="single" w:color="000000" w:sz="4" w:space="0"/>
              <w:left w:val="nil"/>
              <w:bottom w:val="single" w:color="000000" w:sz="4" w:space="0"/>
              <w:right w:val="single" w:color="000000" w:sz="4" w:space="0"/>
            </w:tcBorders>
            <w:noWrap/>
            <w:vAlign w:val="center"/>
          </w:tcPr>
          <w:p>
            <w:pPr>
              <w:jc w:val="both"/>
              <w:rPr>
                <w:rFonts w:ascii="宋体" w:hAnsi="宋体" w:eastAsia="宋体"/>
                <w:color w:val="auto"/>
                <w:sz w:val="21"/>
                <w:szCs w:val="21"/>
                <w:highlight w:val="none"/>
              </w:rPr>
            </w:pPr>
          </w:p>
        </w:tc>
      </w:tr>
      <w:tr>
        <w:tblPrEx>
          <w:tblCellMar>
            <w:top w:w="0" w:type="dxa"/>
            <w:left w:w="0" w:type="dxa"/>
            <w:bottom w:w="0" w:type="dxa"/>
            <w:right w:w="0" w:type="dxa"/>
          </w:tblCellMar>
        </w:tblPrEx>
        <w:trPr>
          <w:trHeight w:val="449" w:hRule="atLeast"/>
        </w:trPr>
        <w:tc>
          <w:tcPr>
            <w:tcW w:w="722" w:type="pct"/>
            <w:tcBorders>
              <w:top w:val="single" w:color="000000" w:sz="4" w:space="0"/>
              <w:left w:val="single" w:color="000000" w:sz="4" w:space="0"/>
              <w:bottom w:val="single" w:color="000000" w:sz="4" w:space="0"/>
              <w:right w:val="single" w:color="000000" w:sz="4" w:space="0"/>
            </w:tcBorders>
            <w:noWrap/>
            <w:vAlign w:val="center"/>
          </w:tcPr>
          <w:p>
            <w:pPr>
              <w:pStyle w:val="23"/>
              <w:kinsoku w:val="0"/>
              <w:overflowPunct w:val="0"/>
              <w:jc w:val="center"/>
              <w:rPr>
                <w:rFonts w:ascii="宋体" w:hAnsi="宋体" w:eastAsia="宋体"/>
                <w:color w:val="auto"/>
                <w:sz w:val="21"/>
                <w:szCs w:val="21"/>
                <w:highlight w:val="none"/>
              </w:rPr>
            </w:pPr>
            <w:r>
              <w:rPr>
                <w:rFonts w:ascii="宋体" w:hAnsi="宋体" w:eastAsia="宋体"/>
                <w:color w:val="auto"/>
                <w:sz w:val="21"/>
                <w:szCs w:val="21"/>
                <w:highlight w:val="none"/>
              </w:rPr>
              <w:t>2</w:t>
            </w:r>
          </w:p>
        </w:tc>
        <w:tc>
          <w:tcPr>
            <w:tcW w:w="1636" w:type="pct"/>
            <w:tcBorders>
              <w:top w:val="single" w:color="000000" w:sz="4" w:space="0"/>
              <w:left w:val="nil"/>
              <w:bottom w:val="single" w:color="000000" w:sz="4" w:space="0"/>
              <w:right w:val="single" w:color="000000" w:sz="4" w:space="0"/>
            </w:tcBorders>
            <w:noWrap/>
            <w:vAlign w:val="center"/>
          </w:tcPr>
          <w:p>
            <w:pPr>
              <w:pStyle w:val="23"/>
              <w:kinsoku w:val="0"/>
              <w:overflowPunct w:val="0"/>
              <w:ind w:left="110" w:leftChars="50"/>
              <w:jc w:val="both"/>
              <w:rPr>
                <w:rFonts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投标内容</w:t>
            </w:r>
          </w:p>
        </w:tc>
        <w:tc>
          <w:tcPr>
            <w:tcW w:w="1585" w:type="pct"/>
            <w:tcBorders>
              <w:top w:val="single" w:color="000000" w:sz="4" w:space="0"/>
              <w:left w:val="nil"/>
              <w:bottom w:val="single" w:color="000000" w:sz="4" w:space="0"/>
              <w:right w:val="single" w:color="000000" w:sz="4" w:space="0"/>
            </w:tcBorders>
            <w:noWrap/>
            <w:vAlign w:val="center"/>
          </w:tcPr>
          <w:p>
            <w:pPr>
              <w:pStyle w:val="23"/>
              <w:kinsoku w:val="0"/>
              <w:overflowPunct w:val="0"/>
              <w:ind w:left="110" w:leftChars="50"/>
              <w:jc w:val="both"/>
              <w:rPr>
                <w:rFonts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按招标文件要求</w:t>
            </w:r>
          </w:p>
        </w:tc>
        <w:tc>
          <w:tcPr>
            <w:tcW w:w="1057" w:type="pct"/>
            <w:tcBorders>
              <w:top w:val="single" w:color="000000" w:sz="4" w:space="0"/>
              <w:left w:val="nil"/>
              <w:bottom w:val="single" w:color="000000" w:sz="4" w:space="0"/>
              <w:right w:val="single" w:color="000000" w:sz="4" w:space="0"/>
            </w:tcBorders>
            <w:noWrap/>
            <w:vAlign w:val="center"/>
          </w:tcPr>
          <w:p>
            <w:pPr>
              <w:jc w:val="both"/>
              <w:rPr>
                <w:rFonts w:ascii="宋体" w:hAnsi="宋体" w:eastAsia="宋体"/>
                <w:color w:val="auto"/>
                <w:sz w:val="21"/>
                <w:szCs w:val="21"/>
                <w:highlight w:val="none"/>
              </w:rPr>
            </w:pPr>
          </w:p>
        </w:tc>
      </w:tr>
      <w:tr>
        <w:tblPrEx>
          <w:tblCellMar>
            <w:top w:w="0" w:type="dxa"/>
            <w:left w:w="0" w:type="dxa"/>
            <w:bottom w:w="0" w:type="dxa"/>
            <w:right w:w="0" w:type="dxa"/>
          </w:tblCellMar>
        </w:tblPrEx>
        <w:trPr>
          <w:trHeight w:val="451" w:hRule="atLeast"/>
        </w:trPr>
        <w:tc>
          <w:tcPr>
            <w:tcW w:w="722" w:type="pct"/>
            <w:tcBorders>
              <w:top w:val="single" w:color="000000" w:sz="4" w:space="0"/>
              <w:left w:val="single" w:color="000000" w:sz="4" w:space="0"/>
              <w:bottom w:val="single" w:color="000000" w:sz="4" w:space="0"/>
              <w:right w:val="single" w:color="000000" w:sz="4" w:space="0"/>
            </w:tcBorders>
            <w:noWrap/>
            <w:vAlign w:val="center"/>
          </w:tcPr>
          <w:p>
            <w:pPr>
              <w:pStyle w:val="23"/>
              <w:kinsoku w:val="0"/>
              <w:overflowPunct w:val="0"/>
              <w:jc w:val="center"/>
              <w:rPr>
                <w:rFonts w:ascii="宋体" w:hAnsi="宋体" w:eastAsia="宋体"/>
                <w:color w:val="auto"/>
                <w:sz w:val="21"/>
                <w:szCs w:val="21"/>
                <w:highlight w:val="none"/>
              </w:rPr>
            </w:pPr>
            <w:r>
              <w:rPr>
                <w:rFonts w:ascii="宋体" w:hAnsi="宋体" w:eastAsia="宋体"/>
                <w:color w:val="auto"/>
                <w:sz w:val="21"/>
                <w:szCs w:val="21"/>
                <w:highlight w:val="none"/>
              </w:rPr>
              <w:t>3</w:t>
            </w:r>
          </w:p>
        </w:tc>
        <w:tc>
          <w:tcPr>
            <w:tcW w:w="1636" w:type="pct"/>
            <w:tcBorders>
              <w:top w:val="single" w:color="000000" w:sz="4" w:space="0"/>
              <w:left w:val="nil"/>
              <w:bottom w:val="single" w:color="000000" w:sz="4" w:space="0"/>
              <w:right w:val="single" w:color="000000" w:sz="4" w:space="0"/>
            </w:tcBorders>
            <w:noWrap/>
            <w:vAlign w:val="center"/>
          </w:tcPr>
          <w:p>
            <w:pPr>
              <w:pStyle w:val="23"/>
              <w:kinsoku w:val="0"/>
              <w:overflowPunct w:val="0"/>
              <w:ind w:left="110" w:leftChars="50"/>
              <w:jc w:val="both"/>
              <w:rPr>
                <w:rFonts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设计服务期限</w:t>
            </w:r>
          </w:p>
        </w:tc>
        <w:tc>
          <w:tcPr>
            <w:tcW w:w="1585" w:type="pct"/>
            <w:tcBorders>
              <w:top w:val="single" w:color="000000" w:sz="4" w:space="0"/>
              <w:left w:val="nil"/>
              <w:bottom w:val="single" w:color="000000" w:sz="4" w:space="0"/>
              <w:right w:val="single" w:color="000000" w:sz="4" w:space="0"/>
            </w:tcBorders>
            <w:noWrap/>
            <w:vAlign w:val="center"/>
          </w:tcPr>
          <w:p>
            <w:pPr>
              <w:ind w:left="110" w:leftChars="50"/>
              <w:jc w:val="both"/>
              <w:rPr>
                <w:rFonts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按招标文件要求</w:t>
            </w:r>
          </w:p>
        </w:tc>
        <w:tc>
          <w:tcPr>
            <w:tcW w:w="1057" w:type="pct"/>
            <w:tcBorders>
              <w:top w:val="single" w:color="000000" w:sz="4" w:space="0"/>
              <w:left w:val="nil"/>
              <w:bottom w:val="single" w:color="000000" w:sz="4" w:space="0"/>
              <w:right w:val="single" w:color="000000" w:sz="4" w:space="0"/>
            </w:tcBorders>
            <w:noWrap/>
            <w:vAlign w:val="center"/>
          </w:tcPr>
          <w:p>
            <w:pPr>
              <w:jc w:val="both"/>
              <w:rPr>
                <w:rFonts w:ascii="宋体" w:hAnsi="宋体" w:eastAsia="宋体"/>
                <w:color w:val="auto"/>
                <w:sz w:val="21"/>
                <w:szCs w:val="21"/>
                <w:highlight w:val="none"/>
              </w:rPr>
            </w:pPr>
          </w:p>
        </w:tc>
      </w:tr>
      <w:tr>
        <w:tblPrEx>
          <w:tblCellMar>
            <w:top w:w="0" w:type="dxa"/>
            <w:left w:w="0" w:type="dxa"/>
            <w:bottom w:w="0" w:type="dxa"/>
            <w:right w:w="0" w:type="dxa"/>
          </w:tblCellMar>
        </w:tblPrEx>
        <w:trPr>
          <w:trHeight w:val="449" w:hRule="atLeast"/>
        </w:trPr>
        <w:tc>
          <w:tcPr>
            <w:tcW w:w="722" w:type="pct"/>
            <w:tcBorders>
              <w:top w:val="single" w:color="000000" w:sz="4" w:space="0"/>
              <w:left w:val="single" w:color="000000" w:sz="4" w:space="0"/>
              <w:bottom w:val="single" w:color="000000" w:sz="4" w:space="0"/>
              <w:right w:val="single" w:color="000000" w:sz="4" w:space="0"/>
            </w:tcBorders>
            <w:noWrap/>
            <w:vAlign w:val="center"/>
          </w:tcPr>
          <w:p>
            <w:pPr>
              <w:pStyle w:val="23"/>
              <w:kinsoku w:val="0"/>
              <w:overflowPunct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1636" w:type="pct"/>
            <w:tcBorders>
              <w:top w:val="single" w:color="000000" w:sz="4" w:space="0"/>
              <w:left w:val="nil"/>
              <w:bottom w:val="single" w:color="000000" w:sz="4" w:space="0"/>
              <w:right w:val="single" w:color="000000" w:sz="4" w:space="0"/>
            </w:tcBorders>
            <w:noWrap/>
            <w:vAlign w:val="center"/>
          </w:tcPr>
          <w:p>
            <w:pPr>
              <w:pStyle w:val="23"/>
              <w:kinsoku w:val="0"/>
              <w:overflowPunct w:val="0"/>
              <w:ind w:left="110" w:leftChars="50"/>
              <w:jc w:val="both"/>
              <w:rPr>
                <w:rFonts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质量标准</w:t>
            </w:r>
          </w:p>
        </w:tc>
        <w:tc>
          <w:tcPr>
            <w:tcW w:w="1585" w:type="pct"/>
            <w:tcBorders>
              <w:top w:val="single" w:color="000000" w:sz="4" w:space="0"/>
              <w:left w:val="nil"/>
              <w:bottom w:val="single" w:color="000000" w:sz="4" w:space="0"/>
              <w:right w:val="single" w:color="000000" w:sz="4" w:space="0"/>
            </w:tcBorders>
            <w:noWrap/>
            <w:vAlign w:val="center"/>
          </w:tcPr>
          <w:p>
            <w:pPr>
              <w:ind w:left="110" w:leftChars="50"/>
              <w:jc w:val="both"/>
              <w:rPr>
                <w:rFonts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按招标文件要求</w:t>
            </w:r>
          </w:p>
        </w:tc>
        <w:tc>
          <w:tcPr>
            <w:tcW w:w="1057" w:type="pct"/>
            <w:tcBorders>
              <w:top w:val="single" w:color="000000" w:sz="4" w:space="0"/>
              <w:left w:val="nil"/>
              <w:bottom w:val="single" w:color="000000" w:sz="4" w:space="0"/>
              <w:right w:val="single" w:color="000000" w:sz="4" w:space="0"/>
            </w:tcBorders>
            <w:noWrap/>
            <w:vAlign w:val="center"/>
          </w:tcPr>
          <w:p>
            <w:pPr>
              <w:jc w:val="both"/>
              <w:rPr>
                <w:rFonts w:ascii="宋体" w:hAnsi="宋体" w:eastAsia="宋体"/>
                <w:color w:val="auto"/>
                <w:sz w:val="21"/>
                <w:szCs w:val="21"/>
                <w:highlight w:val="none"/>
              </w:rPr>
            </w:pPr>
          </w:p>
        </w:tc>
      </w:tr>
      <w:tr>
        <w:tblPrEx>
          <w:tblCellMar>
            <w:top w:w="0" w:type="dxa"/>
            <w:left w:w="0" w:type="dxa"/>
            <w:bottom w:w="0" w:type="dxa"/>
            <w:right w:w="0" w:type="dxa"/>
          </w:tblCellMar>
        </w:tblPrEx>
        <w:trPr>
          <w:trHeight w:val="451" w:hRule="atLeast"/>
        </w:trPr>
        <w:tc>
          <w:tcPr>
            <w:tcW w:w="722" w:type="pct"/>
            <w:tcBorders>
              <w:top w:val="single" w:color="000000" w:sz="4" w:space="0"/>
              <w:left w:val="single" w:color="000000" w:sz="4" w:space="0"/>
              <w:bottom w:val="single" w:color="000000" w:sz="4" w:space="0"/>
              <w:right w:val="single" w:color="000000" w:sz="4" w:space="0"/>
            </w:tcBorders>
            <w:noWrap/>
            <w:vAlign w:val="center"/>
          </w:tcPr>
          <w:p>
            <w:pPr>
              <w:pStyle w:val="23"/>
              <w:kinsoku w:val="0"/>
              <w:overflowPunct w:val="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1636" w:type="pct"/>
            <w:tcBorders>
              <w:top w:val="single" w:color="000000" w:sz="4" w:space="0"/>
              <w:left w:val="nil"/>
              <w:bottom w:val="single" w:color="000000" w:sz="4" w:space="0"/>
              <w:right w:val="single" w:color="000000" w:sz="4" w:space="0"/>
            </w:tcBorders>
            <w:noWrap/>
            <w:vAlign w:val="center"/>
          </w:tcPr>
          <w:p>
            <w:pPr>
              <w:pStyle w:val="23"/>
              <w:kinsoku w:val="0"/>
              <w:overflowPunct w:val="0"/>
              <w:ind w:left="110" w:leftChars="50"/>
              <w:jc w:val="both"/>
              <w:rPr>
                <w:rFonts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投标有效期</w:t>
            </w:r>
          </w:p>
        </w:tc>
        <w:tc>
          <w:tcPr>
            <w:tcW w:w="1585" w:type="pct"/>
            <w:tcBorders>
              <w:top w:val="single" w:color="000000" w:sz="4" w:space="0"/>
              <w:left w:val="nil"/>
              <w:bottom w:val="single" w:color="000000" w:sz="4" w:space="0"/>
              <w:right w:val="single" w:color="000000" w:sz="4" w:space="0"/>
            </w:tcBorders>
            <w:noWrap/>
            <w:vAlign w:val="center"/>
          </w:tcPr>
          <w:p>
            <w:pPr>
              <w:ind w:left="110" w:leftChars="50"/>
              <w:jc w:val="both"/>
              <w:rPr>
                <w:rFonts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按招标文件要求</w:t>
            </w:r>
          </w:p>
        </w:tc>
        <w:tc>
          <w:tcPr>
            <w:tcW w:w="1057" w:type="pct"/>
            <w:tcBorders>
              <w:top w:val="single" w:color="000000" w:sz="4" w:space="0"/>
              <w:left w:val="nil"/>
              <w:bottom w:val="single" w:color="000000" w:sz="4" w:space="0"/>
              <w:right w:val="single" w:color="000000" w:sz="4" w:space="0"/>
            </w:tcBorders>
            <w:noWrap/>
            <w:vAlign w:val="center"/>
          </w:tcPr>
          <w:p>
            <w:pPr>
              <w:jc w:val="both"/>
              <w:rPr>
                <w:rFonts w:ascii="宋体" w:hAnsi="宋体" w:eastAsia="宋体"/>
                <w:color w:val="auto"/>
                <w:sz w:val="21"/>
                <w:szCs w:val="21"/>
                <w:highlight w:val="none"/>
              </w:rPr>
            </w:pPr>
          </w:p>
        </w:tc>
      </w:tr>
    </w:tbl>
    <w:p>
      <w:pPr>
        <w:pStyle w:val="8"/>
        <w:kinsoku w:val="0"/>
        <w:overflowPunct w:val="0"/>
        <w:rPr>
          <w:color w:val="auto"/>
          <w:sz w:val="20"/>
          <w:szCs w:val="20"/>
          <w:highlight w:val="none"/>
        </w:rPr>
      </w:pPr>
    </w:p>
    <w:p>
      <w:pPr>
        <w:pStyle w:val="8"/>
        <w:kinsoku w:val="0"/>
        <w:overflowPunct w:val="0"/>
        <w:spacing w:line="360" w:lineRule="auto"/>
        <w:ind w:left="0" w:firstLine="2100" w:firstLineChars="1000"/>
        <w:rPr>
          <w:color w:val="auto"/>
          <w:highlight w:val="none"/>
          <w:lang w:eastAsia="zh-CN"/>
        </w:rPr>
      </w:pPr>
      <w:r>
        <w:rPr>
          <w:rFonts w:hint="eastAsia"/>
          <w:color w:val="auto"/>
          <w:highlight w:val="none"/>
          <w:lang w:eastAsia="zh-CN"/>
        </w:rPr>
        <w:t>投标</w:t>
      </w:r>
      <w:r>
        <w:rPr>
          <w:rFonts w:hint="eastAsia"/>
          <w:color w:val="auto"/>
          <w:spacing w:val="-2"/>
          <w:highlight w:val="none"/>
          <w:lang w:eastAsia="zh-CN"/>
        </w:rPr>
        <w:t>人：</w:t>
      </w:r>
      <w:r>
        <w:rPr>
          <w:rFonts w:hint="eastAsia"/>
          <w:color w:val="auto"/>
          <w:spacing w:val="-2"/>
          <w:highlight w:val="none"/>
          <w:u w:val="single"/>
          <w:lang w:eastAsia="zh-CN"/>
        </w:rPr>
        <w:t xml:space="preserve">      </w:t>
      </w:r>
      <w:r>
        <w:rPr>
          <w:rFonts w:hint="eastAsia"/>
          <w:color w:val="auto"/>
          <w:spacing w:val="-1"/>
          <w:highlight w:val="none"/>
          <w:lang w:eastAsia="zh-CN"/>
        </w:rPr>
        <w:t>（盖单位章）</w:t>
      </w:r>
    </w:p>
    <w:p>
      <w:pPr>
        <w:spacing w:line="360" w:lineRule="auto"/>
        <w:ind w:firstLine="2100" w:firstLineChars="1000"/>
        <w:rPr>
          <w:rFonts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法定代表人或其委托代理人：</w:t>
      </w:r>
      <w:r>
        <w:rPr>
          <w:rFonts w:hint="eastAsia" w:ascii="宋体" w:hAnsi="宋体" w:eastAsia="宋体"/>
          <w:bCs/>
          <w:color w:val="auto"/>
          <w:sz w:val="21"/>
          <w:szCs w:val="21"/>
          <w:highlight w:val="none"/>
          <w:u w:val="single"/>
          <w:lang w:eastAsia="zh-CN"/>
        </w:rPr>
        <w:t xml:space="preserve">     </w:t>
      </w:r>
      <w:r>
        <w:rPr>
          <w:rFonts w:hint="eastAsia" w:ascii="宋体" w:hAnsi="宋体" w:eastAsia="宋体"/>
          <w:bCs/>
          <w:color w:val="auto"/>
          <w:sz w:val="21"/>
          <w:szCs w:val="21"/>
          <w:highlight w:val="none"/>
          <w:lang w:eastAsia="zh-CN"/>
        </w:rPr>
        <w:t>（签字或盖章）</w:t>
      </w:r>
    </w:p>
    <w:p>
      <w:pPr>
        <w:spacing w:line="360" w:lineRule="auto"/>
        <w:ind w:firstLine="2100" w:firstLineChars="1000"/>
        <w:jc w:val="righ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u w:val="single"/>
          <w:lang w:eastAsia="zh-CN"/>
        </w:rPr>
        <w:t xml:space="preserve"> </w:t>
      </w:r>
      <w:r>
        <w:rPr>
          <w:rFonts w:ascii="宋体" w:hAnsi="宋体" w:eastAsia="宋体"/>
          <w:color w:val="auto"/>
          <w:sz w:val="21"/>
          <w:szCs w:val="21"/>
          <w:highlight w:val="none"/>
          <w:u w:val="single"/>
          <w:lang w:eastAsia="zh-CN"/>
        </w:rPr>
        <w:t xml:space="preserve">  </w:t>
      </w:r>
      <w:r>
        <w:rPr>
          <w:rFonts w:hint="eastAsia" w:ascii="宋体" w:hAnsi="宋体" w:eastAsia="宋体"/>
          <w:color w:val="auto"/>
          <w:sz w:val="21"/>
          <w:szCs w:val="21"/>
          <w:highlight w:val="none"/>
          <w:lang w:eastAsia="zh-CN"/>
        </w:rPr>
        <w:t>年</w:t>
      </w:r>
      <w:r>
        <w:rPr>
          <w:rFonts w:ascii="宋体" w:hAnsi="宋体" w:eastAsia="宋体"/>
          <w:color w:val="auto"/>
          <w:sz w:val="21"/>
          <w:szCs w:val="21"/>
          <w:highlight w:val="none"/>
          <w:u w:val="single"/>
          <w:lang w:eastAsia="zh-CN"/>
        </w:rPr>
        <w:tab/>
      </w:r>
      <w:r>
        <w:rPr>
          <w:rFonts w:hint="eastAsia" w:ascii="宋体" w:hAnsi="宋体" w:eastAsia="宋体"/>
          <w:color w:val="auto"/>
          <w:sz w:val="21"/>
          <w:szCs w:val="21"/>
          <w:highlight w:val="none"/>
          <w:lang w:eastAsia="zh-CN"/>
        </w:rPr>
        <w:t>月</w:t>
      </w:r>
      <w:r>
        <w:rPr>
          <w:rFonts w:hint="eastAsia" w:ascii="宋体" w:hAnsi="宋体" w:eastAsia="宋体"/>
          <w:color w:val="auto"/>
          <w:sz w:val="21"/>
          <w:szCs w:val="21"/>
          <w:highlight w:val="none"/>
          <w:u w:val="single"/>
          <w:lang w:eastAsia="zh-CN"/>
        </w:rPr>
        <w:t xml:space="preserve"> </w:t>
      </w:r>
      <w:r>
        <w:rPr>
          <w:rFonts w:ascii="宋体" w:hAnsi="宋体" w:eastAsia="宋体"/>
          <w:color w:val="auto"/>
          <w:sz w:val="21"/>
          <w:szCs w:val="21"/>
          <w:highlight w:val="none"/>
          <w:u w:val="single"/>
          <w:lang w:eastAsia="zh-CN"/>
        </w:rPr>
        <w:t xml:space="preserve"> </w:t>
      </w:r>
      <w:r>
        <w:rPr>
          <w:rFonts w:hint="eastAsia" w:ascii="宋体" w:hAnsi="宋体" w:eastAsia="宋体"/>
          <w:color w:val="auto"/>
          <w:sz w:val="21"/>
          <w:szCs w:val="21"/>
          <w:highlight w:val="none"/>
          <w:lang w:eastAsia="zh-CN"/>
        </w:rPr>
        <w:t>日</w:t>
      </w:r>
    </w:p>
    <w:p>
      <w:pPr>
        <w:spacing w:line="360" w:lineRule="auto"/>
        <w:rPr>
          <w:rFonts w:ascii="宋体" w:hAnsi="宋体" w:eastAsia="宋体"/>
          <w:color w:val="auto"/>
          <w:highlight w:val="none"/>
          <w:lang w:eastAsia="zh-CN"/>
        </w:rPr>
      </w:pPr>
    </w:p>
    <w:p>
      <w:pPr>
        <w:pStyle w:val="3"/>
        <w:rPr>
          <w:rFonts w:ascii="宋体" w:hAnsi="宋体" w:eastAsia="宋体"/>
          <w:color w:val="auto"/>
          <w:sz w:val="21"/>
          <w:szCs w:val="21"/>
          <w:highlight w:val="none"/>
          <w:lang w:eastAsia="zh-CN"/>
        </w:rPr>
      </w:pPr>
      <w:r>
        <w:rPr>
          <w:rFonts w:ascii="宋体" w:hAnsi="宋体" w:eastAsia="宋体"/>
          <w:color w:val="auto"/>
          <w:highlight w:val="none"/>
          <w:lang w:eastAsia="zh-CN"/>
        </w:rPr>
        <w:br w:type="page"/>
      </w:r>
      <w:bookmarkStart w:id="79" w:name="_Toc109809444"/>
      <w:bookmarkStart w:id="80" w:name="_Toc25072140"/>
      <w:bookmarkStart w:id="81" w:name="_Toc109809405"/>
      <w:r>
        <w:rPr>
          <w:rFonts w:hint="eastAsia" w:ascii="宋体" w:hAnsi="宋体" w:eastAsia="宋体"/>
          <w:color w:val="auto"/>
          <w:sz w:val="21"/>
          <w:szCs w:val="21"/>
          <w:highlight w:val="none"/>
          <w:lang w:eastAsia="zh-CN"/>
        </w:rPr>
        <w:t>格式二  法定代表人身份证明、授权委托书</w:t>
      </w:r>
      <w:bookmarkEnd w:id="79"/>
      <w:bookmarkEnd w:id="80"/>
      <w:bookmarkEnd w:id="81"/>
    </w:p>
    <w:p>
      <w:pPr>
        <w:spacing w:line="360" w:lineRule="auto"/>
        <w:rPr>
          <w:rFonts w:ascii="宋体" w:hAnsi="宋体" w:eastAsia="宋体"/>
          <w:color w:val="auto"/>
          <w:position w:val="-1"/>
          <w:sz w:val="32"/>
          <w:szCs w:val="32"/>
          <w:highlight w:val="none"/>
          <w:lang w:eastAsia="zh-CN"/>
        </w:rPr>
      </w:pPr>
    </w:p>
    <w:p>
      <w:pPr>
        <w:jc w:val="center"/>
        <w:rPr>
          <w:rFonts w:ascii="宋体" w:hAnsi="宋体" w:eastAsia="宋体"/>
          <w:b/>
          <w:color w:val="auto"/>
          <w:sz w:val="32"/>
          <w:szCs w:val="36"/>
          <w:highlight w:val="none"/>
          <w:lang w:eastAsia="zh-CN"/>
        </w:rPr>
      </w:pPr>
      <w:r>
        <w:rPr>
          <w:rFonts w:hint="eastAsia" w:ascii="宋体" w:hAnsi="宋体" w:eastAsia="宋体"/>
          <w:b/>
          <w:color w:val="auto"/>
          <w:sz w:val="32"/>
          <w:szCs w:val="36"/>
          <w:highlight w:val="none"/>
          <w:lang w:eastAsia="zh-CN"/>
        </w:rPr>
        <w:t>法定代表人身份证明</w:t>
      </w:r>
    </w:p>
    <w:p>
      <w:pPr>
        <w:spacing w:line="360" w:lineRule="auto"/>
        <w:rPr>
          <w:rFonts w:ascii="宋体" w:hAnsi="宋体" w:eastAsia="宋体"/>
          <w:color w:val="auto"/>
          <w:sz w:val="21"/>
          <w:szCs w:val="21"/>
          <w:highlight w:val="none"/>
          <w:lang w:eastAsia="zh-CN"/>
        </w:rPr>
      </w:pPr>
    </w:p>
    <w:p>
      <w:pPr>
        <w:spacing w:line="360" w:lineRule="auto"/>
        <w:rPr>
          <w:rFonts w:ascii="宋体" w:hAnsi="宋体" w:eastAsia="宋体"/>
          <w:color w:val="auto"/>
          <w:sz w:val="21"/>
          <w:szCs w:val="21"/>
          <w:highlight w:val="none"/>
          <w:u w:val="single"/>
          <w:lang w:eastAsia="zh-CN"/>
        </w:rPr>
      </w:pPr>
      <w:r>
        <w:rPr>
          <w:rFonts w:ascii="宋体" w:hAnsi="宋体" w:eastAsia="宋体"/>
          <w:color w:val="auto"/>
          <w:sz w:val="21"/>
          <w:szCs w:val="21"/>
          <w:highlight w:val="none"/>
          <w:lang w:eastAsia="zh-CN"/>
        </w:rPr>
        <w:t>投标人名称：</w:t>
      </w:r>
      <w:r>
        <w:rPr>
          <w:rFonts w:hint="eastAsia" w:ascii="宋体" w:hAnsi="宋体" w:eastAsia="宋体"/>
          <w:color w:val="auto"/>
          <w:sz w:val="21"/>
          <w:szCs w:val="21"/>
          <w:highlight w:val="none"/>
          <w:u w:val="single"/>
          <w:lang w:eastAsia="zh-CN"/>
        </w:rPr>
        <w:t xml:space="preserve">                             </w:t>
      </w:r>
    </w:p>
    <w:p>
      <w:pPr>
        <w:spacing w:line="360" w:lineRule="auto"/>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姓名：</w:t>
      </w:r>
      <w:r>
        <w:rPr>
          <w:rFonts w:hint="eastAsia" w:ascii="宋体" w:hAnsi="宋体" w:eastAsia="宋体"/>
          <w:color w:val="auto"/>
          <w:sz w:val="21"/>
          <w:szCs w:val="21"/>
          <w:highlight w:val="none"/>
          <w:u w:val="single"/>
          <w:lang w:eastAsia="zh-CN"/>
        </w:rPr>
        <w:t xml:space="preserve">               </w:t>
      </w:r>
      <w:r>
        <w:rPr>
          <w:rFonts w:ascii="宋体" w:hAnsi="宋体" w:eastAsia="宋体"/>
          <w:color w:val="auto"/>
          <w:sz w:val="21"/>
          <w:szCs w:val="21"/>
          <w:highlight w:val="none"/>
          <w:lang w:eastAsia="zh-CN"/>
        </w:rPr>
        <w:t>性别：</w:t>
      </w:r>
      <w:r>
        <w:rPr>
          <w:rFonts w:hint="eastAsia" w:ascii="宋体" w:hAnsi="宋体" w:eastAsia="宋体"/>
          <w:color w:val="auto"/>
          <w:sz w:val="21"/>
          <w:szCs w:val="21"/>
          <w:highlight w:val="none"/>
          <w:u w:val="single"/>
          <w:lang w:eastAsia="zh-CN"/>
        </w:rPr>
        <w:t xml:space="preserve">        </w:t>
      </w:r>
      <w:r>
        <w:rPr>
          <w:rFonts w:ascii="宋体" w:hAnsi="宋体" w:eastAsia="宋体"/>
          <w:color w:val="auto"/>
          <w:sz w:val="21"/>
          <w:szCs w:val="21"/>
          <w:highlight w:val="none"/>
          <w:lang w:eastAsia="zh-CN"/>
        </w:rPr>
        <w:t>年龄：</w:t>
      </w:r>
      <w:r>
        <w:rPr>
          <w:rFonts w:hint="eastAsia" w:ascii="宋体" w:hAnsi="宋体" w:eastAsia="宋体"/>
          <w:color w:val="auto"/>
          <w:sz w:val="21"/>
          <w:szCs w:val="21"/>
          <w:highlight w:val="none"/>
          <w:u w:val="single"/>
          <w:lang w:eastAsia="zh-CN"/>
        </w:rPr>
        <w:t xml:space="preserve">       </w:t>
      </w:r>
      <w:r>
        <w:rPr>
          <w:rFonts w:ascii="宋体" w:hAnsi="宋体" w:eastAsia="宋体"/>
          <w:color w:val="auto"/>
          <w:sz w:val="21"/>
          <w:szCs w:val="21"/>
          <w:highlight w:val="none"/>
          <w:lang w:eastAsia="zh-CN"/>
        </w:rPr>
        <w:t>职务：</w:t>
      </w:r>
      <w:r>
        <w:rPr>
          <w:rFonts w:hint="eastAsia" w:ascii="宋体" w:hAnsi="宋体" w:eastAsia="宋体"/>
          <w:color w:val="auto"/>
          <w:sz w:val="21"/>
          <w:szCs w:val="21"/>
          <w:highlight w:val="none"/>
          <w:u w:val="single"/>
          <w:lang w:eastAsia="zh-CN"/>
        </w:rPr>
        <w:t xml:space="preserve">        </w:t>
      </w:r>
    </w:p>
    <w:p>
      <w:pPr>
        <w:spacing w:line="360" w:lineRule="auto"/>
        <w:rPr>
          <w:rFonts w:ascii="宋体" w:hAnsi="宋体" w:eastAsia="宋体"/>
          <w:color w:val="auto"/>
          <w:sz w:val="21"/>
          <w:szCs w:val="21"/>
          <w:highlight w:val="none"/>
          <w:lang w:eastAsia="zh-CN"/>
        </w:rPr>
      </w:pPr>
    </w:p>
    <w:p>
      <w:pPr>
        <w:tabs>
          <w:tab w:val="left" w:pos="3080"/>
        </w:tabs>
        <w:spacing w:line="360" w:lineRule="auto"/>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系</w:t>
      </w:r>
      <w:r>
        <w:rPr>
          <w:rFonts w:hint="eastAsia" w:ascii="宋体" w:hAnsi="宋体" w:eastAsia="宋体"/>
          <w:color w:val="auto"/>
          <w:sz w:val="21"/>
          <w:szCs w:val="21"/>
          <w:highlight w:val="none"/>
          <w:u w:val="single"/>
          <w:lang w:eastAsia="zh-CN"/>
        </w:rPr>
        <w:t xml:space="preserve">     </w:t>
      </w:r>
      <w:r>
        <w:rPr>
          <w:rFonts w:ascii="宋体" w:hAnsi="宋体" w:eastAsia="宋体"/>
          <w:color w:val="auto"/>
          <w:sz w:val="21"/>
          <w:szCs w:val="21"/>
          <w:highlight w:val="none"/>
          <w:u w:val="single"/>
          <w:lang w:eastAsia="zh-CN"/>
        </w:rPr>
        <w:t>（投标人名称）</w:t>
      </w:r>
      <w:r>
        <w:rPr>
          <w:rFonts w:hint="eastAsia" w:ascii="宋体" w:hAnsi="宋体" w:eastAsia="宋体"/>
          <w:color w:val="auto"/>
          <w:sz w:val="21"/>
          <w:szCs w:val="21"/>
          <w:highlight w:val="none"/>
          <w:u w:val="single"/>
          <w:lang w:eastAsia="zh-CN"/>
        </w:rPr>
        <w:t xml:space="preserve">       </w:t>
      </w:r>
      <w:r>
        <w:rPr>
          <w:rFonts w:ascii="宋体" w:hAnsi="宋体" w:eastAsia="宋体"/>
          <w:color w:val="auto"/>
          <w:sz w:val="21"/>
          <w:szCs w:val="21"/>
          <w:highlight w:val="none"/>
          <w:lang w:eastAsia="zh-CN"/>
        </w:rPr>
        <w:t>的法定代表人。</w:t>
      </w:r>
    </w:p>
    <w:p>
      <w:pPr>
        <w:spacing w:line="360" w:lineRule="auto"/>
        <w:rPr>
          <w:rFonts w:ascii="宋体" w:hAnsi="宋体" w:eastAsia="宋体"/>
          <w:color w:val="auto"/>
          <w:sz w:val="21"/>
          <w:szCs w:val="21"/>
          <w:highlight w:val="none"/>
          <w:lang w:eastAsia="zh-CN"/>
        </w:rPr>
      </w:pPr>
    </w:p>
    <w:p>
      <w:pPr>
        <w:spacing w:line="360" w:lineRule="auto"/>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特此证明。</w:t>
      </w:r>
    </w:p>
    <w:p>
      <w:pPr>
        <w:spacing w:line="360" w:lineRule="auto"/>
        <w:rPr>
          <w:rFonts w:ascii="宋体" w:hAnsi="宋体" w:eastAsia="宋体"/>
          <w:color w:val="auto"/>
          <w:sz w:val="21"/>
          <w:szCs w:val="21"/>
          <w:highlight w:val="none"/>
          <w:lang w:eastAsia="zh-CN"/>
        </w:rPr>
      </w:pPr>
    </w:p>
    <w:p>
      <w:pPr>
        <w:spacing w:line="360" w:lineRule="auto"/>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附：法定代表人身份证</w:t>
      </w:r>
      <w:r>
        <w:rPr>
          <w:rFonts w:hint="eastAsia" w:ascii="宋体" w:hAnsi="宋体" w:eastAsia="宋体" w:cs="宋体"/>
          <w:bCs/>
          <w:color w:val="auto"/>
          <w:sz w:val="21"/>
          <w:szCs w:val="21"/>
          <w:highlight w:val="none"/>
          <w:lang w:eastAsia="zh-CN"/>
        </w:rPr>
        <w:t>扫描</w:t>
      </w:r>
      <w:r>
        <w:rPr>
          <w:rFonts w:ascii="宋体" w:hAnsi="宋体" w:eastAsia="宋体"/>
          <w:color w:val="auto"/>
          <w:sz w:val="21"/>
          <w:szCs w:val="21"/>
          <w:highlight w:val="none"/>
          <w:lang w:eastAsia="zh-CN"/>
        </w:rPr>
        <w:t>件。</w:t>
      </w:r>
    </w:p>
    <w:p>
      <w:pPr>
        <w:spacing w:line="360" w:lineRule="auto"/>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注：本身份证明需由投标人加盖单位公章。</w:t>
      </w:r>
    </w:p>
    <w:p>
      <w:pPr>
        <w:spacing w:line="360" w:lineRule="auto"/>
        <w:rPr>
          <w:rFonts w:ascii="宋体" w:hAnsi="宋体" w:eastAsia="宋体"/>
          <w:color w:val="auto"/>
          <w:sz w:val="21"/>
          <w:szCs w:val="21"/>
          <w:highlight w:val="none"/>
          <w:lang w:eastAsia="zh-CN"/>
        </w:rPr>
      </w:pPr>
    </w:p>
    <w:p>
      <w:pPr>
        <w:tabs>
          <w:tab w:val="left" w:pos="6760"/>
        </w:tabs>
        <w:spacing w:line="360" w:lineRule="auto"/>
        <w:jc w:val="right"/>
        <w:rPr>
          <w:rFonts w:ascii="宋体" w:hAnsi="宋体" w:eastAsia="宋体"/>
          <w:color w:val="auto"/>
          <w:sz w:val="21"/>
          <w:szCs w:val="21"/>
          <w:highlight w:val="none"/>
          <w:lang w:eastAsia="zh-CN"/>
        </w:rPr>
      </w:pPr>
      <w:r>
        <w:rPr>
          <w:rFonts w:ascii="宋体" w:hAnsi="宋体" w:eastAsia="宋体"/>
          <w:color w:val="auto"/>
          <w:sz w:val="21"/>
          <w:szCs w:val="21"/>
          <w:highlight w:val="none"/>
          <w:lang w:eastAsia="zh-CN"/>
        </w:rPr>
        <w:t>投标人：</w:t>
      </w:r>
      <w:r>
        <w:rPr>
          <w:rFonts w:hint="eastAsia" w:ascii="宋体" w:hAnsi="宋体" w:eastAsia="宋体"/>
          <w:color w:val="auto"/>
          <w:sz w:val="21"/>
          <w:szCs w:val="21"/>
          <w:highlight w:val="none"/>
          <w:u w:val="single"/>
          <w:lang w:eastAsia="zh-CN"/>
        </w:rPr>
        <w:t xml:space="preserve">           </w:t>
      </w:r>
      <w:r>
        <w:rPr>
          <w:rFonts w:ascii="宋体" w:hAnsi="宋体" w:eastAsia="宋体"/>
          <w:color w:val="auto"/>
          <w:sz w:val="21"/>
          <w:szCs w:val="21"/>
          <w:highlight w:val="none"/>
          <w:lang w:eastAsia="zh-CN"/>
        </w:rPr>
        <w:t>（盖单位章）</w:t>
      </w:r>
    </w:p>
    <w:p>
      <w:pPr>
        <w:tabs>
          <w:tab w:val="left" w:pos="6440"/>
          <w:tab w:val="left" w:pos="7280"/>
        </w:tabs>
        <w:spacing w:line="360" w:lineRule="auto"/>
        <w:ind w:firstLine="420" w:firstLineChars="200"/>
        <w:jc w:val="righ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u w:val="single"/>
          <w:lang w:eastAsia="zh-CN"/>
        </w:rPr>
        <w:t xml:space="preserve"> </w:t>
      </w:r>
      <w:r>
        <w:rPr>
          <w:rFonts w:ascii="宋体" w:hAnsi="宋体" w:eastAsia="宋体"/>
          <w:color w:val="auto"/>
          <w:sz w:val="21"/>
          <w:szCs w:val="21"/>
          <w:highlight w:val="none"/>
          <w:u w:val="single"/>
          <w:lang w:eastAsia="zh-CN"/>
        </w:rPr>
        <w:t xml:space="preserve">  </w:t>
      </w:r>
      <w:r>
        <w:rPr>
          <w:rFonts w:ascii="宋体" w:hAnsi="宋体" w:eastAsia="宋体"/>
          <w:color w:val="auto"/>
          <w:sz w:val="21"/>
          <w:szCs w:val="21"/>
          <w:highlight w:val="none"/>
          <w:lang w:eastAsia="zh-CN"/>
        </w:rPr>
        <w:t>年</w:t>
      </w:r>
      <w:r>
        <w:rPr>
          <w:rFonts w:ascii="宋体" w:hAnsi="宋体" w:eastAsia="宋体"/>
          <w:color w:val="auto"/>
          <w:sz w:val="21"/>
          <w:szCs w:val="21"/>
          <w:highlight w:val="none"/>
          <w:u w:val="single"/>
          <w:lang w:eastAsia="zh-CN"/>
        </w:rPr>
        <w:t xml:space="preserve">   </w:t>
      </w:r>
      <w:r>
        <w:rPr>
          <w:rFonts w:ascii="宋体" w:hAnsi="宋体" w:eastAsia="宋体"/>
          <w:color w:val="auto"/>
          <w:sz w:val="21"/>
          <w:szCs w:val="21"/>
          <w:highlight w:val="none"/>
          <w:lang w:eastAsia="zh-CN"/>
        </w:rPr>
        <w:t>月</w:t>
      </w:r>
      <w:r>
        <w:rPr>
          <w:rFonts w:hint="eastAsia" w:ascii="宋体" w:hAnsi="宋体" w:eastAsia="宋体"/>
          <w:color w:val="auto"/>
          <w:sz w:val="21"/>
          <w:szCs w:val="21"/>
          <w:highlight w:val="none"/>
          <w:u w:val="single"/>
          <w:lang w:eastAsia="zh-CN"/>
        </w:rPr>
        <w:t xml:space="preserve"> </w:t>
      </w:r>
      <w:r>
        <w:rPr>
          <w:rFonts w:ascii="宋体" w:hAnsi="宋体" w:eastAsia="宋体"/>
          <w:color w:val="auto"/>
          <w:sz w:val="21"/>
          <w:szCs w:val="21"/>
          <w:highlight w:val="none"/>
          <w:u w:val="single"/>
          <w:lang w:eastAsia="zh-CN"/>
        </w:rPr>
        <w:t xml:space="preserve">  </w:t>
      </w:r>
      <w:r>
        <w:rPr>
          <w:rFonts w:ascii="宋体" w:hAnsi="宋体" w:eastAsia="宋体"/>
          <w:color w:val="auto"/>
          <w:sz w:val="21"/>
          <w:szCs w:val="21"/>
          <w:highlight w:val="none"/>
          <w:lang w:eastAsia="zh-CN"/>
        </w:rPr>
        <w:t>日</w:t>
      </w:r>
    </w:p>
    <w:p>
      <w:pPr>
        <w:jc w:val="center"/>
        <w:rPr>
          <w:rFonts w:ascii="宋体" w:hAnsi="宋体" w:eastAsia="宋体"/>
          <w:b/>
          <w:color w:val="auto"/>
          <w:sz w:val="32"/>
          <w:szCs w:val="36"/>
          <w:highlight w:val="none"/>
          <w:lang w:eastAsia="zh-CN"/>
        </w:rPr>
      </w:pPr>
      <w:r>
        <w:rPr>
          <w:rFonts w:ascii="宋体" w:hAnsi="宋体" w:eastAsia="宋体"/>
          <w:color w:val="auto"/>
          <w:sz w:val="24"/>
          <w:szCs w:val="24"/>
          <w:highlight w:val="none"/>
          <w:lang w:eastAsia="zh-CN"/>
        </w:rPr>
        <w:br w:type="page"/>
      </w:r>
      <w:r>
        <w:rPr>
          <w:rFonts w:hint="eastAsia" w:ascii="宋体" w:hAnsi="宋体" w:eastAsia="宋体"/>
          <w:b/>
          <w:color w:val="auto"/>
          <w:sz w:val="32"/>
          <w:szCs w:val="36"/>
          <w:highlight w:val="none"/>
          <w:lang w:eastAsia="zh-CN"/>
        </w:rPr>
        <w:t>授权委托书</w:t>
      </w:r>
    </w:p>
    <w:p>
      <w:pPr>
        <w:autoSpaceDE w:val="0"/>
        <w:autoSpaceDN w:val="0"/>
        <w:adjustRightInd w:val="0"/>
        <w:spacing w:before="18" w:line="240" w:lineRule="exact"/>
        <w:rPr>
          <w:rFonts w:ascii="宋体" w:hAnsi="宋体" w:eastAsia="宋体"/>
          <w:color w:val="auto"/>
          <w:sz w:val="24"/>
          <w:highlight w:val="none"/>
          <w:lang w:eastAsia="zh-CN"/>
        </w:rPr>
      </w:pPr>
    </w:p>
    <w:p>
      <w:pPr>
        <w:autoSpaceDE w:val="0"/>
        <w:autoSpaceDN w:val="0"/>
        <w:adjustRightInd w:val="0"/>
        <w:spacing w:line="360" w:lineRule="auto"/>
        <w:ind w:firstLine="420" w:firstLineChars="200"/>
        <w:rPr>
          <w:rFonts w:ascii="宋体" w:hAnsi="宋体" w:eastAsia="宋体"/>
          <w:color w:val="auto"/>
          <w:sz w:val="21"/>
          <w:szCs w:val="21"/>
          <w:highlight w:val="none"/>
          <w:lang w:eastAsia="zh-CN"/>
        </w:rPr>
      </w:pPr>
      <w:r>
        <w:rPr>
          <w:rFonts w:hint="eastAsia" w:ascii="宋体" w:hAnsi="宋体" w:eastAsia="宋体"/>
          <w:color w:val="auto"/>
          <w:position w:val="-4"/>
          <w:sz w:val="21"/>
          <w:szCs w:val="21"/>
          <w:highlight w:val="none"/>
          <w:lang w:eastAsia="zh-CN"/>
        </w:rPr>
        <w:t>本人</w:t>
      </w:r>
      <w:r>
        <w:rPr>
          <w:rFonts w:hint="eastAsia" w:ascii="宋体" w:hAnsi="宋体" w:eastAsia="宋体"/>
          <w:color w:val="auto"/>
          <w:position w:val="-4"/>
          <w:sz w:val="21"/>
          <w:szCs w:val="21"/>
          <w:highlight w:val="none"/>
          <w:u w:val="single"/>
          <w:lang w:eastAsia="zh-CN"/>
        </w:rPr>
        <w:t xml:space="preserve">    （</w:t>
      </w:r>
      <w:r>
        <w:rPr>
          <w:rFonts w:hint="eastAsia" w:ascii="宋体" w:hAnsi="宋体" w:eastAsia="宋体"/>
          <w:color w:val="auto"/>
          <w:spacing w:val="-2"/>
          <w:position w:val="-4"/>
          <w:sz w:val="21"/>
          <w:szCs w:val="21"/>
          <w:highlight w:val="none"/>
          <w:u w:val="single"/>
          <w:lang w:eastAsia="zh-CN"/>
        </w:rPr>
        <w:t>姓</w:t>
      </w:r>
      <w:r>
        <w:rPr>
          <w:rFonts w:hint="eastAsia" w:ascii="宋体" w:hAnsi="宋体" w:eastAsia="宋体"/>
          <w:color w:val="auto"/>
          <w:position w:val="-4"/>
          <w:sz w:val="21"/>
          <w:szCs w:val="21"/>
          <w:highlight w:val="none"/>
          <w:u w:val="single"/>
          <w:lang w:eastAsia="zh-CN"/>
        </w:rPr>
        <w:t xml:space="preserve">名）    </w:t>
      </w:r>
      <w:r>
        <w:rPr>
          <w:rFonts w:hint="eastAsia" w:ascii="宋体" w:hAnsi="宋体" w:eastAsia="宋体"/>
          <w:color w:val="auto"/>
          <w:position w:val="-4"/>
          <w:sz w:val="21"/>
          <w:szCs w:val="21"/>
          <w:highlight w:val="none"/>
          <w:lang w:eastAsia="zh-CN"/>
        </w:rPr>
        <w:t>系</w:t>
      </w:r>
      <w:r>
        <w:rPr>
          <w:rFonts w:hint="eastAsia" w:ascii="宋体" w:hAnsi="宋体" w:eastAsia="宋体"/>
          <w:color w:val="auto"/>
          <w:position w:val="-4"/>
          <w:sz w:val="21"/>
          <w:szCs w:val="21"/>
          <w:highlight w:val="none"/>
          <w:u w:val="single"/>
          <w:lang w:eastAsia="zh-CN"/>
        </w:rPr>
        <w:t xml:space="preserve">   （投标人</w:t>
      </w:r>
      <w:r>
        <w:rPr>
          <w:rFonts w:hint="eastAsia" w:ascii="宋体" w:hAnsi="宋体" w:eastAsia="宋体"/>
          <w:color w:val="auto"/>
          <w:spacing w:val="-2"/>
          <w:position w:val="-4"/>
          <w:sz w:val="21"/>
          <w:szCs w:val="21"/>
          <w:highlight w:val="none"/>
          <w:u w:val="single"/>
          <w:lang w:eastAsia="zh-CN"/>
        </w:rPr>
        <w:t>名</w:t>
      </w:r>
      <w:r>
        <w:rPr>
          <w:rFonts w:hint="eastAsia" w:ascii="宋体" w:hAnsi="宋体" w:eastAsia="宋体"/>
          <w:color w:val="auto"/>
          <w:position w:val="-4"/>
          <w:sz w:val="21"/>
          <w:szCs w:val="21"/>
          <w:highlight w:val="none"/>
          <w:u w:val="single"/>
          <w:lang w:eastAsia="zh-CN"/>
        </w:rPr>
        <w:t xml:space="preserve">称）    </w:t>
      </w:r>
      <w:r>
        <w:rPr>
          <w:rFonts w:hint="eastAsia" w:ascii="宋体" w:hAnsi="宋体" w:eastAsia="宋体"/>
          <w:color w:val="auto"/>
          <w:position w:val="-4"/>
          <w:sz w:val="21"/>
          <w:szCs w:val="21"/>
          <w:highlight w:val="none"/>
          <w:lang w:eastAsia="zh-CN"/>
        </w:rPr>
        <w:t>的</w:t>
      </w:r>
      <w:r>
        <w:rPr>
          <w:rFonts w:hint="eastAsia" w:ascii="宋体" w:hAnsi="宋体" w:eastAsia="宋体"/>
          <w:color w:val="auto"/>
          <w:spacing w:val="-2"/>
          <w:position w:val="-4"/>
          <w:sz w:val="21"/>
          <w:szCs w:val="21"/>
          <w:highlight w:val="none"/>
          <w:lang w:eastAsia="zh-CN"/>
        </w:rPr>
        <w:t>法定</w:t>
      </w:r>
      <w:r>
        <w:rPr>
          <w:rFonts w:hint="eastAsia" w:ascii="宋体" w:hAnsi="宋体" w:eastAsia="宋体"/>
          <w:color w:val="auto"/>
          <w:position w:val="-4"/>
          <w:sz w:val="21"/>
          <w:szCs w:val="21"/>
          <w:highlight w:val="none"/>
          <w:lang w:eastAsia="zh-CN"/>
        </w:rPr>
        <w:t>代表人</w:t>
      </w:r>
      <w:r>
        <w:rPr>
          <w:rFonts w:hint="eastAsia" w:ascii="宋体" w:hAnsi="宋体" w:eastAsia="宋体"/>
          <w:color w:val="auto"/>
          <w:spacing w:val="-2"/>
          <w:position w:val="-4"/>
          <w:sz w:val="21"/>
          <w:szCs w:val="21"/>
          <w:highlight w:val="none"/>
          <w:lang w:eastAsia="zh-CN"/>
        </w:rPr>
        <w:t>，</w:t>
      </w:r>
      <w:r>
        <w:rPr>
          <w:rFonts w:hint="eastAsia" w:ascii="宋体" w:hAnsi="宋体" w:eastAsia="宋体"/>
          <w:color w:val="auto"/>
          <w:position w:val="-4"/>
          <w:sz w:val="21"/>
          <w:szCs w:val="21"/>
          <w:highlight w:val="none"/>
          <w:lang w:eastAsia="zh-CN"/>
        </w:rPr>
        <w:t>现</w:t>
      </w:r>
      <w:r>
        <w:rPr>
          <w:rFonts w:hint="eastAsia" w:ascii="宋体" w:hAnsi="宋体" w:eastAsia="宋体"/>
          <w:color w:val="auto"/>
          <w:position w:val="-2"/>
          <w:sz w:val="21"/>
          <w:szCs w:val="21"/>
          <w:highlight w:val="none"/>
          <w:lang w:eastAsia="zh-CN"/>
        </w:rPr>
        <w:t>委托</w:t>
      </w:r>
      <w:r>
        <w:rPr>
          <w:rFonts w:hint="eastAsia" w:ascii="宋体" w:hAnsi="宋体" w:eastAsia="宋体"/>
          <w:color w:val="auto"/>
          <w:position w:val="-2"/>
          <w:sz w:val="21"/>
          <w:szCs w:val="21"/>
          <w:highlight w:val="none"/>
          <w:u w:val="single"/>
          <w:lang w:eastAsia="zh-CN"/>
        </w:rPr>
        <w:t xml:space="preserve">   （姓</w:t>
      </w:r>
      <w:r>
        <w:rPr>
          <w:rFonts w:hint="eastAsia" w:ascii="宋体" w:hAnsi="宋体" w:eastAsia="宋体"/>
          <w:color w:val="auto"/>
          <w:spacing w:val="-2"/>
          <w:position w:val="-2"/>
          <w:sz w:val="21"/>
          <w:szCs w:val="21"/>
          <w:highlight w:val="none"/>
          <w:u w:val="single"/>
          <w:lang w:eastAsia="zh-CN"/>
        </w:rPr>
        <w:t>名</w:t>
      </w:r>
      <w:r>
        <w:rPr>
          <w:rFonts w:hint="eastAsia" w:ascii="宋体" w:hAnsi="宋体" w:eastAsia="宋体"/>
          <w:color w:val="auto"/>
          <w:position w:val="-2"/>
          <w:sz w:val="21"/>
          <w:szCs w:val="21"/>
          <w:highlight w:val="none"/>
          <w:u w:val="single"/>
          <w:lang w:eastAsia="zh-CN"/>
        </w:rPr>
        <w:t xml:space="preserve">）  </w:t>
      </w:r>
      <w:r>
        <w:rPr>
          <w:rFonts w:hint="eastAsia" w:ascii="宋体" w:hAnsi="宋体" w:eastAsia="宋体"/>
          <w:color w:val="auto"/>
          <w:position w:val="-2"/>
          <w:sz w:val="21"/>
          <w:szCs w:val="21"/>
          <w:highlight w:val="none"/>
          <w:lang w:eastAsia="zh-CN"/>
        </w:rPr>
        <w:t>为我方代</w:t>
      </w:r>
      <w:r>
        <w:rPr>
          <w:rFonts w:hint="eastAsia" w:ascii="宋体" w:hAnsi="宋体" w:eastAsia="宋体"/>
          <w:color w:val="auto"/>
          <w:spacing w:val="-2"/>
          <w:position w:val="-2"/>
          <w:sz w:val="21"/>
          <w:szCs w:val="21"/>
          <w:highlight w:val="none"/>
          <w:lang w:eastAsia="zh-CN"/>
        </w:rPr>
        <w:t>理</w:t>
      </w:r>
      <w:r>
        <w:rPr>
          <w:rFonts w:hint="eastAsia" w:ascii="宋体" w:hAnsi="宋体" w:eastAsia="宋体"/>
          <w:color w:val="auto"/>
          <w:position w:val="-2"/>
          <w:sz w:val="21"/>
          <w:szCs w:val="21"/>
          <w:highlight w:val="none"/>
          <w:lang w:eastAsia="zh-CN"/>
        </w:rPr>
        <w:t>人。代理</w:t>
      </w:r>
      <w:r>
        <w:rPr>
          <w:rFonts w:hint="eastAsia" w:ascii="宋体" w:hAnsi="宋体" w:eastAsia="宋体"/>
          <w:color w:val="auto"/>
          <w:spacing w:val="-2"/>
          <w:position w:val="-2"/>
          <w:sz w:val="21"/>
          <w:szCs w:val="21"/>
          <w:highlight w:val="none"/>
          <w:lang w:eastAsia="zh-CN"/>
        </w:rPr>
        <w:t>人</w:t>
      </w:r>
      <w:r>
        <w:rPr>
          <w:rFonts w:hint="eastAsia" w:ascii="宋体" w:hAnsi="宋体" w:eastAsia="宋体"/>
          <w:color w:val="auto"/>
          <w:position w:val="-2"/>
          <w:sz w:val="21"/>
          <w:szCs w:val="21"/>
          <w:highlight w:val="none"/>
          <w:lang w:eastAsia="zh-CN"/>
        </w:rPr>
        <w:t>根据授权，</w:t>
      </w:r>
      <w:r>
        <w:rPr>
          <w:rFonts w:hint="eastAsia" w:ascii="宋体" w:hAnsi="宋体" w:eastAsia="宋体"/>
          <w:color w:val="auto"/>
          <w:spacing w:val="-2"/>
          <w:position w:val="-2"/>
          <w:sz w:val="21"/>
          <w:szCs w:val="21"/>
          <w:highlight w:val="none"/>
          <w:lang w:eastAsia="zh-CN"/>
        </w:rPr>
        <w:t>以</w:t>
      </w:r>
      <w:r>
        <w:rPr>
          <w:rFonts w:hint="eastAsia" w:ascii="宋体" w:hAnsi="宋体" w:eastAsia="宋体"/>
          <w:color w:val="auto"/>
          <w:position w:val="-2"/>
          <w:sz w:val="21"/>
          <w:szCs w:val="21"/>
          <w:highlight w:val="none"/>
          <w:lang w:eastAsia="zh-CN"/>
        </w:rPr>
        <w:t>我方名义</w:t>
      </w:r>
      <w:r>
        <w:rPr>
          <w:rFonts w:hint="eastAsia" w:ascii="宋体" w:hAnsi="宋体" w:eastAsia="宋体"/>
          <w:color w:val="auto"/>
          <w:spacing w:val="-2"/>
          <w:position w:val="-2"/>
          <w:sz w:val="21"/>
          <w:szCs w:val="21"/>
          <w:highlight w:val="none"/>
          <w:lang w:eastAsia="zh-CN"/>
        </w:rPr>
        <w:t>签</w:t>
      </w:r>
      <w:r>
        <w:rPr>
          <w:rFonts w:hint="eastAsia" w:ascii="宋体" w:hAnsi="宋体" w:eastAsia="宋体"/>
          <w:color w:val="auto"/>
          <w:position w:val="-2"/>
          <w:sz w:val="21"/>
          <w:szCs w:val="21"/>
          <w:highlight w:val="none"/>
          <w:lang w:eastAsia="zh-CN"/>
        </w:rPr>
        <w:t>署、澄清确</w:t>
      </w:r>
      <w:r>
        <w:rPr>
          <w:rFonts w:hint="eastAsia" w:ascii="宋体" w:hAnsi="宋体" w:eastAsia="宋体"/>
          <w:color w:val="auto"/>
          <w:spacing w:val="-2"/>
          <w:position w:val="-2"/>
          <w:sz w:val="21"/>
          <w:szCs w:val="21"/>
          <w:highlight w:val="none"/>
          <w:lang w:eastAsia="zh-CN"/>
        </w:rPr>
        <w:t>认</w:t>
      </w:r>
      <w:r>
        <w:rPr>
          <w:rFonts w:hint="eastAsia" w:ascii="宋体" w:hAnsi="宋体" w:eastAsia="宋体"/>
          <w:color w:val="auto"/>
          <w:position w:val="-2"/>
          <w:sz w:val="21"/>
          <w:szCs w:val="21"/>
          <w:highlight w:val="none"/>
          <w:lang w:eastAsia="zh-CN"/>
        </w:rPr>
        <w:t>、递</w:t>
      </w:r>
      <w:r>
        <w:rPr>
          <w:rFonts w:hint="eastAsia" w:ascii="宋体" w:hAnsi="宋体" w:eastAsia="宋体"/>
          <w:color w:val="auto"/>
          <w:sz w:val="21"/>
          <w:szCs w:val="21"/>
          <w:highlight w:val="none"/>
          <w:lang w:eastAsia="zh-CN"/>
        </w:rPr>
        <w:t>交、</w:t>
      </w:r>
      <w:r>
        <w:rPr>
          <w:rFonts w:hint="eastAsia" w:ascii="宋体" w:hAnsi="宋体" w:eastAsia="宋体"/>
          <w:color w:val="auto"/>
          <w:spacing w:val="-2"/>
          <w:sz w:val="21"/>
          <w:szCs w:val="21"/>
          <w:highlight w:val="none"/>
          <w:lang w:eastAsia="zh-CN"/>
        </w:rPr>
        <w:t>撤</w:t>
      </w:r>
      <w:r>
        <w:rPr>
          <w:rFonts w:hint="eastAsia" w:ascii="宋体" w:hAnsi="宋体" w:eastAsia="宋体"/>
          <w:color w:val="auto"/>
          <w:sz w:val="21"/>
          <w:szCs w:val="21"/>
          <w:highlight w:val="none"/>
          <w:lang w:eastAsia="zh-CN"/>
        </w:rPr>
        <w:t>回</w:t>
      </w:r>
      <w:r>
        <w:rPr>
          <w:rFonts w:hint="eastAsia" w:ascii="宋体" w:hAnsi="宋体" w:eastAsia="宋体"/>
          <w:color w:val="auto"/>
          <w:spacing w:val="-2"/>
          <w:sz w:val="21"/>
          <w:szCs w:val="21"/>
          <w:highlight w:val="none"/>
          <w:lang w:eastAsia="zh-CN"/>
        </w:rPr>
        <w:t>、</w:t>
      </w:r>
      <w:r>
        <w:rPr>
          <w:rFonts w:hint="eastAsia" w:ascii="宋体" w:hAnsi="宋体" w:eastAsia="宋体"/>
          <w:color w:val="auto"/>
          <w:sz w:val="21"/>
          <w:szCs w:val="21"/>
          <w:highlight w:val="none"/>
          <w:lang w:eastAsia="zh-CN"/>
        </w:rPr>
        <w:t>修</w:t>
      </w:r>
      <w:r>
        <w:rPr>
          <w:rFonts w:hint="eastAsia" w:ascii="宋体" w:hAnsi="宋体" w:eastAsia="宋体"/>
          <w:color w:val="auto"/>
          <w:spacing w:val="-3"/>
          <w:sz w:val="21"/>
          <w:szCs w:val="21"/>
          <w:highlight w:val="none"/>
          <w:lang w:eastAsia="zh-CN"/>
        </w:rPr>
        <w:t>改</w:t>
      </w:r>
      <w:r>
        <w:rPr>
          <w:rFonts w:hint="eastAsia" w:ascii="宋体" w:hAnsi="宋体" w:eastAsia="宋体"/>
          <w:color w:val="auto"/>
          <w:spacing w:val="-2"/>
          <w:sz w:val="21"/>
          <w:szCs w:val="21"/>
          <w:highlight w:val="none"/>
          <w:lang w:eastAsia="zh-CN"/>
        </w:rPr>
        <w:t>投</w:t>
      </w:r>
      <w:r>
        <w:rPr>
          <w:rFonts w:hint="eastAsia" w:ascii="宋体" w:hAnsi="宋体" w:eastAsia="宋体"/>
          <w:color w:val="auto"/>
          <w:sz w:val="21"/>
          <w:szCs w:val="21"/>
          <w:highlight w:val="none"/>
          <w:lang w:eastAsia="zh-CN"/>
        </w:rPr>
        <w:t>标</w:t>
      </w:r>
      <w:r>
        <w:rPr>
          <w:rFonts w:hint="eastAsia" w:ascii="宋体" w:hAnsi="宋体" w:eastAsia="宋体"/>
          <w:color w:val="auto"/>
          <w:spacing w:val="-2"/>
          <w:sz w:val="21"/>
          <w:szCs w:val="21"/>
          <w:highlight w:val="none"/>
          <w:lang w:eastAsia="zh-CN"/>
        </w:rPr>
        <w:t>文</w:t>
      </w:r>
      <w:r>
        <w:rPr>
          <w:rFonts w:hint="eastAsia" w:ascii="宋体" w:hAnsi="宋体" w:eastAsia="宋体"/>
          <w:color w:val="auto"/>
          <w:sz w:val="21"/>
          <w:szCs w:val="21"/>
          <w:highlight w:val="none"/>
          <w:lang w:eastAsia="zh-CN"/>
        </w:rPr>
        <w:t>件</w:t>
      </w:r>
      <w:r>
        <w:rPr>
          <w:rFonts w:hint="eastAsia" w:ascii="宋体" w:hAnsi="宋体" w:eastAsia="宋体"/>
          <w:color w:val="auto"/>
          <w:spacing w:val="-2"/>
          <w:sz w:val="21"/>
          <w:szCs w:val="21"/>
          <w:highlight w:val="none"/>
          <w:lang w:eastAsia="zh-CN"/>
        </w:rPr>
        <w:t>、</w:t>
      </w:r>
      <w:r>
        <w:rPr>
          <w:rFonts w:hint="eastAsia" w:ascii="宋体" w:hAnsi="宋体" w:eastAsia="宋体"/>
          <w:color w:val="auto"/>
          <w:sz w:val="21"/>
          <w:szCs w:val="21"/>
          <w:highlight w:val="none"/>
          <w:lang w:eastAsia="zh-CN"/>
        </w:rPr>
        <w:t>签</w:t>
      </w:r>
      <w:r>
        <w:rPr>
          <w:rFonts w:hint="eastAsia" w:ascii="宋体" w:hAnsi="宋体" w:eastAsia="宋体"/>
          <w:color w:val="auto"/>
          <w:spacing w:val="-2"/>
          <w:sz w:val="21"/>
          <w:szCs w:val="21"/>
          <w:highlight w:val="none"/>
          <w:lang w:eastAsia="zh-CN"/>
        </w:rPr>
        <w:t>订</w:t>
      </w:r>
      <w:r>
        <w:rPr>
          <w:rFonts w:hint="eastAsia" w:ascii="宋体" w:hAnsi="宋体" w:eastAsia="宋体"/>
          <w:color w:val="auto"/>
          <w:sz w:val="21"/>
          <w:szCs w:val="21"/>
          <w:highlight w:val="none"/>
          <w:lang w:eastAsia="zh-CN"/>
        </w:rPr>
        <w:t>合</w:t>
      </w:r>
      <w:r>
        <w:rPr>
          <w:rFonts w:hint="eastAsia" w:ascii="宋体" w:hAnsi="宋体" w:eastAsia="宋体"/>
          <w:color w:val="auto"/>
          <w:spacing w:val="-2"/>
          <w:sz w:val="21"/>
          <w:szCs w:val="21"/>
          <w:highlight w:val="none"/>
          <w:lang w:eastAsia="zh-CN"/>
        </w:rPr>
        <w:t>同</w:t>
      </w:r>
      <w:r>
        <w:rPr>
          <w:rFonts w:hint="eastAsia" w:ascii="宋体" w:hAnsi="宋体" w:eastAsia="宋体"/>
          <w:color w:val="auto"/>
          <w:sz w:val="21"/>
          <w:szCs w:val="21"/>
          <w:highlight w:val="none"/>
          <w:lang w:eastAsia="zh-CN"/>
        </w:rPr>
        <w:t>和处</w:t>
      </w:r>
      <w:r>
        <w:rPr>
          <w:rFonts w:hint="eastAsia" w:ascii="宋体" w:hAnsi="宋体" w:eastAsia="宋体"/>
          <w:color w:val="auto"/>
          <w:spacing w:val="-2"/>
          <w:sz w:val="21"/>
          <w:szCs w:val="21"/>
          <w:highlight w:val="none"/>
          <w:lang w:eastAsia="zh-CN"/>
        </w:rPr>
        <w:t>理</w:t>
      </w:r>
      <w:r>
        <w:rPr>
          <w:rFonts w:hint="eastAsia" w:ascii="宋体" w:hAnsi="宋体" w:eastAsia="宋体"/>
          <w:color w:val="auto"/>
          <w:sz w:val="21"/>
          <w:szCs w:val="21"/>
          <w:highlight w:val="none"/>
          <w:lang w:eastAsia="zh-CN"/>
        </w:rPr>
        <w:t>有</w:t>
      </w:r>
      <w:r>
        <w:rPr>
          <w:rFonts w:hint="eastAsia" w:ascii="宋体" w:hAnsi="宋体" w:eastAsia="宋体"/>
          <w:color w:val="auto"/>
          <w:spacing w:val="-2"/>
          <w:sz w:val="21"/>
          <w:szCs w:val="21"/>
          <w:highlight w:val="none"/>
          <w:lang w:eastAsia="zh-CN"/>
        </w:rPr>
        <w:t>关</w:t>
      </w:r>
      <w:r>
        <w:rPr>
          <w:rFonts w:hint="eastAsia" w:ascii="宋体" w:hAnsi="宋体" w:eastAsia="宋体"/>
          <w:color w:val="auto"/>
          <w:sz w:val="21"/>
          <w:szCs w:val="21"/>
          <w:highlight w:val="none"/>
          <w:lang w:eastAsia="zh-CN"/>
        </w:rPr>
        <w:t>事</w:t>
      </w:r>
      <w:r>
        <w:rPr>
          <w:rFonts w:hint="eastAsia" w:ascii="宋体" w:hAnsi="宋体" w:eastAsia="宋体"/>
          <w:color w:val="auto"/>
          <w:spacing w:val="-2"/>
          <w:sz w:val="21"/>
          <w:szCs w:val="21"/>
          <w:highlight w:val="none"/>
          <w:lang w:eastAsia="zh-CN"/>
        </w:rPr>
        <w:t>宜</w:t>
      </w:r>
      <w:r>
        <w:rPr>
          <w:rFonts w:hint="eastAsia" w:ascii="宋体" w:hAnsi="宋体" w:eastAsia="宋体"/>
          <w:color w:val="auto"/>
          <w:sz w:val="21"/>
          <w:szCs w:val="21"/>
          <w:highlight w:val="none"/>
          <w:lang w:eastAsia="zh-CN"/>
        </w:rPr>
        <w:t>，</w:t>
      </w:r>
      <w:r>
        <w:rPr>
          <w:rFonts w:hint="eastAsia" w:ascii="宋体" w:hAnsi="宋体" w:eastAsia="宋体"/>
          <w:color w:val="auto"/>
          <w:spacing w:val="-2"/>
          <w:sz w:val="21"/>
          <w:szCs w:val="21"/>
          <w:highlight w:val="none"/>
          <w:lang w:eastAsia="zh-CN"/>
        </w:rPr>
        <w:t>其</w:t>
      </w:r>
      <w:r>
        <w:rPr>
          <w:rFonts w:hint="eastAsia" w:ascii="宋体" w:hAnsi="宋体" w:eastAsia="宋体"/>
          <w:color w:val="auto"/>
          <w:sz w:val="21"/>
          <w:szCs w:val="21"/>
          <w:highlight w:val="none"/>
          <w:lang w:eastAsia="zh-CN"/>
        </w:rPr>
        <w:t>法</w:t>
      </w:r>
      <w:r>
        <w:rPr>
          <w:rFonts w:hint="eastAsia" w:ascii="宋体" w:hAnsi="宋体" w:eastAsia="宋体"/>
          <w:color w:val="auto"/>
          <w:spacing w:val="-2"/>
          <w:sz w:val="21"/>
          <w:szCs w:val="21"/>
          <w:highlight w:val="none"/>
          <w:lang w:eastAsia="zh-CN"/>
        </w:rPr>
        <w:t>律</w:t>
      </w:r>
      <w:r>
        <w:rPr>
          <w:rFonts w:hint="eastAsia" w:ascii="宋体" w:hAnsi="宋体" w:eastAsia="宋体"/>
          <w:color w:val="auto"/>
          <w:sz w:val="21"/>
          <w:szCs w:val="21"/>
          <w:highlight w:val="none"/>
          <w:lang w:eastAsia="zh-CN"/>
        </w:rPr>
        <w:t>后果</w:t>
      </w:r>
      <w:r>
        <w:rPr>
          <w:rFonts w:hint="eastAsia" w:ascii="宋体" w:hAnsi="宋体" w:eastAsia="宋体"/>
          <w:color w:val="auto"/>
          <w:spacing w:val="-2"/>
          <w:sz w:val="21"/>
          <w:szCs w:val="21"/>
          <w:highlight w:val="none"/>
          <w:lang w:eastAsia="zh-CN"/>
        </w:rPr>
        <w:t>由</w:t>
      </w:r>
      <w:r>
        <w:rPr>
          <w:rFonts w:hint="eastAsia" w:ascii="宋体" w:hAnsi="宋体" w:eastAsia="宋体"/>
          <w:color w:val="auto"/>
          <w:sz w:val="21"/>
          <w:szCs w:val="21"/>
          <w:highlight w:val="none"/>
          <w:lang w:eastAsia="zh-CN"/>
        </w:rPr>
        <w:t>我</w:t>
      </w:r>
      <w:r>
        <w:rPr>
          <w:rFonts w:hint="eastAsia" w:ascii="宋体" w:hAnsi="宋体" w:eastAsia="宋体"/>
          <w:color w:val="auto"/>
          <w:spacing w:val="-2"/>
          <w:sz w:val="21"/>
          <w:szCs w:val="21"/>
          <w:highlight w:val="none"/>
          <w:lang w:eastAsia="zh-CN"/>
        </w:rPr>
        <w:t>方</w:t>
      </w:r>
      <w:r>
        <w:rPr>
          <w:rFonts w:hint="eastAsia" w:ascii="宋体" w:hAnsi="宋体" w:eastAsia="宋体"/>
          <w:color w:val="auto"/>
          <w:sz w:val="21"/>
          <w:szCs w:val="21"/>
          <w:highlight w:val="none"/>
          <w:lang w:eastAsia="zh-CN"/>
        </w:rPr>
        <w:t>承</w:t>
      </w:r>
      <w:r>
        <w:rPr>
          <w:rFonts w:hint="eastAsia" w:ascii="宋体" w:hAnsi="宋体" w:eastAsia="宋体"/>
          <w:color w:val="auto"/>
          <w:spacing w:val="-2"/>
          <w:sz w:val="21"/>
          <w:szCs w:val="21"/>
          <w:highlight w:val="none"/>
          <w:lang w:eastAsia="zh-CN"/>
        </w:rPr>
        <w:t>担</w:t>
      </w:r>
      <w:r>
        <w:rPr>
          <w:rFonts w:hint="eastAsia" w:ascii="宋体" w:hAnsi="宋体" w:eastAsia="宋体"/>
          <w:color w:val="auto"/>
          <w:sz w:val="21"/>
          <w:szCs w:val="21"/>
          <w:highlight w:val="none"/>
          <w:lang w:eastAsia="zh-CN"/>
        </w:rPr>
        <w:t>。</w:t>
      </w:r>
    </w:p>
    <w:p>
      <w:pPr>
        <w:autoSpaceDE w:val="0"/>
        <w:autoSpaceDN w:val="0"/>
        <w:adjustRightInd w:val="0"/>
        <w:spacing w:line="360" w:lineRule="auto"/>
        <w:rPr>
          <w:rFonts w:ascii="宋体" w:hAnsi="宋体" w:eastAsia="宋体"/>
          <w:color w:val="auto"/>
          <w:sz w:val="21"/>
          <w:szCs w:val="21"/>
          <w:highlight w:val="none"/>
          <w:lang w:eastAsia="zh-CN"/>
        </w:rPr>
      </w:pPr>
      <w:r>
        <w:rPr>
          <w:rFonts w:hint="eastAsia" w:ascii="宋体" w:hAnsi="宋体" w:eastAsia="宋体"/>
          <w:color w:val="auto"/>
          <w:position w:val="-4"/>
          <w:sz w:val="21"/>
          <w:szCs w:val="21"/>
          <w:highlight w:val="none"/>
          <w:lang w:eastAsia="zh-CN"/>
        </w:rPr>
        <w:t>委托</w:t>
      </w:r>
      <w:r>
        <w:rPr>
          <w:rFonts w:hint="eastAsia" w:ascii="宋体" w:hAnsi="宋体" w:eastAsia="宋体"/>
          <w:color w:val="auto"/>
          <w:spacing w:val="-2"/>
          <w:position w:val="-4"/>
          <w:sz w:val="21"/>
          <w:szCs w:val="21"/>
          <w:highlight w:val="none"/>
          <w:lang w:eastAsia="zh-CN"/>
        </w:rPr>
        <w:t>期</w:t>
      </w:r>
      <w:r>
        <w:rPr>
          <w:rFonts w:hint="eastAsia" w:ascii="宋体" w:hAnsi="宋体" w:eastAsia="宋体"/>
          <w:color w:val="auto"/>
          <w:position w:val="-4"/>
          <w:sz w:val="21"/>
          <w:szCs w:val="21"/>
          <w:highlight w:val="none"/>
          <w:lang w:eastAsia="zh-CN"/>
        </w:rPr>
        <w:t>限</w:t>
      </w:r>
      <w:r>
        <w:rPr>
          <w:rFonts w:hint="eastAsia" w:ascii="宋体" w:hAnsi="宋体" w:eastAsia="宋体"/>
          <w:color w:val="auto"/>
          <w:spacing w:val="-3"/>
          <w:position w:val="-4"/>
          <w:sz w:val="21"/>
          <w:szCs w:val="21"/>
          <w:highlight w:val="none"/>
          <w:lang w:eastAsia="zh-CN"/>
        </w:rPr>
        <w:t>：</w:t>
      </w:r>
      <w:r>
        <w:rPr>
          <w:rFonts w:hint="eastAsia" w:ascii="宋体" w:hAnsi="宋体" w:eastAsia="宋体"/>
          <w:color w:val="auto"/>
          <w:position w:val="-4"/>
          <w:sz w:val="21"/>
          <w:szCs w:val="21"/>
          <w:highlight w:val="none"/>
          <w:u w:val="single"/>
          <w:lang w:eastAsia="zh-CN"/>
        </w:rPr>
        <w:t xml:space="preserve">                      </w:t>
      </w:r>
      <w:r>
        <w:rPr>
          <w:rFonts w:hint="eastAsia" w:ascii="宋体" w:hAnsi="宋体" w:eastAsia="宋体"/>
          <w:color w:val="auto"/>
          <w:position w:val="-4"/>
          <w:sz w:val="21"/>
          <w:szCs w:val="21"/>
          <w:highlight w:val="none"/>
          <w:lang w:eastAsia="zh-CN"/>
        </w:rPr>
        <w:t>。</w:t>
      </w:r>
    </w:p>
    <w:p>
      <w:pPr>
        <w:autoSpaceDE w:val="0"/>
        <w:autoSpaceDN w:val="0"/>
        <w:adjustRightInd w:val="0"/>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代理</w:t>
      </w:r>
      <w:r>
        <w:rPr>
          <w:rFonts w:hint="eastAsia" w:ascii="宋体" w:hAnsi="宋体" w:eastAsia="宋体"/>
          <w:color w:val="auto"/>
          <w:spacing w:val="-2"/>
          <w:sz w:val="21"/>
          <w:szCs w:val="21"/>
          <w:highlight w:val="none"/>
          <w:lang w:eastAsia="zh-CN"/>
        </w:rPr>
        <w:t>人</w:t>
      </w:r>
      <w:r>
        <w:rPr>
          <w:rFonts w:hint="eastAsia" w:ascii="宋体" w:hAnsi="宋体" w:eastAsia="宋体"/>
          <w:color w:val="auto"/>
          <w:sz w:val="21"/>
          <w:szCs w:val="21"/>
          <w:highlight w:val="none"/>
          <w:lang w:eastAsia="zh-CN"/>
        </w:rPr>
        <w:t>无</w:t>
      </w:r>
      <w:r>
        <w:rPr>
          <w:rFonts w:hint="eastAsia" w:ascii="宋体" w:hAnsi="宋体" w:eastAsia="宋体"/>
          <w:color w:val="auto"/>
          <w:spacing w:val="-2"/>
          <w:sz w:val="21"/>
          <w:szCs w:val="21"/>
          <w:highlight w:val="none"/>
          <w:lang w:eastAsia="zh-CN"/>
        </w:rPr>
        <w:t>转</w:t>
      </w:r>
      <w:r>
        <w:rPr>
          <w:rFonts w:hint="eastAsia" w:ascii="宋体" w:hAnsi="宋体" w:eastAsia="宋体"/>
          <w:color w:val="auto"/>
          <w:sz w:val="21"/>
          <w:szCs w:val="21"/>
          <w:highlight w:val="none"/>
          <w:lang w:eastAsia="zh-CN"/>
        </w:rPr>
        <w:t>委</w:t>
      </w:r>
      <w:r>
        <w:rPr>
          <w:rFonts w:hint="eastAsia" w:ascii="宋体" w:hAnsi="宋体" w:eastAsia="宋体"/>
          <w:color w:val="auto"/>
          <w:spacing w:val="-2"/>
          <w:sz w:val="21"/>
          <w:szCs w:val="21"/>
          <w:highlight w:val="none"/>
          <w:lang w:eastAsia="zh-CN"/>
        </w:rPr>
        <w:t>托</w:t>
      </w:r>
      <w:r>
        <w:rPr>
          <w:rFonts w:hint="eastAsia" w:ascii="宋体" w:hAnsi="宋体" w:eastAsia="宋体"/>
          <w:color w:val="auto"/>
          <w:sz w:val="21"/>
          <w:szCs w:val="21"/>
          <w:highlight w:val="none"/>
          <w:lang w:eastAsia="zh-CN"/>
        </w:rPr>
        <w:t>权。</w:t>
      </w:r>
    </w:p>
    <w:p>
      <w:pPr>
        <w:autoSpaceDE w:val="0"/>
        <w:autoSpaceDN w:val="0"/>
        <w:adjustRightInd w:val="0"/>
        <w:spacing w:line="360" w:lineRule="auto"/>
        <w:rPr>
          <w:rFonts w:ascii="宋体" w:hAnsi="宋体" w:eastAsia="宋体"/>
          <w:color w:val="auto"/>
          <w:sz w:val="21"/>
          <w:szCs w:val="21"/>
          <w:highlight w:val="none"/>
          <w:lang w:eastAsia="zh-CN"/>
        </w:rPr>
      </w:pPr>
    </w:p>
    <w:p>
      <w:pPr>
        <w:autoSpaceDE w:val="0"/>
        <w:autoSpaceDN w:val="0"/>
        <w:adjustRightInd w:val="0"/>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附：</w:t>
      </w:r>
      <w:r>
        <w:rPr>
          <w:rFonts w:hint="eastAsia" w:ascii="宋体" w:hAnsi="宋体" w:eastAsia="宋体"/>
          <w:color w:val="auto"/>
          <w:spacing w:val="-2"/>
          <w:sz w:val="21"/>
          <w:szCs w:val="21"/>
          <w:highlight w:val="none"/>
          <w:lang w:eastAsia="zh-CN"/>
        </w:rPr>
        <w:t>法</w:t>
      </w:r>
      <w:r>
        <w:rPr>
          <w:rFonts w:hint="eastAsia" w:ascii="宋体" w:hAnsi="宋体" w:eastAsia="宋体"/>
          <w:color w:val="auto"/>
          <w:sz w:val="21"/>
          <w:szCs w:val="21"/>
          <w:highlight w:val="none"/>
          <w:lang w:eastAsia="zh-CN"/>
        </w:rPr>
        <w:t>定</w:t>
      </w:r>
      <w:r>
        <w:rPr>
          <w:rFonts w:hint="eastAsia" w:ascii="宋体" w:hAnsi="宋体" w:eastAsia="宋体"/>
          <w:color w:val="auto"/>
          <w:spacing w:val="-2"/>
          <w:sz w:val="21"/>
          <w:szCs w:val="21"/>
          <w:highlight w:val="none"/>
          <w:lang w:eastAsia="zh-CN"/>
        </w:rPr>
        <w:t>代</w:t>
      </w:r>
      <w:r>
        <w:rPr>
          <w:rFonts w:hint="eastAsia" w:ascii="宋体" w:hAnsi="宋体" w:eastAsia="宋体"/>
          <w:color w:val="auto"/>
          <w:sz w:val="21"/>
          <w:szCs w:val="21"/>
          <w:highlight w:val="none"/>
          <w:lang w:eastAsia="zh-CN"/>
        </w:rPr>
        <w:t>表</w:t>
      </w:r>
      <w:r>
        <w:rPr>
          <w:rFonts w:hint="eastAsia" w:ascii="宋体" w:hAnsi="宋体" w:eastAsia="宋体"/>
          <w:color w:val="auto"/>
          <w:spacing w:val="-2"/>
          <w:sz w:val="21"/>
          <w:szCs w:val="21"/>
          <w:highlight w:val="none"/>
          <w:lang w:eastAsia="zh-CN"/>
        </w:rPr>
        <w:t>人</w:t>
      </w:r>
      <w:r>
        <w:rPr>
          <w:rFonts w:hint="eastAsia" w:ascii="宋体" w:hAnsi="宋体" w:eastAsia="宋体"/>
          <w:color w:val="auto"/>
          <w:sz w:val="21"/>
          <w:szCs w:val="21"/>
          <w:highlight w:val="none"/>
          <w:lang w:eastAsia="zh-CN"/>
        </w:rPr>
        <w:t>身</w:t>
      </w:r>
      <w:r>
        <w:rPr>
          <w:rFonts w:hint="eastAsia" w:ascii="宋体" w:hAnsi="宋体" w:eastAsia="宋体"/>
          <w:color w:val="auto"/>
          <w:spacing w:val="-2"/>
          <w:sz w:val="21"/>
          <w:szCs w:val="21"/>
          <w:highlight w:val="none"/>
          <w:lang w:eastAsia="zh-CN"/>
        </w:rPr>
        <w:t>份</w:t>
      </w:r>
      <w:r>
        <w:rPr>
          <w:rFonts w:hint="eastAsia" w:ascii="宋体" w:hAnsi="宋体" w:eastAsia="宋体"/>
          <w:color w:val="auto"/>
          <w:sz w:val="21"/>
          <w:szCs w:val="21"/>
          <w:highlight w:val="none"/>
          <w:lang w:eastAsia="zh-CN"/>
        </w:rPr>
        <w:t>证</w:t>
      </w:r>
      <w:r>
        <w:rPr>
          <w:rFonts w:hint="eastAsia" w:ascii="宋体" w:hAnsi="宋体" w:eastAsia="宋体" w:cs="宋体"/>
          <w:bCs/>
          <w:color w:val="auto"/>
          <w:sz w:val="21"/>
          <w:szCs w:val="21"/>
          <w:highlight w:val="none"/>
          <w:lang w:eastAsia="zh-CN"/>
        </w:rPr>
        <w:t>扫描</w:t>
      </w:r>
      <w:r>
        <w:rPr>
          <w:rFonts w:hint="eastAsia" w:ascii="宋体" w:hAnsi="宋体" w:eastAsia="宋体"/>
          <w:color w:val="auto"/>
          <w:sz w:val="21"/>
          <w:szCs w:val="21"/>
          <w:highlight w:val="none"/>
          <w:lang w:eastAsia="zh-CN"/>
        </w:rPr>
        <w:t>件</w:t>
      </w:r>
      <w:r>
        <w:rPr>
          <w:rFonts w:hint="eastAsia" w:ascii="宋体" w:hAnsi="宋体" w:eastAsia="宋体"/>
          <w:color w:val="auto"/>
          <w:spacing w:val="-2"/>
          <w:sz w:val="21"/>
          <w:szCs w:val="21"/>
          <w:highlight w:val="none"/>
          <w:lang w:eastAsia="zh-CN"/>
        </w:rPr>
        <w:t>及</w:t>
      </w:r>
      <w:r>
        <w:rPr>
          <w:rFonts w:hint="eastAsia" w:ascii="宋体" w:hAnsi="宋体" w:eastAsia="宋体"/>
          <w:color w:val="auto"/>
          <w:sz w:val="21"/>
          <w:szCs w:val="21"/>
          <w:highlight w:val="none"/>
          <w:lang w:eastAsia="zh-CN"/>
        </w:rPr>
        <w:t>委</w:t>
      </w:r>
      <w:r>
        <w:rPr>
          <w:rFonts w:hint="eastAsia" w:ascii="宋体" w:hAnsi="宋体" w:eastAsia="宋体"/>
          <w:color w:val="auto"/>
          <w:spacing w:val="-2"/>
          <w:sz w:val="21"/>
          <w:szCs w:val="21"/>
          <w:highlight w:val="none"/>
          <w:lang w:eastAsia="zh-CN"/>
        </w:rPr>
        <w:t>托</w:t>
      </w:r>
      <w:r>
        <w:rPr>
          <w:rFonts w:hint="eastAsia" w:ascii="宋体" w:hAnsi="宋体" w:eastAsia="宋体"/>
          <w:color w:val="auto"/>
          <w:sz w:val="21"/>
          <w:szCs w:val="21"/>
          <w:highlight w:val="none"/>
          <w:lang w:eastAsia="zh-CN"/>
        </w:rPr>
        <w:t>代</w:t>
      </w:r>
      <w:r>
        <w:rPr>
          <w:rFonts w:hint="eastAsia" w:ascii="宋体" w:hAnsi="宋体" w:eastAsia="宋体"/>
          <w:color w:val="auto"/>
          <w:spacing w:val="-2"/>
          <w:sz w:val="21"/>
          <w:szCs w:val="21"/>
          <w:highlight w:val="none"/>
          <w:lang w:eastAsia="zh-CN"/>
        </w:rPr>
        <w:t>理</w:t>
      </w:r>
      <w:r>
        <w:rPr>
          <w:rFonts w:hint="eastAsia" w:ascii="宋体" w:hAnsi="宋体" w:eastAsia="宋体"/>
          <w:color w:val="auto"/>
          <w:sz w:val="21"/>
          <w:szCs w:val="21"/>
          <w:highlight w:val="none"/>
          <w:lang w:eastAsia="zh-CN"/>
        </w:rPr>
        <w:t>人</w:t>
      </w:r>
      <w:r>
        <w:rPr>
          <w:rFonts w:hint="eastAsia" w:ascii="宋体" w:hAnsi="宋体" w:eastAsia="宋体"/>
          <w:color w:val="auto"/>
          <w:spacing w:val="-2"/>
          <w:sz w:val="21"/>
          <w:szCs w:val="21"/>
          <w:highlight w:val="none"/>
          <w:lang w:eastAsia="zh-CN"/>
        </w:rPr>
        <w:t>身</w:t>
      </w:r>
      <w:r>
        <w:rPr>
          <w:rFonts w:hint="eastAsia" w:ascii="宋体" w:hAnsi="宋体" w:eastAsia="宋体"/>
          <w:color w:val="auto"/>
          <w:sz w:val="21"/>
          <w:szCs w:val="21"/>
          <w:highlight w:val="none"/>
          <w:lang w:eastAsia="zh-CN"/>
        </w:rPr>
        <w:t>份</w:t>
      </w:r>
      <w:r>
        <w:rPr>
          <w:rFonts w:hint="eastAsia" w:ascii="宋体" w:hAnsi="宋体" w:eastAsia="宋体"/>
          <w:color w:val="auto"/>
          <w:spacing w:val="-2"/>
          <w:sz w:val="21"/>
          <w:szCs w:val="21"/>
          <w:highlight w:val="none"/>
          <w:lang w:eastAsia="zh-CN"/>
        </w:rPr>
        <w:t>证</w:t>
      </w:r>
      <w:r>
        <w:rPr>
          <w:rFonts w:hint="eastAsia" w:ascii="宋体" w:hAnsi="宋体" w:eastAsia="宋体" w:cs="宋体"/>
          <w:bCs/>
          <w:color w:val="auto"/>
          <w:sz w:val="21"/>
          <w:szCs w:val="21"/>
          <w:highlight w:val="none"/>
          <w:lang w:eastAsia="zh-CN"/>
        </w:rPr>
        <w:t>扫描</w:t>
      </w:r>
      <w:r>
        <w:rPr>
          <w:rFonts w:hint="eastAsia" w:ascii="宋体" w:hAnsi="宋体" w:eastAsia="宋体"/>
          <w:color w:val="auto"/>
          <w:sz w:val="21"/>
          <w:szCs w:val="21"/>
          <w:highlight w:val="none"/>
          <w:lang w:eastAsia="zh-CN"/>
        </w:rPr>
        <w:t xml:space="preserve">件 </w:t>
      </w:r>
    </w:p>
    <w:p>
      <w:pPr>
        <w:autoSpaceDE w:val="0"/>
        <w:autoSpaceDN w:val="0"/>
        <w:adjustRightInd w:val="0"/>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注：</w:t>
      </w:r>
      <w:r>
        <w:rPr>
          <w:rFonts w:hint="eastAsia" w:ascii="宋体" w:hAnsi="宋体" w:eastAsia="宋体"/>
          <w:color w:val="auto"/>
          <w:spacing w:val="-2"/>
          <w:sz w:val="21"/>
          <w:szCs w:val="21"/>
          <w:highlight w:val="none"/>
          <w:lang w:eastAsia="zh-CN"/>
        </w:rPr>
        <w:t>本</w:t>
      </w:r>
      <w:r>
        <w:rPr>
          <w:rFonts w:hint="eastAsia" w:ascii="宋体" w:hAnsi="宋体" w:eastAsia="宋体"/>
          <w:color w:val="auto"/>
          <w:sz w:val="21"/>
          <w:szCs w:val="21"/>
          <w:highlight w:val="none"/>
          <w:lang w:eastAsia="zh-CN"/>
        </w:rPr>
        <w:t>授</w:t>
      </w:r>
      <w:r>
        <w:rPr>
          <w:rFonts w:hint="eastAsia" w:ascii="宋体" w:hAnsi="宋体" w:eastAsia="宋体"/>
          <w:color w:val="auto"/>
          <w:spacing w:val="-2"/>
          <w:sz w:val="21"/>
          <w:szCs w:val="21"/>
          <w:highlight w:val="none"/>
          <w:lang w:eastAsia="zh-CN"/>
        </w:rPr>
        <w:t>权</w:t>
      </w:r>
      <w:r>
        <w:rPr>
          <w:rFonts w:hint="eastAsia" w:ascii="宋体" w:hAnsi="宋体" w:eastAsia="宋体"/>
          <w:color w:val="auto"/>
          <w:sz w:val="21"/>
          <w:szCs w:val="21"/>
          <w:highlight w:val="none"/>
          <w:lang w:eastAsia="zh-CN"/>
        </w:rPr>
        <w:t>委</w:t>
      </w:r>
      <w:r>
        <w:rPr>
          <w:rFonts w:hint="eastAsia" w:ascii="宋体" w:hAnsi="宋体" w:eastAsia="宋体"/>
          <w:color w:val="auto"/>
          <w:spacing w:val="-2"/>
          <w:sz w:val="21"/>
          <w:szCs w:val="21"/>
          <w:highlight w:val="none"/>
          <w:lang w:eastAsia="zh-CN"/>
        </w:rPr>
        <w:t>托</w:t>
      </w:r>
      <w:r>
        <w:rPr>
          <w:rFonts w:hint="eastAsia" w:ascii="宋体" w:hAnsi="宋体" w:eastAsia="宋体"/>
          <w:color w:val="auto"/>
          <w:sz w:val="21"/>
          <w:szCs w:val="21"/>
          <w:highlight w:val="none"/>
          <w:lang w:eastAsia="zh-CN"/>
        </w:rPr>
        <w:t>书</w:t>
      </w:r>
      <w:r>
        <w:rPr>
          <w:rFonts w:hint="eastAsia" w:ascii="宋体" w:hAnsi="宋体" w:eastAsia="宋体"/>
          <w:color w:val="auto"/>
          <w:spacing w:val="-2"/>
          <w:sz w:val="21"/>
          <w:szCs w:val="21"/>
          <w:highlight w:val="none"/>
          <w:lang w:eastAsia="zh-CN"/>
        </w:rPr>
        <w:t>需</w:t>
      </w:r>
      <w:r>
        <w:rPr>
          <w:rFonts w:hint="eastAsia" w:ascii="宋体" w:hAnsi="宋体" w:eastAsia="宋体"/>
          <w:color w:val="auto"/>
          <w:sz w:val="21"/>
          <w:szCs w:val="21"/>
          <w:highlight w:val="none"/>
          <w:lang w:eastAsia="zh-CN"/>
        </w:rPr>
        <w:t>由</w:t>
      </w:r>
      <w:r>
        <w:rPr>
          <w:rFonts w:hint="eastAsia" w:ascii="宋体" w:hAnsi="宋体" w:eastAsia="宋体"/>
          <w:color w:val="auto"/>
          <w:spacing w:val="-2"/>
          <w:sz w:val="21"/>
          <w:szCs w:val="21"/>
          <w:highlight w:val="none"/>
          <w:lang w:eastAsia="zh-CN"/>
        </w:rPr>
        <w:t>投</w:t>
      </w:r>
      <w:r>
        <w:rPr>
          <w:rFonts w:hint="eastAsia" w:ascii="宋体" w:hAnsi="宋体" w:eastAsia="宋体"/>
          <w:color w:val="auto"/>
          <w:sz w:val="21"/>
          <w:szCs w:val="21"/>
          <w:highlight w:val="none"/>
          <w:lang w:eastAsia="zh-CN"/>
        </w:rPr>
        <w:t>标人</w:t>
      </w:r>
      <w:r>
        <w:rPr>
          <w:rFonts w:hint="eastAsia" w:ascii="宋体" w:hAnsi="宋体" w:eastAsia="宋体"/>
          <w:color w:val="auto"/>
          <w:spacing w:val="-2"/>
          <w:sz w:val="21"/>
          <w:szCs w:val="21"/>
          <w:highlight w:val="none"/>
          <w:lang w:eastAsia="zh-CN"/>
        </w:rPr>
        <w:t>加</w:t>
      </w:r>
      <w:r>
        <w:rPr>
          <w:rFonts w:hint="eastAsia" w:ascii="宋体" w:hAnsi="宋体" w:eastAsia="宋体"/>
          <w:color w:val="auto"/>
          <w:sz w:val="21"/>
          <w:szCs w:val="21"/>
          <w:highlight w:val="none"/>
          <w:lang w:eastAsia="zh-CN"/>
        </w:rPr>
        <w:t>盖</w:t>
      </w:r>
      <w:r>
        <w:rPr>
          <w:rFonts w:hint="eastAsia" w:ascii="宋体" w:hAnsi="宋体" w:eastAsia="宋体"/>
          <w:color w:val="auto"/>
          <w:spacing w:val="-2"/>
          <w:sz w:val="21"/>
          <w:szCs w:val="21"/>
          <w:highlight w:val="none"/>
          <w:lang w:eastAsia="zh-CN"/>
        </w:rPr>
        <w:t>单</w:t>
      </w:r>
      <w:r>
        <w:rPr>
          <w:rFonts w:hint="eastAsia" w:ascii="宋体" w:hAnsi="宋体" w:eastAsia="宋体"/>
          <w:color w:val="auto"/>
          <w:sz w:val="21"/>
          <w:szCs w:val="21"/>
          <w:highlight w:val="none"/>
          <w:lang w:eastAsia="zh-CN"/>
        </w:rPr>
        <w:t>位</w:t>
      </w:r>
      <w:r>
        <w:rPr>
          <w:rFonts w:hint="eastAsia" w:ascii="宋体" w:hAnsi="宋体" w:eastAsia="宋体"/>
          <w:color w:val="auto"/>
          <w:spacing w:val="-2"/>
          <w:sz w:val="21"/>
          <w:szCs w:val="21"/>
          <w:highlight w:val="none"/>
          <w:lang w:eastAsia="zh-CN"/>
        </w:rPr>
        <w:t>公</w:t>
      </w:r>
      <w:r>
        <w:rPr>
          <w:rFonts w:hint="eastAsia" w:ascii="宋体" w:hAnsi="宋体" w:eastAsia="宋体"/>
          <w:color w:val="auto"/>
          <w:sz w:val="21"/>
          <w:szCs w:val="21"/>
          <w:highlight w:val="none"/>
          <w:lang w:eastAsia="zh-CN"/>
        </w:rPr>
        <w:t>章</w:t>
      </w:r>
      <w:r>
        <w:rPr>
          <w:rFonts w:hint="eastAsia" w:ascii="宋体" w:hAnsi="宋体" w:eastAsia="宋体"/>
          <w:color w:val="auto"/>
          <w:spacing w:val="-2"/>
          <w:sz w:val="21"/>
          <w:szCs w:val="21"/>
          <w:highlight w:val="none"/>
          <w:lang w:eastAsia="zh-CN"/>
        </w:rPr>
        <w:t>并</w:t>
      </w:r>
      <w:r>
        <w:rPr>
          <w:rFonts w:hint="eastAsia" w:ascii="宋体" w:hAnsi="宋体" w:eastAsia="宋体"/>
          <w:color w:val="auto"/>
          <w:sz w:val="21"/>
          <w:szCs w:val="21"/>
          <w:highlight w:val="none"/>
          <w:lang w:eastAsia="zh-CN"/>
        </w:rPr>
        <w:t>由</w:t>
      </w:r>
      <w:r>
        <w:rPr>
          <w:rFonts w:hint="eastAsia" w:ascii="宋体" w:hAnsi="宋体" w:eastAsia="宋体"/>
          <w:color w:val="auto"/>
          <w:spacing w:val="-2"/>
          <w:sz w:val="21"/>
          <w:szCs w:val="21"/>
          <w:highlight w:val="none"/>
          <w:lang w:eastAsia="zh-CN"/>
        </w:rPr>
        <w:t>其</w:t>
      </w:r>
      <w:r>
        <w:rPr>
          <w:rFonts w:hint="eastAsia" w:ascii="宋体" w:hAnsi="宋体" w:eastAsia="宋体"/>
          <w:color w:val="auto"/>
          <w:sz w:val="21"/>
          <w:szCs w:val="21"/>
          <w:highlight w:val="none"/>
          <w:lang w:eastAsia="zh-CN"/>
        </w:rPr>
        <w:t>法定</w:t>
      </w:r>
      <w:r>
        <w:rPr>
          <w:rFonts w:hint="eastAsia" w:ascii="宋体" w:hAnsi="宋体" w:eastAsia="宋体"/>
          <w:color w:val="auto"/>
          <w:spacing w:val="-2"/>
          <w:sz w:val="21"/>
          <w:szCs w:val="21"/>
          <w:highlight w:val="none"/>
          <w:lang w:eastAsia="zh-CN"/>
        </w:rPr>
        <w:t>代</w:t>
      </w:r>
      <w:r>
        <w:rPr>
          <w:rFonts w:hint="eastAsia" w:ascii="宋体" w:hAnsi="宋体" w:eastAsia="宋体"/>
          <w:color w:val="auto"/>
          <w:sz w:val="21"/>
          <w:szCs w:val="21"/>
          <w:highlight w:val="none"/>
          <w:lang w:eastAsia="zh-CN"/>
        </w:rPr>
        <w:t>表</w:t>
      </w:r>
      <w:r>
        <w:rPr>
          <w:rFonts w:hint="eastAsia" w:ascii="宋体" w:hAnsi="宋体" w:eastAsia="宋体"/>
          <w:color w:val="auto"/>
          <w:spacing w:val="-2"/>
          <w:sz w:val="21"/>
          <w:szCs w:val="21"/>
          <w:highlight w:val="none"/>
          <w:lang w:eastAsia="zh-CN"/>
        </w:rPr>
        <w:t>人</w:t>
      </w:r>
      <w:r>
        <w:rPr>
          <w:rFonts w:hint="eastAsia" w:ascii="宋体" w:hAnsi="宋体" w:eastAsia="宋体"/>
          <w:color w:val="auto"/>
          <w:sz w:val="21"/>
          <w:szCs w:val="21"/>
          <w:highlight w:val="none"/>
          <w:lang w:eastAsia="zh-CN"/>
        </w:rPr>
        <w:t>和</w:t>
      </w:r>
      <w:r>
        <w:rPr>
          <w:rFonts w:hint="eastAsia" w:ascii="宋体" w:hAnsi="宋体" w:eastAsia="宋体"/>
          <w:color w:val="auto"/>
          <w:spacing w:val="-2"/>
          <w:sz w:val="21"/>
          <w:szCs w:val="21"/>
          <w:highlight w:val="none"/>
          <w:lang w:eastAsia="zh-CN"/>
        </w:rPr>
        <w:t>委</w:t>
      </w:r>
      <w:r>
        <w:rPr>
          <w:rFonts w:hint="eastAsia" w:ascii="宋体" w:hAnsi="宋体" w:eastAsia="宋体"/>
          <w:color w:val="auto"/>
          <w:sz w:val="21"/>
          <w:szCs w:val="21"/>
          <w:highlight w:val="none"/>
          <w:lang w:eastAsia="zh-CN"/>
        </w:rPr>
        <w:t>托</w:t>
      </w:r>
      <w:r>
        <w:rPr>
          <w:rFonts w:hint="eastAsia" w:ascii="宋体" w:hAnsi="宋体" w:eastAsia="宋体"/>
          <w:color w:val="auto"/>
          <w:spacing w:val="-2"/>
          <w:sz w:val="21"/>
          <w:szCs w:val="21"/>
          <w:highlight w:val="none"/>
          <w:lang w:eastAsia="zh-CN"/>
        </w:rPr>
        <w:t>代</w:t>
      </w:r>
      <w:r>
        <w:rPr>
          <w:rFonts w:hint="eastAsia" w:ascii="宋体" w:hAnsi="宋体" w:eastAsia="宋体"/>
          <w:color w:val="auto"/>
          <w:sz w:val="21"/>
          <w:szCs w:val="21"/>
          <w:highlight w:val="none"/>
          <w:lang w:eastAsia="zh-CN"/>
        </w:rPr>
        <w:t>理</w:t>
      </w:r>
      <w:r>
        <w:rPr>
          <w:rFonts w:hint="eastAsia" w:ascii="宋体" w:hAnsi="宋体" w:eastAsia="宋体"/>
          <w:color w:val="auto"/>
          <w:spacing w:val="-2"/>
          <w:sz w:val="21"/>
          <w:szCs w:val="21"/>
          <w:highlight w:val="none"/>
          <w:lang w:eastAsia="zh-CN"/>
        </w:rPr>
        <w:t>人</w:t>
      </w:r>
      <w:r>
        <w:rPr>
          <w:rFonts w:hint="eastAsia" w:ascii="宋体" w:hAnsi="宋体" w:eastAsia="宋体"/>
          <w:color w:val="auto"/>
          <w:sz w:val="21"/>
          <w:szCs w:val="21"/>
          <w:highlight w:val="none"/>
          <w:lang w:eastAsia="zh-CN"/>
        </w:rPr>
        <w:t>签字</w:t>
      </w:r>
      <w:r>
        <w:rPr>
          <w:rFonts w:hint="eastAsia" w:ascii="宋体" w:hAnsi="宋体" w:eastAsia="宋体"/>
          <w:color w:val="auto"/>
          <w:spacing w:val="-2"/>
          <w:position w:val="-2"/>
          <w:sz w:val="21"/>
          <w:szCs w:val="21"/>
          <w:highlight w:val="none"/>
          <w:lang w:eastAsia="zh-CN"/>
        </w:rPr>
        <w:t>或盖章</w:t>
      </w:r>
      <w:r>
        <w:rPr>
          <w:rFonts w:hint="eastAsia" w:ascii="宋体" w:hAnsi="宋体" w:eastAsia="宋体"/>
          <w:color w:val="auto"/>
          <w:sz w:val="21"/>
          <w:szCs w:val="21"/>
          <w:highlight w:val="none"/>
          <w:lang w:eastAsia="zh-CN"/>
        </w:rPr>
        <w:t>。</w:t>
      </w:r>
    </w:p>
    <w:p>
      <w:pPr>
        <w:autoSpaceDE w:val="0"/>
        <w:autoSpaceDN w:val="0"/>
        <w:adjustRightInd w:val="0"/>
        <w:spacing w:line="360" w:lineRule="auto"/>
        <w:rPr>
          <w:rFonts w:ascii="宋体" w:hAnsi="宋体" w:eastAsia="宋体"/>
          <w:color w:val="auto"/>
          <w:sz w:val="21"/>
          <w:szCs w:val="21"/>
          <w:highlight w:val="none"/>
          <w:lang w:eastAsia="zh-CN"/>
        </w:rPr>
      </w:pPr>
    </w:p>
    <w:p>
      <w:pPr>
        <w:autoSpaceDE w:val="0"/>
        <w:autoSpaceDN w:val="0"/>
        <w:adjustRightInd w:val="0"/>
        <w:spacing w:line="360" w:lineRule="auto"/>
        <w:rPr>
          <w:rFonts w:ascii="宋体" w:hAnsi="宋体" w:eastAsia="宋体"/>
          <w:color w:val="auto"/>
          <w:sz w:val="21"/>
          <w:szCs w:val="21"/>
          <w:highlight w:val="none"/>
          <w:lang w:eastAsia="zh-CN"/>
        </w:rPr>
      </w:pPr>
      <w:r>
        <w:rPr>
          <w:rFonts w:hint="eastAsia" w:ascii="宋体" w:hAnsi="宋体" w:eastAsia="宋体"/>
          <w:color w:val="auto"/>
          <w:position w:val="-4"/>
          <w:sz w:val="21"/>
          <w:szCs w:val="21"/>
          <w:highlight w:val="none"/>
          <w:lang w:eastAsia="zh-CN"/>
        </w:rPr>
        <w:t>投标</w:t>
      </w:r>
      <w:r>
        <w:rPr>
          <w:rFonts w:hint="eastAsia" w:ascii="宋体" w:hAnsi="宋体" w:eastAsia="宋体"/>
          <w:color w:val="auto"/>
          <w:spacing w:val="-2"/>
          <w:position w:val="-4"/>
          <w:sz w:val="21"/>
          <w:szCs w:val="21"/>
          <w:highlight w:val="none"/>
          <w:lang w:eastAsia="zh-CN"/>
        </w:rPr>
        <w:t>人：</w:t>
      </w:r>
      <w:r>
        <w:rPr>
          <w:rFonts w:hint="eastAsia" w:ascii="宋体" w:hAnsi="宋体" w:eastAsia="宋体"/>
          <w:color w:val="auto"/>
          <w:position w:val="-4"/>
          <w:sz w:val="21"/>
          <w:szCs w:val="21"/>
          <w:highlight w:val="none"/>
          <w:u w:val="single"/>
          <w:lang w:eastAsia="zh-CN"/>
        </w:rPr>
        <w:t xml:space="preserve">           </w:t>
      </w:r>
      <w:r>
        <w:rPr>
          <w:rFonts w:hint="eastAsia" w:ascii="宋体" w:hAnsi="宋体" w:eastAsia="宋体"/>
          <w:color w:val="auto"/>
          <w:position w:val="-4"/>
          <w:sz w:val="21"/>
          <w:szCs w:val="21"/>
          <w:highlight w:val="none"/>
          <w:lang w:eastAsia="zh-CN"/>
        </w:rPr>
        <w:t>（盖</w:t>
      </w:r>
      <w:r>
        <w:rPr>
          <w:rFonts w:hint="eastAsia" w:ascii="宋体" w:hAnsi="宋体" w:eastAsia="宋体"/>
          <w:color w:val="auto"/>
          <w:spacing w:val="-2"/>
          <w:position w:val="-4"/>
          <w:sz w:val="21"/>
          <w:szCs w:val="21"/>
          <w:highlight w:val="none"/>
          <w:lang w:eastAsia="zh-CN"/>
        </w:rPr>
        <w:t>单</w:t>
      </w:r>
      <w:r>
        <w:rPr>
          <w:rFonts w:hint="eastAsia" w:ascii="宋体" w:hAnsi="宋体" w:eastAsia="宋体"/>
          <w:color w:val="auto"/>
          <w:spacing w:val="1"/>
          <w:position w:val="-4"/>
          <w:sz w:val="21"/>
          <w:szCs w:val="21"/>
          <w:highlight w:val="none"/>
          <w:lang w:eastAsia="zh-CN"/>
        </w:rPr>
        <w:t>位</w:t>
      </w:r>
      <w:r>
        <w:rPr>
          <w:rFonts w:hint="eastAsia" w:ascii="宋体" w:hAnsi="宋体" w:eastAsia="宋体"/>
          <w:color w:val="auto"/>
          <w:spacing w:val="-2"/>
          <w:position w:val="-4"/>
          <w:sz w:val="21"/>
          <w:szCs w:val="21"/>
          <w:highlight w:val="none"/>
          <w:lang w:eastAsia="zh-CN"/>
        </w:rPr>
        <w:t>章</w:t>
      </w:r>
      <w:r>
        <w:rPr>
          <w:rFonts w:hint="eastAsia" w:ascii="宋体" w:hAnsi="宋体" w:eastAsia="宋体"/>
          <w:color w:val="auto"/>
          <w:position w:val="-4"/>
          <w:sz w:val="21"/>
          <w:szCs w:val="21"/>
          <w:highlight w:val="none"/>
          <w:lang w:eastAsia="zh-CN"/>
        </w:rPr>
        <w:t>）</w:t>
      </w:r>
    </w:p>
    <w:p>
      <w:pPr>
        <w:autoSpaceDE w:val="0"/>
        <w:autoSpaceDN w:val="0"/>
        <w:adjustRightInd w:val="0"/>
        <w:spacing w:line="360" w:lineRule="auto"/>
        <w:rPr>
          <w:rFonts w:ascii="宋体" w:hAnsi="宋体" w:eastAsia="宋体"/>
          <w:color w:val="auto"/>
          <w:sz w:val="21"/>
          <w:szCs w:val="21"/>
          <w:highlight w:val="none"/>
          <w:lang w:eastAsia="zh-CN"/>
        </w:rPr>
      </w:pPr>
      <w:r>
        <w:rPr>
          <w:rFonts w:hint="eastAsia" w:ascii="宋体" w:hAnsi="宋体" w:eastAsia="宋体"/>
          <w:color w:val="auto"/>
          <w:position w:val="-2"/>
          <w:sz w:val="21"/>
          <w:szCs w:val="21"/>
          <w:highlight w:val="none"/>
          <w:lang w:eastAsia="zh-CN"/>
        </w:rPr>
        <w:t>法定</w:t>
      </w:r>
      <w:r>
        <w:rPr>
          <w:rFonts w:hint="eastAsia" w:ascii="宋体" w:hAnsi="宋体" w:eastAsia="宋体"/>
          <w:color w:val="auto"/>
          <w:spacing w:val="-2"/>
          <w:position w:val="-2"/>
          <w:sz w:val="21"/>
          <w:szCs w:val="21"/>
          <w:highlight w:val="none"/>
          <w:lang w:eastAsia="zh-CN"/>
        </w:rPr>
        <w:t>代</w:t>
      </w:r>
      <w:r>
        <w:rPr>
          <w:rFonts w:hint="eastAsia" w:ascii="宋体" w:hAnsi="宋体" w:eastAsia="宋体"/>
          <w:color w:val="auto"/>
          <w:position w:val="-2"/>
          <w:sz w:val="21"/>
          <w:szCs w:val="21"/>
          <w:highlight w:val="none"/>
          <w:lang w:eastAsia="zh-CN"/>
        </w:rPr>
        <w:t>表</w:t>
      </w:r>
      <w:r>
        <w:rPr>
          <w:rFonts w:hint="eastAsia" w:ascii="宋体" w:hAnsi="宋体" w:eastAsia="宋体"/>
          <w:color w:val="auto"/>
          <w:spacing w:val="-2"/>
          <w:position w:val="-2"/>
          <w:sz w:val="21"/>
          <w:szCs w:val="21"/>
          <w:highlight w:val="none"/>
          <w:lang w:eastAsia="zh-CN"/>
        </w:rPr>
        <w:t>人</w:t>
      </w:r>
      <w:r>
        <w:rPr>
          <w:rFonts w:hint="eastAsia" w:ascii="宋体" w:hAnsi="宋体" w:eastAsia="宋体"/>
          <w:color w:val="auto"/>
          <w:spacing w:val="-3"/>
          <w:position w:val="-2"/>
          <w:sz w:val="21"/>
          <w:szCs w:val="21"/>
          <w:highlight w:val="none"/>
          <w:lang w:eastAsia="zh-CN"/>
        </w:rPr>
        <w:t>：</w:t>
      </w:r>
      <w:r>
        <w:rPr>
          <w:rFonts w:hint="eastAsia" w:ascii="宋体" w:hAnsi="宋体" w:eastAsia="宋体"/>
          <w:color w:val="auto"/>
          <w:position w:val="-4"/>
          <w:sz w:val="21"/>
          <w:szCs w:val="21"/>
          <w:highlight w:val="none"/>
          <w:u w:val="single"/>
          <w:lang w:eastAsia="zh-CN"/>
        </w:rPr>
        <w:t xml:space="preserve">           </w:t>
      </w:r>
      <w:r>
        <w:rPr>
          <w:rFonts w:hint="eastAsia" w:ascii="宋体" w:hAnsi="宋体" w:eastAsia="宋体"/>
          <w:color w:val="auto"/>
          <w:position w:val="-2"/>
          <w:sz w:val="21"/>
          <w:szCs w:val="21"/>
          <w:highlight w:val="none"/>
          <w:lang w:eastAsia="zh-CN"/>
        </w:rPr>
        <w:t>（签</w:t>
      </w:r>
      <w:r>
        <w:rPr>
          <w:rFonts w:hint="eastAsia" w:ascii="宋体" w:hAnsi="宋体" w:eastAsia="宋体"/>
          <w:color w:val="auto"/>
          <w:spacing w:val="-2"/>
          <w:position w:val="-2"/>
          <w:sz w:val="21"/>
          <w:szCs w:val="21"/>
          <w:highlight w:val="none"/>
          <w:lang w:eastAsia="zh-CN"/>
        </w:rPr>
        <w:t>字或盖章</w:t>
      </w:r>
      <w:r>
        <w:rPr>
          <w:rFonts w:hint="eastAsia" w:ascii="宋体" w:hAnsi="宋体" w:eastAsia="宋体"/>
          <w:color w:val="auto"/>
          <w:position w:val="-2"/>
          <w:sz w:val="21"/>
          <w:szCs w:val="21"/>
          <w:highlight w:val="none"/>
          <w:lang w:eastAsia="zh-CN"/>
        </w:rPr>
        <w:t>）</w:t>
      </w:r>
    </w:p>
    <w:p>
      <w:pPr>
        <w:autoSpaceDE w:val="0"/>
        <w:autoSpaceDN w:val="0"/>
        <w:adjustRightInd w:val="0"/>
        <w:spacing w:line="360" w:lineRule="auto"/>
        <w:rPr>
          <w:rFonts w:ascii="宋体" w:hAnsi="宋体" w:eastAsia="宋体"/>
          <w:color w:val="auto"/>
          <w:sz w:val="21"/>
          <w:szCs w:val="21"/>
          <w:highlight w:val="none"/>
          <w:lang w:eastAsia="zh-CN"/>
        </w:rPr>
      </w:pPr>
      <w:r>
        <w:rPr>
          <w:rFonts w:hint="eastAsia" w:ascii="宋体" w:hAnsi="宋体" w:eastAsia="宋体"/>
          <w:color w:val="auto"/>
          <w:position w:val="-2"/>
          <w:sz w:val="21"/>
          <w:szCs w:val="21"/>
          <w:highlight w:val="none"/>
          <w:lang w:eastAsia="zh-CN"/>
        </w:rPr>
        <w:t>身份</w:t>
      </w:r>
      <w:r>
        <w:rPr>
          <w:rFonts w:hint="eastAsia" w:ascii="宋体" w:hAnsi="宋体" w:eastAsia="宋体"/>
          <w:color w:val="auto"/>
          <w:spacing w:val="-2"/>
          <w:position w:val="-2"/>
          <w:sz w:val="21"/>
          <w:szCs w:val="21"/>
          <w:highlight w:val="none"/>
          <w:lang w:eastAsia="zh-CN"/>
        </w:rPr>
        <w:t>证</w:t>
      </w:r>
      <w:r>
        <w:rPr>
          <w:rFonts w:hint="eastAsia" w:ascii="宋体" w:hAnsi="宋体" w:eastAsia="宋体"/>
          <w:color w:val="auto"/>
          <w:position w:val="-2"/>
          <w:sz w:val="21"/>
          <w:szCs w:val="21"/>
          <w:highlight w:val="none"/>
          <w:lang w:eastAsia="zh-CN"/>
        </w:rPr>
        <w:t>号</w:t>
      </w:r>
      <w:r>
        <w:rPr>
          <w:rFonts w:hint="eastAsia" w:ascii="宋体" w:hAnsi="宋体" w:eastAsia="宋体"/>
          <w:color w:val="auto"/>
          <w:spacing w:val="-2"/>
          <w:position w:val="-2"/>
          <w:sz w:val="21"/>
          <w:szCs w:val="21"/>
          <w:highlight w:val="none"/>
          <w:lang w:eastAsia="zh-CN"/>
        </w:rPr>
        <w:t>码</w:t>
      </w:r>
      <w:r>
        <w:rPr>
          <w:rFonts w:hint="eastAsia" w:ascii="宋体" w:hAnsi="宋体" w:eastAsia="宋体"/>
          <w:color w:val="auto"/>
          <w:spacing w:val="-3"/>
          <w:position w:val="-2"/>
          <w:sz w:val="21"/>
          <w:szCs w:val="21"/>
          <w:highlight w:val="none"/>
          <w:lang w:eastAsia="zh-CN"/>
        </w:rPr>
        <w:t>：</w:t>
      </w:r>
      <w:r>
        <w:rPr>
          <w:rFonts w:hint="eastAsia" w:ascii="宋体" w:hAnsi="宋体" w:eastAsia="宋体"/>
          <w:color w:val="auto"/>
          <w:position w:val="-2"/>
          <w:sz w:val="21"/>
          <w:szCs w:val="21"/>
          <w:highlight w:val="none"/>
          <w:u w:val="single"/>
          <w:lang w:eastAsia="zh-CN"/>
        </w:rPr>
        <w:tab/>
      </w:r>
      <w:r>
        <w:rPr>
          <w:rFonts w:hint="eastAsia" w:ascii="宋体" w:hAnsi="宋体" w:eastAsia="宋体"/>
          <w:color w:val="auto"/>
          <w:position w:val="-4"/>
          <w:sz w:val="21"/>
          <w:szCs w:val="21"/>
          <w:highlight w:val="none"/>
          <w:u w:val="single"/>
          <w:lang w:eastAsia="zh-CN"/>
        </w:rPr>
        <w:t xml:space="preserve">           </w:t>
      </w:r>
    </w:p>
    <w:p>
      <w:pPr>
        <w:autoSpaceDE w:val="0"/>
        <w:autoSpaceDN w:val="0"/>
        <w:adjustRightInd w:val="0"/>
        <w:spacing w:line="360" w:lineRule="auto"/>
        <w:rPr>
          <w:rFonts w:ascii="宋体" w:hAnsi="宋体" w:eastAsia="宋体"/>
          <w:color w:val="auto"/>
          <w:sz w:val="21"/>
          <w:szCs w:val="21"/>
          <w:highlight w:val="none"/>
          <w:lang w:eastAsia="zh-CN"/>
        </w:rPr>
      </w:pPr>
      <w:r>
        <w:rPr>
          <w:rFonts w:hint="eastAsia" w:ascii="宋体" w:hAnsi="宋体" w:eastAsia="宋体"/>
          <w:color w:val="auto"/>
          <w:position w:val="-2"/>
          <w:sz w:val="21"/>
          <w:szCs w:val="21"/>
          <w:highlight w:val="none"/>
          <w:lang w:eastAsia="zh-CN"/>
        </w:rPr>
        <w:t>委托</w:t>
      </w:r>
      <w:r>
        <w:rPr>
          <w:rFonts w:hint="eastAsia" w:ascii="宋体" w:hAnsi="宋体" w:eastAsia="宋体"/>
          <w:color w:val="auto"/>
          <w:spacing w:val="-2"/>
          <w:position w:val="-2"/>
          <w:sz w:val="21"/>
          <w:szCs w:val="21"/>
          <w:highlight w:val="none"/>
          <w:lang w:eastAsia="zh-CN"/>
        </w:rPr>
        <w:t>代</w:t>
      </w:r>
      <w:r>
        <w:rPr>
          <w:rFonts w:hint="eastAsia" w:ascii="宋体" w:hAnsi="宋体" w:eastAsia="宋体"/>
          <w:color w:val="auto"/>
          <w:position w:val="-2"/>
          <w:sz w:val="21"/>
          <w:szCs w:val="21"/>
          <w:highlight w:val="none"/>
          <w:lang w:eastAsia="zh-CN"/>
        </w:rPr>
        <w:t>理</w:t>
      </w:r>
      <w:r>
        <w:rPr>
          <w:rFonts w:hint="eastAsia" w:ascii="宋体" w:hAnsi="宋体" w:eastAsia="宋体"/>
          <w:color w:val="auto"/>
          <w:spacing w:val="-2"/>
          <w:position w:val="-2"/>
          <w:sz w:val="21"/>
          <w:szCs w:val="21"/>
          <w:highlight w:val="none"/>
          <w:lang w:eastAsia="zh-CN"/>
        </w:rPr>
        <w:t>人</w:t>
      </w:r>
      <w:r>
        <w:rPr>
          <w:rFonts w:hint="eastAsia" w:ascii="宋体" w:hAnsi="宋体" w:eastAsia="宋体"/>
          <w:color w:val="auto"/>
          <w:spacing w:val="-3"/>
          <w:position w:val="-2"/>
          <w:sz w:val="21"/>
          <w:szCs w:val="21"/>
          <w:highlight w:val="none"/>
          <w:lang w:eastAsia="zh-CN"/>
        </w:rPr>
        <w:t>：</w:t>
      </w:r>
      <w:r>
        <w:rPr>
          <w:rFonts w:hint="eastAsia" w:ascii="宋体" w:hAnsi="宋体" w:eastAsia="宋体"/>
          <w:color w:val="auto"/>
          <w:position w:val="-4"/>
          <w:sz w:val="21"/>
          <w:szCs w:val="21"/>
          <w:highlight w:val="none"/>
          <w:u w:val="single"/>
          <w:lang w:eastAsia="zh-CN"/>
        </w:rPr>
        <w:t xml:space="preserve">           </w:t>
      </w:r>
      <w:r>
        <w:rPr>
          <w:rFonts w:hint="eastAsia" w:ascii="宋体" w:hAnsi="宋体" w:eastAsia="宋体"/>
          <w:color w:val="auto"/>
          <w:position w:val="-2"/>
          <w:sz w:val="21"/>
          <w:szCs w:val="21"/>
          <w:highlight w:val="none"/>
          <w:u w:val="single"/>
          <w:lang w:eastAsia="zh-CN"/>
        </w:rPr>
        <w:tab/>
      </w:r>
      <w:r>
        <w:rPr>
          <w:rFonts w:hint="eastAsia" w:ascii="宋体" w:hAnsi="宋体" w:eastAsia="宋体"/>
          <w:color w:val="auto"/>
          <w:position w:val="-2"/>
          <w:sz w:val="21"/>
          <w:szCs w:val="21"/>
          <w:highlight w:val="none"/>
          <w:lang w:eastAsia="zh-CN"/>
        </w:rPr>
        <w:t>（签</w:t>
      </w:r>
      <w:r>
        <w:rPr>
          <w:rFonts w:hint="eastAsia" w:ascii="宋体" w:hAnsi="宋体" w:eastAsia="宋体"/>
          <w:color w:val="auto"/>
          <w:spacing w:val="-2"/>
          <w:position w:val="-2"/>
          <w:sz w:val="21"/>
          <w:szCs w:val="21"/>
          <w:highlight w:val="none"/>
          <w:lang w:eastAsia="zh-CN"/>
        </w:rPr>
        <w:t>字或盖章</w:t>
      </w:r>
      <w:r>
        <w:rPr>
          <w:rFonts w:hint="eastAsia" w:ascii="宋体" w:hAnsi="宋体" w:eastAsia="宋体"/>
          <w:color w:val="auto"/>
          <w:position w:val="-2"/>
          <w:sz w:val="21"/>
          <w:szCs w:val="21"/>
          <w:highlight w:val="none"/>
          <w:lang w:eastAsia="zh-CN"/>
        </w:rPr>
        <w:t>）</w:t>
      </w:r>
    </w:p>
    <w:p>
      <w:pPr>
        <w:autoSpaceDE w:val="0"/>
        <w:autoSpaceDN w:val="0"/>
        <w:adjustRightInd w:val="0"/>
        <w:spacing w:line="360" w:lineRule="auto"/>
        <w:rPr>
          <w:rFonts w:ascii="宋体" w:hAnsi="宋体" w:eastAsia="宋体"/>
          <w:color w:val="auto"/>
          <w:sz w:val="21"/>
          <w:szCs w:val="21"/>
          <w:highlight w:val="none"/>
          <w:lang w:eastAsia="zh-CN"/>
        </w:rPr>
      </w:pPr>
      <w:r>
        <w:rPr>
          <w:rFonts w:hint="eastAsia" w:ascii="宋体" w:hAnsi="宋体" w:eastAsia="宋体"/>
          <w:color w:val="auto"/>
          <w:position w:val="-2"/>
          <w:sz w:val="21"/>
          <w:szCs w:val="21"/>
          <w:highlight w:val="none"/>
          <w:lang w:eastAsia="zh-CN"/>
        </w:rPr>
        <w:t>身份</w:t>
      </w:r>
      <w:r>
        <w:rPr>
          <w:rFonts w:hint="eastAsia" w:ascii="宋体" w:hAnsi="宋体" w:eastAsia="宋体"/>
          <w:color w:val="auto"/>
          <w:spacing w:val="-2"/>
          <w:position w:val="-2"/>
          <w:sz w:val="21"/>
          <w:szCs w:val="21"/>
          <w:highlight w:val="none"/>
          <w:lang w:eastAsia="zh-CN"/>
        </w:rPr>
        <w:t>证</w:t>
      </w:r>
      <w:r>
        <w:rPr>
          <w:rFonts w:hint="eastAsia" w:ascii="宋体" w:hAnsi="宋体" w:eastAsia="宋体"/>
          <w:color w:val="auto"/>
          <w:position w:val="-2"/>
          <w:sz w:val="21"/>
          <w:szCs w:val="21"/>
          <w:highlight w:val="none"/>
          <w:lang w:eastAsia="zh-CN"/>
        </w:rPr>
        <w:t>号</w:t>
      </w:r>
      <w:r>
        <w:rPr>
          <w:rFonts w:hint="eastAsia" w:ascii="宋体" w:hAnsi="宋体" w:eastAsia="宋体"/>
          <w:color w:val="auto"/>
          <w:spacing w:val="-2"/>
          <w:position w:val="-2"/>
          <w:sz w:val="21"/>
          <w:szCs w:val="21"/>
          <w:highlight w:val="none"/>
          <w:lang w:eastAsia="zh-CN"/>
        </w:rPr>
        <w:t>码</w:t>
      </w:r>
      <w:r>
        <w:rPr>
          <w:rFonts w:hint="eastAsia" w:ascii="宋体" w:hAnsi="宋体" w:eastAsia="宋体"/>
          <w:color w:val="auto"/>
          <w:spacing w:val="-3"/>
          <w:position w:val="-2"/>
          <w:sz w:val="21"/>
          <w:szCs w:val="21"/>
          <w:highlight w:val="none"/>
          <w:lang w:eastAsia="zh-CN"/>
        </w:rPr>
        <w:t>：</w:t>
      </w:r>
      <w:r>
        <w:rPr>
          <w:rFonts w:hint="eastAsia" w:ascii="宋体" w:hAnsi="宋体" w:eastAsia="宋体"/>
          <w:color w:val="auto"/>
          <w:position w:val="-2"/>
          <w:sz w:val="21"/>
          <w:szCs w:val="21"/>
          <w:highlight w:val="none"/>
          <w:u w:val="single"/>
          <w:lang w:eastAsia="zh-CN"/>
        </w:rPr>
        <w:tab/>
      </w:r>
      <w:r>
        <w:rPr>
          <w:rFonts w:hint="eastAsia" w:ascii="宋体" w:hAnsi="宋体" w:eastAsia="宋体"/>
          <w:color w:val="auto"/>
          <w:position w:val="-4"/>
          <w:sz w:val="21"/>
          <w:szCs w:val="21"/>
          <w:highlight w:val="none"/>
          <w:u w:val="single"/>
          <w:lang w:eastAsia="zh-CN"/>
        </w:rPr>
        <w:t xml:space="preserve">           </w:t>
      </w:r>
    </w:p>
    <w:p>
      <w:pPr>
        <w:autoSpaceDE w:val="0"/>
        <w:autoSpaceDN w:val="0"/>
        <w:adjustRightInd w:val="0"/>
        <w:spacing w:line="360" w:lineRule="auto"/>
        <w:rPr>
          <w:rFonts w:ascii="宋体" w:hAnsi="宋体" w:eastAsia="宋体"/>
          <w:color w:val="auto"/>
          <w:sz w:val="21"/>
          <w:szCs w:val="21"/>
          <w:highlight w:val="none"/>
          <w:lang w:eastAsia="zh-CN"/>
        </w:rPr>
      </w:pPr>
    </w:p>
    <w:p>
      <w:pPr>
        <w:wordWrap w:val="0"/>
        <w:autoSpaceDE w:val="0"/>
        <w:autoSpaceDN w:val="0"/>
        <w:adjustRightInd w:val="0"/>
        <w:spacing w:line="360" w:lineRule="auto"/>
        <w:jc w:val="right"/>
        <w:rPr>
          <w:rFonts w:ascii="宋体" w:hAnsi="宋体" w:eastAsia="宋体"/>
          <w:color w:val="auto"/>
          <w:sz w:val="21"/>
          <w:szCs w:val="21"/>
          <w:highlight w:val="none"/>
          <w:lang w:eastAsia="zh-CN"/>
        </w:rPr>
      </w:pPr>
      <w:r>
        <w:rPr>
          <w:rFonts w:hint="eastAsia" w:ascii="宋体" w:hAnsi="宋体" w:eastAsia="宋体"/>
          <w:color w:val="auto"/>
          <w:sz w:val="21"/>
          <w:szCs w:val="21"/>
          <w:highlight w:val="none"/>
          <w:u w:val="single"/>
          <w:lang w:eastAsia="zh-CN"/>
        </w:rPr>
        <w:t xml:space="preserve">      </w:t>
      </w:r>
      <w:r>
        <w:rPr>
          <w:rFonts w:hint="eastAsia" w:ascii="宋体" w:hAnsi="宋体" w:eastAsia="宋体"/>
          <w:color w:val="auto"/>
          <w:sz w:val="21"/>
          <w:szCs w:val="21"/>
          <w:highlight w:val="none"/>
          <w:lang w:eastAsia="zh-CN"/>
        </w:rPr>
        <w:t>年</w:t>
      </w:r>
      <w:r>
        <w:rPr>
          <w:rFonts w:hint="eastAsia" w:ascii="宋体" w:hAnsi="宋体" w:eastAsia="宋体"/>
          <w:color w:val="auto"/>
          <w:sz w:val="21"/>
          <w:szCs w:val="21"/>
          <w:highlight w:val="none"/>
          <w:u w:val="single"/>
          <w:lang w:eastAsia="zh-CN"/>
        </w:rPr>
        <w:t xml:space="preserve">      </w:t>
      </w:r>
      <w:r>
        <w:rPr>
          <w:rFonts w:hint="eastAsia" w:ascii="宋体" w:hAnsi="宋体" w:eastAsia="宋体"/>
          <w:color w:val="auto"/>
          <w:spacing w:val="-2"/>
          <w:sz w:val="21"/>
          <w:szCs w:val="21"/>
          <w:highlight w:val="none"/>
          <w:lang w:eastAsia="zh-CN"/>
        </w:rPr>
        <w:t>月</w:t>
      </w:r>
      <w:r>
        <w:rPr>
          <w:rFonts w:hint="eastAsia" w:ascii="宋体" w:hAnsi="宋体" w:eastAsia="宋体"/>
          <w:color w:val="auto"/>
          <w:sz w:val="21"/>
          <w:szCs w:val="21"/>
          <w:highlight w:val="none"/>
          <w:u w:val="single"/>
          <w:lang w:eastAsia="zh-CN"/>
        </w:rPr>
        <w:t xml:space="preserve">     </w:t>
      </w:r>
      <w:r>
        <w:rPr>
          <w:rFonts w:hint="eastAsia" w:ascii="宋体" w:hAnsi="宋体" w:eastAsia="宋体"/>
          <w:color w:val="auto"/>
          <w:sz w:val="21"/>
          <w:szCs w:val="21"/>
          <w:highlight w:val="none"/>
          <w:lang w:eastAsia="zh-CN"/>
        </w:rPr>
        <w:t>日</w:t>
      </w:r>
    </w:p>
    <w:p>
      <w:pPr>
        <w:widowControl/>
        <w:spacing w:line="360" w:lineRule="auto"/>
        <w:rPr>
          <w:rFonts w:ascii="宋体" w:hAnsi="宋体" w:eastAsia="宋体" w:cs="宋体"/>
          <w:color w:val="auto"/>
          <w:spacing w:val="2"/>
          <w:position w:val="-1"/>
          <w:sz w:val="24"/>
          <w:szCs w:val="24"/>
          <w:highlight w:val="none"/>
          <w:lang w:eastAsia="zh-CN"/>
        </w:rPr>
        <w:sectPr>
          <w:pgSz w:w="11907" w:h="16839"/>
          <w:pgMar w:top="1440" w:right="1440" w:bottom="1440" w:left="1440" w:header="720" w:footer="720" w:gutter="0"/>
          <w:cols w:space="720" w:num="1"/>
        </w:sectPr>
      </w:pPr>
    </w:p>
    <w:p>
      <w:pPr>
        <w:pStyle w:val="3"/>
        <w:rPr>
          <w:rFonts w:ascii="宋体" w:hAnsi="宋体" w:eastAsia="宋体"/>
          <w:color w:val="auto"/>
          <w:spacing w:val="2"/>
          <w:position w:val="-1"/>
          <w:sz w:val="21"/>
          <w:szCs w:val="21"/>
          <w:highlight w:val="none"/>
          <w:lang w:eastAsia="zh-CN"/>
        </w:rPr>
      </w:pPr>
      <w:bookmarkStart w:id="82" w:name="_Toc109809406"/>
      <w:bookmarkStart w:id="83" w:name="_Toc50480839"/>
      <w:bookmarkStart w:id="84" w:name="_Toc63065955"/>
      <w:bookmarkStart w:id="85" w:name="_Toc109809445"/>
      <w:bookmarkStart w:id="86" w:name="_Toc25072143"/>
      <w:r>
        <w:rPr>
          <w:rFonts w:hint="eastAsia" w:ascii="宋体" w:hAnsi="宋体" w:eastAsia="宋体"/>
          <w:color w:val="auto"/>
          <w:spacing w:val="2"/>
          <w:position w:val="-1"/>
          <w:sz w:val="21"/>
          <w:szCs w:val="21"/>
          <w:highlight w:val="none"/>
          <w:lang w:eastAsia="zh-CN"/>
        </w:rPr>
        <w:t>格式三：合作设计协议书参考格式（格式仅供参考，适用于合作设计，否则可不提供）</w:t>
      </w:r>
      <w:bookmarkEnd w:id="82"/>
      <w:bookmarkEnd w:id="83"/>
      <w:bookmarkEnd w:id="84"/>
      <w:bookmarkEnd w:id="85"/>
    </w:p>
    <w:p>
      <w:pPr>
        <w:jc w:val="center"/>
        <w:rPr>
          <w:rFonts w:ascii="宋体" w:hAnsi="宋体" w:eastAsia="宋体"/>
          <w:b/>
          <w:bCs/>
          <w:color w:val="auto"/>
          <w:sz w:val="32"/>
          <w:szCs w:val="32"/>
          <w:highlight w:val="none"/>
          <w:lang w:eastAsia="zh-CN"/>
        </w:rPr>
      </w:pPr>
    </w:p>
    <w:p>
      <w:pPr>
        <w:jc w:val="center"/>
        <w:rPr>
          <w:rFonts w:ascii="宋体" w:hAnsi="宋体" w:eastAsia="宋体"/>
          <w:b/>
          <w:bCs/>
          <w:color w:val="auto"/>
          <w:sz w:val="32"/>
          <w:szCs w:val="32"/>
          <w:highlight w:val="none"/>
          <w:lang w:eastAsia="zh-CN"/>
        </w:rPr>
      </w:pPr>
      <w:r>
        <w:rPr>
          <w:rFonts w:hint="eastAsia" w:ascii="宋体" w:hAnsi="宋体" w:eastAsia="宋体"/>
          <w:b/>
          <w:bCs/>
          <w:color w:val="auto"/>
          <w:sz w:val="32"/>
          <w:szCs w:val="32"/>
          <w:highlight w:val="none"/>
          <w:lang w:eastAsia="zh-CN"/>
        </w:rPr>
        <w:t>合作设计协议书</w:t>
      </w:r>
    </w:p>
    <w:p>
      <w:pPr>
        <w:rPr>
          <w:rFonts w:ascii="宋体" w:hAnsi="宋体" w:eastAsia="宋体"/>
          <w:color w:val="auto"/>
          <w:sz w:val="21"/>
          <w:szCs w:val="21"/>
          <w:highlight w:val="none"/>
          <w:lang w:eastAsia="zh-CN"/>
        </w:rPr>
      </w:pPr>
    </w:p>
    <w:p>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投标项目名称：</w:t>
      </w:r>
      <w:r>
        <w:rPr>
          <w:rFonts w:hint="eastAsia" w:ascii="宋体" w:hAnsi="宋体" w:eastAsia="宋体"/>
          <w:color w:val="auto"/>
          <w:sz w:val="21"/>
          <w:szCs w:val="21"/>
          <w:highlight w:val="none"/>
          <w:u w:val="single"/>
          <w:lang w:eastAsia="zh-CN"/>
        </w:rPr>
        <w:t xml:space="preserve">                                           </w:t>
      </w:r>
      <w:r>
        <w:rPr>
          <w:rFonts w:hint="eastAsia" w:ascii="宋体" w:hAnsi="宋体" w:eastAsia="宋体"/>
          <w:color w:val="auto"/>
          <w:sz w:val="21"/>
          <w:szCs w:val="21"/>
          <w:highlight w:val="none"/>
          <w:lang w:eastAsia="zh-CN"/>
        </w:rPr>
        <w:t>。</w:t>
      </w:r>
    </w:p>
    <w:p>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致：</w:t>
      </w:r>
      <w:r>
        <w:rPr>
          <w:rFonts w:hint="eastAsia" w:ascii="宋体" w:hAnsi="宋体" w:eastAsia="宋体"/>
          <w:color w:val="auto"/>
          <w:sz w:val="21"/>
          <w:szCs w:val="21"/>
          <w:highlight w:val="none"/>
          <w:u w:val="single"/>
          <w:lang w:eastAsia="zh-CN"/>
        </w:rPr>
        <w:t xml:space="preserve">                                    </w:t>
      </w:r>
      <w:r>
        <w:rPr>
          <w:rFonts w:hint="eastAsia" w:ascii="宋体" w:hAnsi="宋体" w:eastAsia="宋体"/>
          <w:color w:val="auto"/>
          <w:sz w:val="21"/>
          <w:szCs w:val="21"/>
          <w:highlight w:val="none"/>
          <w:lang w:eastAsia="zh-CN"/>
        </w:rPr>
        <w:t>（招标人）</w:t>
      </w:r>
    </w:p>
    <w:p>
      <w:pPr>
        <w:spacing w:line="360" w:lineRule="auto"/>
        <w:ind w:firstLine="420" w:firstLineChars="200"/>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按照招标公告的规定，</w:t>
      </w:r>
      <w:r>
        <w:rPr>
          <w:rFonts w:hint="eastAsia" w:ascii="宋体" w:hAnsi="宋体" w:eastAsia="宋体"/>
          <w:color w:val="auto"/>
          <w:sz w:val="21"/>
          <w:szCs w:val="21"/>
          <w:highlight w:val="none"/>
          <w:u w:val="single"/>
          <w:lang w:eastAsia="zh-CN"/>
        </w:rPr>
        <w:t xml:space="preserve">                         </w:t>
      </w:r>
      <w:r>
        <w:rPr>
          <w:rFonts w:hint="eastAsia" w:ascii="宋体" w:hAnsi="宋体" w:eastAsia="宋体"/>
          <w:color w:val="auto"/>
          <w:sz w:val="21"/>
          <w:szCs w:val="21"/>
          <w:highlight w:val="none"/>
          <w:lang w:eastAsia="zh-CN"/>
        </w:rPr>
        <w:t>（</w:t>
      </w:r>
      <w:r>
        <w:rPr>
          <w:rFonts w:hint="eastAsia" w:ascii="宋体" w:hAnsi="宋体" w:eastAsia="宋体" w:cs="宋体"/>
          <w:color w:val="auto"/>
          <w:sz w:val="21"/>
          <w:szCs w:val="21"/>
          <w:highlight w:val="none"/>
          <w:shd w:val="clear" w:color="auto" w:fill="FFFFFF"/>
          <w:lang w:eastAsia="zh-CN"/>
        </w:rPr>
        <w:t>外国或澳门、台湾的设计企业</w:t>
      </w:r>
      <w:r>
        <w:rPr>
          <w:rFonts w:hint="eastAsia" w:ascii="宋体" w:hAnsi="宋体" w:eastAsia="宋体" w:cs="宋体"/>
          <w:b/>
          <w:color w:val="auto"/>
          <w:sz w:val="21"/>
          <w:szCs w:val="21"/>
          <w:highlight w:val="none"/>
          <w:u w:val="single"/>
          <w:shd w:val="clear" w:color="auto" w:fill="FFFFFF"/>
          <w:lang w:eastAsia="zh-CN"/>
        </w:rPr>
        <w:t>和香港不单独参加投标的设计企业</w:t>
      </w:r>
      <w:r>
        <w:rPr>
          <w:rFonts w:hint="eastAsia" w:ascii="宋体" w:hAnsi="宋体" w:eastAsia="宋体" w:cs="宋体"/>
          <w:color w:val="auto"/>
          <w:sz w:val="21"/>
          <w:szCs w:val="21"/>
          <w:highlight w:val="none"/>
          <w:lang w:eastAsia="zh-CN"/>
        </w:rPr>
        <w:t>）作为投标人（即“申请人”，下同）</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lang w:eastAsia="zh-CN"/>
        </w:rPr>
        <w:t>（符合招标公告第3条资质条件的企业）的合作设计方，参与本项目进行合作设计。若中标，各成员向招标人承担连带责任。合作设计方授权委托</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olor w:val="auto"/>
          <w:sz w:val="21"/>
          <w:szCs w:val="21"/>
          <w:highlight w:val="none"/>
          <w:u w:val="single"/>
          <w:lang w:eastAsia="zh-CN"/>
        </w:rPr>
        <w:t xml:space="preserve">             </w:t>
      </w:r>
      <w:r>
        <w:rPr>
          <w:rFonts w:hint="eastAsia" w:ascii="宋体" w:hAnsi="宋体" w:eastAsia="宋体"/>
          <w:color w:val="auto"/>
          <w:sz w:val="21"/>
          <w:szCs w:val="21"/>
          <w:highlight w:val="none"/>
          <w:lang w:eastAsia="zh-CN"/>
        </w:rPr>
        <w:t>（符合招标公告第3条资质条件的企业）代表所有合作成员参加投标、提交投标文件，以及与招标人签订合同，负责整个合同实施阶段的协调工作。</w:t>
      </w:r>
    </w:p>
    <w:p>
      <w:pPr>
        <w:rPr>
          <w:rFonts w:ascii="宋体" w:hAnsi="宋体" w:eastAsia="宋体"/>
          <w:color w:val="auto"/>
          <w:sz w:val="21"/>
          <w:szCs w:val="21"/>
          <w:highlight w:val="none"/>
          <w:lang w:eastAsia="zh-CN"/>
        </w:rPr>
      </w:pPr>
    </w:p>
    <w:p>
      <w:pPr>
        <w:rPr>
          <w:rFonts w:ascii="宋体" w:hAnsi="宋体" w:eastAsia="宋体"/>
          <w:color w:val="auto"/>
          <w:sz w:val="21"/>
          <w:szCs w:val="21"/>
          <w:highlight w:val="none"/>
          <w:lang w:eastAsia="zh-CN"/>
        </w:rPr>
      </w:pPr>
    </w:p>
    <w:p>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合作设计方：（盖章）</w:t>
      </w:r>
      <w:r>
        <w:rPr>
          <w:rFonts w:hint="eastAsia" w:ascii="宋体" w:hAnsi="宋体" w:eastAsia="宋体"/>
          <w:color w:val="auto"/>
          <w:sz w:val="21"/>
          <w:szCs w:val="21"/>
          <w:highlight w:val="none"/>
          <w:u w:val="single"/>
          <w:lang w:eastAsia="zh-CN"/>
        </w:rPr>
        <w:t xml:space="preserve">                                         </w:t>
      </w:r>
    </w:p>
    <w:p>
      <w:pPr>
        <w:spacing w:line="360" w:lineRule="auto"/>
        <w:rPr>
          <w:rFonts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lang w:eastAsia="zh-CN"/>
        </w:rPr>
        <w:t>代表人：（签字或盖章）</w:t>
      </w:r>
      <w:r>
        <w:rPr>
          <w:rFonts w:hint="eastAsia" w:ascii="宋体" w:hAnsi="宋体" w:eastAsia="宋体"/>
          <w:color w:val="auto"/>
          <w:sz w:val="21"/>
          <w:szCs w:val="21"/>
          <w:highlight w:val="none"/>
          <w:u w:val="single"/>
          <w:lang w:eastAsia="zh-CN"/>
        </w:rPr>
        <w:t xml:space="preserve">                                       </w:t>
      </w:r>
    </w:p>
    <w:p>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分工内容：</w:t>
      </w:r>
      <w:r>
        <w:rPr>
          <w:rFonts w:hint="eastAsia" w:ascii="宋体" w:hAnsi="宋体" w:eastAsia="宋体"/>
          <w:color w:val="auto"/>
          <w:sz w:val="21"/>
          <w:szCs w:val="21"/>
          <w:highlight w:val="none"/>
          <w:u w:val="single"/>
          <w:lang w:eastAsia="zh-CN"/>
        </w:rPr>
        <w:t xml:space="preserve">                                                  </w:t>
      </w:r>
    </w:p>
    <w:p>
      <w:pPr>
        <w:spacing w:line="360" w:lineRule="auto"/>
        <w:rPr>
          <w:rFonts w:ascii="宋体" w:hAnsi="宋体" w:eastAsia="宋体"/>
          <w:color w:val="auto"/>
          <w:sz w:val="21"/>
          <w:szCs w:val="21"/>
          <w:highlight w:val="none"/>
          <w:lang w:eastAsia="zh-CN"/>
        </w:rPr>
      </w:pPr>
    </w:p>
    <w:p>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投标人：（盖章）</w:t>
      </w:r>
      <w:r>
        <w:rPr>
          <w:rFonts w:hint="eastAsia" w:ascii="宋体" w:hAnsi="宋体" w:eastAsia="宋体"/>
          <w:color w:val="auto"/>
          <w:sz w:val="21"/>
          <w:szCs w:val="21"/>
          <w:highlight w:val="none"/>
          <w:u w:val="single"/>
          <w:lang w:eastAsia="zh-CN"/>
        </w:rPr>
        <w:t xml:space="preserve">                                             </w:t>
      </w:r>
    </w:p>
    <w:p>
      <w:pPr>
        <w:spacing w:line="360" w:lineRule="auto"/>
        <w:rPr>
          <w:rFonts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lang w:eastAsia="zh-CN"/>
        </w:rPr>
        <w:t>法定代表人：（签字或盖章）</w:t>
      </w:r>
      <w:r>
        <w:rPr>
          <w:rFonts w:hint="eastAsia" w:ascii="宋体" w:hAnsi="宋体" w:eastAsia="宋体"/>
          <w:color w:val="auto"/>
          <w:sz w:val="21"/>
          <w:szCs w:val="21"/>
          <w:highlight w:val="none"/>
          <w:u w:val="single"/>
          <w:lang w:eastAsia="zh-CN"/>
        </w:rPr>
        <w:t xml:space="preserve">                                   </w:t>
      </w:r>
    </w:p>
    <w:p>
      <w:pPr>
        <w:spacing w:line="360" w:lineRule="auto"/>
        <w:rPr>
          <w:rFonts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分工内容：</w:t>
      </w:r>
      <w:r>
        <w:rPr>
          <w:rFonts w:hint="eastAsia" w:ascii="宋体" w:hAnsi="宋体" w:eastAsia="宋体"/>
          <w:color w:val="auto"/>
          <w:sz w:val="21"/>
          <w:szCs w:val="21"/>
          <w:highlight w:val="none"/>
          <w:u w:val="single"/>
          <w:lang w:eastAsia="zh-CN"/>
        </w:rPr>
        <w:t xml:space="preserve">                                                  </w:t>
      </w:r>
    </w:p>
    <w:p>
      <w:pPr>
        <w:pStyle w:val="3"/>
        <w:rPr>
          <w:rFonts w:ascii="宋体" w:hAnsi="宋体" w:eastAsia="宋体"/>
          <w:color w:val="auto"/>
          <w:spacing w:val="2"/>
          <w:position w:val="-1"/>
          <w:sz w:val="21"/>
          <w:szCs w:val="21"/>
          <w:highlight w:val="none"/>
          <w:lang w:eastAsia="zh-CN"/>
        </w:rPr>
      </w:pPr>
      <w:r>
        <w:rPr>
          <w:rFonts w:ascii="宋体" w:hAnsi="宋体" w:eastAsia="宋体"/>
          <w:color w:val="auto"/>
          <w:spacing w:val="2"/>
          <w:position w:val="-1"/>
          <w:highlight w:val="none"/>
          <w:lang w:eastAsia="zh-CN"/>
        </w:rPr>
        <w:br w:type="page"/>
      </w:r>
      <w:bookmarkStart w:id="87" w:name="_Toc109809446"/>
      <w:bookmarkStart w:id="88" w:name="_Toc109809407"/>
      <w:r>
        <w:rPr>
          <w:rFonts w:hint="eastAsia" w:ascii="宋体" w:hAnsi="宋体" w:eastAsia="宋体"/>
          <w:color w:val="auto"/>
          <w:spacing w:val="2"/>
          <w:position w:val="-1"/>
          <w:sz w:val="21"/>
          <w:szCs w:val="21"/>
          <w:highlight w:val="none"/>
          <w:lang w:eastAsia="zh-CN"/>
        </w:rPr>
        <w:t xml:space="preserve">格式四  </w:t>
      </w:r>
      <w:r>
        <w:rPr>
          <w:rFonts w:hint="eastAsia" w:ascii="宋体" w:hAnsi="宋体" w:eastAsia="宋体"/>
          <w:color w:val="auto"/>
          <w:sz w:val="21"/>
          <w:szCs w:val="21"/>
          <w:highlight w:val="none"/>
          <w:lang w:eastAsia="zh-CN"/>
        </w:rPr>
        <w:t>投标</w:t>
      </w:r>
      <w:r>
        <w:rPr>
          <w:rFonts w:hint="eastAsia" w:ascii="宋体" w:hAnsi="宋体" w:eastAsia="宋体"/>
          <w:color w:val="auto"/>
          <w:sz w:val="21"/>
          <w:szCs w:val="21"/>
          <w:highlight w:val="none"/>
          <w:lang w:val="en-US" w:eastAsia="zh-CN"/>
        </w:rPr>
        <w:t>申请</w:t>
      </w:r>
      <w:r>
        <w:rPr>
          <w:rFonts w:hint="eastAsia" w:ascii="宋体" w:hAnsi="宋体" w:eastAsia="宋体"/>
          <w:color w:val="auto"/>
          <w:sz w:val="21"/>
          <w:szCs w:val="21"/>
          <w:highlight w:val="none"/>
          <w:lang w:eastAsia="zh-CN"/>
        </w:rPr>
        <w:t>人声明</w:t>
      </w:r>
      <w:bookmarkEnd w:id="86"/>
      <w:bookmarkEnd w:id="87"/>
      <w:bookmarkEnd w:id="88"/>
    </w:p>
    <w:p>
      <w:pPr>
        <w:autoSpaceDE w:val="0"/>
        <w:autoSpaceDN w:val="0"/>
        <w:adjustRightInd w:val="0"/>
        <w:spacing w:beforeLines="50" w:afterLines="50"/>
        <w:jc w:val="center"/>
        <w:rPr>
          <w:rFonts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（格式详见招标公告附件一）</w:t>
      </w:r>
    </w:p>
    <w:p>
      <w:pPr>
        <w:pStyle w:val="5"/>
        <w:rPr>
          <w:color w:val="auto"/>
          <w:highlight w:val="none"/>
        </w:rPr>
      </w:pPr>
    </w:p>
    <w:p>
      <w:pPr>
        <w:pStyle w:val="5"/>
        <w:rPr>
          <w:color w:val="auto"/>
          <w:highlight w:val="none"/>
        </w:rPr>
      </w:pPr>
    </w:p>
    <w:p>
      <w:pPr>
        <w:pStyle w:val="5"/>
        <w:rPr>
          <w:color w:val="auto"/>
          <w:highlight w:val="none"/>
        </w:rPr>
      </w:pPr>
    </w:p>
    <w:p>
      <w:pPr>
        <w:pStyle w:val="3"/>
        <w:rPr>
          <w:rFonts w:ascii="宋体" w:hAnsi="宋体" w:eastAsia="宋体"/>
          <w:b w:val="0"/>
          <w:color w:val="auto"/>
          <w:sz w:val="21"/>
          <w:szCs w:val="21"/>
          <w:highlight w:val="none"/>
          <w:lang w:eastAsia="zh-CN"/>
        </w:rPr>
      </w:pPr>
      <w:bookmarkStart w:id="89" w:name="_Hlk109598567"/>
      <w:r>
        <w:rPr>
          <w:rFonts w:hint="eastAsia" w:ascii="宋体" w:hAnsi="宋体" w:eastAsia="宋体"/>
          <w:color w:val="auto"/>
          <w:highlight w:val="none"/>
          <w:lang w:eastAsia="zh-CN"/>
        </w:rPr>
        <w:br w:type="page"/>
      </w:r>
      <w:bookmarkEnd w:id="89"/>
      <w:bookmarkStart w:id="90" w:name="_Toc109809447"/>
      <w:bookmarkStart w:id="91" w:name="_Toc109809408"/>
      <w:bookmarkStart w:id="92" w:name="_Toc25072144"/>
      <w:r>
        <w:rPr>
          <w:rFonts w:hint="eastAsia" w:ascii="宋体" w:hAnsi="宋体" w:eastAsia="宋体"/>
          <w:color w:val="auto"/>
          <w:sz w:val="21"/>
          <w:szCs w:val="21"/>
          <w:highlight w:val="none"/>
          <w:lang w:eastAsia="zh-CN"/>
        </w:rPr>
        <w:t>格式五  勘察设计费报价汇总表</w:t>
      </w:r>
      <w:bookmarkEnd w:id="90"/>
      <w:bookmarkEnd w:id="91"/>
    </w:p>
    <w:p>
      <w:pPr>
        <w:autoSpaceDE w:val="0"/>
        <w:autoSpaceDN w:val="0"/>
        <w:adjustRightInd w:val="0"/>
        <w:spacing w:before="7" w:line="110" w:lineRule="exact"/>
        <w:rPr>
          <w:rFonts w:ascii="宋体" w:hAnsi="宋体" w:eastAsia="宋体"/>
          <w:color w:val="auto"/>
          <w:sz w:val="11"/>
          <w:szCs w:val="11"/>
          <w:highlight w:val="none"/>
          <w:lang w:eastAsia="zh-CN"/>
        </w:rPr>
      </w:pPr>
    </w:p>
    <w:p>
      <w:pPr>
        <w:autoSpaceDE w:val="0"/>
        <w:autoSpaceDN w:val="0"/>
        <w:adjustRightInd w:val="0"/>
        <w:spacing w:line="200" w:lineRule="exact"/>
        <w:rPr>
          <w:rFonts w:ascii="宋体" w:hAnsi="宋体" w:eastAsia="宋体"/>
          <w:color w:val="auto"/>
          <w:sz w:val="20"/>
          <w:szCs w:val="20"/>
          <w:highlight w:val="none"/>
          <w:lang w:eastAsia="zh-CN"/>
        </w:rPr>
      </w:pPr>
    </w:p>
    <w:bookmarkEnd w:id="92"/>
    <w:p>
      <w:pPr>
        <w:jc w:val="center"/>
        <w:rPr>
          <w:rFonts w:ascii="宋体" w:hAnsi="宋体"/>
          <w:b/>
          <w:color w:val="auto"/>
          <w:sz w:val="32"/>
          <w:highlight w:val="none"/>
          <w:lang w:eastAsia="zh-CN"/>
        </w:rPr>
      </w:pPr>
    </w:p>
    <w:p>
      <w:pPr>
        <w:jc w:val="center"/>
        <w:rPr>
          <w:rFonts w:hint="eastAsia" w:ascii="宋体" w:hAnsi="宋体"/>
          <w:b/>
          <w:color w:val="auto"/>
          <w:sz w:val="32"/>
          <w:highlight w:val="none"/>
          <w:lang w:eastAsia="zh-CN"/>
        </w:rPr>
      </w:pPr>
      <w:r>
        <w:rPr>
          <w:rFonts w:hint="eastAsia" w:ascii="宋体" w:hAnsi="宋体"/>
          <w:b/>
          <w:color w:val="auto"/>
          <w:sz w:val="32"/>
          <w:highlight w:val="none"/>
          <w:lang w:eastAsia="zh-CN"/>
        </w:rPr>
        <w:t>广清产业园水利设施修复建设项目勘察设计</w:t>
      </w:r>
      <w:r>
        <w:rPr>
          <w:rFonts w:hint="eastAsia" w:ascii="宋体" w:hAnsi="宋体"/>
          <w:b/>
          <w:color w:val="auto"/>
          <w:sz w:val="32"/>
          <w:highlight w:val="none"/>
          <w:lang w:val="en-US" w:eastAsia="zh-CN"/>
        </w:rPr>
        <w:t>费</w:t>
      </w:r>
      <w:r>
        <w:rPr>
          <w:rFonts w:hint="eastAsia" w:ascii="宋体" w:hAnsi="宋体"/>
          <w:b/>
          <w:color w:val="auto"/>
          <w:sz w:val="32"/>
          <w:highlight w:val="none"/>
          <w:lang w:eastAsia="zh-CN"/>
        </w:rPr>
        <w:t>报价表</w:t>
      </w:r>
    </w:p>
    <w:p>
      <w:pPr>
        <w:spacing w:line="440" w:lineRule="exact"/>
        <w:rPr>
          <w:rFonts w:ascii="宋体" w:hAnsi="宋体"/>
          <w:color w:val="auto"/>
          <w:szCs w:val="21"/>
          <w:highlight w:val="none"/>
          <w:lang w:eastAsia="zh-CN"/>
        </w:rPr>
      </w:pPr>
    </w:p>
    <w:tbl>
      <w:tblPr>
        <w:tblStyle w:val="19"/>
        <w:tblW w:w="787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4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061"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ascii="宋体" w:hAnsi="宋体"/>
                <w:color w:val="auto"/>
                <w:sz w:val="24"/>
                <w:highlight w:val="none"/>
              </w:rPr>
            </w:pPr>
            <w:r>
              <w:rPr>
                <w:rFonts w:hint="eastAsia" w:ascii="宋体" w:hAnsi="宋体"/>
                <w:color w:val="auto"/>
                <w:sz w:val="24"/>
                <w:highlight w:val="none"/>
              </w:rPr>
              <w:t>投标总报价（元）</w:t>
            </w:r>
          </w:p>
        </w:tc>
        <w:tc>
          <w:tcPr>
            <w:tcW w:w="4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olor w:val="auto"/>
                <w:sz w:val="24"/>
                <w:highlight w:val="none"/>
              </w:rPr>
            </w:pPr>
            <w:r>
              <w:rPr>
                <w:rFonts w:hint="eastAsia" w:ascii="宋体" w:hAnsi="宋体"/>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061" w:type="dxa"/>
            <w:vMerge w:val="continue"/>
            <w:tcBorders>
              <w:left w:val="single" w:color="auto" w:sz="4" w:space="0"/>
              <w:right w:val="single" w:color="auto" w:sz="4" w:space="0"/>
            </w:tcBorders>
            <w:noWrap w:val="0"/>
            <w:vAlign w:val="center"/>
          </w:tcPr>
          <w:p>
            <w:pPr>
              <w:widowControl/>
              <w:rPr>
                <w:rFonts w:ascii="宋体" w:hAnsi="宋体"/>
                <w:color w:val="auto"/>
                <w:sz w:val="24"/>
                <w:highlight w:val="none"/>
              </w:rPr>
            </w:pPr>
          </w:p>
        </w:tc>
        <w:tc>
          <w:tcPr>
            <w:tcW w:w="4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olor w:val="auto"/>
                <w:sz w:val="24"/>
                <w:highlight w:val="none"/>
              </w:rPr>
            </w:pPr>
            <w:r>
              <w:rPr>
                <w:rFonts w:hint="eastAsia" w:ascii="宋体" w:hAnsi="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061" w:type="dxa"/>
            <w:vMerge w:val="continue"/>
            <w:tcBorders>
              <w:left w:val="single" w:color="auto" w:sz="4" w:space="0"/>
              <w:bottom w:val="single" w:color="auto" w:sz="4" w:space="0"/>
              <w:right w:val="single" w:color="auto" w:sz="4" w:space="0"/>
            </w:tcBorders>
            <w:noWrap w:val="0"/>
            <w:vAlign w:val="center"/>
          </w:tcPr>
          <w:p>
            <w:pPr>
              <w:widowControl/>
              <w:rPr>
                <w:rFonts w:ascii="宋体" w:hAnsi="宋体"/>
                <w:color w:val="auto"/>
                <w:sz w:val="24"/>
                <w:highlight w:val="none"/>
              </w:rPr>
            </w:pPr>
          </w:p>
        </w:tc>
        <w:tc>
          <w:tcPr>
            <w:tcW w:w="4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olor w:val="auto"/>
                <w:sz w:val="24"/>
                <w:highlight w:val="none"/>
              </w:rPr>
            </w:pPr>
            <w:r>
              <w:rPr>
                <w:rFonts w:hint="eastAsia" w:ascii="宋体" w:hAnsi="宋体" w:eastAsia="宋体"/>
                <w:color w:val="auto"/>
                <w:sz w:val="24"/>
                <w:highlight w:val="none"/>
                <w:lang w:val="en-US" w:eastAsia="zh-CN"/>
              </w:rPr>
              <w:t>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061"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ascii="宋体" w:hAnsi="宋体"/>
                <w:color w:val="auto"/>
                <w:sz w:val="24"/>
                <w:highlight w:val="none"/>
                <w:lang w:eastAsia="zh-CN"/>
              </w:rPr>
            </w:pPr>
            <w:r>
              <w:rPr>
                <w:rFonts w:hint="eastAsia" w:ascii="宋体" w:hAnsi="宋体"/>
                <w:color w:val="auto"/>
                <w:sz w:val="24"/>
                <w:highlight w:val="none"/>
                <w:lang w:eastAsia="zh-CN"/>
              </w:rPr>
              <w:t>其中：工程勘察费报价（元）</w:t>
            </w:r>
          </w:p>
        </w:tc>
        <w:tc>
          <w:tcPr>
            <w:tcW w:w="4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olor w:val="auto"/>
                <w:sz w:val="24"/>
                <w:highlight w:val="none"/>
              </w:rPr>
            </w:pPr>
            <w:r>
              <w:rPr>
                <w:rFonts w:hint="eastAsia" w:ascii="宋体" w:hAnsi="宋体"/>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061" w:type="dxa"/>
            <w:vMerge w:val="continue"/>
            <w:tcBorders>
              <w:left w:val="single" w:color="auto" w:sz="4" w:space="0"/>
              <w:right w:val="single" w:color="auto" w:sz="4" w:space="0"/>
            </w:tcBorders>
            <w:noWrap w:val="0"/>
            <w:vAlign w:val="center"/>
          </w:tcPr>
          <w:p>
            <w:pPr>
              <w:widowControl/>
              <w:rPr>
                <w:rFonts w:ascii="宋体" w:hAnsi="宋体"/>
                <w:color w:val="auto"/>
                <w:sz w:val="24"/>
                <w:highlight w:val="none"/>
              </w:rPr>
            </w:pPr>
          </w:p>
        </w:tc>
        <w:tc>
          <w:tcPr>
            <w:tcW w:w="4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olor w:val="auto"/>
                <w:sz w:val="24"/>
                <w:highlight w:val="none"/>
              </w:rPr>
            </w:pPr>
            <w:r>
              <w:rPr>
                <w:rFonts w:hint="eastAsia" w:ascii="宋体" w:hAnsi="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061" w:type="dxa"/>
            <w:vMerge w:val="continue"/>
            <w:tcBorders>
              <w:left w:val="single" w:color="auto" w:sz="4" w:space="0"/>
              <w:bottom w:val="single" w:color="auto" w:sz="4" w:space="0"/>
              <w:right w:val="single" w:color="auto" w:sz="4" w:space="0"/>
            </w:tcBorders>
            <w:noWrap w:val="0"/>
            <w:vAlign w:val="center"/>
          </w:tcPr>
          <w:p>
            <w:pPr>
              <w:widowControl/>
              <w:rPr>
                <w:rFonts w:ascii="宋体" w:hAnsi="宋体"/>
                <w:color w:val="auto"/>
                <w:sz w:val="24"/>
                <w:highlight w:val="none"/>
              </w:rPr>
            </w:pPr>
          </w:p>
        </w:tc>
        <w:tc>
          <w:tcPr>
            <w:tcW w:w="4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eastAsia="宋体"/>
                <w:color w:val="auto"/>
                <w:sz w:val="24"/>
                <w:highlight w:val="none"/>
                <w:lang w:val="en-US" w:eastAsia="zh-CN"/>
              </w:rPr>
            </w:pPr>
            <w:r>
              <w:rPr>
                <w:rFonts w:hint="eastAsia" w:ascii="宋体" w:hAnsi="宋体"/>
                <w:color w:val="auto"/>
                <w:sz w:val="24"/>
                <w:highlight w:val="none"/>
                <w:lang w:eastAsia="zh-CN"/>
              </w:rPr>
              <w:t>工程</w:t>
            </w:r>
            <w:r>
              <w:rPr>
                <w:rFonts w:hint="eastAsia" w:ascii="宋体" w:hAnsi="宋体" w:eastAsia="宋体"/>
                <w:color w:val="auto"/>
                <w:sz w:val="24"/>
                <w:highlight w:val="none"/>
                <w:lang w:val="en-US" w:eastAsia="zh-CN"/>
              </w:rPr>
              <w:t>勘察费下浮率：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061" w:type="dxa"/>
            <w:vMerge w:val="restart"/>
            <w:tcBorders>
              <w:top w:val="single" w:color="auto" w:sz="4" w:space="0"/>
              <w:left w:val="single" w:color="auto" w:sz="4" w:space="0"/>
              <w:right w:val="single" w:color="auto" w:sz="4" w:space="0"/>
            </w:tcBorders>
            <w:noWrap w:val="0"/>
            <w:vAlign w:val="center"/>
          </w:tcPr>
          <w:p>
            <w:pPr>
              <w:autoSpaceDE w:val="0"/>
              <w:autoSpaceDN w:val="0"/>
              <w:adjustRightInd w:val="0"/>
              <w:jc w:val="center"/>
              <w:rPr>
                <w:rFonts w:ascii="宋体" w:hAnsi="宋体"/>
                <w:color w:val="auto"/>
                <w:sz w:val="24"/>
                <w:highlight w:val="none"/>
                <w:lang w:eastAsia="zh-CN"/>
              </w:rPr>
            </w:pPr>
            <w:r>
              <w:rPr>
                <w:rFonts w:hint="eastAsia" w:ascii="宋体" w:hAnsi="宋体"/>
                <w:color w:val="auto"/>
                <w:sz w:val="24"/>
                <w:highlight w:val="none"/>
                <w:lang w:eastAsia="zh-CN"/>
              </w:rPr>
              <w:t>其中：工程设计费报价（元）</w:t>
            </w:r>
          </w:p>
        </w:tc>
        <w:tc>
          <w:tcPr>
            <w:tcW w:w="480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hAnsi="宋体"/>
                <w:color w:val="auto"/>
                <w:sz w:val="24"/>
                <w:highlight w:val="none"/>
              </w:rPr>
            </w:pPr>
            <w:r>
              <w:rPr>
                <w:rFonts w:hint="eastAsia" w:ascii="宋体" w:hAnsi="宋体"/>
                <w:color w:val="auto"/>
                <w:sz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061" w:type="dxa"/>
            <w:vMerge w:val="continue"/>
            <w:tcBorders>
              <w:left w:val="single" w:color="auto" w:sz="4" w:space="0"/>
              <w:right w:val="single" w:color="auto" w:sz="4" w:space="0"/>
            </w:tcBorders>
            <w:noWrap w:val="0"/>
            <w:vAlign w:val="center"/>
          </w:tcPr>
          <w:p>
            <w:pPr>
              <w:widowControl/>
              <w:rPr>
                <w:rFonts w:ascii="宋体" w:hAnsi="宋体"/>
                <w:color w:val="auto"/>
                <w:sz w:val="24"/>
                <w:highlight w:val="none"/>
              </w:rPr>
            </w:pPr>
          </w:p>
        </w:tc>
        <w:tc>
          <w:tcPr>
            <w:tcW w:w="480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rPr>
                <w:rFonts w:ascii="宋体" w:hAnsi="宋体"/>
                <w:color w:val="auto"/>
                <w:sz w:val="24"/>
                <w:highlight w:val="none"/>
              </w:rPr>
            </w:pPr>
            <w:r>
              <w:rPr>
                <w:rFonts w:hint="eastAsia" w:ascii="宋体" w:hAnsi="宋体"/>
                <w:color w:val="auto"/>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061" w:type="dxa"/>
            <w:vMerge w:val="continue"/>
            <w:tcBorders>
              <w:left w:val="single" w:color="auto" w:sz="4" w:space="0"/>
              <w:bottom w:val="single" w:color="auto" w:sz="4" w:space="0"/>
              <w:right w:val="single" w:color="auto" w:sz="4" w:space="0"/>
            </w:tcBorders>
            <w:noWrap w:val="0"/>
            <w:vAlign w:val="center"/>
          </w:tcPr>
          <w:p>
            <w:pPr>
              <w:widowControl/>
              <w:rPr>
                <w:rFonts w:ascii="宋体" w:hAnsi="宋体"/>
                <w:color w:val="auto"/>
                <w:sz w:val="24"/>
                <w:highlight w:val="none"/>
              </w:rPr>
            </w:pPr>
          </w:p>
        </w:tc>
        <w:tc>
          <w:tcPr>
            <w:tcW w:w="480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rPr>
                <w:rFonts w:hint="eastAsia" w:ascii="宋体" w:hAnsi="宋体"/>
                <w:color w:val="auto"/>
                <w:sz w:val="24"/>
                <w:highlight w:val="none"/>
              </w:rPr>
            </w:pPr>
            <w:r>
              <w:rPr>
                <w:rFonts w:hint="eastAsia" w:ascii="宋体" w:hAnsi="宋体"/>
                <w:color w:val="auto"/>
                <w:sz w:val="24"/>
                <w:highlight w:val="none"/>
                <w:lang w:eastAsia="zh-CN"/>
              </w:rPr>
              <w:t>工程</w:t>
            </w:r>
            <w:r>
              <w:rPr>
                <w:rFonts w:hint="eastAsia" w:ascii="宋体" w:hAnsi="宋体" w:eastAsia="宋体"/>
                <w:color w:val="auto"/>
                <w:sz w:val="24"/>
                <w:highlight w:val="none"/>
                <w:lang w:val="en-US" w:eastAsia="zh-CN"/>
              </w:rPr>
              <w:t>设计费下浮率：</w:t>
            </w:r>
          </w:p>
        </w:tc>
      </w:tr>
    </w:tbl>
    <w:p>
      <w:pPr>
        <w:pStyle w:val="2"/>
        <w:rPr>
          <w:rFonts w:hint="eastAsia" w:ascii="宋体" w:hAnsi="宋体"/>
          <w:b w:val="0"/>
          <w:bCs w:val="0"/>
          <w:color w:val="auto"/>
          <w:sz w:val="24"/>
          <w:highlight w:val="none"/>
          <w:lang w:eastAsia="zh-CN"/>
        </w:rPr>
      </w:pPr>
      <w:r>
        <w:rPr>
          <w:rFonts w:hint="eastAsia" w:ascii="宋体" w:hAnsi="宋体"/>
          <w:b w:val="0"/>
          <w:bCs w:val="0"/>
          <w:color w:val="auto"/>
          <w:sz w:val="24"/>
          <w:highlight w:val="none"/>
          <w:lang w:eastAsia="zh-CN"/>
        </w:rPr>
        <w:t>注：</w:t>
      </w:r>
    </w:p>
    <w:p>
      <w:pPr>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1、</w:t>
      </w:r>
      <w:r>
        <w:rPr>
          <w:rFonts w:hint="eastAsia" w:ascii="宋体" w:hAnsi="宋体"/>
          <w:color w:val="auto"/>
          <w:sz w:val="24"/>
          <w:highlight w:val="none"/>
          <w:lang w:eastAsia="zh-CN"/>
        </w:rPr>
        <w:t>工程</w:t>
      </w:r>
      <w:r>
        <w:rPr>
          <w:rFonts w:hint="eastAsia" w:ascii="宋体" w:hAnsi="宋体"/>
          <w:b w:val="0"/>
          <w:bCs w:val="0"/>
          <w:color w:val="auto"/>
          <w:sz w:val="24"/>
          <w:highlight w:val="none"/>
          <w:lang w:val="en-US" w:eastAsia="zh-CN"/>
        </w:rPr>
        <w:t>勘察费下浮率=【1-（</w:t>
      </w:r>
      <w:r>
        <w:rPr>
          <w:rFonts w:hint="eastAsia" w:ascii="宋体" w:hAnsi="宋体"/>
          <w:color w:val="auto"/>
          <w:sz w:val="24"/>
          <w:highlight w:val="none"/>
          <w:lang w:eastAsia="zh-CN"/>
        </w:rPr>
        <w:t>工程</w:t>
      </w:r>
      <w:r>
        <w:rPr>
          <w:rFonts w:hint="eastAsia" w:ascii="宋体" w:hAnsi="宋体"/>
          <w:b w:val="0"/>
          <w:bCs w:val="0"/>
          <w:color w:val="auto"/>
          <w:sz w:val="24"/>
          <w:highlight w:val="none"/>
          <w:lang w:val="en-US" w:eastAsia="zh-CN"/>
        </w:rPr>
        <w:t>勘察费投标报价÷</w:t>
      </w:r>
      <w:r>
        <w:rPr>
          <w:rFonts w:hint="eastAsia" w:ascii="宋体" w:hAnsi="宋体"/>
          <w:color w:val="auto"/>
          <w:sz w:val="24"/>
          <w:highlight w:val="none"/>
          <w:lang w:eastAsia="zh-CN"/>
        </w:rPr>
        <w:t>工程</w:t>
      </w:r>
      <w:r>
        <w:rPr>
          <w:rFonts w:hint="eastAsia" w:ascii="宋体" w:hAnsi="宋体"/>
          <w:b w:val="0"/>
          <w:bCs w:val="0"/>
          <w:color w:val="auto"/>
          <w:sz w:val="24"/>
          <w:highlight w:val="none"/>
          <w:lang w:val="en-US" w:eastAsia="zh-CN"/>
        </w:rPr>
        <w:t>勘察费招标控制价）】×100%</w:t>
      </w:r>
    </w:p>
    <w:p>
      <w:pPr>
        <w:rPr>
          <w:rFonts w:hint="eastAsia"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2、</w:t>
      </w:r>
      <w:r>
        <w:rPr>
          <w:rFonts w:hint="eastAsia" w:ascii="宋体" w:hAnsi="宋体"/>
          <w:color w:val="auto"/>
          <w:sz w:val="24"/>
          <w:highlight w:val="none"/>
          <w:lang w:eastAsia="zh-CN"/>
        </w:rPr>
        <w:t>工程</w:t>
      </w:r>
      <w:r>
        <w:rPr>
          <w:rFonts w:hint="eastAsia" w:ascii="宋体" w:hAnsi="宋体"/>
          <w:b w:val="0"/>
          <w:bCs w:val="0"/>
          <w:color w:val="auto"/>
          <w:sz w:val="24"/>
          <w:highlight w:val="none"/>
          <w:lang w:val="en-US" w:eastAsia="zh-CN"/>
        </w:rPr>
        <w:t>设计费下浮率=【1-（</w:t>
      </w:r>
      <w:r>
        <w:rPr>
          <w:rFonts w:hint="eastAsia" w:ascii="宋体" w:hAnsi="宋体"/>
          <w:color w:val="auto"/>
          <w:sz w:val="24"/>
          <w:highlight w:val="none"/>
          <w:lang w:eastAsia="zh-CN"/>
        </w:rPr>
        <w:t>工程</w:t>
      </w:r>
      <w:r>
        <w:rPr>
          <w:rFonts w:hint="eastAsia" w:ascii="宋体" w:hAnsi="宋体"/>
          <w:b w:val="0"/>
          <w:bCs w:val="0"/>
          <w:color w:val="auto"/>
          <w:sz w:val="24"/>
          <w:highlight w:val="none"/>
          <w:lang w:val="en-US" w:eastAsia="zh-CN"/>
        </w:rPr>
        <w:t>设计费投标报价÷</w:t>
      </w:r>
      <w:r>
        <w:rPr>
          <w:rFonts w:hint="eastAsia" w:ascii="宋体" w:hAnsi="宋体"/>
          <w:color w:val="auto"/>
          <w:sz w:val="24"/>
          <w:highlight w:val="none"/>
          <w:lang w:eastAsia="zh-CN"/>
        </w:rPr>
        <w:t>工程</w:t>
      </w:r>
      <w:r>
        <w:rPr>
          <w:rFonts w:hint="eastAsia" w:ascii="宋体" w:hAnsi="宋体"/>
          <w:b w:val="0"/>
          <w:bCs w:val="0"/>
          <w:color w:val="auto"/>
          <w:sz w:val="24"/>
          <w:highlight w:val="none"/>
          <w:lang w:val="en-US" w:eastAsia="zh-CN"/>
        </w:rPr>
        <w:t>设计费招标控制价）】×100%</w:t>
      </w:r>
    </w:p>
    <w:p>
      <w:pPr>
        <w:rPr>
          <w:rFonts w:hint="eastAsia" w:ascii="宋体" w:hAnsi="宋体"/>
          <w:b w:val="0"/>
          <w:bCs w:val="0"/>
          <w:color w:val="auto"/>
          <w:sz w:val="24"/>
          <w:highlight w:val="none"/>
          <w:lang w:eastAsia="zh-CN"/>
        </w:rPr>
      </w:pPr>
      <w:r>
        <w:rPr>
          <w:rFonts w:hint="eastAsia" w:ascii="宋体" w:hAnsi="宋体"/>
          <w:b w:val="0"/>
          <w:bCs w:val="0"/>
          <w:color w:val="auto"/>
          <w:sz w:val="24"/>
          <w:highlight w:val="none"/>
          <w:lang w:val="en-US" w:eastAsia="zh-CN"/>
        </w:rPr>
        <w:t>3、</w:t>
      </w:r>
      <w:r>
        <w:rPr>
          <w:rFonts w:hint="eastAsia" w:ascii="宋体" w:hAnsi="宋体"/>
          <w:b w:val="0"/>
          <w:bCs w:val="0"/>
          <w:color w:val="auto"/>
          <w:sz w:val="24"/>
          <w:highlight w:val="none"/>
          <w:lang w:eastAsia="zh-CN"/>
        </w:rPr>
        <w:t>投标总报价的大写金额和小写金额不一致的，以大写金额为准。</w:t>
      </w:r>
    </w:p>
    <w:p>
      <w:pPr>
        <w:rPr>
          <w:rFonts w:hint="eastAsia" w:ascii="宋体" w:hAnsi="宋体" w:cs="Times New Roman"/>
          <w:color w:val="auto"/>
          <w:sz w:val="24"/>
          <w:highlight w:val="none"/>
          <w:lang w:val="en-US" w:eastAsia="zh-CN"/>
        </w:rPr>
      </w:pPr>
      <w:r>
        <w:rPr>
          <w:rFonts w:hint="eastAsia"/>
          <w:color w:val="auto"/>
          <w:highlight w:val="none"/>
          <w:lang w:val="en-US" w:eastAsia="zh-CN"/>
        </w:rPr>
        <w:t>4、</w:t>
      </w:r>
      <w:r>
        <w:rPr>
          <w:rFonts w:hint="eastAsia" w:ascii="宋体" w:hAnsi="宋体" w:cs="Times New Roman"/>
          <w:color w:val="auto"/>
          <w:sz w:val="24"/>
          <w:highlight w:val="none"/>
          <w:lang w:val="en-US" w:eastAsia="zh-CN"/>
        </w:rPr>
        <w:t>岩土工程勘探综合费，按广州开发区政府投资建设项目管理“中心关于印发《广州开发区、萝岗区政府投资建设项目岩土工程勘探综合费取费标准》的通知（穗开建管【2014】1号）”计取，工程测量费及工程物探费按国家计委、建设部颁发的《工程勘察设计收费标准》(计价格[2002]10 号文)计取（其中用于办理规划报建用地预审、规划国土等手续的 1:500 地形测量收费标准按国家测绘局颁发的国家测绘产品价格收费标准计取）。</w:t>
      </w:r>
    </w:p>
    <w:p>
      <w:pPr>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5、设计费按国家计委、建设部颁发的《工程勘察设计收费标准》(计价格[2002]10 号)及穗开财字【2014】53 号计取。</w:t>
      </w:r>
    </w:p>
    <w:p>
      <w:pPr>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6、投标下浮率为固定值，精确到小数点后两位，其中工程勘察费范围：30%≤投标下浮率&lt;100%，工程设计费范围：20%≤投标下浮率&lt;100%。凡超过投标下浮率范围的投标报价均价视为无效报价，由评标委员作废标处理。</w:t>
      </w:r>
    </w:p>
    <w:p>
      <w:pP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7、投标人需根据本项目概况和结合自身情况自行细化工程勘察费，列出工程勘察费具体的工程量清单，清单包含具体工作内容、工程量、单价及合价等内容，工程量及单价仅作为支付进度款的依据，不作为结算评审的依据。</w:t>
      </w:r>
    </w:p>
    <w:p>
      <w:pPr>
        <w:rPr>
          <w:rFonts w:hint="default" w:ascii="宋体" w:hAnsi="宋体"/>
          <w:color w:val="auto"/>
          <w:sz w:val="24"/>
          <w:highlight w:val="none"/>
          <w:lang w:val="en-US" w:eastAsia="zh-CN"/>
        </w:rPr>
      </w:pPr>
      <w:r>
        <w:rPr>
          <w:rFonts w:hint="eastAsia" w:ascii="宋体" w:hAnsi="宋体"/>
          <w:color w:val="auto"/>
          <w:sz w:val="24"/>
          <w:highlight w:val="none"/>
          <w:lang w:val="en-US" w:eastAsia="zh-CN"/>
        </w:rPr>
        <w:t>8、设计收费在合同实施期间设计费总价包干，不因设计工作量调整及工程造价的变化而变化。设计费已包含了后续项目变更的设计工作量，项目概算内产生的变更调整不再另行增加设计费。</w:t>
      </w:r>
    </w:p>
    <w:p>
      <w:pPr>
        <w:pStyle w:val="18"/>
        <w:ind w:left="440" w:firstLine="400"/>
        <w:rPr>
          <w:color w:val="auto"/>
          <w:highlight w:val="none"/>
          <w:lang w:eastAsia="zh-CN"/>
        </w:rPr>
      </w:pPr>
    </w:p>
    <w:p>
      <w:pPr>
        <w:pStyle w:val="18"/>
        <w:ind w:left="440" w:firstLine="400"/>
        <w:rPr>
          <w:color w:val="auto"/>
          <w:highlight w:val="none"/>
          <w:lang w:eastAsia="zh-CN"/>
        </w:rPr>
      </w:pPr>
    </w:p>
    <w:p>
      <w:pPr>
        <w:pStyle w:val="18"/>
        <w:ind w:left="440" w:firstLine="400"/>
        <w:rPr>
          <w:color w:val="auto"/>
          <w:highlight w:val="none"/>
          <w:lang w:eastAsia="zh-CN"/>
        </w:rPr>
      </w:pPr>
    </w:p>
    <w:p>
      <w:pPr>
        <w:pStyle w:val="18"/>
        <w:ind w:left="440" w:firstLine="400"/>
        <w:rPr>
          <w:color w:val="auto"/>
          <w:highlight w:val="none"/>
          <w:lang w:eastAsia="zh-CN"/>
        </w:rPr>
      </w:pPr>
    </w:p>
    <w:p>
      <w:pPr>
        <w:pStyle w:val="18"/>
        <w:ind w:left="440" w:firstLine="400"/>
        <w:rPr>
          <w:color w:val="auto"/>
          <w:highlight w:val="none"/>
          <w:lang w:eastAsia="zh-CN"/>
        </w:rPr>
      </w:pPr>
    </w:p>
    <w:p>
      <w:pPr>
        <w:pStyle w:val="18"/>
        <w:ind w:left="440" w:firstLine="400"/>
        <w:rPr>
          <w:color w:val="auto"/>
          <w:highlight w:val="none"/>
          <w:lang w:eastAsia="zh-CN"/>
        </w:rPr>
      </w:pPr>
    </w:p>
    <w:p>
      <w:pPr>
        <w:pStyle w:val="18"/>
        <w:ind w:left="440" w:firstLine="400"/>
        <w:rPr>
          <w:color w:val="auto"/>
          <w:highlight w:val="none"/>
          <w:lang w:eastAsia="zh-CN"/>
        </w:rPr>
      </w:pPr>
    </w:p>
    <w:p>
      <w:pPr>
        <w:pStyle w:val="18"/>
        <w:ind w:left="440" w:firstLine="400"/>
        <w:rPr>
          <w:color w:val="auto"/>
          <w:highlight w:val="none"/>
          <w:lang w:eastAsia="zh-CN"/>
        </w:rPr>
      </w:pPr>
    </w:p>
    <w:p>
      <w:pPr>
        <w:pStyle w:val="18"/>
        <w:ind w:left="440" w:firstLine="400"/>
        <w:rPr>
          <w:color w:val="auto"/>
          <w:highlight w:val="none"/>
          <w:lang w:eastAsia="zh-CN"/>
        </w:rPr>
      </w:pPr>
    </w:p>
    <w:p>
      <w:pPr>
        <w:pStyle w:val="18"/>
        <w:ind w:left="440" w:firstLine="400"/>
        <w:rPr>
          <w:color w:val="auto"/>
          <w:highlight w:val="none"/>
          <w:lang w:eastAsia="zh-CN"/>
        </w:rPr>
      </w:pPr>
    </w:p>
    <w:p>
      <w:pPr>
        <w:pStyle w:val="18"/>
        <w:ind w:left="440" w:firstLine="400"/>
        <w:rPr>
          <w:color w:val="auto"/>
          <w:highlight w:val="none"/>
          <w:lang w:eastAsia="zh-CN"/>
        </w:rPr>
      </w:pPr>
    </w:p>
    <w:p>
      <w:pPr>
        <w:pStyle w:val="18"/>
        <w:ind w:left="440" w:firstLine="400"/>
        <w:rPr>
          <w:color w:val="auto"/>
          <w:highlight w:val="none"/>
          <w:lang w:eastAsia="zh-CN"/>
        </w:rPr>
      </w:pPr>
    </w:p>
    <w:p>
      <w:pPr>
        <w:pStyle w:val="3"/>
        <w:rPr>
          <w:rFonts w:ascii="宋体" w:hAnsi="宋体" w:eastAsia="宋体"/>
          <w:color w:val="auto"/>
          <w:sz w:val="21"/>
          <w:szCs w:val="21"/>
          <w:highlight w:val="none"/>
          <w:lang w:eastAsia="zh-CN"/>
        </w:rPr>
      </w:pPr>
      <w:bookmarkStart w:id="93" w:name="_Toc25072145"/>
      <w:bookmarkStart w:id="94" w:name="_Toc109809409"/>
      <w:bookmarkStart w:id="95" w:name="_Toc109809448"/>
      <w:r>
        <w:rPr>
          <w:rFonts w:hint="eastAsia" w:ascii="宋体" w:hAnsi="宋体" w:eastAsia="宋体"/>
          <w:color w:val="auto"/>
          <w:sz w:val="21"/>
          <w:szCs w:val="21"/>
          <w:highlight w:val="none"/>
          <w:lang w:eastAsia="zh-CN"/>
        </w:rPr>
        <w:t xml:space="preserve">格式六  </w:t>
      </w:r>
      <w:bookmarkEnd w:id="93"/>
      <w:r>
        <w:rPr>
          <w:rFonts w:hint="eastAsia" w:ascii="宋体" w:hAnsi="宋体" w:eastAsia="宋体"/>
          <w:color w:val="auto"/>
          <w:sz w:val="21"/>
          <w:szCs w:val="21"/>
          <w:highlight w:val="none"/>
          <w:lang w:eastAsia="zh-CN"/>
        </w:rPr>
        <w:t>本项目拟投入的人员基本情况表</w:t>
      </w:r>
      <w:bookmarkEnd w:id="94"/>
      <w:bookmarkEnd w:id="95"/>
    </w:p>
    <w:p>
      <w:pPr>
        <w:jc w:val="center"/>
        <w:rPr>
          <w:rFonts w:ascii="宋体" w:hAnsi="宋体" w:eastAsia="宋体"/>
          <w:color w:val="auto"/>
          <w:highlight w:val="none"/>
          <w:lang w:eastAsia="zh-CN"/>
        </w:rPr>
      </w:pPr>
      <w:r>
        <w:rPr>
          <w:rFonts w:hint="eastAsia" w:ascii="宋体" w:hAnsi="宋体" w:eastAsia="宋体"/>
          <w:color w:val="auto"/>
          <w:highlight w:val="none"/>
          <w:lang w:eastAsia="zh-CN"/>
        </w:rPr>
        <w:t>　　　　　　　　　　　　</w:t>
      </w:r>
    </w:p>
    <w:p>
      <w:pPr>
        <w:rPr>
          <w:rFonts w:ascii="宋体" w:hAnsi="宋体" w:eastAsia="宋体"/>
          <w:b/>
          <w:bCs/>
          <w:color w:val="auto"/>
          <w:sz w:val="32"/>
          <w:szCs w:val="32"/>
          <w:highlight w:val="none"/>
          <w:lang w:eastAsia="zh-CN"/>
        </w:rPr>
      </w:pPr>
      <w:r>
        <w:rPr>
          <w:rFonts w:hint="eastAsia" w:ascii="宋体" w:hAnsi="宋体" w:eastAsia="宋体"/>
          <w:color w:val="auto"/>
          <w:highlight w:val="none"/>
          <w:lang w:eastAsia="zh-CN"/>
        </w:rPr>
        <w:t>　　　　　　　　　　　</w:t>
      </w:r>
      <w:r>
        <w:rPr>
          <w:rFonts w:hint="eastAsia" w:ascii="宋体" w:hAnsi="宋体" w:eastAsia="宋体"/>
          <w:b/>
          <w:bCs/>
          <w:color w:val="auto"/>
          <w:sz w:val="32"/>
          <w:szCs w:val="32"/>
          <w:highlight w:val="none"/>
          <w:lang w:eastAsia="zh-CN"/>
        </w:rPr>
        <w:t>本项目拟投入的人员基本情况表</w:t>
      </w:r>
    </w:p>
    <w:tbl>
      <w:tblPr>
        <w:tblStyle w:val="1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1880"/>
        <w:gridCol w:w="831"/>
        <w:gridCol w:w="868"/>
        <w:gridCol w:w="1130"/>
        <w:gridCol w:w="2055"/>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33" w:type="pct"/>
            <w:noWrap w:val="0"/>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18" w:type="pct"/>
            <w:noWrap w:val="0"/>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人员安排分工</w:t>
            </w:r>
          </w:p>
        </w:tc>
        <w:tc>
          <w:tcPr>
            <w:tcW w:w="450" w:type="pct"/>
            <w:noWrap w:val="0"/>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470" w:type="pct"/>
            <w:noWrap w:val="0"/>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工龄（年）</w:t>
            </w:r>
          </w:p>
        </w:tc>
        <w:tc>
          <w:tcPr>
            <w:tcW w:w="612" w:type="pct"/>
            <w:noWrap w:val="0"/>
            <w:vAlign w:val="center"/>
          </w:tcPr>
          <w:p>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人数</w:t>
            </w:r>
          </w:p>
        </w:tc>
        <w:tc>
          <w:tcPr>
            <w:tcW w:w="1112" w:type="pct"/>
            <w:noWrap w:val="0"/>
            <w:vAlign w:val="center"/>
          </w:tcPr>
          <w:p>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职务、执业资格、专业职称</w:t>
            </w:r>
          </w:p>
        </w:tc>
        <w:tc>
          <w:tcPr>
            <w:tcW w:w="1105" w:type="pct"/>
            <w:noWrap w:val="0"/>
            <w:vAlign w:val="center"/>
          </w:tcPr>
          <w:p>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已完成类似的项目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3" w:type="pct"/>
            <w:noWrap w:val="0"/>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18" w:type="pct"/>
            <w:noWrap w:val="0"/>
            <w:vAlign w:val="center"/>
          </w:tcPr>
          <w:p>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项目负责人</w:t>
            </w:r>
          </w:p>
        </w:tc>
        <w:tc>
          <w:tcPr>
            <w:tcW w:w="450" w:type="pct"/>
            <w:noWrap w:val="0"/>
            <w:vAlign w:val="center"/>
          </w:tcPr>
          <w:p>
            <w:pPr>
              <w:jc w:val="center"/>
              <w:rPr>
                <w:rFonts w:ascii="宋体" w:hAnsi="宋体" w:eastAsia="宋体" w:cs="宋体"/>
                <w:color w:val="auto"/>
                <w:sz w:val="21"/>
                <w:szCs w:val="21"/>
                <w:highlight w:val="none"/>
                <w:lang w:eastAsia="zh-CN"/>
              </w:rPr>
            </w:pPr>
          </w:p>
        </w:tc>
        <w:tc>
          <w:tcPr>
            <w:tcW w:w="470" w:type="pct"/>
            <w:noWrap w:val="0"/>
            <w:vAlign w:val="center"/>
          </w:tcPr>
          <w:p>
            <w:pPr>
              <w:jc w:val="center"/>
              <w:rPr>
                <w:rFonts w:ascii="宋体" w:hAnsi="宋体" w:eastAsia="宋体" w:cs="宋体"/>
                <w:color w:val="auto"/>
                <w:sz w:val="21"/>
                <w:szCs w:val="21"/>
                <w:highlight w:val="none"/>
              </w:rPr>
            </w:pPr>
          </w:p>
        </w:tc>
        <w:tc>
          <w:tcPr>
            <w:tcW w:w="612" w:type="pct"/>
            <w:noWrap w:val="0"/>
            <w:vAlign w:val="center"/>
          </w:tcPr>
          <w:p>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1112" w:type="pct"/>
            <w:noWrap w:val="0"/>
            <w:vAlign w:val="center"/>
          </w:tcPr>
          <w:p>
            <w:pPr>
              <w:jc w:val="center"/>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满足招标公告要求</w:t>
            </w:r>
          </w:p>
        </w:tc>
        <w:tc>
          <w:tcPr>
            <w:tcW w:w="1105" w:type="pct"/>
            <w:noWrap w:val="0"/>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33" w:type="pct"/>
            <w:noWrap w:val="0"/>
            <w:vAlign w:val="center"/>
          </w:tcPr>
          <w:p>
            <w:pPr>
              <w:jc w:val="center"/>
              <w:rPr>
                <w:rFonts w:ascii="宋体" w:hAnsi="宋体" w:eastAsia="宋体" w:cs="宋体"/>
                <w:color w:val="auto"/>
                <w:sz w:val="21"/>
                <w:szCs w:val="21"/>
                <w:highlight w:val="none"/>
              </w:rPr>
            </w:pPr>
          </w:p>
        </w:tc>
        <w:tc>
          <w:tcPr>
            <w:tcW w:w="1018" w:type="pct"/>
            <w:noWrap w:val="0"/>
            <w:vAlign w:val="center"/>
          </w:tcPr>
          <w:p>
            <w:pPr>
              <w:jc w:val="center"/>
              <w:rPr>
                <w:rFonts w:ascii="宋体" w:hAnsi="宋体" w:eastAsia="宋体" w:cs="宋体"/>
                <w:color w:val="auto"/>
                <w:sz w:val="21"/>
                <w:szCs w:val="21"/>
                <w:highlight w:val="none"/>
                <w:lang w:eastAsia="zh-CN"/>
              </w:rPr>
            </w:pPr>
          </w:p>
        </w:tc>
        <w:tc>
          <w:tcPr>
            <w:tcW w:w="450" w:type="pct"/>
            <w:noWrap w:val="0"/>
            <w:vAlign w:val="center"/>
          </w:tcPr>
          <w:p>
            <w:pPr>
              <w:jc w:val="center"/>
              <w:rPr>
                <w:rFonts w:ascii="宋体" w:hAnsi="宋体" w:eastAsia="宋体" w:cs="宋体"/>
                <w:color w:val="auto"/>
                <w:sz w:val="21"/>
                <w:szCs w:val="21"/>
                <w:highlight w:val="none"/>
                <w:lang w:eastAsia="zh-CN"/>
              </w:rPr>
            </w:pPr>
          </w:p>
        </w:tc>
        <w:tc>
          <w:tcPr>
            <w:tcW w:w="470" w:type="pct"/>
            <w:noWrap w:val="0"/>
            <w:vAlign w:val="center"/>
          </w:tcPr>
          <w:p>
            <w:pPr>
              <w:jc w:val="center"/>
              <w:rPr>
                <w:rFonts w:ascii="宋体" w:hAnsi="宋体" w:eastAsia="宋体" w:cs="宋体"/>
                <w:color w:val="auto"/>
                <w:sz w:val="21"/>
                <w:szCs w:val="21"/>
                <w:highlight w:val="none"/>
                <w:lang w:eastAsia="zh-CN"/>
              </w:rPr>
            </w:pPr>
          </w:p>
        </w:tc>
        <w:tc>
          <w:tcPr>
            <w:tcW w:w="612" w:type="pct"/>
            <w:noWrap w:val="0"/>
            <w:vAlign w:val="center"/>
          </w:tcPr>
          <w:p>
            <w:pPr>
              <w:jc w:val="center"/>
              <w:rPr>
                <w:rFonts w:ascii="宋体" w:hAnsi="宋体" w:eastAsia="宋体" w:cs="宋体"/>
                <w:color w:val="auto"/>
                <w:sz w:val="21"/>
                <w:szCs w:val="21"/>
                <w:highlight w:val="none"/>
                <w:lang w:eastAsia="zh-CN"/>
              </w:rPr>
            </w:pPr>
          </w:p>
        </w:tc>
        <w:tc>
          <w:tcPr>
            <w:tcW w:w="1112" w:type="pct"/>
            <w:noWrap w:val="0"/>
            <w:vAlign w:val="center"/>
          </w:tcPr>
          <w:p>
            <w:pPr>
              <w:jc w:val="center"/>
              <w:rPr>
                <w:rFonts w:ascii="宋体" w:hAnsi="宋体" w:eastAsia="宋体" w:cs="宋体"/>
                <w:color w:val="auto"/>
                <w:sz w:val="21"/>
                <w:szCs w:val="21"/>
                <w:highlight w:val="none"/>
                <w:lang w:eastAsia="zh-CN"/>
              </w:rPr>
            </w:pPr>
          </w:p>
        </w:tc>
        <w:tc>
          <w:tcPr>
            <w:tcW w:w="1105" w:type="pct"/>
            <w:noWrap w:val="0"/>
            <w:vAlign w:val="center"/>
          </w:tcPr>
          <w:p>
            <w:pPr>
              <w:jc w:val="center"/>
              <w:rPr>
                <w:rFonts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33" w:type="pct"/>
            <w:noWrap w:val="0"/>
            <w:vAlign w:val="center"/>
          </w:tcPr>
          <w:p>
            <w:pPr>
              <w:jc w:val="center"/>
              <w:rPr>
                <w:rFonts w:ascii="宋体" w:hAnsi="宋体" w:eastAsia="宋体" w:cs="宋体"/>
                <w:color w:val="auto"/>
                <w:sz w:val="21"/>
                <w:szCs w:val="21"/>
                <w:highlight w:val="none"/>
              </w:rPr>
            </w:pPr>
          </w:p>
        </w:tc>
        <w:tc>
          <w:tcPr>
            <w:tcW w:w="1018" w:type="pct"/>
            <w:noWrap w:val="0"/>
            <w:vAlign w:val="center"/>
          </w:tcPr>
          <w:p>
            <w:pPr>
              <w:jc w:val="center"/>
              <w:rPr>
                <w:rFonts w:ascii="宋体" w:hAnsi="宋体" w:eastAsia="宋体" w:cs="宋体"/>
                <w:color w:val="auto"/>
                <w:sz w:val="21"/>
                <w:szCs w:val="21"/>
                <w:highlight w:val="none"/>
                <w:lang w:eastAsia="zh-CN"/>
              </w:rPr>
            </w:pPr>
          </w:p>
        </w:tc>
        <w:tc>
          <w:tcPr>
            <w:tcW w:w="450" w:type="pct"/>
            <w:noWrap w:val="0"/>
            <w:vAlign w:val="center"/>
          </w:tcPr>
          <w:p>
            <w:pPr>
              <w:jc w:val="center"/>
              <w:rPr>
                <w:rFonts w:ascii="宋体" w:hAnsi="宋体" w:eastAsia="宋体" w:cs="宋体"/>
                <w:color w:val="auto"/>
                <w:sz w:val="21"/>
                <w:szCs w:val="21"/>
                <w:highlight w:val="none"/>
                <w:lang w:eastAsia="zh-CN"/>
              </w:rPr>
            </w:pPr>
          </w:p>
        </w:tc>
        <w:tc>
          <w:tcPr>
            <w:tcW w:w="470" w:type="pct"/>
            <w:noWrap w:val="0"/>
            <w:vAlign w:val="center"/>
          </w:tcPr>
          <w:p>
            <w:pPr>
              <w:jc w:val="center"/>
              <w:rPr>
                <w:rFonts w:ascii="宋体" w:hAnsi="宋体" w:eastAsia="宋体" w:cs="宋体"/>
                <w:color w:val="auto"/>
                <w:sz w:val="21"/>
                <w:szCs w:val="21"/>
                <w:highlight w:val="none"/>
                <w:lang w:eastAsia="zh-CN"/>
              </w:rPr>
            </w:pPr>
          </w:p>
        </w:tc>
        <w:tc>
          <w:tcPr>
            <w:tcW w:w="612" w:type="pct"/>
            <w:noWrap w:val="0"/>
            <w:vAlign w:val="center"/>
          </w:tcPr>
          <w:p>
            <w:pPr>
              <w:jc w:val="center"/>
              <w:rPr>
                <w:rFonts w:ascii="宋体" w:hAnsi="宋体" w:eastAsia="宋体" w:cs="宋体"/>
                <w:color w:val="auto"/>
                <w:sz w:val="21"/>
                <w:szCs w:val="21"/>
                <w:highlight w:val="none"/>
                <w:lang w:eastAsia="zh-CN"/>
              </w:rPr>
            </w:pPr>
          </w:p>
        </w:tc>
        <w:tc>
          <w:tcPr>
            <w:tcW w:w="1112" w:type="pct"/>
            <w:noWrap w:val="0"/>
            <w:vAlign w:val="center"/>
          </w:tcPr>
          <w:p>
            <w:pPr>
              <w:jc w:val="center"/>
              <w:rPr>
                <w:rFonts w:ascii="宋体" w:hAnsi="宋体" w:eastAsia="宋体" w:cs="宋体"/>
                <w:color w:val="auto"/>
                <w:sz w:val="21"/>
                <w:szCs w:val="21"/>
                <w:highlight w:val="none"/>
                <w:lang w:eastAsia="zh-CN"/>
              </w:rPr>
            </w:pPr>
          </w:p>
        </w:tc>
        <w:tc>
          <w:tcPr>
            <w:tcW w:w="1105" w:type="pct"/>
            <w:noWrap w:val="0"/>
            <w:vAlign w:val="center"/>
          </w:tcPr>
          <w:p>
            <w:pPr>
              <w:jc w:val="center"/>
              <w:rPr>
                <w:rFonts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33" w:type="pct"/>
            <w:noWrap w:val="0"/>
            <w:vAlign w:val="center"/>
          </w:tcPr>
          <w:p>
            <w:pPr>
              <w:jc w:val="center"/>
              <w:rPr>
                <w:rFonts w:ascii="宋体" w:hAnsi="宋体" w:eastAsia="宋体" w:cs="宋体"/>
                <w:color w:val="auto"/>
                <w:sz w:val="21"/>
                <w:szCs w:val="21"/>
                <w:highlight w:val="none"/>
              </w:rPr>
            </w:pPr>
          </w:p>
        </w:tc>
        <w:tc>
          <w:tcPr>
            <w:tcW w:w="1018" w:type="pct"/>
            <w:noWrap w:val="0"/>
            <w:vAlign w:val="center"/>
          </w:tcPr>
          <w:p>
            <w:pPr>
              <w:jc w:val="center"/>
              <w:rPr>
                <w:rFonts w:ascii="宋体" w:hAnsi="宋体" w:eastAsia="宋体" w:cs="宋体"/>
                <w:color w:val="auto"/>
                <w:sz w:val="21"/>
                <w:szCs w:val="21"/>
                <w:highlight w:val="none"/>
                <w:lang w:eastAsia="zh-CN"/>
              </w:rPr>
            </w:pPr>
          </w:p>
        </w:tc>
        <w:tc>
          <w:tcPr>
            <w:tcW w:w="450" w:type="pct"/>
            <w:noWrap w:val="0"/>
            <w:vAlign w:val="center"/>
          </w:tcPr>
          <w:p>
            <w:pPr>
              <w:jc w:val="center"/>
              <w:rPr>
                <w:rFonts w:ascii="宋体" w:hAnsi="宋体" w:eastAsia="宋体" w:cs="宋体"/>
                <w:color w:val="auto"/>
                <w:sz w:val="21"/>
                <w:szCs w:val="21"/>
                <w:highlight w:val="none"/>
                <w:lang w:eastAsia="zh-CN"/>
              </w:rPr>
            </w:pPr>
          </w:p>
        </w:tc>
        <w:tc>
          <w:tcPr>
            <w:tcW w:w="470" w:type="pct"/>
            <w:noWrap w:val="0"/>
            <w:vAlign w:val="center"/>
          </w:tcPr>
          <w:p>
            <w:pPr>
              <w:jc w:val="center"/>
              <w:rPr>
                <w:rFonts w:ascii="宋体" w:hAnsi="宋体" w:eastAsia="宋体" w:cs="宋体"/>
                <w:color w:val="auto"/>
                <w:sz w:val="21"/>
                <w:szCs w:val="21"/>
                <w:highlight w:val="none"/>
                <w:lang w:eastAsia="zh-CN"/>
              </w:rPr>
            </w:pPr>
          </w:p>
        </w:tc>
        <w:tc>
          <w:tcPr>
            <w:tcW w:w="612" w:type="pct"/>
            <w:noWrap w:val="0"/>
            <w:vAlign w:val="center"/>
          </w:tcPr>
          <w:p>
            <w:pPr>
              <w:jc w:val="center"/>
              <w:rPr>
                <w:rFonts w:ascii="宋体" w:hAnsi="宋体" w:eastAsia="宋体" w:cs="宋体"/>
                <w:color w:val="auto"/>
                <w:sz w:val="21"/>
                <w:szCs w:val="21"/>
                <w:highlight w:val="none"/>
                <w:lang w:eastAsia="zh-CN"/>
              </w:rPr>
            </w:pPr>
          </w:p>
        </w:tc>
        <w:tc>
          <w:tcPr>
            <w:tcW w:w="1112" w:type="pct"/>
            <w:noWrap w:val="0"/>
            <w:vAlign w:val="center"/>
          </w:tcPr>
          <w:p>
            <w:pPr>
              <w:jc w:val="center"/>
              <w:rPr>
                <w:rFonts w:ascii="宋体" w:hAnsi="宋体" w:eastAsia="宋体" w:cs="宋体"/>
                <w:color w:val="auto"/>
                <w:sz w:val="21"/>
                <w:szCs w:val="21"/>
                <w:highlight w:val="none"/>
                <w:lang w:eastAsia="zh-CN"/>
              </w:rPr>
            </w:pPr>
          </w:p>
        </w:tc>
        <w:tc>
          <w:tcPr>
            <w:tcW w:w="1105" w:type="pct"/>
            <w:noWrap w:val="0"/>
            <w:vAlign w:val="center"/>
          </w:tcPr>
          <w:p>
            <w:pPr>
              <w:jc w:val="center"/>
              <w:rPr>
                <w:rFonts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33" w:type="pct"/>
            <w:noWrap w:val="0"/>
            <w:vAlign w:val="center"/>
          </w:tcPr>
          <w:p>
            <w:pPr>
              <w:jc w:val="center"/>
              <w:rPr>
                <w:rFonts w:ascii="宋体" w:hAnsi="宋体" w:eastAsia="宋体" w:cs="宋体"/>
                <w:color w:val="auto"/>
                <w:sz w:val="21"/>
                <w:szCs w:val="21"/>
                <w:highlight w:val="none"/>
                <w:lang w:eastAsia="zh-CN"/>
              </w:rPr>
            </w:pPr>
          </w:p>
        </w:tc>
        <w:tc>
          <w:tcPr>
            <w:tcW w:w="1018" w:type="pct"/>
            <w:noWrap w:val="0"/>
            <w:vAlign w:val="center"/>
          </w:tcPr>
          <w:p>
            <w:pPr>
              <w:jc w:val="center"/>
              <w:rPr>
                <w:rFonts w:ascii="宋体" w:hAnsi="宋体" w:eastAsia="宋体" w:cs="宋体"/>
                <w:color w:val="auto"/>
                <w:sz w:val="21"/>
                <w:szCs w:val="21"/>
                <w:highlight w:val="none"/>
                <w:lang w:eastAsia="zh-CN"/>
              </w:rPr>
            </w:pPr>
          </w:p>
        </w:tc>
        <w:tc>
          <w:tcPr>
            <w:tcW w:w="450" w:type="pct"/>
            <w:noWrap w:val="0"/>
            <w:vAlign w:val="center"/>
          </w:tcPr>
          <w:p>
            <w:pPr>
              <w:jc w:val="center"/>
              <w:rPr>
                <w:rFonts w:ascii="宋体" w:hAnsi="宋体" w:eastAsia="宋体" w:cs="宋体"/>
                <w:color w:val="auto"/>
                <w:sz w:val="21"/>
                <w:szCs w:val="21"/>
                <w:highlight w:val="none"/>
                <w:lang w:eastAsia="zh-CN"/>
              </w:rPr>
            </w:pPr>
          </w:p>
        </w:tc>
        <w:tc>
          <w:tcPr>
            <w:tcW w:w="470" w:type="pct"/>
            <w:noWrap w:val="0"/>
            <w:vAlign w:val="center"/>
          </w:tcPr>
          <w:p>
            <w:pPr>
              <w:jc w:val="center"/>
              <w:rPr>
                <w:rFonts w:ascii="宋体" w:hAnsi="宋体" w:eastAsia="宋体" w:cs="宋体"/>
                <w:color w:val="auto"/>
                <w:sz w:val="21"/>
                <w:szCs w:val="21"/>
                <w:highlight w:val="none"/>
                <w:lang w:eastAsia="zh-CN"/>
              </w:rPr>
            </w:pPr>
          </w:p>
        </w:tc>
        <w:tc>
          <w:tcPr>
            <w:tcW w:w="612" w:type="pct"/>
            <w:noWrap w:val="0"/>
            <w:vAlign w:val="center"/>
          </w:tcPr>
          <w:p>
            <w:pPr>
              <w:jc w:val="center"/>
              <w:rPr>
                <w:rFonts w:ascii="宋体" w:hAnsi="宋体" w:eastAsia="宋体" w:cs="宋体"/>
                <w:color w:val="auto"/>
                <w:sz w:val="21"/>
                <w:szCs w:val="21"/>
                <w:highlight w:val="none"/>
                <w:lang w:eastAsia="zh-CN"/>
              </w:rPr>
            </w:pPr>
          </w:p>
        </w:tc>
        <w:tc>
          <w:tcPr>
            <w:tcW w:w="1112" w:type="pct"/>
            <w:noWrap w:val="0"/>
            <w:vAlign w:val="center"/>
          </w:tcPr>
          <w:p>
            <w:pPr>
              <w:jc w:val="center"/>
              <w:rPr>
                <w:rFonts w:ascii="宋体" w:hAnsi="宋体" w:eastAsia="宋体" w:cs="宋体"/>
                <w:color w:val="auto"/>
                <w:sz w:val="21"/>
                <w:szCs w:val="21"/>
                <w:highlight w:val="none"/>
                <w:lang w:eastAsia="zh-CN"/>
              </w:rPr>
            </w:pPr>
          </w:p>
        </w:tc>
        <w:tc>
          <w:tcPr>
            <w:tcW w:w="1105" w:type="pct"/>
            <w:noWrap w:val="0"/>
            <w:vAlign w:val="center"/>
          </w:tcPr>
          <w:p>
            <w:pPr>
              <w:jc w:val="center"/>
              <w:rPr>
                <w:rFonts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33" w:type="pct"/>
            <w:noWrap w:val="0"/>
            <w:vAlign w:val="center"/>
          </w:tcPr>
          <w:p>
            <w:pPr>
              <w:jc w:val="center"/>
              <w:rPr>
                <w:rFonts w:ascii="宋体" w:hAnsi="宋体" w:eastAsia="宋体" w:cs="宋体"/>
                <w:color w:val="auto"/>
                <w:sz w:val="21"/>
                <w:szCs w:val="21"/>
                <w:highlight w:val="none"/>
                <w:lang w:eastAsia="zh-CN"/>
              </w:rPr>
            </w:pPr>
          </w:p>
        </w:tc>
        <w:tc>
          <w:tcPr>
            <w:tcW w:w="1018" w:type="pct"/>
            <w:noWrap w:val="0"/>
            <w:vAlign w:val="center"/>
          </w:tcPr>
          <w:p>
            <w:pPr>
              <w:jc w:val="center"/>
              <w:rPr>
                <w:rFonts w:ascii="宋体" w:hAnsi="宋体" w:eastAsia="宋体" w:cs="宋体"/>
                <w:color w:val="auto"/>
                <w:sz w:val="21"/>
                <w:szCs w:val="21"/>
                <w:highlight w:val="none"/>
                <w:lang w:eastAsia="zh-CN"/>
              </w:rPr>
            </w:pPr>
          </w:p>
        </w:tc>
        <w:tc>
          <w:tcPr>
            <w:tcW w:w="450" w:type="pct"/>
            <w:noWrap w:val="0"/>
            <w:vAlign w:val="center"/>
          </w:tcPr>
          <w:p>
            <w:pPr>
              <w:jc w:val="center"/>
              <w:rPr>
                <w:rFonts w:ascii="宋体" w:hAnsi="宋体" w:eastAsia="宋体" w:cs="宋体"/>
                <w:color w:val="auto"/>
                <w:sz w:val="21"/>
                <w:szCs w:val="21"/>
                <w:highlight w:val="none"/>
                <w:lang w:eastAsia="zh-CN"/>
              </w:rPr>
            </w:pPr>
          </w:p>
        </w:tc>
        <w:tc>
          <w:tcPr>
            <w:tcW w:w="470" w:type="pct"/>
            <w:noWrap w:val="0"/>
            <w:vAlign w:val="center"/>
          </w:tcPr>
          <w:p>
            <w:pPr>
              <w:jc w:val="center"/>
              <w:rPr>
                <w:rFonts w:ascii="宋体" w:hAnsi="宋体" w:eastAsia="宋体" w:cs="宋体"/>
                <w:color w:val="auto"/>
                <w:sz w:val="21"/>
                <w:szCs w:val="21"/>
                <w:highlight w:val="none"/>
                <w:lang w:eastAsia="zh-CN"/>
              </w:rPr>
            </w:pPr>
          </w:p>
        </w:tc>
        <w:tc>
          <w:tcPr>
            <w:tcW w:w="612" w:type="pct"/>
            <w:noWrap w:val="0"/>
            <w:vAlign w:val="center"/>
          </w:tcPr>
          <w:p>
            <w:pPr>
              <w:jc w:val="center"/>
              <w:rPr>
                <w:rFonts w:ascii="宋体" w:hAnsi="宋体" w:eastAsia="宋体" w:cs="宋体"/>
                <w:color w:val="auto"/>
                <w:sz w:val="21"/>
                <w:szCs w:val="21"/>
                <w:highlight w:val="none"/>
                <w:lang w:eastAsia="zh-CN"/>
              </w:rPr>
            </w:pPr>
          </w:p>
        </w:tc>
        <w:tc>
          <w:tcPr>
            <w:tcW w:w="1112" w:type="pct"/>
            <w:noWrap w:val="0"/>
            <w:vAlign w:val="center"/>
          </w:tcPr>
          <w:p>
            <w:pPr>
              <w:jc w:val="center"/>
              <w:rPr>
                <w:rFonts w:ascii="宋体" w:hAnsi="宋体" w:eastAsia="宋体" w:cs="宋体"/>
                <w:color w:val="auto"/>
                <w:sz w:val="21"/>
                <w:szCs w:val="21"/>
                <w:highlight w:val="none"/>
                <w:lang w:eastAsia="zh-CN"/>
              </w:rPr>
            </w:pPr>
          </w:p>
        </w:tc>
        <w:tc>
          <w:tcPr>
            <w:tcW w:w="1105" w:type="pct"/>
            <w:noWrap w:val="0"/>
            <w:vAlign w:val="center"/>
          </w:tcPr>
          <w:p>
            <w:pPr>
              <w:jc w:val="center"/>
              <w:rPr>
                <w:rFonts w:ascii="宋体" w:hAnsi="宋体" w:eastAsia="宋体" w:cs="宋体"/>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33" w:type="pct"/>
            <w:noWrap w:val="0"/>
            <w:vAlign w:val="center"/>
          </w:tcPr>
          <w:p>
            <w:pPr>
              <w:jc w:val="center"/>
              <w:rPr>
                <w:rFonts w:ascii="宋体" w:hAnsi="宋体" w:eastAsia="宋体" w:cs="宋体"/>
                <w:color w:val="auto"/>
                <w:sz w:val="21"/>
                <w:szCs w:val="21"/>
                <w:highlight w:val="none"/>
                <w:lang w:eastAsia="zh-CN"/>
              </w:rPr>
            </w:pPr>
          </w:p>
        </w:tc>
        <w:tc>
          <w:tcPr>
            <w:tcW w:w="1018" w:type="pct"/>
            <w:noWrap w:val="0"/>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450" w:type="pct"/>
            <w:noWrap w:val="0"/>
            <w:vAlign w:val="center"/>
          </w:tcPr>
          <w:p>
            <w:pPr>
              <w:jc w:val="center"/>
              <w:rPr>
                <w:rFonts w:ascii="宋体" w:hAnsi="宋体" w:eastAsia="宋体" w:cs="宋体"/>
                <w:color w:val="auto"/>
                <w:sz w:val="21"/>
                <w:szCs w:val="21"/>
                <w:highlight w:val="none"/>
              </w:rPr>
            </w:pPr>
          </w:p>
        </w:tc>
        <w:tc>
          <w:tcPr>
            <w:tcW w:w="470" w:type="pct"/>
            <w:noWrap w:val="0"/>
            <w:vAlign w:val="center"/>
          </w:tcPr>
          <w:p>
            <w:pPr>
              <w:jc w:val="center"/>
              <w:rPr>
                <w:rFonts w:ascii="宋体" w:hAnsi="宋体" w:eastAsia="宋体" w:cs="宋体"/>
                <w:color w:val="auto"/>
                <w:sz w:val="21"/>
                <w:szCs w:val="21"/>
                <w:highlight w:val="none"/>
              </w:rPr>
            </w:pPr>
          </w:p>
        </w:tc>
        <w:tc>
          <w:tcPr>
            <w:tcW w:w="612" w:type="pct"/>
            <w:noWrap w:val="0"/>
            <w:vAlign w:val="center"/>
          </w:tcPr>
          <w:p>
            <w:pPr>
              <w:jc w:val="center"/>
              <w:rPr>
                <w:rFonts w:ascii="宋体" w:hAnsi="宋体" w:eastAsia="宋体" w:cs="宋体"/>
                <w:color w:val="auto"/>
                <w:sz w:val="21"/>
                <w:szCs w:val="21"/>
                <w:highlight w:val="none"/>
              </w:rPr>
            </w:pPr>
          </w:p>
        </w:tc>
        <w:tc>
          <w:tcPr>
            <w:tcW w:w="1112" w:type="pct"/>
            <w:noWrap w:val="0"/>
            <w:vAlign w:val="center"/>
          </w:tcPr>
          <w:p>
            <w:pPr>
              <w:jc w:val="center"/>
              <w:rPr>
                <w:rFonts w:ascii="宋体" w:hAnsi="宋体" w:eastAsia="宋体" w:cs="宋体"/>
                <w:color w:val="auto"/>
                <w:sz w:val="21"/>
                <w:szCs w:val="21"/>
                <w:highlight w:val="none"/>
              </w:rPr>
            </w:pPr>
          </w:p>
        </w:tc>
        <w:tc>
          <w:tcPr>
            <w:tcW w:w="1105" w:type="pct"/>
            <w:noWrap w:val="0"/>
            <w:vAlign w:val="center"/>
          </w:tcPr>
          <w:p>
            <w:pPr>
              <w:jc w:val="center"/>
              <w:rPr>
                <w:rFonts w:ascii="宋体" w:hAnsi="宋体" w:eastAsia="宋体" w:cs="宋体"/>
                <w:color w:val="auto"/>
                <w:sz w:val="21"/>
                <w:szCs w:val="21"/>
                <w:highlight w:val="none"/>
              </w:rPr>
            </w:pPr>
          </w:p>
        </w:tc>
      </w:tr>
    </w:tbl>
    <w:p>
      <w:pPr>
        <w:spacing w:beforeLines="0" w:line="360" w:lineRule="exact"/>
        <w:rPr>
          <w:rFonts w:ascii="宋体" w:hAnsi="宋体" w:eastAsia="宋体"/>
          <w:bCs/>
          <w:color w:val="auto"/>
          <w:sz w:val="21"/>
          <w:szCs w:val="21"/>
          <w:highlight w:val="none"/>
          <w:lang w:eastAsia="zh-CN"/>
        </w:rPr>
      </w:pPr>
      <w:r>
        <w:rPr>
          <w:rFonts w:hint="eastAsia" w:ascii="宋体" w:hAnsi="宋体" w:eastAsia="宋体" w:cs="宋体"/>
          <w:bCs/>
          <w:color w:val="auto"/>
          <w:sz w:val="21"/>
          <w:szCs w:val="21"/>
          <w:lang w:eastAsia="zh-CN"/>
        </w:rPr>
        <w:t>注：</w:t>
      </w:r>
      <w:r>
        <w:rPr>
          <w:rFonts w:ascii="宋体" w:hAnsi="宋体" w:eastAsia="宋体" w:cs="Calibri"/>
          <w:bCs/>
          <w:color w:val="auto"/>
          <w:sz w:val="21"/>
          <w:szCs w:val="21"/>
          <w:lang w:eastAsia="zh-CN"/>
        </w:rPr>
        <w:t>①</w:t>
      </w:r>
      <w:r>
        <w:rPr>
          <w:rFonts w:hint="eastAsia" w:ascii="宋体" w:hAnsi="宋体" w:eastAsia="宋体" w:cs="宋体"/>
          <w:bCs/>
          <w:color w:val="auto"/>
          <w:sz w:val="21"/>
          <w:szCs w:val="21"/>
          <w:lang w:eastAsia="zh-CN"/>
        </w:rPr>
        <w:t>投标人应根据招标文件要求和招标项目的实际需要，列出项目负责人及各专业负责人，</w:t>
      </w:r>
      <w:r>
        <w:rPr>
          <w:rFonts w:hint="eastAsia" w:ascii="宋体" w:hAnsi="宋体" w:eastAsia="宋体" w:cs="宋体"/>
          <w:bCs/>
          <w:color w:val="auto"/>
          <w:sz w:val="21"/>
          <w:szCs w:val="21"/>
          <w:highlight w:val="none"/>
          <w:lang w:eastAsia="zh-CN"/>
        </w:rPr>
        <w:t>如设计</w:t>
      </w:r>
      <w:r>
        <w:rPr>
          <w:rFonts w:hint="eastAsia" w:ascii="宋体" w:hAnsi="宋体" w:eastAsia="宋体" w:cs="宋体"/>
          <w:bCs/>
          <w:color w:val="auto"/>
          <w:sz w:val="21"/>
          <w:szCs w:val="21"/>
          <w:highlight w:val="none"/>
          <w:lang w:val="en-US" w:eastAsia="zh-CN"/>
        </w:rPr>
        <w:t>专业</w:t>
      </w:r>
      <w:r>
        <w:rPr>
          <w:rFonts w:hint="eastAsia" w:ascii="宋体" w:hAnsi="宋体" w:eastAsia="宋体" w:cs="宋体"/>
          <w:bCs/>
          <w:color w:val="auto"/>
          <w:sz w:val="21"/>
          <w:szCs w:val="21"/>
          <w:highlight w:val="none"/>
          <w:lang w:eastAsia="zh-CN"/>
        </w:rPr>
        <w:t>负责人，</w:t>
      </w:r>
      <w:r>
        <w:rPr>
          <w:rFonts w:hint="eastAsia" w:ascii="宋体" w:hAnsi="宋体" w:eastAsia="宋体" w:cs="宋体"/>
          <w:bCs/>
          <w:color w:val="auto"/>
          <w:sz w:val="21"/>
          <w:szCs w:val="21"/>
          <w:highlight w:val="none"/>
          <w:lang w:val="en-US" w:eastAsia="zh-CN"/>
        </w:rPr>
        <w:t>勘察专业负责人、</w:t>
      </w:r>
      <w:r>
        <w:rPr>
          <w:rFonts w:hint="eastAsia" w:eastAsia="宋体"/>
          <w:color w:val="auto"/>
          <w:sz w:val="21"/>
          <w:szCs w:val="21"/>
          <w:highlight w:val="none"/>
          <w:lang w:val="en-US" w:eastAsia="zh-CN"/>
        </w:rPr>
        <w:t>结构专业</w:t>
      </w:r>
      <w:r>
        <w:rPr>
          <w:rFonts w:hint="eastAsia" w:ascii="宋体" w:hAnsi="宋体" w:eastAsia="宋体" w:cs="宋体"/>
          <w:bCs/>
          <w:color w:val="auto"/>
          <w:sz w:val="21"/>
          <w:szCs w:val="21"/>
          <w:highlight w:val="none"/>
          <w:lang w:eastAsia="zh-CN"/>
        </w:rPr>
        <w:t>负责人、造价专业</w:t>
      </w:r>
      <w:r>
        <w:rPr>
          <w:rFonts w:hint="eastAsia" w:ascii="宋体" w:hAnsi="宋体" w:eastAsia="宋体" w:cs="宋体"/>
          <w:bCs/>
          <w:color w:val="auto"/>
          <w:sz w:val="21"/>
          <w:szCs w:val="21"/>
          <w:highlight w:val="none"/>
          <w:lang w:val="en-US" w:eastAsia="zh-CN"/>
        </w:rPr>
        <w:t>负责人</w:t>
      </w:r>
      <w:r>
        <w:rPr>
          <w:rFonts w:hint="eastAsia" w:ascii="宋体" w:hAnsi="宋体" w:eastAsia="宋体" w:cs="宋体"/>
          <w:bCs/>
          <w:color w:val="auto"/>
          <w:sz w:val="21"/>
          <w:szCs w:val="21"/>
          <w:highlight w:val="none"/>
          <w:lang w:eastAsia="zh-CN"/>
        </w:rPr>
        <w:t>等专业负责人。</w:t>
      </w:r>
    </w:p>
    <w:p>
      <w:pPr>
        <w:spacing w:beforeLines="0" w:line="360" w:lineRule="exact"/>
        <w:rPr>
          <w:rFonts w:ascii="宋体" w:hAnsi="宋体" w:eastAsia="宋体"/>
          <w:bCs/>
          <w:color w:val="auto"/>
          <w:sz w:val="21"/>
          <w:szCs w:val="21"/>
          <w:lang w:eastAsia="zh-CN"/>
        </w:rPr>
      </w:pPr>
      <w:r>
        <w:rPr>
          <w:rFonts w:hint="eastAsia" w:ascii="宋体" w:hAnsi="宋体" w:eastAsia="宋体"/>
          <w:bCs/>
          <w:color w:val="auto"/>
          <w:sz w:val="21"/>
          <w:szCs w:val="21"/>
          <w:lang w:eastAsia="zh-CN"/>
        </w:rPr>
        <w:t>②</w:t>
      </w:r>
      <w:r>
        <w:rPr>
          <w:rFonts w:hint="eastAsia" w:ascii="宋体" w:hAnsi="宋体" w:eastAsia="宋体" w:cs="宋体"/>
          <w:bCs/>
          <w:color w:val="auto"/>
          <w:sz w:val="21"/>
          <w:szCs w:val="21"/>
          <w:lang w:eastAsia="zh-CN"/>
        </w:rPr>
        <w:t>投标人应按本表所列的项目负责人和专业负责人填写资历表。</w:t>
      </w:r>
    </w:p>
    <w:p>
      <w:pPr>
        <w:numPr>
          <w:ilvl w:val="0"/>
          <w:numId w:val="0"/>
        </w:numPr>
        <w:spacing w:beforeLines="0" w:line="360" w:lineRule="exact"/>
        <w:rPr>
          <w:rFonts w:ascii="宋体" w:hAnsi="宋体" w:eastAsia="宋体" w:cs="宋体"/>
          <w:bCs/>
          <w:color w:val="auto"/>
          <w:sz w:val="21"/>
          <w:szCs w:val="21"/>
          <w:u w:val="single"/>
          <w:lang w:eastAsia="zh-CN"/>
        </w:rPr>
      </w:pPr>
      <w:r>
        <w:rPr>
          <w:rFonts w:hint="eastAsia" w:ascii="宋体" w:hAnsi="宋体" w:eastAsia="宋体"/>
          <w:bCs/>
          <w:color w:val="auto"/>
          <w:sz w:val="21"/>
          <w:szCs w:val="21"/>
          <w:lang w:eastAsia="zh-CN"/>
        </w:rPr>
        <w:t>③</w:t>
      </w:r>
      <w:r>
        <w:rPr>
          <w:rFonts w:hint="eastAsia" w:ascii="宋体" w:hAnsi="宋体" w:eastAsia="宋体" w:cs="宋体"/>
          <w:bCs/>
          <w:color w:val="auto"/>
          <w:sz w:val="21"/>
          <w:szCs w:val="21"/>
          <w:lang w:eastAsia="zh-CN"/>
        </w:rPr>
        <w:t>投标人提供的人员须为投标人在职员工，需按评分要求提供相关证书扫描件及开标前在本单位任职近三个月内任意一个月</w:t>
      </w: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highlight w:val="none"/>
          <w:lang w:eastAsia="zh-CN"/>
        </w:rPr>
        <w:t>2024年</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lang w:eastAsia="zh-CN"/>
        </w:rPr>
        <w:t>月至2024年</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lang w:eastAsia="zh-CN"/>
        </w:rPr>
        <w:t>月</w:t>
      </w:r>
      <w:r>
        <w:rPr>
          <w:rFonts w:hint="eastAsia" w:ascii="宋体" w:hAnsi="宋体" w:eastAsia="宋体" w:cs="宋体"/>
          <w:bCs/>
          <w:color w:val="auto"/>
          <w:sz w:val="21"/>
          <w:szCs w:val="21"/>
          <w:highlight w:val="none"/>
          <w:lang w:val="zh-CN" w:eastAsia="zh-CN"/>
        </w:rPr>
        <w:t>）</w:t>
      </w:r>
      <w:r>
        <w:rPr>
          <w:rFonts w:hint="eastAsia" w:ascii="宋体" w:hAnsi="宋体" w:eastAsia="宋体" w:cs="宋体"/>
          <w:bCs/>
          <w:color w:val="auto"/>
          <w:sz w:val="21"/>
          <w:szCs w:val="21"/>
          <w:lang w:eastAsia="zh-CN"/>
        </w:rPr>
        <w:t>由社保管理机构出具的社保缴纳证明材料扫描件</w:t>
      </w:r>
      <w:r>
        <w:rPr>
          <w:rFonts w:hint="eastAsia" w:ascii="Calibri" w:hAnsi="Calibri" w:eastAsia="宋体"/>
          <w:color w:val="auto"/>
          <w:kern w:val="2"/>
          <w:sz w:val="21"/>
          <w:szCs w:val="21"/>
          <w:lang w:eastAsia="zh-CN"/>
        </w:rPr>
        <w:t>。</w:t>
      </w:r>
      <w:r>
        <w:rPr>
          <w:rFonts w:hint="eastAsia" w:ascii="宋体" w:hAnsi="宋体" w:eastAsia="宋体" w:cs="宋体"/>
          <w:bCs/>
          <w:color w:val="auto"/>
          <w:sz w:val="21"/>
          <w:szCs w:val="21"/>
          <w:lang w:eastAsia="zh-CN"/>
        </w:rPr>
        <w:t>社保缴纳证明原件清晰彩色扫描件或网上查询打印件。本项目中同一人不能同时兼任两个或以上专业负责人职务。</w:t>
      </w:r>
    </w:p>
    <w:p>
      <w:pPr>
        <w:ind w:firstLine="420" w:firstLineChars="200"/>
        <w:rPr>
          <w:rFonts w:ascii="宋体" w:hAnsi="宋体" w:eastAsia="宋体"/>
          <w:color w:val="auto"/>
          <w:sz w:val="21"/>
          <w:szCs w:val="21"/>
          <w:highlight w:val="none"/>
          <w:lang w:eastAsia="zh-CN"/>
        </w:rPr>
      </w:pPr>
    </w:p>
    <w:p>
      <w:pPr>
        <w:jc w:val="center"/>
        <w:rPr>
          <w:rFonts w:ascii="宋体" w:hAnsi="宋体" w:eastAsia="宋体"/>
          <w:b/>
          <w:bCs/>
          <w:color w:val="auto"/>
          <w:sz w:val="32"/>
          <w:szCs w:val="32"/>
          <w:highlight w:val="none"/>
          <w:lang w:eastAsia="zh-CN"/>
        </w:rPr>
      </w:pPr>
      <w:r>
        <w:rPr>
          <w:rFonts w:ascii="宋体" w:hAnsi="宋体" w:eastAsia="宋体"/>
          <w:color w:val="auto"/>
          <w:sz w:val="21"/>
          <w:szCs w:val="21"/>
          <w:highlight w:val="none"/>
          <w:lang w:eastAsia="zh-CN"/>
        </w:rPr>
        <w:br w:type="page"/>
      </w:r>
      <w:r>
        <w:rPr>
          <w:rFonts w:hint="eastAsia" w:ascii="宋体" w:hAnsi="宋体" w:eastAsia="宋体"/>
          <w:b/>
          <w:bCs/>
          <w:color w:val="auto"/>
          <w:sz w:val="32"/>
          <w:szCs w:val="32"/>
          <w:highlight w:val="none"/>
          <w:lang w:eastAsia="zh-CN"/>
        </w:rPr>
        <w:t>主要人员简历表</w:t>
      </w:r>
    </w:p>
    <w:p>
      <w:pPr>
        <w:rPr>
          <w:rFonts w:ascii="宋体" w:hAnsi="宋体" w:eastAsia="宋体"/>
          <w:b/>
          <w:bCs/>
          <w:color w:val="auto"/>
          <w:sz w:val="32"/>
          <w:szCs w:val="32"/>
          <w:highlight w:val="none"/>
          <w:lang w:eastAsia="zh-CN"/>
        </w:rPr>
      </w:pPr>
    </w:p>
    <w:tbl>
      <w:tblPr>
        <w:tblStyle w:val="19"/>
        <w:tblW w:w="5000" w:type="pct"/>
        <w:tblInd w:w="-5" w:type="dxa"/>
        <w:tblLayout w:type="autofit"/>
        <w:tblCellMar>
          <w:top w:w="0" w:type="dxa"/>
          <w:left w:w="0" w:type="dxa"/>
          <w:bottom w:w="0" w:type="dxa"/>
          <w:right w:w="0" w:type="dxa"/>
        </w:tblCellMar>
      </w:tblPr>
      <w:tblGrid>
        <w:gridCol w:w="1256"/>
        <w:gridCol w:w="380"/>
        <w:gridCol w:w="734"/>
        <w:gridCol w:w="1016"/>
        <w:gridCol w:w="1131"/>
        <w:gridCol w:w="746"/>
        <w:gridCol w:w="1336"/>
        <w:gridCol w:w="428"/>
        <w:gridCol w:w="2010"/>
      </w:tblGrid>
      <w:tr>
        <w:tblPrEx>
          <w:tblCellMar>
            <w:top w:w="0" w:type="dxa"/>
            <w:left w:w="0" w:type="dxa"/>
            <w:bottom w:w="0" w:type="dxa"/>
            <w:right w:w="0" w:type="dxa"/>
          </w:tblCellMar>
        </w:tblPrEx>
        <w:trPr>
          <w:trHeight w:val="890" w:hRule="atLeast"/>
        </w:trPr>
        <w:tc>
          <w:tcPr>
            <w:tcW w:w="695"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姓</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名</w:t>
            </w:r>
          </w:p>
        </w:tc>
        <w:tc>
          <w:tcPr>
            <w:tcW w:w="616" w:type="pct"/>
            <w:gridSpan w:val="2"/>
            <w:tcBorders>
              <w:top w:val="single" w:color="000000" w:sz="4" w:space="0"/>
              <w:left w:val="nil"/>
              <w:bottom w:val="single" w:color="000000" w:sz="4" w:space="0"/>
              <w:right w:val="single" w:color="000000" w:sz="4" w:space="0"/>
            </w:tcBorders>
            <w:noWrap w:val="0"/>
            <w:vAlign w:val="center"/>
          </w:tcPr>
          <w:p>
            <w:pPr>
              <w:autoSpaceDE w:val="0"/>
              <w:autoSpaceDN w:val="0"/>
              <w:adjustRightInd w:val="0"/>
              <w:rPr>
                <w:rFonts w:ascii="宋体" w:hAnsi="宋体" w:eastAsia="宋体" w:cs="Calibri"/>
                <w:color w:val="auto"/>
                <w:sz w:val="21"/>
                <w:szCs w:val="21"/>
                <w:highlight w:val="none"/>
              </w:rPr>
            </w:pPr>
          </w:p>
        </w:tc>
        <w:tc>
          <w:tcPr>
            <w:tcW w:w="562" w:type="pct"/>
            <w:tcBorders>
              <w:top w:val="single" w:color="000000" w:sz="4" w:space="0"/>
              <w:left w:val="nil"/>
              <w:bottom w:val="single" w:color="000000" w:sz="4" w:space="0"/>
              <w:right w:val="single" w:color="000000" w:sz="4" w:space="0"/>
            </w:tcBorders>
            <w:noWrap w:val="0"/>
            <w:vAlign w:val="center"/>
          </w:tcPr>
          <w:p>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年龄</w:t>
            </w:r>
          </w:p>
        </w:tc>
        <w:tc>
          <w:tcPr>
            <w:tcW w:w="626" w:type="pct"/>
            <w:tcBorders>
              <w:top w:val="single" w:color="000000" w:sz="4" w:space="0"/>
              <w:left w:val="nil"/>
              <w:bottom w:val="single" w:color="000000" w:sz="4" w:space="0"/>
              <w:right w:val="single" w:color="000000" w:sz="4" w:space="0"/>
            </w:tcBorders>
            <w:noWrap w:val="0"/>
            <w:vAlign w:val="center"/>
          </w:tcPr>
          <w:p>
            <w:pPr>
              <w:autoSpaceDE w:val="0"/>
              <w:autoSpaceDN w:val="0"/>
              <w:adjustRightInd w:val="0"/>
              <w:rPr>
                <w:rFonts w:ascii="宋体" w:hAnsi="宋体" w:eastAsia="宋体" w:cs="Calibri"/>
                <w:color w:val="auto"/>
                <w:sz w:val="21"/>
                <w:szCs w:val="21"/>
                <w:highlight w:val="none"/>
              </w:rPr>
            </w:pPr>
          </w:p>
        </w:tc>
        <w:tc>
          <w:tcPr>
            <w:tcW w:w="1389" w:type="pct"/>
            <w:gridSpan w:val="3"/>
            <w:tcBorders>
              <w:top w:val="single" w:color="000000" w:sz="4" w:space="0"/>
              <w:left w:val="nil"/>
              <w:bottom w:val="single" w:color="000000" w:sz="4" w:space="0"/>
              <w:right w:val="single" w:color="000000" w:sz="4" w:space="0"/>
            </w:tcBorders>
            <w:noWrap w:val="0"/>
            <w:vAlign w:val="center"/>
          </w:tcPr>
          <w:p>
            <w:pPr>
              <w:autoSpaceDE w:val="0"/>
              <w:autoSpaceDN w:val="0"/>
              <w:adjustRightInd w:val="0"/>
              <w:jc w:val="center"/>
              <w:rPr>
                <w:rFonts w:ascii="宋体" w:hAnsi="宋体" w:eastAsia="宋体" w:cs="Calibri"/>
                <w:color w:val="auto"/>
                <w:sz w:val="21"/>
                <w:szCs w:val="21"/>
                <w:highlight w:val="none"/>
                <w:lang w:eastAsia="zh-CN"/>
              </w:rPr>
            </w:pPr>
            <w:r>
              <w:rPr>
                <w:rFonts w:hint="eastAsia" w:ascii="宋体" w:hAnsi="宋体" w:eastAsia="宋体"/>
                <w:color w:val="auto"/>
                <w:sz w:val="21"/>
                <w:szCs w:val="21"/>
                <w:highlight w:val="none"/>
                <w:lang w:eastAsia="zh-CN"/>
              </w:rPr>
              <w:t>执业</w:t>
            </w:r>
            <w:r>
              <w:rPr>
                <w:rFonts w:hint="eastAsia" w:ascii="宋体" w:hAnsi="宋体" w:eastAsia="宋体"/>
                <w:color w:val="auto"/>
                <w:spacing w:val="-2"/>
                <w:sz w:val="21"/>
                <w:szCs w:val="21"/>
                <w:highlight w:val="none"/>
                <w:lang w:eastAsia="zh-CN"/>
              </w:rPr>
              <w:t>资</w:t>
            </w:r>
            <w:r>
              <w:rPr>
                <w:rFonts w:hint="eastAsia" w:ascii="宋体" w:hAnsi="宋体" w:eastAsia="宋体"/>
                <w:color w:val="auto"/>
                <w:sz w:val="21"/>
                <w:szCs w:val="21"/>
                <w:highlight w:val="none"/>
                <w:lang w:eastAsia="zh-CN"/>
              </w:rPr>
              <w:t>格</w:t>
            </w:r>
            <w:r>
              <w:rPr>
                <w:rFonts w:hint="eastAsia" w:ascii="宋体" w:hAnsi="宋体" w:eastAsia="宋体"/>
                <w:color w:val="auto"/>
                <w:spacing w:val="-2"/>
                <w:sz w:val="21"/>
                <w:szCs w:val="21"/>
                <w:highlight w:val="none"/>
                <w:lang w:eastAsia="zh-CN"/>
              </w:rPr>
              <w:t>证</w:t>
            </w:r>
            <w:r>
              <w:rPr>
                <w:rFonts w:hint="eastAsia" w:ascii="宋体" w:hAnsi="宋体" w:eastAsia="宋体"/>
                <w:color w:val="auto"/>
                <w:sz w:val="21"/>
                <w:szCs w:val="21"/>
                <w:highlight w:val="none"/>
                <w:lang w:eastAsia="zh-CN"/>
              </w:rPr>
              <w:t>书</w:t>
            </w:r>
            <w:r>
              <w:rPr>
                <w:rFonts w:hint="eastAsia" w:ascii="宋体" w:hAnsi="宋体" w:eastAsia="宋体"/>
                <w:color w:val="auto"/>
                <w:spacing w:val="-2"/>
                <w:sz w:val="21"/>
                <w:szCs w:val="21"/>
                <w:highlight w:val="none"/>
                <w:lang w:eastAsia="zh-CN"/>
              </w:rPr>
              <w:t>（</w:t>
            </w:r>
            <w:r>
              <w:rPr>
                <w:rFonts w:hint="eastAsia" w:ascii="宋体" w:hAnsi="宋体" w:eastAsia="宋体"/>
                <w:color w:val="auto"/>
                <w:sz w:val="21"/>
                <w:szCs w:val="21"/>
                <w:highlight w:val="none"/>
                <w:lang w:eastAsia="zh-CN"/>
              </w:rPr>
              <w:t>或</w:t>
            </w:r>
            <w:r>
              <w:rPr>
                <w:rFonts w:hint="eastAsia" w:ascii="宋体" w:hAnsi="宋体" w:eastAsia="宋体"/>
                <w:color w:val="auto"/>
                <w:spacing w:val="-2"/>
                <w:sz w:val="21"/>
                <w:szCs w:val="21"/>
                <w:highlight w:val="none"/>
                <w:lang w:eastAsia="zh-CN"/>
              </w:rPr>
              <w:t>上</w:t>
            </w:r>
            <w:r>
              <w:rPr>
                <w:rFonts w:hint="eastAsia" w:ascii="宋体" w:hAnsi="宋体" w:eastAsia="宋体"/>
                <w:color w:val="auto"/>
                <w:sz w:val="21"/>
                <w:szCs w:val="21"/>
                <w:highlight w:val="none"/>
                <w:lang w:eastAsia="zh-CN"/>
              </w:rPr>
              <w:t>岗证书</w:t>
            </w:r>
            <w:r>
              <w:rPr>
                <w:rFonts w:hint="eastAsia" w:ascii="宋体" w:hAnsi="宋体" w:eastAsia="宋体"/>
                <w:color w:val="auto"/>
                <w:spacing w:val="-2"/>
                <w:sz w:val="21"/>
                <w:szCs w:val="21"/>
                <w:highlight w:val="none"/>
                <w:lang w:eastAsia="zh-CN"/>
              </w:rPr>
              <w:t>）</w:t>
            </w:r>
            <w:r>
              <w:rPr>
                <w:rFonts w:hint="eastAsia" w:ascii="宋体" w:hAnsi="宋体" w:eastAsia="宋体"/>
                <w:color w:val="auto"/>
                <w:sz w:val="21"/>
                <w:szCs w:val="21"/>
                <w:highlight w:val="none"/>
                <w:lang w:eastAsia="zh-CN"/>
              </w:rPr>
              <w:t>名称</w:t>
            </w:r>
          </w:p>
        </w:tc>
        <w:tc>
          <w:tcPr>
            <w:tcW w:w="1113" w:type="pct"/>
            <w:tcBorders>
              <w:top w:val="single" w:color="000000" w:sz="4" w:space="0"/>
              <w:left w:val="nil"/>
              <w:bottom w:val="single" w:color="000000" w:sz="4" w:space="0"/>
              <w:right w:val="single" w:color="000000" w:sz="4" w:space="0"/>
            </w:tcBorders>
            <w:noWrap w:val="0"/>
            <w:vAlign w:val="center"/>
          </w:tcPr>
          <w:p>
            <w:pPr>
              <w:autoSpaceDE w:val="0"/>
              <w:autoSpaceDN w:val="0"/>
              <w:adjustRightInd w:val="0"/>
              <w:rPr>
                <w:rFonts w:ascii="宋体" w:hAnsi="宋体" w:eastAsia="宋体" w:cs="Calibri"/>
                <w:color w:val="auto"/>
                <w:sz w:val="21"/>
                <w:szCs w:val="21"/>
                <w:highlight w:val="none"/>
                <w:lang w:eastAsia="zh-CN"/>
              </w:rPr>
            </w:pPr>
          </w:p>
        </w:tc>
      </w:tr>
      <w:tr>
        <w:trPr>
          <w:trHeight w:val="698" w:hRule="atLeast"/>
        </w:trPr>
        <w:tc>
          <w:tcPr>
            <w:tcW w:w="695"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称</w:t>
            </w:r>
          </w:p>
        </w:tc>
        <w:tc>
          <w:tcPr>
            <w:tcW w:w="616" w:type="pct"/>
            <w:gridSpan w:val="2"/>
            <w:tcBorders>
              <w:top w:val="single" w:color="000000" w:sz="4" w:space="0"/>
              <w:left w:val="nil"/>
              <w:bottom w:val="single" w:color="000000" w:sz="4" w:space="0"/>
              <w:right w:val="single" w:color="000000" w:sz="4" w:space="0"/>
            </w:tcBorders>
            <w:noWrap w:val="0"/>
            <w:vAlign w:val="center"/>
          </w:tcPr>
          <w:p>
            <w:pPr>
              <w:autoSpaceDE w:val="0"/>
              <w:autoSpaceDN w:val="0"/>
              <w:adjustRightInd w:val="0"/>
              <w:rPr>
                <w:rFonts w:ascii="宋体" w:hAnsi="宋体" w:eastAsia="宋体" w:cs="Calibri"/>
                <w:color w:val="auto"/>
                <w:sz w:val="21"/>
                <w:szCs w:val="21"/>
                <w:highlight w:val="none"/>
              </w:rPr>
            </w:pPr>
          </w:p>
        </w:tc>
        <w:tc>
          <w:tcPr>
            <w:tcW w:w="562" w:type="pct"/>
            <w:tcBorders>
              <w:top w:val="single" w:color="000000" w:sz="4" w:space="0"/>
              <w:left w:val="nil"/>
              <w:bottom w:val="single" w:color="000000" w:sz="4" w:space="0"/>
              <w:right w:val="single" w:color="000000" w:sz="4" w:space="0"/>
            </w:tcBorders>
            <w:noWrap w:val="0"/>
            <w:vAlign w:val="center"/>
          </w:tcPr>
          <w:p>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学历</w:t>
            </w:r>
          </w:p>
        </w:tc>
        <w:tc>
          <w:tcPr>
            <w:tcW w:w="626" w:type="pct"/>
            <w:tcBorders>
              <w:top w:val="single" w:color="000000" w:sz="4" w:space="0"/>
              <w:left w:val="nil"/>
              <w:bottom w:val="single" w:color="000000" w:sz="4" w:space="0"/>
              <w:right w:val="single" w:color="000000" w:sz="4" w:space="0"/>
            </w:tcBorders>
            <w:noWrap w:val="0"/>
            <w:vAlign w:val="center"/>
          </w:tcPr>
          <w:p>
            <w:pPr>
              <w:autoSpaceDE w:val="0"/>
              <w:autoSpaceDN w:val="0"/>
              <w:adjustRightInd w:val="0"/>
              <w:rPr>
                <w:rFonts w:ascii="宋体" w:hAnsi="宋体" w:eastAsia="宋体" w:cs="Calibri"/>
                <w:color w:val="auto"/>
                <w:sz w:val="21"/>
                <w:szCs w:val="21"/>
                <w:highlight w:val="none"/>
              </w:rPr>
            </w:pPr>
          </w:p>
        </w:tc>
        <w:tc>
          <w:tcPr>
            <w:tcW w:w="1389" w:type="pct"/>
            <w:gridSpan w:val="3"/>
            <w:tcBorders>
              <w:top w:val="single" w:color="000000" w:sz="4" w:space="0"/>
              <w:left w:val="nil"/>
              <w:bottom w:val="single" w:color="000000" w:sz="4" w:space="0"/>
              <w:right w:val="single" w:color="000000" w:sz="4" w:space="0"/>
            </w:tcBorders>
            <w:noWrap w:val="0"/>
            <w:vAlign w:val="center"/>
          </w:tcPr>
          <w:p>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拟在</w:t>
            </w:r>
            <w:r>
              <w:rPr>
                <w:rFonts w:hint="eastAsia" w:ascii="宋体" w:hAnsi="宋体" w:eastAsia="宋体"/>
                <w:color w:val="auto"/>
                <w:spacing w:val="-2"/>
                <w:sz w:val="21"/>
                <w:szCs w:val="21"/>
                <w:highlight w:val="none"/>
              </w:rPr>
              <w:t>本</w:t>
            </w:r>
            <w:r>
              <w:rPr>
                <w:rFonts w:hint="eastAsia" w:ascii="宋体" w:hAnsi="宋体" w:eastAsia="宋体"/>
                <w:color w:val="auto"/>
                <w:sz w:val="21"/>
                <w:szCs w:val="21"/>
                <w:highlight w:val="none"/>
              </w:rPr>
              <w:t>项</w:t>
            </w:r>
            <w:r>
              <w:rPr>
                <w:rFonts w:hint="eastAsia" w:ascii="宋体" w:hAnsi="宋体" w:eastAsia="宋体"/>
                <w:color w:val="auto"/>
                <w:spacing w:val="-2"/>
                <w:sz w:val="21"/>
                <w:szCs w:val="21"/>
                <w:highlight w:val="none"/>
              </w:rPr>
              <w:t>目</w:t>
            </w:r>
            <w:r>
              <w:rPr>
                <w:rFonts w:hint="eastAsia" w:ascii="宋体" w:hAnsi="宋体" w:eastAsia="宋体"/>
                <w:color w:val="auto"/>
                <w:sz w:val="21"/>
                <w:szCs w:val="21"/>
                <w:highlight w:val="none"/>
              </w:rPr>
              <w:t>任职</w:t>
            </w:r>
          </w:p>
        </w:tc>
        <w:tc>
          <w:tcPr>
            <w:tcW w:w="1113" w:type="pct"/>
            <w:tcBorders>
              <w:top w:val="single" w:color="000000" w:sz="4" w:space="0"/>
              <w:left w:val="nil"/>
              <w:bottom w:val="single" w:color="000000" w:sz="4" w:space="0"/>
              <w:right w:val="single" w:color="000000" w:sz="4" w:space="0"/>
            </w:tcBorders>
            <w:noWrap w:val="0"/>
            <w:vAlign w:val="center"/>
          </w:tcPr>
          <w:p>
            <w:pPr>
              <w:autoSpaceDE w:val="0"/>
              <w:autoSpaceDN w:val="0"/>
              <w:adjustRightInd w:val="0"/>
              <w:rPr>
                <w:rFonts w:ascii="宋体" w:hAnsi="宋体" w:eastAsia="宋体" w:cs="Calibri"/>
                <w:color w:val="auto"/>
                <w:sz w:val="21"/>
                <w:szCs w:val="21"/>
                <w:highlight w:val="none"/>
              </w:rPr>
            </w:pPr>
          </w:p>
        </w:tc>
      </w:tr>
      <w:tr>
        <w:tblPrEx>
          <w:tblCellMar>
            <w:top w:w="0" w:type="dxa"/>
            <w:left w:w="0" w:type="dxa"/>
            <w:bottom w:w="0" w:type="dxa"/>
            <w:right w:w="0" w:type="dxa"/>
          </w:tblCellMar>
        </w:tblPrEx>
        <w:trPr>
          <w:trHeight w:val="701" w:hRule="atLeast"/>
        </w:trPr>
        <w:tc>
          <w:tcPr>
            <w:tcW w:w="695"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工作</w:t>
            </w:r>
            <w:r>
              <w:rPr>
                <w:rFonts w:hint="eastAsia" w:ascii="宋体" w:hAnsi="宋体" w:eastAsia="宋体"/>
                <w:color w:val="auto"/>
                <w:spacing w:val="-2"/>
                <w:sz w:val="21"/>
                <w:szCs w:val="21"/>
                <w:highlight w:val="none"/>
              </w:rPr>
              <w:t>年</w:t>
            </w:r>
            <w:r>
              <w:rPr>
                <w:rFonts w:hint="eastAsia" w:ascii="宋体" w:hAnsi="宋体" w:eastAsia="宋体"/>
                <w:color w:val="auto"/>
                <w:sz w:val="21"/>
                <w:szCs w:val="21"/>
                <w:highlight w:val="none"/>
              </w:rPr>
              <w:t>限</w:t>
            </w:r>
          </w:p>
        </w:tc>
        <w:tc>
          <w:tcPr>
            <w:tcW w:w="1803" w:type="pct"/>
            <w:gridSpan w:val="4"/>
            <w:tcBorders>
              <w:top w:val="single" w:color="000000" w:sz="4" w:space="0"/>
              <w:left w:val="nil"/>
              <w:bottom w:val="single" w:color="000000" w:sz="4" w:space="0"/>
              <w:right w:val="single" w:color="000000" w:sz="4" w:space="0"/>
            </w:tcBorders>
            <w:noWrap w:val="0"/>
            <w:vAlign w:val="center"/>
          </w:tcPr>
          <w:p>
            <w:pPr>
              <w:autoSpaceDE w:val="0"/>
              <w:autoSpaceDN w:val="0"/>
              <w:adjustRightInd w:val="0"/>
              <w:rPr>
                <w:rFonts w:ascii="宋体" w:hAnsi="宋体" w:eastAsia="宋体" w:cs="Calibri"/>
                <w:color w:val="auto"/>
                <w:sz w:val="21"/>
                <w:szCs w:val="21"/>
                <w:highlight w:val="none"/>
              </w:rPr>
            </w:pPr>
          </w:p>
        </w:tc>
        <w:tc>
          <w:tcPr>
            <w:tcW w:w="1389" w:type="pct"/>
            <w:gridSpan w:val="3"/>
            <w:tcBorders>
              <w:top w:val="single" w:color="000000" w:sz="4" w:space="0"/>
              <w:left w:val="nil"/>
              <w:bottom w:val="single" w:color="000000" w:sz="4" w:space="0"/>
              <w:right w:val="single" w:color="000000" w:sz="4" w:space="0"/>
            </w:tcBorders>
            <w:noWrap w:val="0"/>
            <w:vAlign w:val="center"/>
          </w:tcPr>
          <w:p>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从事</w:t>
            </w:r>
            <w:r>
              <w:rPr>
                <w:rFonts w:hint="eastAsia" w:ascii="宋体" w:hAnsi="宋体" w:eastAsia="宋体"/>
                <w:color w:val="auto"/>
                <w:spacing w:val="-2"/>
                <w:sz w:val="21"/>
                <w:szCs w:val="21"/>
                <w:highlight w:val="none"/>
              </w:rPr>
              <w:t>设</w:t>
            </w:r>
            <w:r>
              <w:rPr>
                <w:rFonts w:hint="eastAsia" w:ascii="宋体" w:hAnsi="宋体" w:eastAsia="宋体"/>
                <w:color w:val="auto"/>
                <w:sz w:val="21"/>
                <w:szCs w:val="21"/>
                <w:highlight w:val="none"/>
              </w:rPr>
              <w:t>计</w:t>
            </w:r>
            <w:r>
              <w:rPr>
                <w:rFonts w:hint="eastAsia" w:ascii="宋体" w:hAnsi="宋体" w:eastAsia="宋体"/>
                <w:color w:val="auto"/>
                <w:spacing w:val="-2"/>
                <w:sz w:val="21"/>
                <w:szCs w:val="21"/>
                <w:highlight w:val="none"/>
              </w:rPr>
              <w:t>工</w:t>
            </w:r>
            <w:r>
              <w:rPr>
                <w:rFonts w:hint="eastAsia" w:ascii="宋体" w:hAnsi="宋体" w:eastAsia="宋体"/>
                <w:color w:val="auto"/>
                <w:sz w:val="21"/>
                <w:szCs w:val="21"/>
                <w:highlight w:val="none"/>
              </w:rPr>
              <w:t>作</w:t>
            </w:r>
            <w:r>
              <w:rPr>
                <w:rFonts w:hint="eastAsia" w:ascii="宋体" w:hAnsi="宋体" w:eastAsia="宋体"/>
                <w:color w:val="auto"/>
                <w:spacing w:val="-2"/>
                <w:sz w:val="21"/>
                <w:szCs w:val="21"/>
                <w:highlight w:val="none"/>
              </w:rPr>
              <w:t>年</w:t>
            </w:r>
            <w:r>
              <w:rPr>
                <w:rFonts w:hint="eastAsia" w:ascii="宋体" w:hAnsi="宋体" w:eastAsia="宋体"/>
                <w:color w:val="auto"/>
                <w:sz w:val="21"/>
                <w:szCs w:val="21"/>
                <w:highlight w:val="none"/>
              </w:rPr>
              <w:t>限</w:t>
            </w:r>
          </w:p>
        </w:tc>
        <w:tc>
          <w:tcPr>
            <w:tcW w:w="1113" w:type="pct"/>
            <w:tcBorders>
              <w:top w:val="single" w:color="000000" w:sz="4" w:space="0"/>
              <w:left w:val="nil"/>
              <w:bottom w:val="single" w:color="000000" w:sz="4" w:space="0"/>
              <w:right w:val="single" w:color="000000" w:sz="4" w:space="0"/>
            </w:tcBorders>
            <w:noWrap w:val="0"/>
            <w:vAlign w:val="center"/>
          </w:tcPr>
          <w:p>
            <w:pPr>
              <w:autoSpaceDE w:val="0"/>
              <w:autoSpaceDN w:val="0"/>
              <w:adjustRightInd w:val="0"/>
              <w:rPr>
                <w:rFonts w:ascii="宋体" w:hAnsi="宋体" w:eastAsia="宋体" w:cs="Calibri"/>
                <w:color w:val="auto"/>
                <w:sz w:val="21"/>
                <w:szCs w:val="21"/>
                <w:highlight w:val="none"/>
              </w:rPr>
            </w:pPr>
          </w:p>
        </w:tc>
      </w:tr>
      <w:tr>
        <w:tblPrEx>
          <w:tblCellMar>
            <w:top w:w="0" w:type="dxa"/>
            <w:left w:w="0" w:type="dxa"/>
            <w:bottom w:w="0" w:type="dxa"/>
            <w:right w:w="0" w:type="dxa"/>
          </w:tblCellMar>
        </w:tblPrEx>
        <w:trPr>
          <w:trHeight w:val="710" w:hRule="atLeast"/>
        </w:trPr>
        <w:tc>
          <w:tcPr>
            <w:tcW w:w="695"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毕业</w:t>
            </w:r>
            <w:r>
              <w:rPr>
                <w:rFonts w:hint="eastAsia" w:ascii="宋体" w:hAnsi="宋体" w:eastAsia="宋体"/>
                <w:color w:val="auto"/>
                <w:spacing w:val="-2"/>
                <w:sz w:val="21"/>
                <w:szCs w:val="21"/>
                <w:highlight w:val="none"/>
              </w:rPr>
              <w:t>学</w:t>
            </w:r>
            <w:r>
              <w:rPr>
                <w:rFonts w:hint="eastAsia" w:ascii="宋体" w:hAnsi="宋体" w:eastAsia="宋体"/>
                <w:color w:val="auto"/>
                <w:sz w:val="21"/>
                <w:szCs w:val="21"/>
                <w:highlight w:val="none"/>
              </w:rPr>
              <w:t>校</w:t>
            </w:r>
          </w:p>
        </w:tc>
        <w:tc>
          <w:tcPr>
            <w:tcW w:w="4305" w:type="pct"/>
            <w:gridSpan w:val="8"/>
            <w:tcBorders>
              <w:top w:val="single" w:color="000000" w:sz="4" w:space="0"/>
              <w:left w:val="nil"/>
              <w:bottom w:val="single" w:color="000000" w:sz="4" w:space="0"/>
              <w:right w:val="single" w:color="000000" w:sz="4" w:space="0"/>
            </w:tcBorders>
            <w:noWrap w:val="0"/>
            <w:vAlign w:val="center"/>
          </w:tcPr>
          <w:p>
            <w:pPr>
              <w:autoSpaceDE w:val="0"/>
              <w:autoSpaceDN w:val="0"/>
              <w:adjustRightInd w:val="0"/>
              <w:ind w:firstLine="420" w:firstLineChars="200"/>
              <w:rPr>
                <w:rFonts w:ascii="宋体" w:hAnsi="宋体" w:eastAsia="宋体" w:cs="Calibri"/>
                <w:color w:val="auto"/>
                <w:sz w:val="21"/>
                <w:szCs w:val="21"/>
                <w:highlight w:val="none"/>
              </w:rPr>
            </w:pPr>
            <w:r>
              <w:rPr>
                <w:rFonts w:hint="eastAsia" w:ascii="宋体" w:hAnsi="宋体" w:eastAsia="宋体"/>
                <w:color w:val="auto"/>
                <w:sz w:val="21"/>
                <w:szCs w:val="21"/>
                <w:highlight w:val="none"/>
              </w:rPr>
              <w:t>年毕</w:t>
            </w:r>
            <w:r>
              <w:rPr>
                <w:rFonts w:hint="eastAsia" w:ascii="宋体" w:hAnsi="宋体" w:eastAsia="宋体"/>
                <w:color w:val="auto"/>
                <w:spacing w:val="-2"/>
                <w:sz w:val="21"/>
                <w:szCs w:val="21"/>
                <w:highlight w:val="none"/>
              </w:rPr>
              <w:t>业</w:t>
            </w:r>
            <w:r>
              <w:rPr>
                <w:rFonts w:hint="eastAsia" w:ascii="宋体" w:hAnsi="宋体" w:eastAsia="宋体"/>
                <w:color w:val="auto"/>
                <w:sz w:val="21"/>
                <w:szCs w:val="21"/>
                <w:highlight w:val="none"/>
              </w:rPr>
              <w:t>于</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w:t>
            </w:r>
            <w:r>
              <w:rPr>
                <w:rFonts w:hint="eastAsia" w:ascii="宋体" w:hAnsi="宋体" w:eastAsia="宋体"/>
                <w:color w:val="auto"/>
                <w:spacing w:val="-2"/>
                <w:sz w:val="21"/>
                <w:szCs w:val="21"/>
                <w:highlight w:val="none"/>
              </w:rPr>
              <w:t>学</w:t>
            </w:r>
            <w:r>
              <w:rPr>
                <w:rFonts w:hint="eastAsia" w:ascii="宋体" w:hAnsi="宋体" w:eastAsia="宋体"/>
                <w:color w:val="auto"/>
                <w:sz w:val="21"/>
                <w:szCs w:val="21"/>
                <w:highlight w:val="none"/>
              </w:rPr>
              <w:t>校</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专业</w:t>
            </w:r>
          </w:p>
        </w:tc>
      </w:tr>
      <w:tr>
        <w:tblPrEx>
          <w:tblCellMar>
            <w:top w:w="0" w:type="dxa"/>
            <w:left w:w="0" w:type="dxa"/>
            <w:bottom w:w="0" w:type="dxa"/>
            <w:right w:w="0" w:type="dxa"/>
          </w:tblCellMar>
        </w:tblPrEx>
        <w:trPr>
          <w:trHeight w:val="694" w:hRule="atLeast"/>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rPr>
                <w:rFonts w:ascii="宋体" w:hAnsi="宋体" w:eastAsia="宋体"/>
                <w:color w:val="auto"/>
                <w:sz w:val="21"/>
                <w:szCs w:val="21"/>
                <w:highlight w:val="none"/>
              </w:rPr>
            </w:pPr>
            <w:r>
              <w:rPr>
                <w:rFonts w:hint="eastAsia" w:ascii="宋体" w:hAnsi="宋体" w:eastAsia="宋体"/>
                <w:color w:val="auto"/>
                <w:sz w:val="21"/>
                <w:szCs w:val="21"/>
                <w:highlight w:val="none"/>
              </w:rPr>
              <w:t>主要工作经历</w:t>
            </w:r>
          </w:p>
          <w:p>
            <w:pPr>
              <w:pStyle w:val="26"/>
              <w:rPr>
                <w:rFonts w:ascii="宋体" w:hAnsi="宋体"/>
                <w:color w:val="auto"/>
                <w:kern w:val="0"/>
                <w:szCs w:val="21"/>
                <w:highlight w:val="none"/>
              </w:rPr>
            </w:pPr>
          </w:p>
          <w:p>
            <w:pPr>
              <w:pStyle w:val="26"/>
              <w:rPr>
                <w:rFonts w:ascii="宋体" w:hAnsi="宋体"/>
                <w:color w:val="auto"/>
                <w:kern w:val="0"/>
                <w:szCs w:val="21"/>
                <w:highlight w:val="none"/>
              </w:rPr>
            </w:pPr>
          </w:p>
          <w:p>
            <w:pPr>
              <w:pStyle w:val="26"/>
              <w:rPr>
                <w:rFonts w:ascii="宋体" w:hAnsi="宋体"/>
                <w:color w:val="auto"/>
                <w:kern w:val="0"/>
                <w:szCs w:val="21"/>
                <w:highlight w:val="none"/>
              </w:rPr>
            </w:pPr>
          </w:p>
          <w:p>
            <w:pPr>
              <w:pStyle w:val="26"/>
              <w:rPr>
                <w:rFonts w:ascii="宋体" w:hAnsi="宋体"/>
                <w:color w:val="auto"/>
                <w:kern w:val="0"/>
                <w:szCs w:val="21"/>
                <w:highlight w:val="none"/>
              </w:rPr>
            </w:pPr>
          </w:p>
          <w:p>
            <w:pPr>
              <w:pStyle w:val="26"/>
              <w:rPr>
                <w:rFonts w:ascii="宋体" w:hAnsi="宋体"/>
                <w:color w:val="auto"/>
                <w:kern w:val="0"/>
                <w:szCs w:val="21"/>
                <w:highlight w:val="none"/>
              </w:rPr>
            </w:pPr>
          </w:p>
          <w:p>
            <w:pPr>
              <w:pStyle w:val="26"/>
              <w:rPr>
                <w:rFonts w:ascii="宋体" w:hAnsi="宋体"/>
                <w:color w:val="auto"/>
                <w:kern w:val="0"/>
                <w:szCs w:val="21"/>
                <w:highlight w:val="none"/>
              </w:rPr>
            </w:pPr>
          </w:p>
          <w:p>
            <w:pPr>
              <w:pStyle w:val="26"/>
              <w:rPr>
                <w:rFonts w:ascii="宋体" w:hAnsi="宋体"/>
                <w:color w:val="auto"/>
                <w:kern w:val="0"/>
                <w:szCs w:val="21"/>
                <w:highlight w:val="none"/>
              </w:rPr>
            </w:pPr>
          </w:p>
          <w:p>
            <w:pPr>
              <w:pStyle w:val="26"/>
              <w:rPr>
                <w:rFonts w:ascii="宋体" w:hAnsi="宋体"/>
                <w:color w:val="auto"/>
                <w:kern w:val="0"/>
                <w:szCs w:val="21"/>
                <w:highlight w:val="none"/>
              </w:rPr>
            </w:pPr>
          </w:p>
          <w:p>
            <w:pPr>
              <w:pStyle w:val="26"/>
              <w:rPr>
                <w:rFonts w:ascii="宋体" w:hAnsi="宋体"/>
                <w:color w:val="auto"/>
                <w:kern w:val="0"/>
                <w:szCs w:val="21"/>
                <w:highlight w:val="none"/>
              </w:rPr>
            </w:pPr>
          </w:p>
        </w:tc>
      </w:tr>
      <w:tr>
        <w:tblPrEx>
          <w:tblCellMar>
            <w:top w:w="0" w:type="dxa"/>
            <w:left w:w="0" w:type="dxa"/>
            <w:bottom w:w="0" w:type="dxa"/>
            <w:right w:w="0" w:type="dxa"/>
          </w:tblCellMar>
        </w:tblPrEx>
        <w:trPr>
          <w:trHeight w:val="718" w:hRule="atLeast"/>
        </w:trPr>
        <w:tc>
          <w:tcPr>
            <w:tcW w:w="905" w:type="pct"/>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时</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间</w:t>
            </w:r>
          </w:p>
        </w:tc>
        <w:tc>
          <w:tcPr>
            <w:tcW w:w="2007" w:type="pct"/>
            <w:gridSpan w:val="4"/>
            <w:tcBorders>
              <w:top w:val="single" w:color="000000" w:sz="4" w:space="0"/>
              <w:left w:val="nil"/>
              <w:bottom w:val="single" w:color="000000" w:sz="4" w:space="0"/>
              <w:right w:val="single" w:color="000000" w:sz="4" w:space="0"/>
            </w:tcBorders>
            <w:noWrap w:val="0"/>
            <w:vAlign w:val="center"/>
          </w:tcPr>
          <w:p>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参加</w:t>
            </w:r>
            <w:r>
              <w:rPr>
                <w:rFonts w:hint="eastAsia" w:ascii="宋体" w:hAnsi="宋体" w:eastAsia="宋体"/>
                <w:color w:val="auto"/>
                <w:spacing w:val="-2"/>
                <w:sz w:val="21"/>
                <w:szCs w:val="21"/>
                <w:highlight w:val="none"/>
              </w:rPr>
              <w:t>过</w:t>
            </w:r>
            <w:r>
              <w:rPr>
                <w:rFonts w:hint="eastAsia" w:ascii="宋体" w:hAnsi="宋体" w:eastAsia="宋体"/>
                <w:color w:val="auto"/>
                <w:sz w:val="21"/>
                <w:szCs w:val="21"/>
                <w:highlight w:val="none"/>
              </w:rPr>
              <w:t>的</w:t>
            </w:r>
            <w:r>
              <w:rPr>
                <w:rFonts w:hint="eastAsia" w:ascii="宋体" w:hAnsi="宋体" w:eastAsia="宋体"/>
                <w:color w:val="auto"/>
                <w:spacing w:val="-2"/>
                <w:sz w:val="21"/>
                <w:szCs w:val="21"/>
                <w:highlight w:val="none"/>
              </w:rPr>
              <w:t>类</w:t>
            </w:r>
            <w:r>
              <w:rPr>
                <w:rFonts w:hint="eastAsia" w:ascii="宋体" w:hAnsi="宋体" w:eastAsia="宋体"/>
                <w:color w:val="auto"/>
                <w:sz w:val="21"/>
                <w:szCs w:val="21"/>
                <w:highlight w:val="none"/>
              </w:rPr>
              <w:t>似</w:t>
            </w:r>
            <w:r>
              <w:rPr>
                <w:rFonts w:hint="eastAsia" w:ascii="宋体" w:hAnsi="宋体" w:eastAsia="宋体"/>
                <w:color w:val="auto"/>
                <w:spacing w:val="-2"/>
                <w:sz w:val="21"/>
                <w:szCs w:val="21"/>
                <w:highlight w:val="none"/>
              </w:rPr>
              <w:t>项</w:t>
            </w:r>
            <w:r>
              <w:rPr>
                <w:rFonts w:hint="eastAsia" w:ascii="宋体" w:hAnsi="宋体" w:eastAsia="宋体"/>
                <w:color w:val="auto"/>
                <w:sz w:val="21"/>
                <w:szCs w:val="21"/>
                <w:highlight w:val="none"/>
              </w:rPr>
              <w:t>目</w:t>
            </w:r>
          </w:p>
        </w:tc>
        <w:tc>
          <w:tcPr>
            <w:tcW w:w="739" w:type="pct"/>
            <w:tcBorders>
              <w:top w:val="single" w:color="000000" w:sz="4" w:space="0"/>
              <w:left w:val="nil"/>
              <w:bottom w:val="single" w:color="000000" w:sz="4" w:space="0"/>
              <w:right w:val="single" w:color="000000" w:sz="4" w:space="0"/>
            </w:tcBorders>
            <w:noWrap w:val="0"/>
            <w:vAlign w:val="center"/>
          </w:tcPr>
          <w:p>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担任</w:t>
            </w:r>
            <w:r>
              <w:rPr>
                <w:rFonts w:hint="eastAsia" w:ascii="宋体" w:hAnsi="宋体" w:eastAsia="宋体"/>
                <w:color w:val="auto"/>
                <w:spacing w:val="-2"/>
                <w:sz w:val="21"/>
                <w:szCs w:val="21"/>
                <w:highlight w:val="none"/>
              </w:rPr>
              <w:t>职</w:t>
            </w:r>
            <w:r>
              <w:rPr>
                <w:rFonts w:hint="eastAsia" w:ascii="宋体" w:hAnsi="宋体" w:eastAsia="宋体"/>
                <w:color w:val="auto"/>
                <w:sz w:val="21"/>
                <w:szCs w:val="21"/>
                <w:highlight w:val="none"/>
              </w:rPr>
              <w:t>务</w:t>
            </w:r>
          </w:p>
        </w:tc>
        <w:tc>
          <w:tcPr>
            <w:tcW w:w="1348" w:type="pct"/>
            <w:gridSpan w:val="2"/>
            <w:tcBorders>
              <w:top w:val="single" w:color="000000" w:sz="4" w:space="0"/>
              <w:left w:val="nil"/>
              <w:bottom w:val="single" w:color="000000" w:sz="4" w:space="0"/>
              <w:right w:val="single" w:color="000000" w:sz="4" w:space="0"/>
            </w:tcBorders>
            <w:noWrap w:val="0"/>
            <w:vAlign w:val="center"/>
          </w:tcPr>
          <w:p>
            <w:pPr>
              <w:autoSpaceDE w:val="0"/>
              <w:autoSpaceDN w:val="0"/>
              <w:adjustRightInd w:val="0"/>
              <w:jc w:val="center"/>
              <w:rPr>
                <w:rFonts w:ascii="宋体" w:hAnsi="宋体" w:eastAsia="宋体" w:cs="Calibri"/>
                <w:color w:val="auto"/>
                <w:sz w:val="21"/>
                <w:szCs w:val="21"/>
                <w:highlight w:val="none"/>
              </w:rPr>
            </w:pPr>
            <w:r>
              <w:rPr>
                <w:rFonts w:hint="eastAsia" w:ascii="宋体" w:hAnsi="宋体" w:eastAsia="宋体"/>
                <w:color w:val="auto"/>
                <w:sz w:val="21"/>
                <w:szCs w:val="21"/>
                <w:highlight w:val="none"/>
              </w:rPr>
              <w:t>发包</w:t>
            </w:r>
            <w:r>
              <w:rPr>
                <w:rFonts w:hint="eastAsia" w:ascii="宋体" w:hAnsi="宋体" w:eastAsia="宋体"/>
                <w:color w:val="auto"/>
                <w:spacing w:val="-2"/>
                <w:sz w:val="21"/>
                <w:szCs w:val="21"/>
                <w:highlight w:val="none"/>
              </w:rPr>
              <w:t>人</w:t>
            </w:r>
            <w:r>
              <w:rPr>
                <w:rFonts w:hint="eastAsia" w:ascii="宋体" w:hAnsi="宋体" w:eastAsia="宋体"/>
                <w:color w:val="auto"/>
                <w:sz w:val="21"/>
                <w:szCs w:val="21"/>
                <w:highlight w:val="none"/>
              </w:rPr>
              <w:t>及</w:t>
            </w:r>
            <w:r>
              <w:rPr>
                <w:rFonts w:hint="eastAsia" w:ascii="宋体" w:hAnsi="宋体" w:eastAsia="宋体"/>
                <w:color w:val="auto"/>
                <w:spacing w:val="-2"/>
                <w:sz w:val="21"/>
                <w:szCs w:val="21"/>
                <w:highlight w:val="none"/>
              </w:rPr>
              <w:t>联</w:t>
            </w:r>
            <w:r>
              <w:rPr>
                <w:rFonts w:hint="eastAsia" w:ascii="宋体" w:hAnsi="宋体" w:eastAsia="宋体"/>
                <w:color w:val="auto"/>
                <w:sz w:val="21"/>
                <w:szCs w:val="21"/>
                <w:highlight w:val="none"/>
              </w:rPr>
              <w:t>系</w:t>
            </w:r>
            <w:r>
              <w:rPr>
                <w:rFonts w:hint="eastAsia" w:ascii="宋体" w:hAnsi="宋体" w:eastAsia="宋体"/>
                <w:color w:val="auto"/>
                <w:spacing w:val="-2"/>
                <w:sz w:val="21"/>
                <w:szCs w:val="21"/>
                <w:highlight w:val="none"/>
              </w:rPr>
              <w:t>电</w:t>
            </w:r>
            <w:r>
              <w:rPr>
                <w:rFonts w:hint="eastAsia" w:ascii="宋体" w:hAnsi="宋体" w:eastAsia="宋体"/>
                <w:color w:val="auto"/>
                <w:sz w:val="21"/>
                <w:szCs w:val="21"/>
                <w:highlight w:val="none"/>
              </w:rPr>
              <w:t>话</w:t>
            </w:r>
          </w:p>
        </w:tc>
      </w:tr>
      <w:tr>
        <w:tblPrEx>
          <w:tblCellMar>
            <w:top w:w="0" w:type="dxa"/>
            <w:left w:w="0" w:type="dxa"/>
            <w:bottom w:w="0" w:type="dxa"/>
            <w:right w:w="0" w:type="dxa"/>
          </w:tblCellMar>
        </w:tblPrEx>
        <w:trPr>
          <w:trHeight w:val="701" w:hRule="atLeast"/>
        </w:trPr>
        <w:tc>
          <w:tcPr>
            <w:tcW w:w="905" w:type="pct"/>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c>
          <w:tcPr>
            <w:tcW w:w="2007" w:type="pct"/>
            <w:gridSpan w:val="4"/>
            <w:tcBorders>
              <w:top w:val="single" w:color="000000" w:sz="4" w:space="0"/>
              <w:left w:val="nil"/>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c>
          <w:tcPr>
            <w:tcW w:w="739" w:type="pct"/>
            <w:tcBorders>
              <w:top w:val="single" w:color="000000" w:sz="4" w:space="0"/>
              <w:left w:val="nil"/>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c>
          <w:tcPr>
            <w:tcW w:w="1348" w:type="pct"/>
            <w:gridSpan w:val="2"/>
            <w:tcBorders>
              <w:top w:val="single" w:color="000000" w:sz="4" w:space="0"/>
              <w:left w:val="nil"/>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r>
      <w:tr>
        <w:tblPrEx>
          <w:tblCellMar>
            <w:top w:w="0" w:type="dxa"/>
            <w:left w:w="0" w:type="dxa"/>
            <w:bottom w:w="0" w:type="dxa"/>
            <w:right w:w="0" w:type="dxa"/>
          </w:tblCellMar>
        </w:tblPrEx>
        <w:trPr>
          <w:trHeight w:val="698" w:hRule="atLeast"/>
        </w:trPr>
        <w:tc>
          <w:tcPr>
            <w:tcW w:w="905" w:type="pct"/>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c>
          <w:tcPr>
            <w:tcW w:w="2007" w:type="pct"/>
            <w:gridSpan w:val="4"/>
            <w:tcBorders>
              <w:top w:val="single" w:color="000000" w:sz="4" w:space="0"/>
              <w:left w:val="nil"/>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c>
          <w:tcPr>
            <w:tcW w:w="739" w:type="pct"/>
            <w:tcBorders>
              <w:top w:val="single" w:color="000000" w:sz="4" w:space="0"/>
              <w:left w:val="nil"/>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c>
          <w:tcPr>
            <w:tcW w:w="1348" w:type="pct"/>
            <w:gridSpan w:val="2"/>
            <w:tcBorders>
              <w:top w:val="single" w:color="000000" w:sz="4" w:space="0"/>
              <w:left w:val="nil"/>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r>
      <w:tr>
        <w:tblPrEx>
          <w:tblCellMar>
            <w:top w:w="0" w:type="dxa"/>
            <w:left w:w="0" w:type="dxa"/>
            <w:bottom w:w="0" w:type="dxa"/>
            <w:right w:w="0" w:type="dxa"/>
          </w:tblCellMar>
        </w:tblPrEx>
        <w:trPr>
          <w:trHeight w:val="701" w:hRule="atLeast"/>
        </w:trPr>
        <w:tc>
          <w:tcPr>
            <w:tcW w:w="905" w:type="pct"/>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c>
          <w:tcPr>
            <w:tcW w:w="2007" w:type="pct"/>
            <w:gridSpan w:val="4"/>
            <w:tcBorders>
              <w:top w:val="single" w:color="000000" w:sz="4" w:space="0"/>
              <w:left w:val="nil"/>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c>
          <w:tcPr>
            <w:tcW w:w="739" w:type="pct"/>
            <w:tcBorders>
              <w:top w:val="single" w:color="000000" w:sz="4" w:space="0"/>
              <w:left w:val="nil"/>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c>
          <w:tcPr>
            <w:tcW w:w="1348" w:type="pct"/>
            <w:gridSpan w:val="2"/>
            <w:tcBorders>
              <w:top w:val="single" w:color="000000" w:sz="4" w:space="0"/>
              <w:left w:val="nil"/>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r>
      <w:tr>
        <w:tblPrEx>
          <w:tblCellMar>
            <w:top w:w="0" w:type="dxa"/>
            <w:left w:w="0" w:type="dxa"/>
            <w:bottom w:w="0" w:type="dxa"/>
            <w:right w:w="0" w:type="dxa"/>
          </w:tblCellMar>
        </w:tblPrEx>
        <w:trPr>
          <w:trHeight w:val="701" w:hRule="atLeast"/>
        </w:trPr>
        <w:tc>
          <w:tcPr>
            <w:tcW w:w="905" w:type="pct"/>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c>
          <w:tcPr>
            <w:tcW w:w="2007" w:type="pct"/>
            <w:gridSpan w:val="4"/>
            <w:tcBorders>
              <w:top w:val="single" w:color="000000" w:sz="4" w:space="0"/>
              <w:left w:val="nil"/>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c>
          <w:tcPr>
            <w:tcW w:w="739" w:type="pct"/>
            <w:tcBorders>
              <w:top w:val="single" w:color="000000" w:sz="4" w:space="0"/>
              <w:left w:val="nil"/>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c>
          <w:tcPr>
            <w:tcW w:w="1348" w:type="pct"/>
            <w:gridSpan w:val="2"/>
            <w:tcBorders>
              <w:top w:val="single" w:color="000000" w:sz="4" w:space="0"/>
              <w:left w:val="nil"/>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r>
      <w:tr>
        <w:tblPrEx>
          <w:tblCellMar>
            <w:top w:w="0" w:type="dxa"/>
            <w:left w:w="0" w:type="dxa"/>
            <w:bottom w:w="0" w:type="dxa"/>
            <w:right w:w="0" w:type="dxa"/>
          </w:tblCellMar>
        </w:tblPrEx>
        <w:trPr>
          <w:trHeight w:val="699" w:hRule="atLeast"/>
        </w:trPr>
        <w:tc>
          <w:tcPr>
            <w:tcW w:w="905" w:type="pct"/>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c>
          <w:tcPr>
            <w:tcW w:w="2007" w:type="pct"/>
            <w:gridSpan w:val="4"/>
            <w:tcBorders>
              <w:top w:val="single" w:color="000000" w:sz="4" w:space="0"/>
              <w:left w:val="nil"/>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c>
          <w:tcPr>
            <w:tcW w:w="739" w:type="pct"/>
            <w:tcBorders>
              <w:top w:val="single" w:color="000000" w:sz="4" w:space="0"/>
              <w:left w:val="nil"/>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c>
          <w:tcPr>
            <w:tcW w:w="1348" w:type="pct"/>
            <w:gridSpan w:val="2"/>
            <w:tcBorders>
              <w:top w:val="single" w:color="000000" w:sz="4" w:space="0"/>
              <w:left w:val="nil"/>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r>
      <w:tr>
        <w:tblPrEx>
          <w:tblCellMar>
            <w:top w:w="0" w:type="dxa"/>
            <w:left w:w="0" w:type="dxa"/>
            <w:bottom w:w="0" w:type="dxa"/>
            <w:right w:w="0" w:type="dxa"/>
          </w:tblCellMar>
        </w:tblPrEx>
        <w:trPr>
          <w:trHeight w:val="701" w:hRule="atLeast"/>
        </w:trPr>
        <w:tc>
          <w:tcPr>
            <w:tcW w:w="905" w:type="pct"/>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c>
          <w:tcPr>
            <w:tcW w:w="2007" w:type="pct"/>
            <w:gridSpan w:val="4"/>
            <w:tcBorders>
              <w:top w:val="single" w:color="000000" w:sz="4" w:space="0"/>
              <w:left w:val="nil"/>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c>
          <w:tcPr>
            <w:tcW w:w="739" w:type="pct"/>
            <w:tcBorders>
              <w:top w:val="single" w:color="000000" w:sz="4" w:space="0"/>
              <w:left w:val="nil"/>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c>
          <w:tcPr>
            <w:tcW w:w="1348" w:type="pct"/>
            <w:gridSpan w:val="2"/>
            <w:tcBorders>
              <w:top w:val="single" w:color="000000" w:sz="4" w:space="0"/>
              <w:left w:val="nil"/>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r>
      <w:tr>
        <w:tblPrEx>
          <w:tblCellMar>
            <w:top w:w="0" w:type="dxa"/>
            <w:left w:w="0" w:type="dxa"/>
            <w:bottom w:w="0" w:type="dxa"/>
            <w:right w:w="0" w:type="dxa"/>
          </w:tblCellMar>
        </w:tblPrEx>
        <w:trPr>
          <w:trHeight w:val="701" w:hRule="atLeast"/>
        </w:trPr>
        <w:tc>
          <w:tcPr>
            <w:tcW w:w="905" w:type="pct"/>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c>
          <w:tcPr>
            <w:tcW w:w="2007" w:type="pct"/>
            <w:gridSpan w:val="4"/>
            <w:tcBorders>
              <w:top w:val="single" w:color="000000" w:sz="4" w:space="0"/>
              <w:left w:val="nil"/>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c>
          <w:tcPr>
            <w:tcW w:w="739" w:type="pct"/>
            <w:tcBorders>
              <w:top w:val="single" w:color="000000" w:sz="4" w:space="0"/>
              <w:left w:val="nil"/>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c>
          <w:tcPr>
            <w:tcW w:w="1348" w:type="pct"/>
            <w:gridSpan w:val="2"/>
            <w:tcBorders>
              <w:top w:val="single" w:color="000000" w:sz="4" w:space="0"/>
              <w:left w:val="nil"/>
              <w:bottom w:val="single" w:color="000000" w:sz="4" w:space="0"/>
              <w:right w:val="single" w:color="000000" w:sz="4" w:space="0"/>
            </w:tcBorders>
            <w:noWrap w:val="0"/>
            <w:vAlign w:val="top"/>
          </w:tcPr>
          <w:p>
            <w:pPr>
              <w:autoSpaceDE w:val="0"/>
              <w:autoSpaceDN w:val="0"/>
              <w:adjustRightInd w:val="0"/>
              <w:rPr>
                <w:rFonts w:ascii="宋体" w:hAnsi="宋体" w:eastAsia="宋体" w:cs="Calibri"/>
                <w:color w:val="auto"/>
                <w:sz w:val="21"/>
                <w:szCs w:val="21"/>
                <w:highlight w:val="none"/>
              </w:rPr>
            </w:pPr>
          </w:p>
        </w:tc>
      </w:tr>
    </w:tbl>
    <w:p>
      <w:pPr>
        <w:autoSpaceDE w:val="0"/>
        <w:autoSpaceDN w:val="0"/>
        <w:adjustRightInd w:val="0"/>
        <w:spacing w:line="110" w:lineRule="exact"/>
        <w:rPr>
          <w:rFonts w:ascii="宋体" w:hAnsi="宋体" w:eastAsia="宋体" w:cs="Calibri"/>
          <w:color w:val="auto"/>
          <w:sz w:val="11"/>
          <w:szCs w:val="11"/>
          <w:highlight w:val="none"/>
        </w:rPr>
      </w:pPr>
      <w:r>
        <w:rPr>
          <w:rFonts w:hint="eastAsia" w:ascii="宋体" w:hAnsi="宋体" w:eastAsia="宋体"/>
          <w:color w:val="auto"/>
          <w:sz w:val="11"/>
          <w:szCs w:val="11"/>
          <w:highlight w:val="none"/>
        </w:rPr>
        <w:t xml:space="preserve"> </w:t>
      </w:r>
    </w:p>
    <w:p>
      <w:pPr>
        <w:rPr>
          <w:rFonts w:ascii="宋体" w:hAnsi="宋体" w:eastAsia="宋体"/>
          <w:color w:val="auto"/>
          <w:highlight w:val="none"/>
          <w:lang w:eastAsia="zh-CN"/>
        </w:rPr>
      </w:pPr>
      <w:r>
        <w:rPr>
          <w:rFonts w:hint="eastAsia" w:ascii="宋体" w:hAnsi="宋体" w:eastAsia="宋体"/>
          <w:color w:val="auto"/>
          <w:highlight w:val="none"/>
          <w:lang w:eastAsia="zh-CN"/>
        </w:rPr>
        <w:t>注：</w:t>
      </w:r>
      <w:r>
        <w:rPr>
          <w:rFonts w:hint="eastAsia" w:ascii="宋体" w:hAnsi="宋体" w:eastAsia="宋体"/>
          <w:color w:val="auto"/>
          <w:spacing w:val="-2"/>
          <w:highlight w:val="none"/>
          <w:lang w:eastAsia="zh-CN"/>
        </w:rPr>
        <w:t>投</w:t>
      </w:r>
      <w:r>
        <w:rPr>
          <w:rFonts w:hint="eastAsia" w:ascii="宋体" w:hAnsi="宋体" w:eastAsia="宋体"/>
          <w:color w:val="auto"/>
          <w:highlight w:val="none"/>
          <w:lang w:eastAsia="zh-CN"/>
        </w:rPr>
        <w:t>标</w:t>
      </w:r>
      <w:r>
        <w:rPr>
          <w:rFonts w:hint="eastAsia" w:ascii="宋体" w:hAnsi="宋体" w:eastAsia="宋体"/>
          <w:color w:val="auto"/>
          <w:spacing w:val="-2"/>
          <w:highlight w:val="none"/>
          <w:lang w:eastAsia="zh-CN"/>
        </w:rPr>
        <w:t>人</w:t>
      </w:r>
      <w:r>
        <w:rPr>
          <w:rFonts w:hint="eastAsia" w:ascii="宋体" w:hAnsi="宋体" w:eastAsia="宋体"/>
          <w:color w:val="auto"/>
          <w:highlight w:val="none"/>
          <w:lang w:eastAsia="zh-CN"/>
        </w:rPr>
        <w:t>应</w:t>
      </w:r>
      <w:r>
        <w:rPr>
          <w:rFonts w:hint="eastAsia" w:ascii="宋体" w:hAnsi="宋体" w:eastAsia="宋体"/>
          <w:color w:val="auto"/>
          <w:spacing w:val="-2"/>
          <w:highlight w:val="none"/>
          <w:lang w:eastAsia="zh-CN"/>
        </w:rPr>
        <w:t>根</w:t>
      </w:r>
      <w:r>
        <w:rPr>
          <w:rFonts w:hint="eastAsia" w:ascii="宋体" w:hAnsi="宋体" w:eastAsia="宋体"/>
          <w:color w:val="auto"/>
          <w:highlight w:val="none"/>
          <w:lang w:eastAsia="zh-CN"/>
        </w:rPr>
        <w:t>据</w:t>
      </w:r>
      <w:r>
        <w:rPr>
          <w:rFonts w:hint="eastAsia" w:ascii="宋体" w:hAnsi="宋体" w:eastAsia="宋体"/>
          <w:color w:val="auto"/>
          <w:spacing w:val="-2"/>
          <w:highlight w:val="none"/>
          <w:lang w:eastAsia="zh-CN"/>
        </w:rPr>
        <w:t>投</w:t>
      </w:r>
      <w:r>
        <w:rPr>
          <w:rFonts w:hint="eastAsia" w:ascii="宋体" w:hAnsi="宋体" w:eastAsia="宋体"/>
          <w:color w:val="auto"/>
          <w:highlight w:val="none"/>
          <w:lang w:eastAsia="zh-CN"/>
        </w:rPr>
        <w:t>标</w:t>
      </w:r>
      <w:r>
        <w:rPr>
          <w:rFonts w:hint="eastAsia" w:ascii="宋体" w:hAnsi="宋体" w:eastAsia="宋体"/>
          <w:color w:val="auto"/>
          <w:spacing w:val="-2"/>
          <w:highlight w:val="none"/>
          <w:lang w:eastAsia="zh-CN"/>
        </w:rPr>
        <w:t>人</w:t>
      </w:r>
      <w:r>
        <w:rPr>
          <w:rFonts w:hint="eastAsia" w:ascii="宋体" w:hAnsi="宋体" w:eastAsia="宋体"/>
          <w:color w:val="auto"/>
          <w:highlight w:val="none"/>
          <w:lang w:eastAsia="zh-CN"/>
        </w:rPr>
        <w:t>须</w:t>
      </w:r>
      <w:r>
        <w:rPr>
          <w:rFonts w:hint="eastAsia" w:ascii="宋体" w:hAnsi="宋体" w:eastAsia="宋体"/>
          <w:color w:val="auto"/>
          <w:spacing w:val="-2"/>
          <w:highlight w:val="none"/>
          <w:lang w:eastAsia="zh-CN"/>
        </w:rPr>
        <w:t>知</w:t>
      </w:r>
      <w:r>
        <w:rPr>
          <w:rFonts w:hint="eastAsia" w:ascii="宋体" w:hAnsi="宋体" w:eastAsia="宋体"/>
          <w:color w:val="auto"/>
          <w:highlight w:val="none"/>
          <w:lang w:eastAsia="zh-CN"/>
        </w:rPr>
        <w:t>的相关</w:t>
      </w:r>
      <w:r>
        <w:rPr>
          <w:rFonts w:hint="eastAsia" w:ascii="宋体" w:hAnsi="宋体" w:eastAsia="宋体"/>
          <w:color w:val="auto"/>
          <w:spacing w:val="-2"/>
          <w:highlight w:val="none"/>
          <w:lang w:eastAsia="zh-CN"/>
        </w:rPr>
        <w:t>要</w:t>
      </w:r>
      <w:r>
        <w:rPr>
          <w:rFonts w:hint="eastAsia" w:ascii="宋体" w:hAnsi="宋体" w:eastAsia="宋体"/>
          <w:color w:val="auto"/>
          <w:highlight w:val="none"/>
          <w:lang w:eastAsia="zh-CN"/>
        </w:rPr>
        <w:t>求</w:t>
      </w:r>
      <w:r>
        <w:rPr>
          <w:rFonts w:hint="eastAsia" w:ascii="宋体" w:hAnsi="宋体" w:eastAsia="宋体"/>
          <w:color w:val="auto"/>
          <w:spacing w:val="-2"/>
          <w:highlight w:val="none"/>
          <w:lang w:eastAsia="zh-CN"/>
        </w:rPr>
        <w:t>在本</w:t>
      </w:r>
      <w:r>
        <w:rPr>
          <w:rFonts w:hint="eastAsia" w:ascii="宋体" w:hAnsi="宋体" w:eastAsia="宋体"/>
          <w:color w:val="auto"/>
          <w:highlight w:val="none"/>
          <w:lang w:eastAsia="zh-CN"/>
        </w:rPr>
        <w:t>表后</w:t>
      </w:r>
      <w:r>
        <w:rPr>
          <w:rFonts w:hint="eastAsia" w:ascii="宋体" w:hAnsi="宋体" w:eastAsia="宋体"/>
          <w:color w:val="auto"/>
          <w:spacing w:val="-2"/>
          <w:highlight w:val="none"/>
          <w:lang w:eastAsia="zh-CN"/>
        </w:rPr>
        <w:t>附</w:t>
      </w:r>
      <w:r>
        <w:rPr>
          <w:rFonts w:hint="eastAsia" w:ascii="宋体" w:hAnsi="宋体" w:eastAsia="宋体"/>
          <w:color w:val="auto"/>
          <w:highlight w:val="none"/>
          <w:lang w:eastAsia="zh-CN"/>
        </w:rPr>
        <w:t>相</w:t>
      </w:r>
      <w:r>
        <w:rPr>
          <w:rFonts w:hint="eastAsia" w:ascii="宋体" w:hAnsi="宋体" w:eastAsia="宋体"/>
          <w:color w:val="auto"/>
          <w:spacing w:val="-2"/>
          <w:highlight w:val="none"/>
          <w:lang w:eastAsia="zh-CN"/>
        </w:rPr>
        <w:t>关</w:t>
      </w:r>
      <w:r>
        <w:rPr>
          <w:rFonts w:hint="eastAsia" w:ascii="宋体" w:hAnsi="宋体" w:eastAsia="宋体"/>
          <w:color w:val="auto"/>
          <w:highlight w:val="none"/>
          <w:lang w:eastAsia="zh-CN"/>
        </w:rPr>
        <w:t>证</w:t>
      </w:r>
      <w:r>
        <w:rPr>
          <w:rFonts w:hint="eastAsia" w:ascii="宋体" w:hAnsi="宋体" w:eastAsia="宋体"/>
          <w:color w:val="auto"/>
          <w:spacing w:val="-2"/>
          <w:highlight w:val="none"/>
          <w:lang w:eastAsia="zh-CN"/>
        </w:rPr>
        <w:t>明</w:t>
      </w:r>
      <w:r>
        <w:rPr>
          <w:rFonts w:hint="eastAsia" w:ascii="宋体" w:hAnsi="宋体" w:eastAsia="宋体"/>
          <w:color w:val="auto"/>
          <w:highlight w:val="none"/>
          <w:lang w:eastAsia="zh-CN"/>
        </w:rPr>
        <w:t>材</w:t>
      </w:r>
      <w:r>
        <w:rPr>
          <w:rFonts w:hint="eastAsia" w:ascii="宋体" w:hAnsi="宋体" w:eastAsia="宋体"/>
          <w:color w:val="auto"/>
          <w:spacing w:val="-2"/>
          <w:highlight w:val="none"/>
          <w:lang w:eastAsia="zh-CN"/>
        </w:rPr>
        <w:t>料</w:t>
      </w:r>
      <w:r>
        <w:rPr>
          <w:rFonts w:hint="eastAsia" w:ascii="宋体" w:hAnsi="宋体" w:eastAsia="宋体"/>
          <w:color w:val="auto"/>
          <w:highlight w:val="none"/>
          <w:lang w:eastAsia="zh-CN"/>
        </w:rPr>
        <w:t>。</w:t>
      </w:r>
    </w:p>
    <w:p>
      <w:pPr>
        <w:rPr>
          <w:rFonts w:ascii="宋体" w:hAnsi="宋体" w:eastAsia="宋体"/>
          <w:color w:val="auto"/>
          <w:sz w:val="21"/>
          <w:szCs w:val="21"/>
          <w:highlight w:val="none"/>
          <w:lang w:eastAsia="zh-CN"/>
        </w:rPr>
      </w:pPr>
    </w:p>
    <w:p>
      <w:pPr>
        <w:jc w:val="center"/>
        <w:rPr>
          <w:rFonts w:ascii="宋体" w:hAnsi="宋体" w:eastAsia="宋体"/>
          <w:color w:val="auto"/>
          <w:sz w:val="21"/>
          <w:szCs w:val="21"/>
          <w:highlight w:val="none"/>
          <w:lang w:eastAsia="zh-CN"/>
        </w:rPr>
        <w:sectPr>
          <w:pgSz w:w="11907" w:h="16839"/>
          <w:pgMar w:top="1440" w:right="1440" w:bottom="1440" w:left="1440" w:header="720" w:footer="720" w:gutter="0"/>
          <w:cols w:space="720" w:num="1"/>
        </w:sectPr>
      </w:pPr>
    </w:p>
    <w:p>
      <w:pPr>
        <w:pStyle w:val="3"/>
        <w:rPr>
          <w:rFonts w:ascii="宋体" w:hAnsi="宋体" w:eastAsia="宋体"/>
          <w:color w:val="auto"/>
          <w:sz w:val="21"/>
          <w:szCs w:val="21"/>
          <w:highlight w:val="none"/>
          <w:lang w:eastAsia="zh-CN"/>
        </w:rPr>
      </w:pPr>
      <w:bookmarkStart w:id="96" w:name="_Toc109809449"/>
      <w:bookmarkStart w:id="97" w:name="_Toc25072146"/>
      <w:bookmarkStart w:id="98" w:name="_Toc109809410"/>
      <w:r>
        <w:rPr>
          <w:rFonts w:hint="eastAsia" w:ascii="宋体" w:hAnsi="宋体" w:eastAsia="宋体"/>
          <w:color w:val="auto"/>
          <w:sz w:val="21"/>
          <w:szCs w:val="21"/>
          <w:highlight w:val="none"/>
          <w:lang w:eastAsia="zh-CN"/>
        </w:rPr>
        <w:t>格式七  企业类似业绩情况</w:t>
      </w:r>
      <w:bookmarkEnd w:id="96"/>
      <w:bookmarkEnd w:id="97"/>
      <w:bookmarkEnd w:id="98"/>
    </w:p>
    <w:p>
      <w:pPr>
        <w:jc w:val="center"/>
        <w:rPr>
          <w:rFonts w:ascii="宋体" w:hAnsi="宋体" w:eastAsia="宋体"/>
          <w:b/>
          <w:color w:val="auto"/>
          <w:spacing w:val="2"/>
          <w:position w:val="-1"/>
          <w:sz w:val="32"/>
          <w:szCs w:val="32"/>
          <w:highlight w:val="none"/>
          <w:lang w:eastAsia="zh-CN"/>
        </w:rPr>
      </w:pPr>
    </w:p>
    <w:p>
      <w:pPr>
        <w:jc w:val="center"/>
        <w:rPr>
          <w:rFonts w:ascii="宋体" w:hAnsi="宋体" w:eastAsia="宋体"/>
          <w:b/>
          <w:color w:val="auto"/>
          <w:spacing w:val="2"/>
          <w:position w:val="-1"/>
          <w:sz w:val="32"/>
          <w:szCs w:val="32"/>
          <w:highlight w:val="none"/>
          <w:lang w:eastAsia="zh-CN"/>
        </w:rPr>
      </w:pPr>
      <w:r>
        <w:rPr>
          <w:rFonts w:hint="eastAsia" w:ascii="宋体" w:hAnsi="宋体" w:eastAsia="宋体"/>
          <w:b/>
          <w:color w:val="auto"/>
          <w:spacing w:val="2"/>
          <w:position w:val="-1"/>
          <w:sz w:val="32"/>
          <w:szCs w:val="32"/>
          <w:highlight w:val="none"/>
          <w:lang w:eastAsia="zh-CN"/>
        </w:rPr>
        <w:t>企业类似业绩情况</w:t>
      </w:r>
    </w:p>
    <w:p>
      <w:pPr>
        <w:jc w:val="center"/>
        <w:rPr>
          <w:rFonts w:ascii="宋体" w:hAnsi="宋体" w:eastAsia="宋体"/>
          <w:color w:val="auto"/>
          <w:spacing w:val="2"/>
          <w:position w:val="-1"/>
          <w:sz w:val="32"/>
          <w:szCs w:val="32"/>
          <w:highlight w:val="none"/>
          <w:lang w:eastAsia="zh-CN"/>
        </w:rPr>
      </w:pP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540"/>
        <w:gridCol w:w="1542"/>
        <w:gridCol w:w="1542"/>
        <w:gridCol w:w="1542"/>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highlight w:val="none"/>
              </w:rPr>
            </w:pPr>
            <w:r>
              <w:rPr>
                <w:rFonts w:hint="eastAsia" w:ascii="宋体" w:hAnsi="宋体" w:eastAsia="宋体"/>
                <w:color w:val="auto"/>
                <w:highlight w:val="none"/>
                <w:lang w:eastAsia="zh-CN"/>
              </w:rPr>
              <w:t>项目名称</w:t>
            </w:r>
          </w:p>
        </w:tc>
        <w:tc>
          <w:tcPr>
            <w:tcW w:w="83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hint="eastAsia" w:ascii="宋体" w:hAnsi="宋体" w:eastAsia="宋体"/>
                <w:color w:val="auto"/>
                <w:highlight w:val="none"/>
              </w:rPr>
              <w:t>合同签订时间</w:t>
            </w:r>
          </w:p>
        </w:tc>
        <w:tc>
          <w:tcPr>
            <w:tcW w:w="834"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hint="eastAsia" w:ascii="宋体" w:hAnsi="宋体" w:eastAsia="宋体"/>
                <w:color w:val="auto"/>
                <w:highlight w:val="none"/>
              </w:rPr>
              <w:t>项目概况</w:t>
            </w:r>
          </w:p>
        </w:tc>
        <w:tc>
          <w:tcPr>
            <w:tcW w:w="834"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hint="eastAsia" w:ascii="宋体" w:hAnsi="宋体" w:eastAsia="宋体"/>
                <w:color w:val="auto"/>
                <w:highlight w:val="none"/>
              </w:rPr>
              <w:t>业主单位</w:t>
            </w:r>
          </w:p>
        </w:tc>
        <w:tc>
          <w:tcPr>
            <w:tcW w:w="834"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hint="eastAsia" w:ascii="宋体" w:hAnsi="宋体" w:eastAsia="宋体"/>
                <w:color w:val="auto"/>
                <w:highlight w:val="none"/>
              </w:rPr>
              <w:t>完成情况</w:t>
            </w:r>
          </w:p>
        </w:tc>
        <w:tc>
          <w:tcPr>
            <w:tcW w:w="832"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r>
              <w:rPr>
                <w:rFonts w:hint="eastAsia" w:ascii="宋体" w:hAnsi="宋体" w:eastAsia="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832"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832"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832"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832"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3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olor w:val="auto"/>
                <w:szCs w:val="21"/>
                <w:highlight w:val="none"/>
              </w:rPr>
            </w:pPr>
          </w:p>
        </w:tc>
        <w:tc>
          <w:tcPr>
            <w:tcW w:w="833"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834"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c>
          <w:tcPr>
            <w:tcW w:w="832" w:type="pct"/>
            <w:tcBorders>
              <w:top w:val="single" w:color="auto" w:sz="4" w:space="0"/>
              <w:left w:val="nil"/>
              <w:bottom w:val="single" w:color="auto" w:sz="4" w:space="0"/>
              <w:right w:val="single" w:color="auto" w:sz="4" w:space="0"/>
            </w:tcBorders>
            <w:noWrap/>
            <w:vAlign w:val="center"/>
          </w:tcPr>
          <w:p>
            <w:pPr>
              <w:jc w:val="center"/>
              <w:rPr>
                <w:rFonts w:ascii="宋体" w:hAnsi="宋体" w:eastAsia="宋体"/>
                <w:color w:val="auto"/>
                <w:szCs w:val="21"/>
                <w:highlight w:val="none"/>
              </w:rPr>
            </w:pPr>
          </w:p>
        </w:tc>
      </w:tr>
      <w:bookmarkEnd w:id="74"/>
      <w:bookmarkEnd w:id="75"/>
      <w:bookmarkEnd w:id="76"/>
    </w:tbl>
    <w:p>
      <w:pPr>
        <w:spacing w:line="360" w:lineRule="exact"/>
        <w:rPr>
          <w:rFonts w:hint="eastAsia" w:ascii="宋体" w:hAnsi="宋体" w:eastAsia="宋体" w:cs="宋体"/>
          <w:color w:val="auto"/>
          <w:sz w:val="21"/>
          <w:szCs w:val="21"/>
          <w:highlight w:val="none"/>
          <w:lang w:eastAsia="zh-CN"/>
        </w:rPr>
      </w:pPr>
      <w:r>
        <w:rPr>
          <w:rFonts w:hint="eastAsia" w:ascii="宋体" w:hAnsi="宋体" w:eastAsia="宋体" w:cs="微软雅黑"/>
          <w:color w:val="auto"/>
          <w:sz w:val="21"/>
          <w:szCs w:val="21"/>
          <w:highlight w:val="none"/>
          <w:lang w:eastAsia="zh-CN"/>
        </w:rPr>
        <w:t>注：投标人应将自</w:t>
      </w:r>
      <w:r>
        <w:rPr>
          <w:rFonts w:hint="eastAsia" w:ascii="宋体" w:hAnsi="宋体" w:eastAsia="宋体"/>
          <w:color w:val="auto"/>
          <w:sz w:val="21"/>
          <w:szCs w:val="21"/>
          <w:highlight w:val="none"/>
          <w:lang w:val="en-US" w:eastAsia="zh-CN"/>
        </w:rPr>
        <w:t>2019年1月1日至今承担过水利工程勘察或设计或勘察设计业绩</w:t>
      </w:r>
      <w:r>
        <w:rPr>
          <w:rFonts w:hint="eastAsia" w:ascii="宋体" w:hAnsi="宋体" w:eastAsia="宋体" w:cs="微软雅黑"/>
          <w:color w:val="auto"/>
          <w:sz w:val="21"/>
          <w:szCs w:val="21"/>
          <w:highlight w:val="none"/>
          <w:lang w:eastAsia="zh-CN"/>
        </w:rPr>
        <w:t>的情况填入本表中，需提供的业绩证明文件：</w:t>
      </w:r>
      <w:r>
        <w:rPr>
          <w:rFonts w:hint="eastAsia" w:ascii="宋体" w:hAnsi="宋体" w:eastAsia="宋体" w:cs="宋体"/>
          <w:color w:val="auto"/>
          <w:sz w:val="21"/>
          <w:szCs w:val="21"/>
          <w:highlight w:val="none"/>
          <w:lang w:eastAsia="zh-CN"/>
        </w:rPr>
        <w:t>中标（成交）通知书（或免招标证明）、合同及其他补充（如需要）反映工程信息的相关证明材料扫描件，业绩计算时间以合同签订时间为准。</w:t>
      </w:r>
    </w:p>
    <w:p>
      <w:pPr>
        <w:rPr>
          <w:rFonts w:ascii="宋体" w:hAnsi="宋体" w:eastAsia="宋体"/>
          <w:color w:val="auto"/>
          <w:sz w:val="22"/>
          <w:szCs w:val="22"/>
          <w:highlight w:val="none"/>
          <w:lang w:eastAsia="zh-CN"/>
        </w:rPr>
      </w:pPr>
    </w:p>
    <w:p>
      <w:pPr>
        <w:spacing w:line="360" w:lineRule="auto"/>
        <w:jc w:val="right"/>
        <w:rPr>
          <w:rFonts w:ascii="宋体" w:hAnsi="宋体" w:eastAsia="宋体"/>
          <w:color w:val="auto"/>
          <w:sz w:val="21"/>
          <w:szCs w:val="21"/>
          <w:highlight w:val="none"/>
          <w:lang w:eastAsia="zh-CN"/>
        </w:rPr>
      </w:pPr>
    </w:p>
    <w:p>
      <w:pPr>
        <w:pStyle w:val="8"/>
        <w:kinsoku w:val="0"/>
        <w:overflowPunct w:val="0"/>
        <w:spacing w:line="360" w:lineRule="auto"/>
        <w:ind w:left="0" w:firstLine="2520" w:firstLineChars="1200"/>
        <w:jc w:val="right"/>
        <w:rPr>
          <w:color w:val="auto"/>
          <w:highlight w:val="none"/>
          <w:lang w:eastAsia="zh-CN"/>
        </w:rPr>
      </w:pPr>
      <w:r>
        <w:rPr>
          <w:rFonts w:hint="eastAsia"/>
          <w:color w:val="auto"/>
          <w:highlight w:val="none"/>
          <w:lang w:eastAsia="zh-CN"/>
        </w:rPr>
        <w:t>投标</w:t>
      </w:r>
      <w:r>
        <w:rPr>
          <w:rFonts w:hint="eastAsia"/>
          <w:color w:val="auto"/>
          <w:spacing w:val="-2"/>
          <w:highlight w:val="none"/>
          <w:lang w:eastAsia="zh-CN"/>
        </w:rPr>
        <w:t>人：</w:t>
      </w:r>
      <w:r>
        <w:rPr>
          <w:rFonts w:hint="eastAsia"/>
          <w:color w:val="auto"/>
          <w:spacing w:val="-2"/>
          <w:highlight w:val="none"/>
          <w:u w:val="single"/>
          <w:lang w:eastAsia="zh-CN"/>
        </w:rPr>
        <w:t xml:space="preserve">      </w:t>
      </w:r>
      <w:r>
        <w:rPr>
          <w:rFonts w:hint="eastAsia"/>
          <w:color w:val="auto"/>
          <w:spacing w:val="-1"/>
          <w:highlight w:val="none"/>
          <w:lang w:eastAsia="zh-CN"/>
        </w:rPr>
        <w:t>（盖单位章）</w:t>
      </w:r>
    </w:p>
    <w:p>
      <w:pPr>
        <w:spacing w:line="360" w:lineRule="auto"/>
        <w:ind w:firstLine="2520" w:firstLineChars="1200"/>
        <w:jc w:val="right"/>
        <w:rPr>
          <w:rFonts w:ascii="宋体" w:hAnsi="宋体" w:eastAsia="宋体"/>
          <w:bCs/>
          <w:color w:val="auto"/>
          <w:sz w:val="21"/>
          <w:szCs w:val="21"/>
          <w:highlight w:val="none"/>
          <w:lang w:eastAsia="zh-CN"/>
        </w:rPr>
      </w:pPr>
      <w:r>
        <w:rPr>
          <w:rFonts w:hint="eastAsia" w:ascii="宋体" w:hAnsi="宋体" w:eastAsia="宋体"/>
          <w:bCs/>
          <w:color w:val="auto"/>
          <w:sz w:val="21"/>
          <w:szCs w:val="21"/>
          <w:highlight w:val="none"/>
          <w:lang w:eastAsia="zh-CN"/>
        </w:rPr>
        <w:t>法定代表人或其委托代理人：</w:t>
      </w:r>
      <w:r>
        <w:rPr>
          <w:rFonts w:hint="eastAsia" w:ascii="宋体" w:hAnsi="宋体" w:eastAsia="宋体"/>
          <w:bCs/>
          <w:color w:val="auto"/>
          <w:sz w:val="21"/>
          <w:szCs w:val="21"/>
          <w:highlight w:val="none"/>
          <w:u w:val="single"/>
          <w:lang w:eastAsia="zh-CN"/>
        </w:rPr>
        <w:t xml:space="preserve">     </w:t>
      </w:r>
      <w:r>
        <w:rPr>
          <w:rFonts w:hint="eastAsia" w:ascii="宋体" w:hAnsi="宋体" w:eastAsia="宋体"/>
          <w:bCs/>
          <w:color w:val="auto"/>
          <w:sz w:val="21"/>
          <w:szCs w:val="21"/>
          <w:highlight w:val="none"/>
          <w:lang w:eastAsia="zh-CN"/>
        </w:rPr>
        <w:t>（签字或盖章）</w:t>
      </w:r>
    </w:p>
    <w:p>
      <w:pPr>
        <w:spacing w:line="360" w:lineRule="auto"/>
        <w:ind w:firstLine="2520" w:firstLineChars="1200"/>
        <w:jc w:val="right"/>
        <w:rPr>
          <w:rFonts w:ascii="宋体" w:hAnsi="宋体" w:eastAsia="宋体"/>
          <w:bCs/>
          <w:color w:val="auto"/>
          <w:sz w:val="21"/>
          <w:szCs w:val="21"/>
          <w:highlight w:val="none"/>
          <w:lang w:eastAsia="zh-CN"/>
        </w:rPr>
      </w:pPr>
      <w:r>
        <w:rPr>
          <w:rFonts w:hint="eastAsia" w:ascii="宋体" w:hAnsi="宋体" w:eastAsia="宋体"/>
          <w:bCs/>
          <w:color w:val="auto"/>
          <w:sz w:val="21"/>
          <w:szCs w:val="21"/>
          <w:highlight w:val="none"/>
          <w:u w:val="single"/>
          <w:lang w:eastAsia="zh-CN"/>
        </w:rPr>
        <w:t xml:space="preserve"> </w:t>
      </w:r>
      <w:r>
        <w:rPr>
          <w:rFonts w:ascii="宋体" w:hAnsi="宋体" w:eastAsia="宋体"/>
          <w:bCs/>
          <w:color w:val="auto"/>
          <w:sz w:val="21"/>
          <w:szCs w:val="21"/>
          <w:highlight w:val="none"/>
          <w:u w:val="single"/>
          <w:lang w:eastAsia="zh-CN"/>
        </w:rPr>
        <w:t xml:space="preserve">  </w:t>
      </w:r>
      <w:r>
        <w:rPr>
          <w:rFonts w:hint="eastAsia" w:ascii="宋体" w:hAnsi="宋体" w:eastAsia="宋体"/>
          <w:bCs/>
          <w:color w:val="auto"/>
          <w:sz w:val="21"/>
          <w:szCs w:val="21"/>
          <w:highlight w:val="none"/>
          <w:lang w:eastAsia="zh-CN"/>
        </w:rPr>
        <w:t>年</w:t>
      </w:r>
      <w:r>
        <w:rPr>
          <w:rFonts w:ascii="宋体" w:hAnsi="宋体" w:eastAsia="宋体"/>
          <w:bCs/>
          <w:color w:val="auto"/>
          <w:sz w:val="21"/>
          <w:szCs w:val="21"/>
          <w:highlight w:val="none"/>
          <w:u w:val="single"/>
          <w:lang w:eastAsia="zh-CN"/>
        </w:rPr>
        <w:t xml:space="preserve">   </w:t>
      </w:r>
      <w:r>
        <w:rPr>
          <w:rFonts w:hint="eastAsia" w:ascii="宋体" w:hAnsi="宋体" w:eastAsia="宋体"/>
          <w:bCs/>
          <w:color w:val="auto"/>
          <w:sz w:val="21"/>
          <w:szCs w:val="21"/>
          <w:highlight w:val="none"/>
          <w:lang w:eastAsia="zh-CN"/>
        </w:rPr>
        <w:t>月</w:t>
      </w:r>
      <w:r>
        <w:rPr>
          <w:rFonts w:ascii="宋体" w:hAnsi="宋体" w:eastAsia="宋体"/>
          <w:bCs/>
          <w:color w:val="auto"/>
          <w:sz w:val="21"/>
          <w:szCs w:val="21"/>
          <w:highlight w:val="none"/>
          <w:u w:val="single"/>
          <w:lang w:eastAsia="zh-CN"/>
        </w:rPr>
        <w:tab/>
      </w:r>
      <w:r>
        <w:rPr>
          <w:rFonts w:ascii="宋体" w:hAnsi="宋体" w:eastAsia="宋体"/>
          <w:bCs/>
          <w:color w:val="auto"/>
          <w:sz w:val="21"/>
          <w:szCs w:val="21"/>
          <w:highlight w:val="none"/>
          <w:u w:val="single"/>
          <w:lang w:eastAsia="zh-CN"/>
        </w:rPr>
        <w:t xml:space="preserve">   </w:t>
      </w:r>
      <w:r>
        <w:rPr>
          <w:rFonts w:hint="eastAsia" w:ascii="宋体" w:hAnsi="宋体" w:eastAsia="宋体"/>
          <w:bCs/>
          <w:color w:val="auto"/>
          <w:sz w:val="21"/>
          <w:szCs w:val="21"/>
          <w:highlight w:val="none"/>
          <w:lang w:eastAsia="zh-CN"/>
        </w:rPr>
        <w:t>日</w:t>
      </w:r>
    </w:p>
    <w:p>
      <w:pPr>
        <w:rPr>
          <w:color w:val="auto"/>
          <w:highlight w:val="none"/>
          <w:lang w:eastAsia="zh-CN"/>
        </w:rPr>
      </w:pPr>
    </w:p>
    <w:p>
      <w:pPr>
        <w:rPr>
          <w:color w:val="auto"/>
          <w:highlight w:val="none"/>
          <w:lang w:eastAsia="zh-CN"/>
        </w:rPr>
      </w:pPr>
    </w:p>
    <w:p>
      <w:pPr>
        <w:pStyle w:val="16"/>
        <w:spacing w:line="480" w:lineRule="exact"/>
        <w:rPr>
          <w:color w:val="auto"/>
          <w:sz w:val="32"/>
          <w:szCs w:val="32"/>
          <w:highlight w:val="none"/>
        </w:rPr>
      </w:pPr>
      <w:r>
        <w:rPr>
          <w:rFonts w:ascii="宋体" w:hAnsi="宋体" w:eastAsia="宋体"/>
          <w:color w:val="auto"/>
          <w:highlight w:val="none"/>
        </w:rPr>
        <w:br w:type="page"/>
      </w:r>
      <w:bookmarkStart w:id="99" w:name="_Toc109809411"/>
      <w:bookmarkStart w:id="100" w:name="_Toc109809450"/>
      <w:r>
        <w:rPr>
          <w:rFonts w:hint="default" w:ascii="宋体" w:hAnsi="宋体" w:eastAsia="宋体" w:cs="Times New Roman"/>
          <w:b/>
          <w:bCs/>
          <w:color w:val="auto"/>
          <w:sz w:val="21"/>
          <w:szCs w:val="21"/>
          <w:highlight w:val="none"/>
        </w:rPr>
        <w:t xml:space="preserve">格式八 </w:t>
      </w:r>
    </w:p>
    <w:p>
      <w:pPr>
        <w:pStyle w:val="16"/>
        <w:spacing w:line="480" w:lineRule="exact"/>
        <w:ind w:firstLine="480"/>
        <w:jc w:val="center"/>
        <w:rPr>
          <w:b/>
          <w:bCs/>
          <w:color w:val="auto"/>
          <w:sz w:val="32"/>
          <w:szCs w:val="32"/>
          <w:highlight w:val="none"/>
        </w:rPr>
      </w:pPr>
      <w:r>
        <w:rPr>
          <w:rFonts w:hint="eastAsia"/>
          <w:b/>
          <w:bCs/>
          <w:color w:val="auto"/>
          <w:sz w:val="32"/>
          <w:szCs w:val="32"/>
          <w:highlight w:val="none"/>
        </w:rPr>
        <w:t>投标人廉洁承诺书</w:t>
      </w:r>
    </w:p>
    <w:p>
      <w:pPr>
        <w:pStyle w:val="16"/>
        <w:keepNext w:val="0"/>
        <w:keepLines w:val="0"/>
        <w:pageBreakBefore w:val="0"/>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本招标项目招标人及招标监管机构：</w:t>
      </w:r>
    </w:p>
    <w:p>
      <w:pPr>
        <w:pStyle w:val="12"/>
        <w:keepNext w:val="0"/>
        <w:keepLines w:val="0"/>
        <w:pageBreakBefore w:val="0"/>
        <w:kinsoku/>
        <w:wordWrap/>
        <w:overflowPunct/>
        <w:topLinePunct w:val="0"/>
        <w:autoSpaceDE/>
        <w:autoSpaceDN/>
        <w:bidi w:val="0"/>
        <w:adjustRightInd/>
        <w:snapToGrid/>
        <w:spacing w:line="240" w:lineRule="auto"/>
        <w:ind w:right="420" w:firstLine="420" w:firstLineChars="20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本公司参加了</w:t>
      </w:r>
      <w:r>
        <w:rPr>
          <w:rFonts w:hint="eastAsia" w:ascii="方正仿宋_GB2312" w:hAnsi="方正仿宋_GB2312" w:eastAsia="方正仿宋_GB2312" w:cs="方正仿宋_GB2312"/>
          <w:color w:val="auto"/>
          <w:sz w:val="21"/>
          <w:szCs w:val="21"/>
          <w:highlight w:val="none"/>
          <w:u w:val="single"/>
          <w:lang w:eastAsia="zh-CN"/>
        </w:rPr>
        <w:t xml:space="preserve">   （项目名称/标段名称）    </w:t>
      </w:r>
      <w:r>
        <w:rPr>
          <w:rFonts w:hint="eastAsia" w:ascii="方正仿宋_GB2312" w:hAnsi="方正仿宋_GB2312" w:eastAsia="方正仿宋_GB2312" w:cs="方正仿宋_GB2312"/>
          <w:color w:val="auto"/>
          <w:sz w:val="21"/>
          <w:szCs w:val="21"/>
          <w:highlight w:val="none"/>
          <w:lang w:eastAsia="zh-CN"/>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pPr>
        <w:pStyle w:val="12"/>
        <w:keepNext w:val="0"/>
        <w:keepLines w:val="0"/>
        <w:pageBreakBefore w:val="0"/>
        <w:kinsoku/>
        <w:wordWrap/>
        <w:overflowPunct/>
        <w:topLinePunct w:val="0"/>
        <w:autoSpaceDE/>
        <w:autoSpaceDN/>
        <w:bidi w:val="0"/>
        <w:adjustRightInd/>
        <w:snapToGrid/>
        <w:spacing w:line="240" w:lineRule="auto"/>
        <w:ind w:right="420" w:firstLine="420" w:firstLineChars="20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一、自觉遵守国家有关法律法规及廉洁规定。</w:t>
      </w:r>
    </w:p>
    <w:p>
      <w:pPr>
        <w:pStyle w:val="12"/>
        <w:keepNext w:val="0"/>
        <w:keepLines w:val="0"/>
        <w:pageBreakBefore w:val="0"/>
        <w:kinsoku/>
        <w:wordWrap/>
        <w:overflowPunct/>
        <w:topLinePunct w:val="0"/>
        <w:autoSpaceDE/>
        <w:autoSpaceDN/>
        <w:bidi w:val="0"/>
        <w:adjustRightInd/>
        <w:snapToGrid/>
        <w:spacing w:line="240" w:lineRule="auto"/>
        <w:ind w:right="420" w:firstLine="420" w:firstLineChars="20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二、不与招标单位工作人员串通投标，损害国家利益、企业利益以及他人的合法利益；</w:t>
      </w:r>
    </w:p>
    <w:p>
      <w:pPr>
        <w:pStyle w:val="12"/>
        <w:keepNext w:val="0"/>
        <w:keepLines w:val="0"/>
        <w:pageBreakBefore w:val="0"/>
        <w:kinsoku/>
        <w:wordWrap/>
        <w:overflowPunct/>
        <w:topLinePunct w:val="0"/>
        <w:autoSpaceDE/>
        <w:autoSpaceDN/>
        <w:bidi w:val="0"/>
        <w:adjustRightInd/>
        <w:snapToGrid/>
        <w:spacing w:line="240" w:lineRule="auto"/>
        <w:ind w:right="420" w:firstLine="420" w:firstLineChars="20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三、不与其他单位围标、串标，不出让投标资格，不向招标人或评标委员会成员行贿。</w:t>
      </w:r>
    </w:p>
    <w:p>
      <w:pPr>
        <w:pStyle w:val="12"/>
        <w:keepNext w:val="0"/>
        <w:keepLines w:val="0"/>
        <w:pageBreakBefore w:val="0"/>
        <w:kinsoku/>
        <w:wordWrap/>
        <w:overflowPunct/>
        <w:topLinePunct w:val="0"/>
        <w:autoSpaceDE/>
        <w:autoSpaceDN/>
        <w:bidi w:val="0"/>
        <w:adjustRightInd/>
        <w:snapToGrid/>
        <w:spacing w:line="240" w:lineRule="auto"/>
        <w:ind w:right="420" w:firstLine="420" w:firstLineChars="20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 xml:space="preserve">四、不以任何名义向参与招标、评标工作的有关人员提供高消费宴请及娱乐活动和赠送回扣、红包、礼金、购物卡、有价证券、贵重物品和好处费、感谢费等； </w:t>
      </w:r>
    </w:p>
    <w:p>
      <w:pPr>
        <w:pStyle w:val="12"/>
        <w:keepNext w:val="0"/>
        <w:keepLines w:val="0"/>
        <w:pageBreakBefore w:val="0"/>
        <w:kinsoku/>
        <w:wordWrap/>
        <w:overflowPunct/>
        <w:topLinePunct w:val="0"/>
        <w:autoSpaceDE/>
        <w:autoSpaceDN/>
        <w:bidi w:val="0"/>
        <w:adjustRightInd/>
        <w:snapToGrid/>
        <w:spacing w:line="240" w:lineRule="auto"/>
        <w:ind w:right="420" w:firstLine="420" w:firstLineChars="20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五、不以任何名义接受或暗示为参与招标、评标工作的有关人员装修住房、婚丧嫁取、配偶子女的工作安排以及境内外旅游等提供方便；</w:t>
      </w:r>
    </w:p>
    <w:p>
      <w:pPr>
        <w:pStyle w:val="12"/>
        <w:keepNext w:val="0"/>
        <w:keepLines w:val="0"/>
        <w:pageBreakBefore w:val="0"/>
        <w:kinsoku/>
        <w:wordWrap/>
        <w:overflowPunct/>
        <w:topLinePunct w:val="0"/>
        <w:autoSpaceDE/>
        <w:autoSpaceDN/>
        <w:bidi w:val="0"/>
        <w:adjustRightInd/>
        <w:snapToGrid/>
        <w:spacing w:line="240" w:lineRule="auto"/>
        <w:ind w:right="420" w:firstLine="420" w:firstLineChars="20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六、不以谋取非正当利益为目的，擅自与参与招标、评标工作的有关人员就业务问题进行私下商谈或者达成利益默契；</w:t>
      </w:r>
    </w:p>
    <w:p>
      <w:pPr>
        <w:pStyle w:val="12"/>
        <w:keepNext w:val="0"/>
        <w:keepLines w:val="0"/>
        <w:pageBreakBefore w:val="0"/>
        <w:kinsoku/>
        <w:wordWrap/>
        <w:overflowPunct/>
        <w:topLinePunct w:val="0"/>
        <w:autoSpaceDE/>
        <w:autoSpaceDN/>
        <w:bidi w:val="0"/>
        <w:adjustRightInd/>
        <w:snapToGrid/>
        <w:spacing w:line="240" w:lineRule="auto"/>
        <w:ind w:right="420" w:firstLine="420" w:firstLineChars="20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七、按法律规定及合同约定保修合同工程，履行本合同所约定的全部义务。</w:t>
      </w:r>
    </w:p>
    <w:p>
      <w:pPr>
        <w:pStyle w:val="12"/>
        <w:keepNext w:val="0"/>
        <w:keepLines w:val="0"/>
        <w:pageBreakBefore w:val="0"/>
        <w:kinsoku/>
        <w:wordWrap/>
        <w:overflowPunct/>
        <w:topLinePunct w:val="0"/>
        <w:autoSpaceDE/>
        <w:autoSpaceDN/>
        <w:bidi w:val="0"/>
        <w:adjustRightInd/>
        <w:snapToGrid/>
        <w:spacing w:line="240" w:lineRule="auto"/>
        <w:ind w:right="420" w:firstLine="420" w:firstLineChars="20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八、坚决杜绝转包、违法分包、挂靠等违法违规行为，保证发包人免于承担因本公司违反法律或相关规定而引起的任何责任。未经发包人同意，不将工程的任何部分或任何工作分包给第三方；依法分包工程的承包人应具有相应承包资质。</w:t>
      </w:r>
    </w:p>
    <w:p>
      <w:pPr>
        <w:pStyle w:val="12"/>
        <w:keepNext w:val="0"/>
        <w:keepLines w:val="0"/>
        <w:pageBreakBefore w:val="0"/>
        <w:kinsoku/>
        <w:wordWrap/>
        <w:overflowPunct/>
        <w:topLinePunct w:val="0"/>
        <w:autoSpaceDE/>
        <w:autoSpaceDN/>
        <w:bidi w:val="0"/>
        <w:adjustRightInd/>
        <w:snapToGrid/>
        <w:spacing w:line="240" w:lineRule="auto"/>
        <w:ind w:right="420" w:firstLine="420" w:firstLineChars="20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九、自觉接受政府有关部门、发包人或其上级主管部门和监理单位等对本工程的监督，并无条件配合政府有关部门、发包人或其上级主管部门指定审计机构开展审计工作。</w:t>
      </w:r>
    </w:p>
    <w:p>
      <w:pPr>
        <w:pStyle w:val="12"/>
        <w:keepNext w:val="0"/>
        <w:keepLines w:val="0"/>
        <w:pageBreakBefore w:val="0"/>
        <w:kinsoku/>
        <w:wordWrap/>
        <w:overflowPunct/>
        <w:topLinePunct w:val="0"/>
        <w:autoSpaceDE/>
        <w:autoSpaceDN/>
        <w:bidi w:val="0"/>
        <w:adjustRightInd/>
        <w:snapToGrid/>
        <w:spacing w:line="240" w:lineRule="auto"/>
        <w:ind w:right="420" w:firstLine="420" w:firstLineChars="20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 xml:space="preserve"> 十、本公司理解并接受工程实施过程即可同步进行审计或监督工作，接受对工程实施全过程审计，包括且不限于工程计量、设计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pPr>
        <w:pStyle w:val="12"/>
        <w:keepNext w:val="0"/>
        <w:keepLines w:val="0"/>
        <w:pageBreakBefore w:val="0"/>
        <w:kinsoku/>
        <w:wordWrap/>
        <w:overflowPunct/>
        <w:topLinePunct w:val="0"/>
        <w:autoSpaceDE/>
        <w:autoSpaceDN/>
        <w:bidi w:val="0"/>
        <w:adjustRightInd/>
        <w:snapToGrid/>
        <w:spacing w:line="240" w:lineRule="auto"/>
        <w:ind w:right="420" w:firstLine="420" w:firstLineChars="200"/>
        <w:textAlignment w:val="auto"/>
        <w:rPr>
          <w:rFonts w:hint="eastAsia" w:ascii="方正仿宋_GB2312" w:hAnsi="方正仿宋_GB2312" w:eastAsia="方正仿宋_GB2312" w:cs="方正仿宋_GB2312"/>
          <w:color w:val="auto"/>
          <w:sz w:val="21"/>
          <w:szCs w:val="21"/>
          <w:highlight w:val="none"/>
          <w:lang w:eastAsia="zh-CN"/>
        </w:rPr>
      </w:pPr>
      <w:r>
        <w:rPr>
          <w:rFonts w:hint="eastAsia" w:ascii="方正仿宋_GB2312" w:hAnsi="方正仿宋_GB2312" w:eastAsia="方正仿宋_GB2312" w:cs="方正仿宋_GB2312"/>
          <w:color w:val="auto"/>
          <w:sz w:val="21"/>
          <w:szCs w:val="21"/>
          <w:highlight w:val="none"/>
          <w:lang w:eastAsia="zh-CN"/>
        </w:rPr>
        <w:t>十一、如因转包、违法分包（含现场施工作业或管理人员被发现不属于总承包单位或已经备案的依法分包单位人员的情形）、挂靠、项目管理不到位、民工工资纠纷等违反合同的行为，发包人或其上级主管部门有权立即开展调查，本公司无条件配合，相关费用由本公司负责。经核查属实，本公司自觉接受相应处罚。</w:t>
      </w:r>
    </w:p>
    <w:p>
      <w:pPr>
        <w:pStyle w:val="16"/>
        <w:keepNext w:val="0"/>
        <w:keepLines w:val="0"/>
        <w:pageBreakBefore w:val="0"/>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本公司违反上述承诺，或本承诺陈述与事实不符，经查实，本公司愿意接受公开通报，承担由此带来的法律后果，并自愿停止参加广州市行政辖区内的招标投标活动三个月。</w:t>
      </w:r>
    </w:p>
    <w:p>
      <w:pPr>
        <w:pStyle w:val="16"/>
        <w:keepNext w:val="0"/>
        <w:keepLines w:val="0"/>
        <w:pageBreakBefore w:val="0"/>
        <w:shd w:val="clear" w:color="auto" w:fill="FFFFFF"/>
        <w:kinsoku/>
        <w:wordWrap/>
        <w:overflowPunct/>
        <w:topLinePunct w:val="0"/>
        <w:autoSpaceDE/>
        <w:autoSpaceDN/>
        <w:bidi w:val="0"/>
        <w:adjustRightInd/>
        <w:snapToGrid/>
        <w:spacing w:line="240" w:lineRule="auto"/>
        <w:ind w:firstLine="420" w:firstLineChars="200"/>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特此承诺</w:t>
      </w:r>
    </w:p>
    <w:p>
      <w:pPr>
        <w:pStyle w:val="16"/>
        <w:keepNext w:val="0"/>
        <w:keepLines w:val="0"/>
        <w:pageBreakBefore w:val="0"/>
        <w:shd w:val="clear" w:color="auto" w:fill="FFFFFF"/>
        <w:kinsoku/>
        <w:wordWrap/>
        <w:overflowPunct/>
        <w:topLinePunct w:val="0"/>
        <w:autoSpaceDE/>
        <w:autoSpaceDN/>
        <w:bidi w:val="0"/>
        <w:adjustRightInd/>
        <w:snapToGrid/>
        <w:spacing w:line="240" w:lineRule="auto"/>
        <w:ind w:right="1455" w:firstLine="420" w:firstLineChars="200"/>
        <w:jc w:val="right"/>
        <w:textAlignment w:val="auto"/>
        <w:rPr>
          <w:rFonts w:hint="eastAsia" w:ascii="方正仿宋_GB2312" w:hAnsi="方正仿宋_GB2312" w:eastAsia="方正仿宋_GB2312" w:cs="方正仿宋_GB2312"/>
          <w:color w:val="auto"/>
          <w:sz w:val="21"/>
          <w:szCs w:val="21"/>
          <w:highlight w:val="none"/>
        </w:rPr>
      </w:pPr>
    </w:p>
    <w:p>
      <w:pPr>
        <w:pStyle w:val="16"/>
        <w:keepNext w:val="0"/>
        <w:keepLines w:val="0"/>
        <w:pageBreakBefore w:val="0"/>
        <w:shd w:val="clear" w:color="auto" w:fill="FFFFFF"/>
        <w:kinsoku/>
        <w:wordWrap/>
        <w:overflowPunct/>
        <w:topLinePunct w:val="0"/>
        <w:autoSpaceDE/>
        <w:autoSpaceDN/>
        <w:bidi w:val="0"/>
        <w:adjustRightInd/>
        <w:snapToGrid/>
        <w:spacing w:line="240" w:lineRule="auto"/>
        <w:ind w:right="1455" w:firstLine="420" w:firstLineChars="200"/>
        <w:jc w:val="right"/>
        <w:textAlignment w:val="auto"/>
        <w:rPr>
          <w:rFonts w:hint="eastAsia" w:ascii="方正仿宋_GB2312" w:hAnsi="方正仿宋_GB2312" w:eastAsia="方正仿宋_GB2312" w:cs="方正仿宋_GB2312"/>
          <w:color w:val="auto"/>
          <w:sz w:val="21"/>
          <w:szCs w:val="21"/>
          <w:highlight w:val="none"/>
        </w:rPr>
      </w:pPr>
    </w:p>
    <w:p>
      <w:pPr>
        <w:pStyle w:val="16"/>
        <w:keepNext w:val="0"/>
        <w:keepLines w:val="0"/>
        <w:pageBreakBefore w:val="0"/>
        <w:shd w:val="clear" w:color="auto" w:fill="FFFFFF"/>
        <w:kinsoku/>
        <w:wordWrap/>
        <w:overflowPunct/>
        <w:topLinePunct w:val="0"/>
        <w:autoSpaceDE/>
        <w:autoSpaceDN/>
        <w:bidi w:val="0"/>
        <w:adjustRightInd/>
        <w:snapToGrid/>
        <w:spacing w:line="240" w:lineRule="auto"/>
        <w:ind w:right="1455" w:firstLine="420" w:firstLineChars="200"/>
        <w:jc w:val="right"/>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 xml:space="preserve">      承诺企业：      </w:t>
      </w:r>
    </w:p>
    <w:p>
      <w:pPr>
        <w:pStyle w:val="16"/>
        <w:keepNext w:val="0"/>
        <w:keepLines w:val="0"/>
        <w:pageBreakBefore w:val="0"/>
        <w:shd w:val="clear" w:color="auto" w:fill="FFFFFF"/>
        <w:kinsoku/>
        <w:wordWrap/>
        <w:overflowPunct/>
        <w:topLinePunct w:val="0"/>
        <w:autoSpaceDE/>
        <w:autoSpaceDN/>
        <w:bidi w:val="0"/>
        <w:adjustRightInd/>
        <w:snapToGrid/>
        <w:spacing w:line="240" w:lineRule="auto"/>
        <w:ind w:firstLine="420" w:firstLineChars="200"/>
        <w:jc w:val="right"/>
        <w:textAlignment w:val="auto"/>
        <w:rPr>
          <w:rFonts w:hint="eastAsia" w:ascii="方正仿宋_GB2312" w:hAnsi="方正仿宋_GB2312" w:eastAsia="方正仿宋_GB2312" w:cs="方正仿宋_GB2312"/>
          <w:color w:val="auto"/>
          <w:sz w:val="21"/>
          <w:szCs w:val="21"/>
          <w:highlight w:val="none"/>
        </w:rPr>
      </w:pPr>
      <w:r>
        <w:rPr>
          <w:rFonts w:hint="eastAsia" w:ascii="方正仿宋_GB2312" w:hAnsi="方正仿宋_GB2312" w:eastAsia="方正仿宋_GB2312" w:cs="方正仿宋_GB2312"/>
          <w:color w:val="auto"/>
          <w:sz w:val="21"/>
          <w:szCs w:val="21"/>
          <w:highlight w:val="none"/>
        </w:rPr>
        <w:t xml:space="preserve">         年   月   日</w:t>
      </w:r>
    </w:p>
    <w:p>
      <w:pPr>
        <w:pStyle w:val="16"/>
        <w:keepNext w:val="0"/>
        <w:keepLines w:val="0"/>
        <w:pageBreakBefore w:val="0"/>
        <w:shd w:val="clear" w:color="auto" w:fill="FFFFFF"/>
        <w:kinsoku/>
        <w:wordWrap/>
        <w:overflowPunct/>
        <w:topLinePunct w:val="0"/>
        <w:autoSpaceDE/>
        <w:autoSpaceDN/>
        <w:bidi w:val="0"/>
        <w:adjustRightInd/>
        <w:snapToGrid/>
        <w:spacing w:line="240" w:lineRule="auto"/>
        <w:ind w:firstLine="420" w:firstLineChars="200"/>
        <w:jc w:val="right"/>
        <w:textAlignment w:val="auto"/>
        <w:rPr>
          <w:color w:val="auto"/>
          <w:highlight w:val="none"/>
        </w:rPr>
      </w:pPr>
      <w:r>
        <w:rPr>
          <w:rFonts w:hint="eastAsia" w:ascii="方正仿宋_GB2312" w:hAnsi="方正仿宋_GB2312" w:eastAsia="方正仿宋_GB2312" w:cs="方正仿宋_GB2312"/>
          <w:color w:val="auto"/>
          <w:sz w:val="21"/>
          <w:szCs w:val="21"/>
          <w:highlight w:val="none"/>
        </w:rPr>
        <w:t>法定代表人签字：（企业公章）</w:t>
      </w:r>
    </w:p>
    <w:p>
      <w:pPr>
        <w:pStyle w:val="3"/>
        <w:rPr>
          <w:rFonts w:ascii="宋体" w:hAnsi="宋体" w:eastAsia="宋体"/>
          <w:color w:val="auto"/>
          <w:sz w:val="21"/>
          <w:szCs w:val="21"/>
          <w:highlight w:val="none"/>
          <w:lang w:eastAsia="zh-CN"/>
        </w:rPr>
      </w:pPr>
    </w:p>
    <w:p>
      <w:pPr>
        <w:rPr>
          <w:color w:val="auto"/>
          <w:highlight w:val="none"/>
          <w:lang w:eastAsia="zh-CN"/>
        </w:rPr>
      </w:pPr>
    </w:p>
    <w:p>
      <w:pPr>
        <w:rPr>
          <w:color w:val="auto"/>
          <w:highlight w:val="none"/>
          <w:lang w:eastAsia="zh-CN"/>
        </w:rPr>
      </w:pPr>
    </w:p>
    <w:p>
      <w:pPr>
        <w:rPr>
          <w:color w:val="auto"/>
          <w:highlight w:val="none"/>
          <w:lang w:eastAsia="zh-CN"/>
        </w:rPr>
      </w:pPr>
    </w:p>
    <w:p>
      <w:pPr>
        <w:rPr>
          <w:color w:val="auto"/>
          <w:highlight w:val="none"/>
          <w:lang w:eastAsia="zh-CN"/>
        </w:rPr>
      </w:pPr>
    </w:p>
    <w:p>
      <w:pPr>
        <w:rPr>
          <w:color w:val="auto"/>
          <w:highlight w:val="none"/>
          <w:lang w:eastAsia="zh-CN"/>
        </w:rPr>
      </w:pPr>
    </w:p>
    <w:p>
      <w:pPr>
        <w:rPr>
          <w:color w:val="auto"/>
          <w:highlight w:val="none"/>
          <w:lang w:eastAsia="zh-CN"/>
        </w:rPr>
      </w:pPr>
    </w:p>
    <w:p>
      <w:pPr>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br w:type="page"/>
      </w:r>
    </w:p>
    <w:p>
      <w:pPr>
        <w:widowControl w:val="0"/>
        <w:ind w:left="100"/>
        <w:outlineLvl w:val="2"/>
        <w:rPr>
          <w:rFonts w:ascii="宋体" w:hAnsi="宋体" w:eastAsia="宋体" w:cs="Times New Roman"/>
          <w:b/>
          <w:bCs/>
          <w:color w:val="auto"/>
          <w:sz w:val="21"/>
          <w:szCs w:val="21"/>
          <w:highlight w:val="none"/>
          <w:lang w:val="en-US" w:eastAsia="zh-CN" w:bidi="ar-SA"/>
        </w:rPr>
      </w:pPr>
      <w:r>
        <w:rPr>
          <w:rFonts w:hint="default" w:ascii="宋体" w:hAnsi="宋体" w:eastAsia="宋体" w:cs="Times New Roman"/>
          <w:b/>
          <w:bCs/>
          <w:color w:val="auto"/>
          <w:sz w:val="21"/>
          <w:szCs w:val="21"/>
          <w:highlight w:val="none"/>
          <w:lang w:val="en-US" w:eastAsia="zh-CN" w:bidi="ar-SA"/>
        </w:rPr>
        <w:t>格式九  信用记录承诺函</w:t>
      </w:r>
    </w:p>
    <w:p>
      <w:pPr>
        <w:adjustRightInd w:val="0"/>
        <w:snapToGrid w:val="0"/>
        <w:spacing w:line="360" w:lineRule="auto"/>
        <w:jc w:val="center"/>
        <w:rPr>
          <w:rFonts w:hint="eastAsia" w:ascii="宋体" w:hAnsi="宋体" w:eastAsia="宋体" w:cs="宋体"/>
          <w:b/>
          <w:bCs/>
          <w:color w:val="auto"/>
          <w:sz w:val="32"/>
          <w:szCs w:val="32"/>
          <w:highlight w:val="none"/>
        </w:rPr>
      </w:pPr>
    </w:p>
    <w:p>
      <w:pPr>
        <w:adjustRightInd w:val="0"/>
        <w:snapToGrid w:val="0"/>
        <w:spacing w:line="360" w:lineRule="auto"/>
        <w:jc w:val="center"/>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信用记录承诺函</w:t>
      </w:r>
    </w:p>
    <w:p>
      <w:pPr>
        <w:adjustRightInd w:val="0"/>
        <w:snapToGrid w:val="0"/>
        <w:spacing w:line="360" w:lineRule="auto"/>
        <w:rPr>
          <w:rFonts w:ascii="宋体" w:hAnsi="宋体" w:eastAsia="宋体"/>
          <w:color w:val="auto"/>
          <w:kern w:val="2"/>
          <w:sz w:val="28"/>
          <w:szCs w:val="28"/>
          <w:highlight w:val="none"/>
          <w:lang w:val="en-GB"/>
        </w:rPr>
      </w:pPr>
    </w:p>
    <w:p>
      <w:pPr>
        <w:adjustRightInd w:val="0"/>
        <w:snapToGrid w:val="0"/>
        <w:spacing w:line="360" w:lineRule="auto"/>
        <w:rPr>
          <w:rFonts w:hint="eastAsia" w:ascii="宋体" w:hAnsi="宋体" w:eastAsia="宋体"/>
          <w:color w:val="auto"/>
          <w:kern w:val="2"/>
          <w:sz w:val="24"/>
          <w:szCs w:val="24"/>
          <w:highlight w:val="none"/>
          <w:lang w:val="en-GB" w:eastAsia="zh-CN"/>
        </w:rPr>
      </w:pPr>
      <w:r>
        <w:rPr>
          <w:rFonts w:hint="eastAsia" w:ascii="宋体" w:hAnsi="宋体" w:eastAsia="宋体"/>
          <w:color w:val="auto"/>
          <w:kern w:val="2"/>
          <w:sz w:val="24"/>
          <w:szCs w:val="24"/>
          <w:highlight w:val="none"/>
          <w:lang w:val="en-GB"/>
        </w:rPr>
        <w:t>致：</w:t>
      </w:r>
      <w:r>
        <w:rPr>
          <w:rFonts w:hint="eastAsia" w:ascii="宋体" w:hAnsi="宋体" w:eastAsia="宋体" w:cs="宋体"/>
          <w:b/>
          <w:bCs/>
          <w:color w:val="auto"/>
          <w:kern w:val="2"/>
          <w:sz w:val="24"/>
          <w:szCs w:val="24"/>
          <w:highlight w:val="none"/>
          <w:shd w:val="clear" w:color="auto" w:fill="FFFFFF"/>
          <w:lang w:eastAsia="zh-CN"/>
        </w:rPr>
        <w:t>广清经济特别合作区广清产业园管理委员会规划建设局</w:t>
      </w:r>
    </w:p>
    <w:p>
      <w:pPr>
        <w:spacing w:line="360" w:lineRule="auto"/>
        <w:ind w:firstLine="480" w:firstLineChars="200"/>
        <w:jc w:val="left"/>
        <w:rPr>
          <w:rFonts w:hint="eastAsia" w:ascii="宋体" w:hAnsi="宋体" w:eastAsia="宋体" w:cs="宋体"/>
          <w:color w:val="auto"/>
          <w:kern w:val="2"/>
          <w:sz w:val="24"/>
          <w:szCs w:val="24"/>
          <w:highlight w:val="none"/>
          <w:lang w:val="en-GB" w:eastAsia="zh-CN"/>
        </w:rPr>
      </w:pPr>
      <w:r>
        <w:rPr>
          <w:rFonts w:hint="eastAsia" w:ascii="宋体" w:hAnsi="宋体" w:eastAsia="宋体" w:cs="宋体"/>
          <w:color w:val="auto"/>
          <w:kern w:val="2"/>
          <w:sz w:val="24"/>
          <w:szCs w:val="24"/>
          <w:highlight w:val="none"/>
          <w:lang w:val="en-GB"/>
        </w:rPr>
        <w:t>我方郑重承诺，在参与</w:t>
      </w:r>
      <w:r>
        <w:rPr>
          <w:rFonts w:hint="eastAsia" w:ascii="宋体" w:hAnsi="宋体" w:eastAsia="宋体" w:cs="宋体"/>
          <w:color w:val="auto"/>
          <w:kern w:val="2"/>
          <w:sz w:val="24"/>
          <w:szCs w:val="24"/>
          <w:highlight w:val="none"/>
          <w:u w:val="single"/>
          <w:lang w:val="en-US" w:eastAsia="zh-CN"/>
        </w:rPr>
        <w:t xml:space="preserve"> （项目名称） </w:t>
      </w:r>
      <w:r>
        <w:rPr>
          <w:rFonts w:hint="eastAsia" w:ascii="宋体" w:hAnsi="宋体" w:eastAsia="宋体" w:cs="宋体"/>
          <w:color w:val="auto"/>
          <w:sz w:val="24"/>
          <w:szCs w:val="24"/>
          <w:highlight w:val="none"/>
          <w:lang w:val="en-GB"/>
        </w:rPr>
        <w:t>招标采购期间，</w:t>
      </w:r>
      <w:r>
        <w:rPr>
          <w:rFonts w:hint="eastAsia" w:ascii="宋体" w:hAnsi="宋体" w:eastAsia="宋体" w:cs="宋体"/>
          <w:color w:val="auto"/>
          <w:sz w:val="24"/>
          <w:szCs w:val="24"/>
          <w:highlight w:val="none"/>
        </w:rPr>
        <w:t>即</w:t>
      </w:r>
      <w:r>
        <w:rPr>
          <w:rFonts w:hint="eastAsia" w:ascii="宋体" w:hAnsi="宋体" w:eastAsia="宋体" w:cs="宋体"/>
          <w:color w:val="auto"/>
          <w:sz w:val="24"/>
          <w:szCs w:val="24"/>
          <w:highlight w:val="none"/>
          <w:lang w:val="en-GB"/>
        </w:rPr>
        <w:t>自本项目招标公告发布之日起至本项目</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lang w:val="en-GB"/>
        </w:rPr>
        <w:t>截止日期止，未被《信用</w:t>
      </w:r>
      <w:r>
        <w:rPr>
          <w:rFonts w:hint="eastAsia" w:ascii="宋体" w:hAnsi="宋体" w:eastAsia="宋体" w:cs="宋体"/>
          <w:color w:val="auto"/>
          <w:sz w:val="24"/>
          <w:szCs w:val="24"/>
          <w:highlight w:val="none"/>
        </w:rPr>
        <w:t>广州</w:t>
      </w:r>
      <w:r>
        <w:rPr>
          <w:rFonts w:hint="eastAsia" w:ascii="宋体" w:hAnsi="宋体" w:eastAsia="宋体" w:cs="宋体"/>
          <w:color w:val="auto"/>
          <w:sz w:val="24"/>
          <w:szCs w:val="24"/>
          <w:highlight w:val="none"/>
          <w:lang w:val="en-GB"/>
        </w:rPr>
        <w:t>》网站</w:t>
      </w:r>
      <w:r>
        <w:rPr>
          <w:rFonts w:hint="eastAsia" w:ascii="宋体" w:hAnsi="宋体" w:eastAsia="宋体" w:cs="宋体"/>
          <w:color w:val="auto"/>
          <w:sz w:val="24"/>
          <w:szCs w:val="24"/>
          <w:highlight w:val="none"/>
        </w:rPr>
        <w:t>（credit.gz.gov.cn</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纳入“严重失信主体名单信息”</w:t>
      </w:r>
      <w:r>
        <w:rPr>
          <w:rFonts w:hint="eastAsia" w:ascii="宋体" w:hAnsi="宋体" w:eastAsia="宋体" w:cs="宋体"/>
          <w:color w:val="auto"/>
          <w:sz w:val="24"/>
          <w:szCs w:val="24"/>
          <w:highlight w:val="none"/>
          <w:lang w:val="en-GB"/>
        </w:rPr>
        <w:t>。</w:t>
      </w:r>
    </w:p>
    <w:p>
      <w:pPr>
        <w:spacing w:line="360" w:lineRule="auto"/>
        <w:ind w:firstLine="480" w:firstLineChars="200"/>
        <w:jc w:val="left"/>
        <w:rPr>
          <w:rFonts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（附我方在上述网站查询结果截图）</w:t>
      </w:r>
    </w:p>
    <w:p>
      <w:pPr>
        <w:spacing w:line="360" w:lineRule="auto"/>
        <w:jc w:val="right"/>
        <w:rPr>
          <w:rFonts w:hint="eastAsia" w:ascii="宋体" w:hAnsi="宋体" w:eastAsia="宋体"/>
          <w:color w:val="auto"/>
          <w:sz w:val="24"/>
          <w:szCs w:val="24"/>
          <w:highlight w:val="none"/>
          <w:lang w:val="en-GB"/>
        </w:rPr>
      </w:pPr>
    </w:p>
    <w:p>
      <w:pPr>
        <w:spacing w:line="360" w:lineRule="auto"/>
        <w:jc w:val="right"/>
        <w:rPr>
          <w:rFonts w:ascii="宋体" w:hAnsi="宋体" w:eastAsia="宋体" w:cs="宋体"/>
          <w:color w:val="auto"/>
          <w:kern w:val="2"/>
          <w:sz w:val="24"/>
          <w:szCs w:val="24"/>
          <w:highlight w:val="none"/>
          <w:lang w:val="en-GB"/>
        </w:rPr>
      </w:pPr>
      <w:r>
        <w:rPr>
          <w:rFonts w:hint="eastAsia" w:ascii="宋体" w:hAnsi="宋体" w:eastAsia="宋体"/>
          <w:color w:val="auto"/>
          <w:sz w:val="24"/>
          <w:szCs w:val="24"/>
          <w:highlight w:val="none"/>
          <w:lang w:val="en-GB"/>
        </w:rPr>
        <w:t>投标人名称（加盖公章）</w:t>
      </w:r>
      <w:r>
        <w:rPr>
          <w:rFonts w:hint="eastAsia" w:ascii="宋体" w:hAnsi="宋体" w:eastAsia="宋体" w:cs="宋体"/>
          <w:color w:val="auto"/>
          <w:kern w:val="2"/>
          <w:sz w:val="24"/>
          <w:szCs w:val="24"/>
          <w:highlight w:val="none"/>
          <w:lang w:val="en-GB"/>
        </w:rPr>
        <w:t>：</w:t>
      </w:r>
      <w:r>
        <w:rPr>
          <w:rFonts w:ascii="宋体" w:hAnsi="宋体" w:eastAsia="宋体" w:cs="宋体"/>
          <w:color w:val="auto"/>
          <w:kern w:val="2"/>
          <w:sz w:val="24"/>
          <w:szCs w:val="24"/>
          <w:highlight w:val="none"/>
          <w:lang w:val="en-GB"/>
        </w:rPr>
        <w:t xml:space="preserve"> </w:t>
      </w:r>
    </w:p>
    <w:p>
      <w:pPr>
        <w:spacing w:line="360" w:lineRule="auto"/>
        <w:jc w:val="right"/>
        <w:rPr>
          <w:rFonts w:ascii="宋体" w:hAnsi="宋体" w:eastAsia="宋体" w:cs="宋体"/>
          <w:color w:val="auto"/>
          <w:kern w:val="2"/>
          <w:sz w:val="24"/>
          <w:szCs w:val="24"/>
          <w:highlight w:val="none"/>
          <w:lang w:val="en-GB"/>
        </w:rPr>
      </w:pPr>
      <w:r>
        <w:rPr>
          <w:rFonts w:hint="eastAsia" w:ascii="宋体" w:hAnsi="宋体" w:eastAsia="宋体" w:cs="宋体"/>
          <w:color w:val="auto"/>
          <w:kern w:val="2"/>
          <w:sz w:val="24"/>
          <w:szCs w:val="24"/>
          <w:highlight w:val="none"/>
          <w:lang w:val="en-GB"/>
        </w:rPr>
        <w:t>年</w:t>
      </w:r>
      <w:r>
        <w:rPr>
          <w:rFonts w:ascii="宋体" w:hAnsi="宋体" w:eastAsia="宋体" w:cs="宋体"/>
          <w:color w:val="auto"/>
          <w:kern w:val="2"/>
          <w:sz w:val="24"/>
          <w:szCs w:val="24"/>
          <w:highlight w:val="none"/>
          <w:lang w:val="en-GB"/>
        </w:rPr>
        <w:t xml:space="preserve">   </w:t>
      </w:r>
      <w:r>
        <w:rPr>
          <w:rFonts w:hint="eastAsia" w:ascii="宋体" w:hAnsi="宋体" w:eastAsia="宋体" w:cs="宋体"/>
          <w:color w:val="auto"/>
          <w:kern w:val="2"/>
          <w:sz w:val="24"/>
          <w:szCs w:val="24"/>
          <w:highlight w:val="none"/>
          <w:lang w:val="en-GB"/>
        </w:rPr>
        <w:t>月</w:t>
      </w:r>
      <w:r>
        <w:rPr>
          <w:rFonts w:ascii="宋体" w:hAnsi="宋体" w:eastAsia="宋体" w:cs="宋体"/>
          <w:color w:val="auto"/>
          <w:kern w:val="2"/>
          <w:sz w:val="24"/>
          <w:szCs w:val="24"/>
          <w:highlight w:val="none"/>
          <w:lang w:val="en-GB"/>
        </w:rPr>
        <w:t xml:space="preserve">   </w:t>
      </w:r>
      <w:r>
        <w:rPr>
          <w:rFonts w:hint="eastAsia" w:ascii="宋体" w:hAnsi="宋体" w:eastAsia="宋体" w:cs="宋体"/>
          <w:color w:val="auto"/>
          <w:kern w:val="2"/>
          <w:sz w:val="24"/>
          <w:szCs w:val="24"/>
          <w:highlight w:val="none"/>
          <w:lang w:val="en-GB"/>
        </w:rPr>
        <w:t>日</w:t>
      </w:r>
    </w:p>
    <w:p>
      <w:pPr>
        <w:rPr>
          <w:rFonts w:ascii="宋体" w:hAnsi="宋体" w:eastAsia="宋体" w:cs="宋体"/>
          <w:b/>
          <w:color w:val="auto"/>
          <w:sz w:val="24"/>
          <w:highlight w:val="none"/>
        </w:rPr>
      </w:pPr>
      <w:r>
        <w:rPr>
          <w:rFonts w:hint="eastAsia" w:ascii="宋体" w:hAnsi="宋体" w:eastAsia="宋体" w:cs="宋体"/>
          <w:b/>
          <w:color w:val="auto"/>
          <w:sz w:val="24"/>
          <w:highlight w:val="none"/>
        </w:rPr>
        <w:t>注：</w:t>
      </w:r>
    </w:p>
    <w:p>
      <w:pPr>
        <w:jc w:val="both"/>
        <w:rPr>
          <w:rFonts w:ascii="宋体" w:hAnsi="宋体" w:eastAsia="宋体" w:cs="宋体"/>
          <w:b/>
          <w:color w:val="auto"/>
          <w:sz w:val="24"/>
          <w:highlight w:val="none"/>
        </w:rPr>
      </w:pPr>
      <w:r>
        <w:rPr>
          <w:rFonts w:ascii="宋体" w:hAnsi="宋体" w:eastAsia="宋体" w:cs="宋体"/>
          <w:b/>
          <w:color w:val="auto"/>
          <w:sz w:val="24"/>
          <w:highlight w:val="none"/>
        </w:rPr>
        <w:t>1、</w:t>
      </w:r>
      <w:r>
        <w:rPr>
          <w:rFonts w:hint="eastAsia" w:ascii="宋体" w:hAnsi="宋体" w:eastAsia="宋体" w:cs="宋体"/>
          <w:b/>
          <w:color w:val="auto"/>
          <w:sz w:val="24"/>
          <w:highlight w:val="none"/>
        </w:rPr>
        <w:t>网站截图为“信用广州”网站（credit.gz.gov.cn）首页“信用公示”→“红黑名单查询”→“严重失信主体名单信息”搜索一栏输入企业全称后得出的查询结果页面。</w:t>
      </w:r>
    </w:p>
    <w:p>
      <w:pPr>
        <w:jc w:val="both"/>
        <w:rPr>
          <w:rFonts w:ascii="宋体" w:hAnsi="宋体" w:eastAsia="宋体" w:cs="宋体"/>
          <w:b/>
          <w:color w:val="auto"/>
          <w:sz w:val="24"/>
          <w:highlight w:val="none"/>
        </w:rPr>
      </w:pPr>
      <w:r>
        <w:rPr>
          <w:rFonts w:ascii="宋体" w:hAnsi="宋体" w:eastAsia="宋体" w:cs="宋体"/>
          <w:b/>
          <w:color w:val="auto"/>
          <w:sz w:val="24"/>
          <w:highlight w:val="none"/>
        </w:rPr>
        <w:t>2、截图中可显示网站域名，页面信息必须明确显示参与本项目的企业全称</w:t>
      </w:r>
      <w:r>
        <w:rPr>
          <w:rFonts w:hint="eastAsia" w:ascii="宋体" w:hAnsi="宋体" w:eastAsia="宋体" w:cs="宋体"/>
          <w:b/>
          <w:color w:val="auto"/>
          <w:sz w:val="24"/>
          <w:highlight w:val="none"/>
        </w:rPr>
        <w:t>。</w:t>
      </w:r>
      <w:r>
        <w:rPr>
          <w:rFonts w:ascii="宋体" w:hAnsi="宋体" w:eastAsia="宋体" w:cs="宋体"/>
          <w:b/>
          <w:color w:val="auto"/>
          <w:sz w:val="24"/>
          <w:highlight w:val="none"/>
        </w:rPr>
        <w:t xml:space="preserve"> </w:t>
      </w:r>
    </w:p>
    <w:p>
      <w:pPr>
        <w:jc w:val="both"/>
        <w:rPr>
          <w:rFonts w:ascii="宋体" w:hAnsi="宋体" w:eastAsia="宋体" w:cs="宋体"/>
          <w:b/>
          <w:color w:val="auto"/>
          <w:sz w:val="24"/>
          <w:highlight w:val="none"/>
        </w:rPr>
      </w:pPr>
      <w:r>
        <w:rPr>
          <w:rFonts w:ascii="宋体" w:hAnsi="宋体" w:eastAsia="宋体" w:cs="宋体"/>
          <w:b/>
          <w:color w:val="auto"/>
          <w:sz w:val="24"/>
          <w:highlight w:val="none"/>
        </w:rPr>
        <w:t>3、</w:t>
      </w:r>
      <w:r>
        <w:rPr>
          <w:rFonts w:hint="eastAsia" w:ascii="宋体" w:hAnsi="宋体" w:eastAsia="宋体" w:cs="宋体"/>
          <w:b/>
          <w:color w:val="auto"/>
          <w:sz w:val="24"/>
          <w:highlight w:val="none"/>
        </w:rPr>
        <w:t>投标人如为事业单位或不能在信用中国查询的组织应须提供说明函。</w:t>
      </w:r>
    </w:p>
    <w:p>
      <w:pPr>
        <w:jc w:val="both"/>
        <w:rPr>
          <w:rFonts w:ascii="宋体" w:hAnsi="宋体" w:eastAsia="宋体" w:cs="宋体"/>
          <w:b/>
          <w:color w:val="auto"/>
          <w:sz w:val="24"/>
          <w:highlight w:val="none"/>
        </w:rPr>
      </w:pPr>
    </w:p>
    <w:p>
      <w:pPr>
        <w:rPr>
          <w:rFonts w:ascii="宋体" w:hAnsi="宋体" w:eastAsia="宋体" w:cs="宋体"/>
          <w:b/>
          <w:color w:val="auto"/>
          <w:sz w:val="24"/>
          <w:highlight w:val="none"/>
        </w:rPr>
      </w:pPr>
      <w:r>
        <w:rPr>
          <w:rFonts w:hint="eastAsia" w:ascii="宋体" w:hAnsi="宋体" w:eastAsia="宋体" w:cs="宋体"/>
          <w:b/>
          <w:color w:val="auto"/>
          <w:sz w:val="24"/>
          <w:highlight w:val="none"/>
        </w:rPr>
        <w:t>附件：</w:t>
      </w:r>
    </w:p>
    <w:p>
      <w:pPr>
        <w:rPr>
          <w:rFonts w:ascii="宋体" w:hAnsi="宋体" w:eastAsia="宋体" w:cs="宋体"/>
          <w:color w:val="auto"/>
          <w:sz w:val="24"/>
          <w:highlight w:val="none"/>
        </w:rPr>
      </w:pPr>
      <w:r>
        <w:rPr>
          <w:rFonts w:hint="eastAsia" w:ascii="宋体" w:hAnsi="宋体" w:eastAsia="宋体" w:cs="宋体"/>
          <w:color w:val="auto"/>
          <w:sz w:val="24"/>
          <w:highlight w:val="none"/>
        </w:rPr>
        <w:t>“信用广州”网页截图</w:t>
      </w:r>
    </w:p>
    <w:p>
      <w:pPr>
        <w:rPr>
          <w:rFonts w:hint="eastAsia"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br w:type="page"/>
      </w:r>
    </w:p>
    <w:p>
      <w:pPr>
        <w:pStyle w:val="3"/>
        <w:rPr>
          <w:rFonts w:ascii="宋体" w:hAnsi="宋体" w:eastAsia="宋体"/>
          <w:color w:val="auto"/>
          <w:sz w:val="28"/>
          <w:szCs w:val="28"/>
          <w:highlight w:val="none"/>
          <w:lang w:eastAsia="zh-CN"/>
        </w:rPr>
      </w:pPr>
      <w:r>
        <w:rPr>
          <w:rFonts w:hint="eastAsia" w:ascii="宋体" w:hAnsi="宋体" w:eastAsia="宋体"/>
          <w:color w:val="auto"/>
          <w:sz w:val="28"/>
          <w:szCs w:val="28"/>
          <w:highlight w:val="none"/>
          <w:lang w:eastAsia="zh-CN"/>
        </w:rPr>
        <w:t>格式</w:t>
      </w:r>
      <w:r>
        <w:rPr>
          <w:rFonts w:hint="eastAsia" w:ascii="宋体" w:hAnsi="宋体" w:eastAsia="宋体"/>
          <w:color w:val="auto"/>
          <w:sz w:val="28"/>
          <w:szCs w:val="28"/>
          <w:highlight w:val="none"/>
          <w:lang w:val="en-US" w:eastAsia="zh-CN"/>
        </w:rPr>
        <w:t>十</w:t>
      </w:r>
      <w:r>
        <w:rPr>
          <w:rFonts w:hint="eastAsia" w:ascii="宋体" w:hAnsi="宋体" w:eastAsia="宋体"/>
          <w:color w:val="auto"/>
          <w:sz w:val="28"/>
          <w:szCs w:val="28"/>
          <w:highlight w:val="none"/>
          <w:lang w:eastAsia="zh-CN"/>
        </w:rPr>
        <w:t xml:space="preserve">  其他资料</w:t>
      </w:r>
      <w:bookmarkEnd w:id="99"/>
      <w:bookmarkEnd w:id="100"/>
    </w:p>
    <w:p>
      <w:pPr>
        <w:ind w:firstLine="300"/>
        <w:rPr>
          <w:color w:val="auto"/>
          <w:highlight w:val="none"/>
          <w:lang w:eastAsia="zh-CN"/>
        </w:rPr>
      </w:pPr>
    </w:p>
    <w:p/>
    <w:sectPr>
      <w:footerReference r:id="rId10" w:type="first"/>
      <w:footerReference r:id="rId9" w:type="default"/>
      <w:pgSz w:w="11907" w:h="16839"/>
      <w:pgMar w:top="1440" w:right="1440" w:bottom="1440" w:left="1440" w:header="0" w:footer="921"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4CC5A7E-20C1-4982-BB87-DCCAE6D9C4DD}"/>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embedRegular r:id="rId2" w:fontKey="{741E97E0-233E-41CC-BC01-ED8D595B08A8}"/>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AB4E08BB-9213-4929-83AC-0BFF83FC903A}"/>
  </w:font>
  <w:font w:name="等线">
    <w:panose1 w:val="02010600030101010101"/>
    <w:charset w:val="86"/>
    <w:family w:val="auto"/>
    <w:pitch w:val="default"/>
    <w:sig w:usb0="A00002BF" w:usb1="38CF7CFA" w:usb2="00000016" w:usb3="00000000" w:csb0="0004000F" w:csb1="00000000"/>
    <w:embedRegular r:id="rId4" w:fontKey="{E19D33BA-C316-45FD-AB7A-27C5C836EF50}"/>
  </w:font>
  <w:font w:name="方正仿宋_GB2312">
    <w:panose1 w:val="02000000000000000000"/>
    <w:charset w:val="86"/>
    <w:family w:val="auto"/>
    <w:pitch w:val="default"/>
    <w:sig w:usb0="A00002BF" w:usb1="184F6CFA" w:usb2="00000012" w:usb3="00000000" w:csb0="00040001" w:csb1="00000000"/>
    <w:embedRegular r:id="rId5" w:fontKey="{F829AB9A-3E99-4BEB-A9E0-A062C830DB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w:t>
    </w:r>
    <w:r>
      <w:fldChar w:fldCharType="end"/>
    </w:r>
  </w:p>
  <w:p>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48</w:t>
    </w:r>
    <w:r>
      <w:fldChar w:fldCharType="end"/>
    </w:r>
  </w:p>
  <w:p>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fldChar w:fldCharType="begin"/>
    </w:r>
    <w:r>
      <w:rPr>
        <w:rStyle w:val="21"/>
      </w:rPr>
      <w:instrText xml:space="preserve">PAGE  </w:instrText>
    </w:r>
    <w:r>
      <w:fldChar w:fldCharType="separate"/>
    </w:r>
    <w:r>
      <w:rPr>
        <w:rStyle w:val="21"/>
      </w:rPr>
      <w:t>8</w:t>
    </w:r>
    <w: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64</w:t>
    </w:r>
    <w:r>
      <w:fldChar w:fldCharType="end"/>
    </w:r>
  </w:p>
  <w:p>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49</w:t>
    </w:r>
    <w:r>
      <w:fldChar w:fldCharType="end"/>
    </w:r>
  </w:p>
  <w:p>
    <w:pPr>
      <w:pStyle w:val="14"/>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eastAsia="宋体"/>
        <w:sz w:val="20"/>
        <w:szCs w:val="20"/>
        <w:lang w:eastAsia="zh-CN"/>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105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dRUxAuUBAADPAwAA&#10;DgAAAAAAAAABACAAAAAeAQAAZHJzL2Uyb0RvYy54bWxQSwUGAAAAAAYABgBZAQAAdQUAAAAA&#10;">
              <v:fill on="f" focussize="0,0"/>
              <v:stroke on="f"/>
              <v:imagedata o:title=""/>
              <o:lock v:ext="edit" aspectratio="f"/>
              <v:textbox inset="0mm,0mm,0mm,0mm" style="mso-fit-shape-to-text:t;">
                <w:txbxContent>
                  <w:p>
                    <w:pPr>
                      <w:pStyle w:val="14"/>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68</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65</w:t>
    </w:r>
    <w: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47B9A4"/>
    <w:multiLevelType w:val="singleLevel"/>
    <w:tmpl w:val="4447B9A4"/>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N2Y1MGU4ZjljZWQ4YzBjNmYxNDcyYTdkMTAwM2UifQ=="/>
  </w:docVars>
  <w:rsids>
    <w:rsidRoot w:val="00000000"/>
    <w:rsid w:val="02405F8A"/>
    <w:rsid w:val="09995CBA"/>
    <w:rsid w:val="0D200E92"/>
    <w:rsid w:val="0D4508F8"/>
    <w:rsid w:val="0ECC6351"/>
    <w:rsid w:val="16DC22CD"/>
    <w:rsid w:val="17323E00"/>
    <w:rsid w:val="1AFC6A9A"/>
    <w:rsid w:val="1B1F6C2C"/>
    <w:rsid w:val="1E0F4D36"/>
    <w:rsid w:val="1EBE2EEA"/>
    <w:rsid w:val="1F043402"/>
    <w:rsid w:val="20F54E45"/>
    <w:rsid w:val="25952189"/>
    <w:rsid w:val="28782876"/>
    <w:rsid w:val="29325D7D"/>
    <w:rsid w:val="2A687324"/>
    <w:rsid w:val="2CCA79AA"/>
    <w:rsid w:val="33EB76EE"/>
    <w:rsid w:val="36545584"/>
    <w:rsid w:val="37C80C1E"/>
    <w:rsid w:val="38997660"/>
    <w:rsid w:val="3909140C"/>
    <w:rsid w:val="3BC767F9"/>
    <w:rsid w:val="3C683B38"/>
    <w:rsid w:val="3CFB49AC"/>
    <w:rsid w:val="40604A75"/>
    <w:rsid w:val="4662784A"/>
    <w:rsid w:val="49A7425A"/>
    <w:rsid w:val="4B606A5D"/>
    <w:rsid w:val="4B8E48C5"/>
    <w:rsid w:val="4D232F44"/>
    <w:rsid w:val="4E0759C3"/>
    <w:rsid w:val="4EEF1E97"/>
    <w:rsid w:val="5257046E"/>
    <w:rsid w:val="52F158D4"/>
    <w:rsid w:val="530F4B42"/>
    <w:rsid w:val="54A31759"/>
    <w:rsid w:val="55872E29"/>
    <w:rsid w:val="583F79EB"/>
    <w:rsid w:val="59BB12F3"/>
    <w:rsid w:val="5A693758"/>
    <w:rsid w:val="5A8C2C8F"/>
    <w:rsid w:val="5B033786"/>
    <w:rsid w:val="5B9242D5"/>
    <w:rsid w:val="5F661D01"/>
    <w:rsid w:val="626F711E"/>
    <w:rsid w:val="63CE4319"/>
    <w:rsid w:val="68264723"/>
    <w:rsid w:val="68EB268D"/>
    <w:rsid w:val="699B6A4B"/>
    <w:rsid w:val="6E4B6C92"/>
    <w:rsid w:val="6F655B31"/>
    <w:rsid w:val="7B02692A"/>
    <w:rsid w:val="7F6861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imes New Roman" w:hAnsi="Times New Roman" w:eastAsia="Calibri" w:cs="Times New Roman"/>
      <w:sz w:val="22"/>
      <w:szCs w:val="22"/>
      <w:lang w:val="en-US" w:eastAsia="en-US" w:bidi="ar-SA"/>
    </w:rPr>
  </w:style>
  <w:style w:type="paragraph" w:styleId="2">
    <w:name w:val="heading 1"/>
    <w:basedOn w:val="1"/>
    <w:next w:val="1"/>
    <w:qFormat/>
    <w:uiPriority w:val="1"/>
    <w:pPr>
      <w:ind w:left="3"/>
      <w:outlineLvl w:val="0"/>
    </w:pPr>
    <w:rPr>
      <w:rFonts w:ascii="Microsoft JhengHei" w:hAnsi="Microsoft JhengHei" w:eastAsia="Microsoft JhengHei"/>
      <w:b/>
      <w:bCs/>
      <w:sz w:val="44"/>
      <w:szCs w:val="44"/>
    </w:rPr>
  </w:style>
  <w:style w:type="paragraph" w:styleId="3">
    <w:name w:val="heading 3"/>
    <w:basedOn w:val="1"/>
    <w:next w:val="1"/>
    <w:qFormat/>
    <w:uiPriority w:val="1"/>
    <w:pPr>
      <w:ind w:left="100"/>
      <w:outlineLvl w:val="2"/>
    </w:pPr>
    <w:rPr>
      <w:rFonts w:ascii="Microsoft JhengHei" w:hAnsi="Microsoft JhengHei" w:eastAsia="Microsoft JhengHei"/>
      <w:b/>
      <w:bCs/>
      <w:sz w:val="32"/>
      <w:szCs w:val="32"/>
    </w:rPr>
  </w:style>
  <w:style w:type="paragraph" w:styleId="4">
    <w:name w:val="heading 4"/>
    <w:basedOn w:val="1"/>
    <w:next w:val="1"/>
    <w:qFormat/>
    <w:uiPriority w:val="1"/>
    <w:pPr>
      <w:ind w:left="237"/>
      <w:outlineLvl w:val="3"/>
    </w:pPr>
    <w:rPr>
      <w:rFonts w:ascii="宋体" w:hAnsi="宋体" w:eastAsia="宋体"/>
      <w:sz w:val="28"/>
      <w:szCs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jc w:val="both"/>
    </w:pPr>
    <w:rPr>
      <w:rFonts w:ascii="仿宋_GB2312" w:eastAsia="宋体"/>
      <w:b/>
      <w:kern w:val="2"/>
      <w:sz w:val="32"/>
      <w:szCs w:val="20"/>
      <w:lang w:eastAsia="zh-CN"/>
    </w:rPr>
  </w:style>
  <w:style w:type="paragraph" w:styleId="6">
    <w:name w:val="annotation text"/>
    <w:basedOn w:val="1"/>
    <w:qFormat/>
    <w:uiPriority w:val="0"/>
    <w:pPr>
      <w:jc w:val="left"/>
    </w:pPr>
  </w:style>
  <w:style w:type="paragraph" w:styleId="7">
    <w:name w:val="Body Text 3"/>
    <w:basedOn w:val="1"/>
    <w:qFormat/>
    <w:uiPriority w:val="0"/>
    <w:pPr>
      <w:jc w:val="both"/>
    </w:pPr>
    <w:rPr>
      <w:rFonts w:ascii="宋体" w:eastAsia="宋体"/>
      <w:kern w:val="2"/>
      <w:sz w:val="24"/>
      <w:szCs w:val="20"/>
    </w:rPr>
  </w:style>
  <w:style w:type="paragraph" w:styleId="8">
    <w:name w:val="Body Text"/>
    <w:basedOn w:val="1"/>
    <w:next w:val="1"/>
    <w:qFormat/>
    <w:uiPriority w:val="1"/>
    <w:pPr>
      <w:ind w:left="100"/>
    </w:pPr>
    <w:rPr>
      <w:rFonts w:ascii="宋体" w:hAnsi="宋体" w:eastAsia="宋体"/>
      <w:sz w:val="21"/>
      <w:szCs w:val="21"/>
    </w:rPr>
  </w:style>
  <w:style w:type="paragraph" w:styleId="9">
    <w:name w:val="Body Text Indent"/>
    <w:basedOn w:val="1"/>
    <w:next w:val="10"/>
    <w:qFormat/>
    <w:uiPriority w:val="0"/>
    <w:pPr>
      <w:ind w:firstLine="600" w:firstLineChars="200"/>
    </w:pPr>
    <w:rPr>
      <w:rFonts w:ascii="宋体"/>
      <w:sz w:val="30"/>
      <w:szCs w:val="20"/>
    </w:rPr>
  </w:style>
  <w:style w:type="paragraph" w:styleId="10">
    <w:name w:val="envelope return"/>
    <w:basedOn w:val="1"/>
    <w:qFormat/>
    <w:uiPriority w:val="0"/>
    <w:pPr>
      <w:snapToGrid w:val="0"/>
    </w:pPr>
    <w:rPr>
      <w:rFonts w:ascii="Arial" w:hAnsi="Arial"/>
      <w:szCs w:val="24"/>
    </w:rPr>
  </w:style>
  <w:style w:type="paragraph" w:styleId="11">
    <w:name w:val="toc 3"/>
    <w:basedOn w:val="1"/>
    <w:next w:val="1"/>
    <w:qFormat/>
    <w:uiPriority w:val="39"/>
    <w:pPr>
      <w:ind w:left="520"/>
    </w:pPr>
    <w:rPr>
      <w:rFonts w:ascii="宋体" w:hAnsi="宋体" w:eastAsia="宋体"/>
      <w:sz w:val="21"/>
      <w:szCs w:val="21"/>
    </w:rPr>
  </w:style>
  <w:style w:type="paragraph" w:styleId="12">
    <w:name w:val="Plain Text"/>
    <w:basedOn w:val="1"/>
    <w:next w:val="1"/>
    <w:qFormat/>
    <w:uiPriority w:val="0"/>
    <w:pPr>
      <w:jc w:val="both"/>
    </w:pPr>
    <w:rPr>
      <w:rFonts w:ascii="宋体" w:hAnsi="Courier New" w:eastAsia="宋体"/>
      <w:kern w:val="2"/>
      <w:sz w:val="21"/>
      <w:szCs w:val="20"/>
    </w:rPr>
  </w:style>
  <w:style w:type="paragraph" w:styleId="13">
    <w:name w:val="Body Text Indent 2"/>
    <w:basedOn w:val="1"/>
    <w:qFormat/>
    <w:uiPriority w:val="0"/>
    <w:pPr>
      <w:snapToGrid w:val="0"/>
      <w:spacing w:line="360" w:lineRule="auto"/>
      <w:ind w:firstLine="539"/>
    </w:pPr>
    <w:rPr>
      <w:spacing w:val="5"/>
      <w:sz w:val="24"/>
    </w:rPr>
  </w:style>
  <w:style w:type="paragraph" w:styleId="14">
    <w:name w:val="footer"/>
    <w:basedOn w:val="1"/>
    <w:qFormat/>
    <w:uiPriority w:val="99"/>
    <w:pPr>
      <w:tabs>
        <w:tab w:val="center" w:pos="4153"/>
        <w:tab w:val="right" w:pos="8306"/>
      </w:tabs>
      <w:snapToGrid w:val="0"/>
    </w:pPr>
    <w:rPr>
      <w:sz w:val="18"/>
      <w:szCs w:val="18"/>
    </w:rPr>
  </w:style>
  <w:style w:type="paragraph" w:styleId="15">
    <w:name w:val="toc 1"/>
    <w:basedOn w:val="1"/>
    <w:next w:val="1"/>
    <w:qFormat/>
    <w:uiPriority w:val="39"/>
    <w:rPr>
      <w:rFonts w:ascii="宋体" w:hAnsi="宋体" w:eastAsia="宋体"/>
      <w:sz w:val="21"/>
      <w:szCs w:val="21"/>
    </w:rPr>
  </w:style>
  <w:style w:type="paragraph" w:styleId="16">
    <w:name w:val="Normal (Web)"/>
    <w:basedOn w:val="1"/>
    <w:unhideWhenUsed/>
    <w:qFormat/>
    <w:uiPriority w:val="0"/>
    <w:pPr>
      <w:widowControl/>
    </w:pPr>
    <w:rPr>
      <w:rFonts w:ascii="微软雅黑" w:hAnsi="微软雅黑" w:eastAsia="微软雅黑" w:cs="宋体"/>
      <w:sz w:val="24"/>
      <w:szCs w:val="24"/>
      <w:lang w:eastAsia="zh-CN"/>
    </w:rPr>
  </w:style>
  <w:style w:type="paragraph" w:styleId="17">
    <w:name w:val="Body Text First Indent"/>
    <w:basedOn w:val="1"/>
    <w:qFormat/>
    <w:uiPriority w:val="0"/>
    <w:pPr>
      <w:spacing w:after="120" w:line="312" w:lineRule="auto"/>
      <w:ind w:left="0" w:firstLine="420"/>
      <w:jc w:val="both"/>
    </w:pPr>
    <w:rPr>
      <w:rFonts w:ascii="Times New Roman" w:hAnsi="Times New Roman"/>
      <w:kern w:val="2"/>
      <w:szCs w:val="24"/>
    </w:rPr>
  </w:style>
  <w:style w:type="paragraph" w:styleId="18">
    <w:name w:val="Body Text First Indent 2"/>
    <w:basedOn w:val="9"/>
    <w:qFormat/>
    <w:uiPriority w:val="0"/>
    <w:pPr>
      <w:ind w:left="420" w:leftChars="200" w:firstLine="420"/>
    </w:pPr>
    <w:rPr>
      <w:rFonts w:ascii="Times New Roman"/>
      <w:sz w:val="20"/>
      <w:szCs w:val="24"/>
    </w:rPr>
  </w:style>
  <w:style w:type="character" w:styleId="21">
    <w:name w:val="page number"/>
    <w:basedOn w:val="20"/>
    <w:qFormat/>
    <w:uiPriority w:val="0"/>
    <w:rPr>
      <w:sz w:val="24"/>
      <w:szCs w:val="24"/>
    </w:rPr>
  </w:style>
  <w:style w:type="character" w:styleId="22">
    <w:name w:val="Hyperlink"/>
    <w:unhideWhenUsed/>
    <w:qFormat/>
    <w:uiPriority w:val="99"/>
    <w:rPr>
      <w:color w:val="0000FF"/>
      <w:u w:val="single"/>
    </w:rPr>
  </w:style>
  <w:style w:type="paragraph" w:customStyle="1" w:styleId="23">
    <w:name w:val="Table Paragraph"/>
    <w:basedOn w:val="1"/>
    <w:qFormat/>
    <w:uiPriority w:val="0"/>
  </w:style>
  <w:style w:type="paragraph" w:customStyle="1" w:styleId="24">
    <w:name w:val="样式 宋体 行距: 1.5 倍行距"/>
    <w:basedOn w:val="1"/>
    <w:qFormat/>
    <w:uiPriority w:val="0"/>
    <w:pPr>
      <w:jc w:val="center"/>
    </w:pPr>
    <w:rPr>
      <w:b/>
      <w:bCs/>
    </w:rPr>
  </w:style>
  <w:style w:type="paragraph" w:styleId="25">
    <w:name w:val="List Paragraph"/>
    <w:basedOn w:val="1"/>
    <w:qFormat/>
    <w:uiPriority w:val="1"/>
  </w:style>
  <w:style w:type="paragraph" w:customStyle="1" w:styleId="26">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Plain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30865</Words>
  <Characters>32647</Characters>
  <Lines>0</Lines>
  <Paragraphs>0</Paragraphs>
  <TotalTime>28</TotalTime>
  <ScaleCrop>false</ScaleCrop>
  <LinksUpToDate>false</LinksUpToDate>
  <CharactersWithSpaces>33853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2024-02-23T14:38:00Z</dcterms:created>
  <dc:creator>25039</dc:creator>
  <cp:lastModifiedBy>along</cp:lastModifiedBy>
  <dcterms:modified xsi:type="dcterms:W3CDTF">2024-07-04T15:10:37Z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ABAF3D067A5C4F8594AECA4C878FA9D2_13</vt:lpwstr>
  </property>
</Properties>
</file>