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0D9BA" w14:textId="77777777" w:rsidR="00B02C6E" w:rsidRDefault="00B02C6E" w:rsidP="00B02C6E">
      <w:pPr>
        <w:pStyle w:val="null3"/>
        <w:jc w:val="center"/>
        <w:outlineLvl w:val="1"/>
        <w:rPr>
          <w:rFonts w:hint="default"/>
        </w:rPr>
      </w:pPr>
      <w:r>
        <w:rPr>
          <w:b/>
          <w:sz w:val="36"/>
        </w:rPr>
        <w:t>第二章</w:t>
      </w:r>
      <w:r>
        <w:rPr>
          <w:b/>
          <w:sz w:val="36"/>
        </w:rPr>
        <w:t xml:space="preserve"> </w:t>
      </w:r>
      <w:r>
        <w:rPr>
          <w:b/>
          <w:sz w:val="36"/>
        </w:rPr>
        <w:t>采购需求</w:t>
      </w:r>
    </w:p>
    <w:p w14:paraId="334D8831" w14:textId="77777777" w:rsidR="00B02C6E" w:rsidRDefault="00B02C6E" w:rsidP="00B02C6E">
      <w:pPr>
        <w:pStyle w:val="1"/>
        <w:numPr>
          <w:ilvl w:val="0"/>
          <w:numId w:val="0"/>
        </w:numPr>
        <w:spacing w:line="560" w:lineRule="exact"/>
        <w:jc w:val="center"/>
        <w:rPr>
          <w:b/>
          <w:bCs w:val="0"/>
        </w:rPr>
      </w:pPr>
      <w:r>
        <w:rPr>
          <w:rFonts w:hint="eastAsia"/>
          <w:b/>
          <w:bCs w:val="0"/>
        </w:rPr>
        <w:t>第一部分 项目概述</w:t>
      </w:r>
    </w:p>
    <w:p w14:paraId="406E8E8D" w14:textId="77777777" w:rsidR="00B02C6E" w:rsidRDefault="00B02C6E" w:rsidP="00B02C6E">
      <w:pPr>
        <w:pStyle w:val="null3"/>
        <w:outlineLvl w:val="2"/>
        <w:rPr>
          <w:rFonts w:hint="default"/>
          <w:b/>
          <w:sz w:val="28"/>
        </w:rPr>
      </w:pPr>
    </w:p>
    <w:p w14:paraId="6C5F8D63" w14:textId="77777777" w:rsidR="00B02C6E" w:rsidRDefault="00B02C6E" w:rsidP="00B02C6E">
      <w:pPr>
        <w:pStyle w:val="null3"/>
        <w:outlineLvl w:val="2"/>
        <w:rPr>
          <w:rFonts w:hint="default"/>
          <w:b/>
          <w:sz w:val="28"/>
        </w:rPr>
      </w:pPr>
      <w:r>
        <w:rPr>
          <w:b/>
          <w:sz w:val="28"/>
        </w:rPr>
        <w:t>一、项目概况：</w:t>
      </w:r>
    </w:p>
    <w:p w14:paraId="28C00AD3" w14:textId="77777777" w:rsidR="00B02C6E" w:rsidRDefault="00B02C6E" w:rsidP="00B02C6E">
      <w:pPr>
        <w:pStyle w:val="null3"/>
        <w:outlineLvl w:val="2"/>
        <w:rPr>
          <w:rFonts w:hint="default"/>
          <w:b/>
          <w:sz w:val="28"/>
        </w:rPr>
      </w:pPr>
      <w:r>
        <w:rPr>
          <w:b/>
          <w:sz w:val="28"/>
        </w:rPr>
        <w:t>项目属性：服务类</w:t>
      </w:r>
    </w:p>
    <w:p w14:paraId="6A6BFDDE" w14:textId="77777777" w:rsidR="00B02C6E" w:rsidRDefault="00B02C6E" w:rsidP="00B02C6E">
      <w:pPr>
        <w:pStyle w:val="null3"/>
        <w:outlineLvl w:val="2"/>
        <w:rPr>
          <w:rFonts w:hint="default"/>
        </w:rPr>
      </w:pPr>
      <w:r>
        <w:t>★本次采购产品为非进口产品（进口产品指通过中国海关报关验放进入中国境内且产自关境外的产品）。</w:t>
      </w:r>
    </w:p>
    <w:p w14:paraId="4BF716D9" w14:textId="77777777" w:rsidR="00B02C6E" w:rsidRDefault="00B02C6E" w:rsidP="00B02C6E">
      <w:pPr>
        <w:pStyle w:val="null3"/>
        <w:outlineLvl w:val="2"/>
        <w:rPr>
          <w:rFonts w:hint="default"/>
        </w:rPr>
      </w:pPr>
      <w:r>
        <w:t>★凡属于《中华人民共和国实施强制性产品认证的产品目录》的产品，请投标人在投标文件中承诺在交货时提供该产品的“中国国家强制性产品认证”（</w:t>
      </w:r>
      <w:r>
        <w:t>CCC</w:t>
      </w:r>
      <w:r>
        <w:t>认证）证书。</w:t>
      </w:r>
    </w:p>
    <w:p w14:paraId="61345D92" w14:textId="77777777" w:rsidR="00B02C6E" w:rsidRDefault="00B02C6E" w:rsidP="00B02C6E">
      <w:pPr>
        <w:pStyle w:val="a8"/>
        <w:ind w:firstLine="480"/>
      </w:pPr>
      <w:r>
        <w:t>本项目属于</w:t>
      </w:r>
      <w:proofErr w:type="gramStart"/>
      <w:r>
        <w:t>不</w:t>
      </w:r>
      <w:proofErr w:type="gramEnd"/>
      <w:r>
        <w:t>专门面向中小</w:t>
      </w:r>
      <w:proofErr w:type="gramStart"/>
      <w:r>
        <w:t>微企业</w:t>
      </w:r>
      <w:proofErr w:type="gramEnd"/>
      <w:r>
        <w:t>预留采购份额的项目，原因和情形为：</w:t>
      </w:r>
      <w:r>
        <w:rPr>
          <w:rFonts w:hint="eastAsia"/>
        </w:rPr>
        <w:t>按照《政府采购促进中小企业发展管理办法》规定预留采购份额无法确保充分供应、充分竞争，或者存在可能影响政府采购目标实现的情形。</w:t>
      </w:r>
    </w:p>
    <w:p w14:paraId="30F6829B" w14:textId="77777777" w:rsidR="00B02C6E" w:rsidRDefault="00B02C6E" w:rsidP="00B02C6E">
      <w:pPr>
        <w:pStyle w:val="null3"/>
        <w:outlineLvl w:val="2"/>
        <w:rPr>
          <w:rFonts w:hint="default"/>
        </w:rPr>
      </w:pPr>
    </w:p>
    <w:p w14:paraId="7BFD429B" w14:textId="77777777" w:rsidR="00B02C6E" w:rsidRDefault="00B02C6E" w:rsidP="00B02C6E">
      <w:pPr>
        <w:pStyle w:val="null3"/>
        <w:outlineLvl w:val="2"/>
        <w:rPr>
          <w:rFonts w:hint="default"/>
        </w:rPr>
      </w:pPr>
      <w:r>
        <w:t>.</w:t>
      </w:r>
    </w:p>
    <w:p w14:paraId="3DF12D65" w14:textId="77777777" w:rsidR="00B02C6E" w:rsidRDefault="00B02C6E" w:rsidP="00B02C6E">
      <w:pPr>
        <w:pStyle w:val="2"/>
        <w:numPr>
          <w:ilvl w:val="1"/>
          <w:numId w:val="0"/>
        </w:numPr>
        <w:spacing w:line="560" w:lineRule="exact"/>
        <w:ind w:left="575"/>
        <w:rPr>
          <w:b/>
          <w:bCs w:val="0"/>
          <w:sz w:val="32"/>
          <w:szCs w:val="36"/>
        </w:rPr>
      </w:pPr>
      <w:r>
        <w:rPr>
          <w:rFonts w:hint="eastAsia"/>
          <w:b/>
          <w:bCs w:val="0"/>
          <w:sz w:val="32"/>
          <w:szCs w:val="36"/>
        </w:rPr>
        <w:t>二、建设目标</w:t>
      </w:r>
    </w:p>
    <w:p w14:paraId="6867438C" w14:textId="77777777" w:rsidR="00B02C6E" w:rsidRDefault="00B02C6E" w:rsidP="00B02C6E">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依托政法网，已经完成建设市委政法委中心平台（用于联通市法院、市检察院、市公安局、市司法局四个分平台），建设了55个刑事业务流程，实现音视频证据材料随案流转、全流程超期办案监督。通过本期项目建设，实现涉案财物信息随案流转及处置有效监督跨部门网上协同流程拓展齐全，以及程序性风险智能审查和线上案件评查，加强网络安全基础设施建设。</w:t>
      </w:r>
    </w:p>
    <w:p w14:paraId="5C97331D" w14:textId="77777777" w:rsidR="00B02C6E" w:rsidRDefault="00B02C6E" w:rsidP="00B02C6E">
      <w:pPr>
        <w:pStyle w:val="2"/>
        <w:numPr>
          <w:ilvl w:val="1"/>
          <w:numId w:val="0"/>
        </w:numPr>
        <w:spacing w:line="560" w:lineRule="exact"/>
        <w:ind w:left="575"/>
        <w:rPr>
          <w:b/>
          <w:bCs w:val="0"/>
          <w:sz w:val="32"/>
          <w:szCs w:val="36"/>
        </w:rPr>
      </w:pPr>
      <w:r>
        <w:rPr>
          <w:rFonts w:hint="eastAsia"/>
          <w:b/>
          <w:bCs w:val="0"/>
          <w:sz w:val="32"/>
          <w:szCs w:val="36"/>
        </w:rPr>
        <w:t>三、项目预算</w:t>
      </w:r>
    </w:p>
    <w:p w14:paraId="2F90D6E6" w14:textId="77777777" w:rsidR="00B02C6E" w:rsidRDefault="00B02C6E" w:rsidP="00B02C6E">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本项目预算为607.865万元。</w:t>
      </w:r>
    </w:p>
    <w:p w14:paraId="6290F697" w14:textId="77777777" w:rsidR="00B02C6E" w:rsidRDefault="00B02C6E" w:rsidP="00B02C6E">
      <w:pPr>
        <w:pStyle w:val="2"/>
        <w:numPr>
          <w:ilvl w:val="1"/>
          <w:numId w:val="0"/>
        </w:numPr>
        <w:spacing w:line="560" w:lineRule="exact"/>
        <w:ind w:left="575"/>
        <w:rPr>
          <w:b/>
          <w:bCs w:val="0"/>
          <w:sz w:val="32"/>
          <w:szCs w:val="36"/>
        </w:rPr>
      </w:pPr>
      <w:r>
        <w:rPr>
          <w:rFonts w:hint="eastAsia"/>
          <w:b/>
          <w:bCs w:val="0"/>
          <w:sz w:val="32"/>
          <w:szCs w:val="36"/>
        </w:rPr>
        <w:lastRenderedPageBreak/>
        <w:t>四、建设内容</w:t>
      </w:r>
    </w:p>
    <w:p w14:paraId="6E50F22B" w14:textId="77777777" w:rsidR="00B02C6E" w:rsidRDefault="00B02C6E" w:rsidP="00B02C6E">
      <w:pPr>
        <w:pStyle w:val="a6"/>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项目建设内容一览表</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381"/>
        <w:gridCol w:w="547"/>
        <w:gridCol w:w="763"/>
        <w:gridCol w:w="1320"/>
        <w:gridCol w:w="5381"/>
      </w:tblGrid>
      <w:tr w:rsidR="00B02C6E" w14:paraId="06BCC678" w14:textId="77777777" w:rsidTr="00453BF8">
        <w:tc>
          <w:tcPr>
            <w:tcW w:w="554" w:type="dxa"/>
            <w:vAlign w:val="center"/>
          </w:tcPr>
          <w:p w14:paraId="32674A5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序号</w:t>
            </w:r>
          </w:p>
        </w:tc>
        <w:tc>
          <w:tcPr>
            <w:tcW w:w="928" w:type="dxa"/>
            <w:gridSpan w:val="2"/>
            <w:vAlign w:val="center"/>
          </w:tcPr>
          <w:p w14:paraId="3F9CBD9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系统名称</w:t>
            </w:r>
          </w:p>
        </w:tc>
        <w:tc>
          <w:tcPr>
            <w:tcW w:w="2083" w:type="dxa"/>
            <w:gridSpan w:val="2"/>
            <w:vAlign w:val="center"/>
          </w:tcPr>
          <w:p w14:paraId="7B22CBC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功能模块（含软硬件建设内容）</w:t>
            </w:r>
          </w:p>
        </w:tc>
        <w:tc>
          <w:tcPr>
            <w:tcW w:w="5381" w:type="dxa"/>
            <w:vAlign w:val="center"/>
          </w:tcPr>
          <w:p w14:paraId="00EFB34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功能说明</w:t>
            </w:r>
          </w:p>
        </w:tc>
      </w:tr>
      <w:tr w:rsidR="00B02C6E" w14:paraId="24ACA3E6" w14:textId="77777777" w:rsidTr="00453BF8">
        <w:trPr>
          <w:trHeight w:val="1397"/>
        </w:trPr>
        <w:tc>
          <w:tcPr>
            <w:tcW w:w="554" w:type="dxa"/>
            <w:shd w:val="clear" w:color="auto" w:fill="auto"/>
            <w:vAlign w:val="center"/>
          </w:tcPr>
          <w:p w14:paraId="131694C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w:t>
            </w:r>
          </w:p>
        </w:tc>
        <w:tc>
          <w:tcPr>
            <w:tcW w:w="381" w:type="dxa"/>
            <w:vMerge w:val="restart"/>
            <w:shd w:val="clear" w:color="auto" w:fill="auto"/>
            <w:vAlign w:val="center"/>
          </w:tcPr>
          <w:p w14:paraId="6455871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涉案财物深化应用</w:t>
            </w:r>
          </w:p>
        </w:tc>
        <w:tc>
          <w:tcPr>
            <w:tcW w:w="547" w:type="dxa"/>
            <w:vMerge w:val="restart"/>
            <w:shd w:val="clear" w:color="000000" w:fill="FFFFFF"/>
            <w:vAlign w:val="center"/>
          </w:tcPr>
          <w:p w14:paraId="402B7C4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涉案财物信息流转处置结果反馈流程（新建）</w:t>
            </w:r>
          </w:p>
        </w:tc>
        <w:tc>
          <w:tcPr>
            <w:tcW w:w="763" w:type="dxa"/>
            <w:shd w:val="clear" w:color="auto" w:fill="auto"/>
            <w:vAlign w:val="center"/>
          </w:tcPr>
          <w:p w14:paraId="5F4C149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涉案财物信息流转处置结果反馈流程</w:t>
            </w:r>
          </w:p>
        </w:tc>
        <w:tc>
          <w:tcPr>
            <w:tcW w:w="1320" w:type="dxa"/>
            <w:shd w:val="clear" w:color="000000" w:fill="FFFFFF"/>
            <w:vAlign w:val="center"/>
          </w:tcPr>
          <w:p w14:paraId="04C00DA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涉案财物处置结果反馈流程</w:t>
            </w:r>
          </w:p>
        </w:tc>
        <w:tc>
          <w:tcPr>
            <w:tcW w:w="5381" w:type="dxa"/>
            <w:shd w:val="clear" w:color="000000" w:fill="FFFFFF"/>
            <w:vAlign w:val="center"/>
          </w:tcPr>
          <w:p w14:paraId="56D7824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涉案财物信息从公、检、法</w:t>
            </w:r>
            <w:proofErr w:type="gramStart"/>
            <w:r>
              <w:rPr>
                <w:rFonts w:ascii="仿宋_GB2312" w:eastAsia="仿宋_GB2312" w:hAnsi="仿宋_GB2312" w:cs="仿宋_GB2312" w:hint="eastAsia"/>
                <w:sz w:val="24"/>
              </w:rPr>
              <w:t>查冻扣后</w:t>
            </w:r>
            <w:proofErr w:type="gramEnd"/>
            <w:r>
              <w:rPr>
                <w:rFonts w:ascii="仿宋_GB2312" w:eastAsia="仿宋_GB2312" w:hAnsi="仿宋_GB2312" w:cs="仿宋_GB2312" w:hint="eastAsia"/>
                <w:sz w:val="24"/>
              </w:rPr>
              <w:t>随案线上移送，公安完成侦查移送检察院审查起诉时将公安处置意见附带移送至检察院，检察院审查起</w:t>
            </w:r>
            <w:proofErr w:type="gramStart"/>
            <w:r>
              <w:rPr>
                <w:rFonts w:ascii="仿宋_GB2312" w:eastAsia="仿宋_GB2312" w:hAnsi="仿宋_GB2312" w:cs="仿宋_GB2312" w:hint="eastAsia"/>
                <w:sz w:val="24"/>
              </w:rPr>
              <w:t>诉若</w:t>
            </w:r>
            <w:proofErr w:type="gramEnd"/>
            <w:r>
              <w:rPr>
                <w:rFonts w:ascii="仿宋_GB2312" w:eastAsia="仿宋_GB2312" w:hAnsi="仿宋_GB2312" w:cs="仿宋_GB2312" w:hint="eastAsia"/>
                <w:sz w:val="24"/>
              </w:rPr>
              <w:t>决定不起诉需将各项涉案财物处置意见要求返回公安，公安将最后处置结果通过【涉案财物处置结果反馈】将结果告知检察院；若检察院决定起诉，则需将涉案财物处置意见随案移送给法院，法院判决后在原流程【一审审理】、【二审上诉】、【二审抗诉】、【审判监督抗诉】、【法院再审程序】节点明确各项涉案财产判决处置意见，返回公安、检察院、法院（执行）；公安与法院在完成相关财物处置后，通过【涉案财物处置结果反馈】流程通知公检法相关单位，若检察院在案件办理过程中需对涉案财物进行处置的，也应当通过【涉案财物处置结果反馈】流程通知公检法相关单位，完成涉案财物从查扣</w:t>
            </w:r>
            <w:proofErr w:type="gramStart"/>
            <w:r>
              <w:rPr>
                <w:rFonts w:ascii="仿宋_GB2312" w:eastAsia="仿宋_GB2312" w:hAnsi="仿宋_GB2312" w:cs="仿宋_GB2312" w:hint="eastAsia"/>
                <w:sz w:val="24"/>
              </w:rPr>
              <w:t>冻到及结案</w:t>
            </w:r>
            <w:proofErr w:type="gramEnd"/>
            <w:r>
              <w:rPr>
                <w:rFonts w:ascii="仿宋_GB2312" w:eastAsia="仿宋_GB2312" w:hAnsi="仿宋_GB2312" w:cs="仿宋_GB2312" w:hint="eastAsia"/>
                <w:sz w:val="24"/>
              </w:rPr>
              <w:t>处置闭环流转。</w:t>
            </w:r>
          </w:p>
        </w:tc>
      </w:tr>
      <w:tr w:rsidR="00B02C6E" w14:paraId="398576AD" w14:textId="77777777" w:rsidTr="00453BF8">
        <w:tc>
          <w:tcPr>
            <w:tcW w:w="554" w:type="dxa"/>
            <w:shd w:val="clear" w:color="auto" w:fill="auto"/>
            <w:vAlign w:val="center"/>
          </w:tcPr>
          <w:p w14:paraId="0E186F7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w:t>
            </w:r>
          </w:p>
        </w:tc>
        <w:tc>
          <w:tcPr>
            <w:tcW w:w="381" w:type="dxa"/>
            <w:vMerge/>
            <w:shd w:val="clear" w:color="auto" w:fill="auto"/>
            <w:vAlign w:val="center"/>
          </w:tcPr>
          <w:p w14:paraId="5A78276D"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4E8D7795" w14:textId="77777777" w:rsidR="00B02C6E" w:rsidRDefault="00B02C6E" w:rsidP="00453BF8">
            <w:pPr>
              <w:spacing w:line="560" w:lineRule="exact"/>
              <w:rPr>
                <w:rFonts w:ascii="仿宋_GB2312" w:eastAsia="仿宋_GB2312" w:hAnsi="仿宋_GB2312" w:cs="仿宋_GB2312"/>
              </w:rPr>
            </w:pPr>
          </w:p>
        </w:tc>
        <w:tc>
          <w:tcPr>
            <w:tcW w:w="763" w:type="dxa"/>
            <w:vMerge w:val="restart"/>
            <w:shd w:val="clear" w:color="auto" w:fill="auto"/>
            <w:vAlign w:val="center"/>
          </w:tcPr>
          <w:p w14:paraId="24317A0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涉案财物管理系统</w:t>
            </w:r>
            <w:r>
              <w:rPr>
                <w:rFonts w:ascii="仿宋_GB2312" w:eastAsia="仿宋_GB2312" w:hAnsi="仿宋_GB2312" w:cs="仿宋_GB2312" w:hint="eastAsia"/>
                <w:sz w:val="24"/>
              </w:rPr>
              <w:lastRenderedPageBreak/>
              <w:t>对接联调</w:t>
            </w:r>
          </w:p>
        </w:tc>
        <w:tc>
          <w:tcPr>
            <w:tcW w:w="1320" w:type="dxa"/>
            <w:shd w:val="clear" w:color="000000" w:fill="FFFFFF"/>
            <w:vAlign w:val="center"/>
          </w:tcPr>
          <w:p w14:paraId="1924264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与公安系统对接并联调测试</w:t>
            </w:r>
          </w:p>
        </w:tc>
        <w:tc>
          <w:tcPr>
            <w:tcW w:w="5381" w:type="dxa"/>
            <w:shd w:val="clear" w:color="000000" w:fill="FFFFFF"/>
            <w:vAlign w:val="center"/>
          </w:tcPr>
          <w:p w14:paraId="1ADD5EA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对接公安端系统，实现相关信息通过一期已建流程涉案财物信息随案移送、【涉案财物处置结果反馈】流程等对接到中心平台。由采购人负责提供对接所需的原系统相关技术资料及相关协调工作；公安端</w:t>
            </w:r>
            <w:r>
              <w:rPr>
                <w:rFonts w:ascii="仿宋_GB2312" w:eastAsia="仿宋_GB2312" w:hAnsi="仿宋_GB2312" w:cs="仿宋_GB2312" w:hint="eastAsia"/>
                <w:sz w:val="24"/>
              </w:rPr>
              <w:lastRenderedPageBreak/>
              <w:t>系统改造对接工作由市公安局负责。</w:t>
            </w:r>
          </w:p>
        </w:tc>
      </w:tr>
      <w:tr w:rsidR="00B02C6E" w14:paraId="23D25629" w14:textId="77777777" w:rsidTr="00453BF8">
        <w:tc>
          <w:tcPr>
            <w:tcW w:w="554" w:type="dxa"/>
            <w:shd w:val="clear" w:color="auto" w:fill="auto"/>
            <w:vAlign w:val="center"/>
          </w:tcPr>
          <w:p w14:paraId="5026994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3</w:t>
            </w:r>
          </w:p>
        </w:tc>
        <w:tc>
          <w:tcPr>
            <w:tcW w:w="381" w:type="dxa"/>
            <w:vMerge/>
            <w:shd w:val="clear" w:color="auto" w:fill="auto"/>
            <w:vAlign w:val="center"/>
          </w:tcPr>
          <w:p w14:paraId="73D3D944"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2142EBAF"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1F58544B" w14:textId="77777777" w:rsidR="00B02C6E" w:rsidRDefault="00B02C6E" w:rsidP="00453BF8">
            <w:pPr>
              <w:spacing w:line="560" w:lineRule="exact"/>
              <w:rPr>
                <w:rFonts w:ascii="仿宋_GB2312" w:eastAsia="仿宋_GB2312" w:hAnsi="仿宋_GB2312" w:cs="仿宋_GB2312"/>
              </w:rPr>
            </w:pPr>
          </w:p>
        </w:tc>
        <w:tc>
          <w:tcPr>
            <w:tcW w:w="1320" w:type="dxa"/>
            <w:shd w:val="clear" w:color="000000" w:fill="FFFFFF"/>
            <w:vAlign w:val="center"/>
          </w:tcPr>
          <w:p w14:paraId="1AA6922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与检察院端系统对接并联调测试</w:t>
            </w:r>
          </w:p>
        </w:tc>
        <w:tc>
          <w:tcPr>
            <w:tcW w:w="5381" w:type="dxa"/>
            <w:shd w:val="clear" w:color="000000" w:fill="FFFFFF"/>
            <w:vAlign w:val="center"/>
          </w:tcPr>
          <w:p w14:paraId="03425C0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对接检察院端系统，实现相关信息通过一期已建流程涉案财物信息随案移送、【涉案财物处置结果反馈】流程等对接到中心平台。由采购人负责提供对接所需的原系统相关技术资料及相关协调工作；检察院端系统改造对接工作由市检察院负责。</w:t>
            </w:r>
          </w:p>
        </w:tc>
      </w:tr>
      <w:tr w:rsidR="00B02C6E" w14:paraId="25754E20" w14:textId="77777777" w:rsidTr="00453BF8">
        <w:tc>
          <w:tcPr>
            <w:tcW w:w="554" w:type="dxa"/>
            <w:shd w:val="clear" w:color="auto" w:fill="auto"/>
            <w:vAlign w:val="center"/>
          </w:tcPr>
          <w:p w14:paraId="57402AE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4</w:t>
            </w:r>
          </w:p>
        </w:tc>
        <w:tc>
          <w:tcPr>
            <w:tcW w:w="381" w:type="dxa"/>
            <w:vMerge/>
            <w:shd w:val="clear" w:color="auto" w:fill="auto"/>
            <w:vAlign w:val="center"/>
          </w:tcPr>
          <w:p w14:paraId="53BABFC0"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3E5B0ECE"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4653B772" w14:textId="77777777" w:rsidR="00B02C6E" w:rsidRDefault="00B02C6E" w:rsidP="00453BF8">
            <w:pPr>
              <w:spacing w:line="560" w:lineRule="exact"/>
              <w:rPr>
                <w:rFonts w:ascii="仿宋_GB2312" w:eastAsia="仿宋_GB2312" w:hAnsi="仿宋_GB2312" w:cs="仿宋_GB2312"/>
              </w:rPr>
            </w:pPr>
          </w:p>
        </w:tc>
        <w:tc>
          <w:tcPr>
            <w:tcW w:w="1320" w:type="dxa"/>
            <w:shd w:val="clear" w:color="000000" w:fill="FFFFFF"/>
            <w:vAlign w:val="center"/>
          </w:tcPr>
          <w:p w14:paraId="14B17C9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与法院端系统对接并联调测试</w:t>
            </w:r>
          </w:p>
        </w:tc>
        <w:tc>
          <w:tcPr>
            <w:tcW w:w="5381" w:type="dxa"/>
            <w:shd w:val="clear" w:color="000000" w:fill="FFFFFF"/>
            <w:vAlign w:val="center"/>
          </w:tcPr>
          <w:p w14:paraId="7806519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对接法院端系统，实现相关信息通过一期已建流程涉案财物信息随案移送、【涉案财物处置结果反馈】流程等对接到中心平台。由采购人负责提供对接所需的原系统相关技术资料及相关协调工作；法院端系统改造对接工作由市法院负责。</w:t>
            </w:r>
          </w:p>
        </w:tc>
      </w:tr>
      <w:tr w:rsidR="00B02C6E" w14:paraId="21E4FF33" w14:textId="77777777" w:rsidTr="00453BF8">
        <w:tc>
          <w:tcPr>
            <w:tcW w:w="554" w:type="dxa"/>
            <w:vMerge w:val="restart"/>
            <w:shd w:val="clear" w:color="auto" w:fill="auto"/>
            <w:vAlign w:val="center"/>
          </w:tcPr>
          <w:p w14:paraId="2042D8B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5</w:t>
            </w:r>
          </w:p>
        </w:tc>
        <w:tc>
          <w:tcPr>
            <w:tcW w:w="381" w:type="dxa"/>
            <w:vMerge/>
            <w:shd w:val="clear" w:color="auto" w:fill="auto"/>
            <w:vAlign w:val="center"/>
          </w:tcPr>
          <w:p w14:paraId="3F8011E9" w14:textId="77777777" w:rsidR="00B02C6E" w:rsidRDefault="00B02C6E" w:rsidP="00453BF8">
            <w:pPr>
              <w:spacing w:line="560" w:lineRule="exact"/>
              <w:rPr>
                <w:rFonts w:ascii="仿宋_GB2312" w:eastAsia="仿宋_GB2312" w:hAnsi="仿宋_GB2312" w:cs="仿宋_GB2312"/>
              </w:rPr>
            </w:pPr>
          </w:p>
        </w:tc>
        <w:tc>
          <w:tcPr>
            <w:tcW w:w="547" w:type="dxa"/>
            <w:vMerge w:val="restart"/>
            <w:shd w:val="clear" w:color="000000" w:fill="FFFFFF"/>
            <w:vAlign w:val="center"/>
          </w:tcPr>
          <w:p w14:paraId="2F3BEB0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涉案财物信息流转监督</w:t>
            </w:r>
          </w:p>
        </w:tc>
        <w:tc>
          <w:tcPr>
            <w:tcW w:w="763" w:type="dxa"/>
            <w:vMerge w:val="restart"/>
            <w:shd w:val="clear" w:color="auto" w:fill="auto"/>
            <w:vAlign w:val="center"/>
          </w:tcPr>
          <w:p w14:paraId="28B4BED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涉案财物总体情况</w:t>
            </w:r>
          </w:p>
        </w:tc>
        <w:tc>
          <w:tcPr>
            <w:tcW w:w="1320" w:type="dxa"/>
            <w:vMerge w:val="restart"/>
            <w:shd w:val="clear" w:color="000000" w:fill="FFFFFF"/>
            <w:vAlign w:val="center"/>
          </w:tcPr>
          <w:p w14:paraId="390A20A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总体情况</w:t>
            </w:r>
          </w:p>
        </w:tc>
        <w:tc>
          <w:tcPr>
            <w:tcW w:w="5381" w:type="dxa"/>
            <w:shd w:val="clear" w:color="000000" w:fill="FFFFFF"/>
            <w:vAlign w:val="center"/>
          </w:tcPr>
          <w:p w14:paraId="5492E19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总体情况需提供给市级政法委和区级政法委两级用户使用，具备不同的数据权限：</w:t>
            </w:r>
          </w:p>
        </w:tc>
      </w:tr>
      <w:tr w:rsidR="00B02C6E" w14:paraId="24C25CFD" w14:textId="77777777" w:rsidTr="00453BF8">
        <w:tc>
          <w:tcPr>
            <w:tcW w:w="554" w:type="dxa"/>
            <w:vMerge/>
            <w:shd w:val="clear" w:color="auto" w:fill="auto"/>
            <w:vAlign w:val="center"/>
          </w:tcPr>
          <w:p w14:paraId="691F1AD8"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6955D012"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1C1C2931"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7F6510CB"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63422D56"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7CD2242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1．对全市（本区）涉案财物案件总数统计分析展示，下钻显示全市（本区）涉案财物案件台账。</w:t>
            </w:r>
          </w:p>
        </w:tc>
      </w:tr>
      <w:tr w:rsidR="00B02C6E" w14:paraId="01EC9E5F" w14:textId="77777777" w:rsidTr="00453BF8">
        <w:tc>
          <w:tcPr>
            <w:tcW w:w="554" w:type="dxa"/>
            <w:vMerge/>
            <w:shd w:val="clear" w:color="auto" w:fill="auto"/>
            <w:vAlign w:val="center"/>
          </w:tcPr>
          <w:p w14:paraId="4F7627F5"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02E7B7E0"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0E85C600"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3D099544"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33B02314"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073E73C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2．对全市（本区）涉案财物总数统计分析展示，可下钻显示全市涉案</w:t>
            </w:r>
            <w:proofErr w:type="gramStart"/>
            <w:r>
              <w:rPr>
                <w:rFonts w:ascii="仿宋_GB2312" w:eastAsia="仿宋_GB2312" w:hAnsi="仿宋_GB2312" w:cs="仿宋_GB2312" w:hint="eastAsia"/>
                <w:sz w:val="24"/>
              </w:rPr>
              <w:t>财物台</w:t>
            </w:r>
            <w:proofErr w:type="gramEnd"/>
            <w:r>
              <w:rPr>
                <w:rFonts w:ascii="仿宋_GB2312" w:eastAsia="仿宋_GB2312" w:hAnsi="仿宋_GB2312" w:cs="仿宋_GB2312" w:hint="eastAsia"/>
                <w:sz w:val="24"/>
              </w:rPr>
              <w:t>账。</w:t>
            </w:r>
          </w:p>
        </w:tc>
      </w:tr>
      <w:tr w:rsidR="00B02C6E" w14:paraId="24B7DB59" w14:textId="77777777" w:rsidTr="00453BF8">
        <w:tc>
          <w:tcPr>
            <w:tcW w:w="554" w:type="dxa"/>
            <w:vMerge/>
            <w:shd w:val="clear" w:color="auto" w:fill="auto"/>
            <w:vAlign w:val="center"/>
          </w:tcPr>
          <w:p w14:paraId="6D844666"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068DB77D"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05C4E758"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6DEBBF88"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081FB6D3"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43B57E3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3．对全市（本区）查封、扣押、冻结涉案财物进行统计展示。（可下钻）。</w:t>
            </w:r>
          </w:p>
        </w:tc>
      </w:tr>
      <w:tr w:rsidR="00B02C6E" w14:paraId="5500B6F3" w14:textId="77777777" w:rsidTr="00453BF8">
        <w:tc>
          <w:tcPr>
            <w:tcW w:w="554" w:type="dxa"/>
            <w:vMerge/>
            <w:shd w:val="clear" w:color="auto" w:fill="auto"/>
            <w:vAlign w:val="center"/>
          </w:tcPr>
          <w:p w14:paraId="3C66B73B"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4B901A5D"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72504A02"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0D3421F8"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2407E8A8"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5E754C6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4．涉案财物排名：对全市11区采取措施的涉案财物总量进行排名，可下钻展示某区涉案</w:t>
            </w:r>
            <w:proofErr w:type="gramStart"/>
            <w:r>
              <w:rPr>
                <w:rFonts w:ascii="仿宋_GB2312" w:eastAsia="仿宋_GB2312" w:hAnsi="仿宋_GB2312" w:cs="仿宋_GB2312" w:hint="eastAsia"/>
                <w:sz w:val="24"/>
              </w:rPr>
              <w:t>财物台</w:t>
            </w:r>
            <w:proofErr w:type="gramEnd"/>
            <w:r>
              <w:rPr>
                <w:rFonts w:ascii="仿宋_GB2312" w:eastAsia="仿宋_GB2312" w:hAnsi="仿宋_GB2312" w:cs="仿宋_GB2312" w:hint="eastAsia"/>
                <w:sz w:val="24"/>
              </w:rPr>
              <w:t>账列表，区级政法</w:t>
            </w:r>
            <w:proofErr w:type="gramStart"/>
            <w:r>
              <w:rPr>
                <w:rFonts w:ascii="仿宋_GB2312" w:eastAsia="仿宋_GB2312" w:hAnsi="仿宋_GB2312" w:cs="仿宋_GB2312" w:hint="eastAsia"/>
                <w:sz w:val="24"/>
              </w:rPr>
              <w:t>委用户</w:t>
            </w:r>
            <w:proofErr w:type="gramEnd"/>
            <w:r>
              <w:rPr>
                <w:rFonts w:ascii="仿宋_GB2312" w:eastAsia="仿宋_GB2312" w:hAnsi="仿宋_GB2312" w:cs="仿宋_GB2312" w:hint="eastAsia"/>
                <w:sz w:val="24"/>
              </w:rPr>
              <w:t>不用查看排名情况。</w:t>
            </w:r>
          </w:p>
        </w:tc>
      </w:tr>
      <w:tr w:rsidR="00B02C6E" w14:paraId="18EAE758" w14:textId="77777777" w:rsidTr="00453BF8">
        <w:tc>
          <w:tcPr>
            <w:tcW w:w="554" w:type="dxa"/>
            <w:vMerge/>
            <w:shd w:val="clear" w:color="auto" w:fill="auto"/>
            <w:vAlign w:val="center"/>
          </w:tcPr>
          <w:p w14:paraId="17777693"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5D0CA743"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4979A894"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5B451D8A"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058B26EE"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46612C3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5．涉案财物分类：对全市（本区）采取措施的涉案财物进行分类统计展示。</w:t>
            </w:r>
          </w:p>
        </w:tc>
      </w:tr>
      <w:tr w:rsidR="00B02C6E" w14:paraId="661D7D8D" w14:textId="77777777" w:rsidTr="00453BF8">
        <w:tc>
          <w:tcPr>
            <w:tcW w:w="554" w:type="dxa"/>
            <w:vMerge/>
            <w:shd w:val="clear" w:color="auto" w:fill="auto"/>
            <w:vAlign w:val="center"/>
          </w:tcPr>
          <w:p w14:paraId="06B9E3E1"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2467D81A"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3EDA1B1D"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504EEDD1"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7F06534C"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30B68BC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6.对全市公检法机关</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的对涉案财物处理建议、意见和决定中的财物性质、处置方式和执行机关</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统计展示。</w:t>
            </w:r>
          </w:p>
        </w:tc>
      </w:tr>
      <w:tr w:rsidR="00B02C6E" w14:paraId="3345A680" w14:textId="77777777" w:rsidTr="00453BF8">
        <w:tc>
          <w:tcPr>
            <w:tcW w:w="554" w:type="dxa"/>
            <w:vMerge w:val="restart"/>
            <w:shd w:val="clear" w:color="auto" w:fill="auto"/>
            <w:vAlign w:val="center"/>
          </w:tcPr>
          <w:p w14:paraId="14667AC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6</w:t>
            </w:r>
          </w:p>
        </w:tc>
        <w:tc>
          <w:tcPr>
            <w:tcW w:w="381" w:type="dxa"/>
            <w:vMerge/>
            <w:shd w:val="clear" w:color="auto" w:fill="auto"/>
            <w:vAlign w:val="center"/>
          </w:tcPr>
          <w:p w14:paraId="3A80844D"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6F60424E"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5ADC9D59"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5C8D58A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涉案财物查扣</w:t>
            </w:r>
            <w:proofErr w:type="gramStart"/>
            <w:r>
              <w:rPr>
                <w:rFonts w:ascii="仿宋_GB2312" w:eastAsia="仿宋_GB2312" w:hAnsi="仿宋_GB2312" w:cs="仿宋_GB2312" w:hint="eastAsia"/>
                <w:sz w:val="24"/>
              </w:rPr>
              <w:t>冻情况</w:t>
            </w:r>
            <w:proofErr w:type="gramEnd"/>
          </w:p>
        </w:tc>
        <w:tc>
          <w:tcPr>
            <w:tcW w:w="5381" w:type="dxa"/>
            <w:shd w:val="clear" w:color="000000" w:fill="FFFFFF"/>
            <w:vAlign w:val="center"/>
          </w:tcPr>
          <w:p w14:paraId="358E685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1．对全市（本区）查扣冻的涉案物品总量、已入账涉案款项总额进行统计展示。</w:t>
            </w:r>
          </w:p>
        </w:tc>
      </w:tr>
      <w:tr w:rsidR="00B02C6E" w14:paraId="2F84D6D5" w14:textId="77777777" w:rsidTr="00453BF8">
        <w:tc>
          <w:tcPr>
            <w:tcW w:w="554" w:type="dxa"/>
            <w:vMerge/>
            <w:shd w:val="clear" w:color="auto" w:fill="auto"/>
            <w:vAlign w:val="center"/>
          </w:tcPr>
          <w:p w14:paraId="12114EA0"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3D020699"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11C3F772"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25F89E6B"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4DE225B8"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77CDDC2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2．对全市（本区）查扣冻的涉案财物（含物品、款项）按照法院、检察院、公安统计展示涉案财物总数及占比，点击具体单位可下钻显示该</w:t>
            </w:r>
            <w:proofErr w:type="gramStart"/>
            <w:r>
              <w:rPr>
                <w:rFonts w:ascii="仿宋_GB2312" w:eastAsia="仿宋_GB2312" w:hAnsi="仿宋_GB2312" w:cs="仿宋_GB2312" w:hint="eastAsia"/>
                <w:sz w:val="24"/>
              </w:rPr>
              <w:t>单位案财物台</w:t>
            </w:r>
            <w:proofErr w:type="gramEnd"/>
            <w:r>
              <w:rPr>
                <w:rFonts w:ascii="仿宋_GB2312" w:eastAsia="仿宋_GB2312" w:hAnsi="仿宋_GB2312" w:cs="仿宋_GB2312" w:hint="eastAsia"/>
                <w:sz w:val="24"/>
              </w:rPr>
              <w:t>账。</w:t>
            </w:r>
          </w:p>
        </w:tc>
      </w:tr>
      <w:tr w:rsidR="00B02C6E" w14:paraId="4B5043B5" w14:textId="77777777" w:rsidTr="00453BF8">
        <w:tc>
          <w:tcPr>
            <w:tcW w:w="554" w:type="dxa"/>
            <w:vMerge w:val="restart"/>
            <w:shd w:val="clear" w:color="auto" w:fill="auto"/>
            <w:vAlign w:val="center"/>
          </w:tcPr>
          <w:p w14:paraId="1632889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7</w:t>
            </w:r>
          </w:p>
        </w:tc>
        <w:tc>
          <w:tcPr>
            <w:tcW w:w="381" w:type="dxa"/>
            <w:vMerge/>
            <w:shd w:val="clear" w:color="auto" w:fill="auto"/>
            <w:vAlign w:val="center"/>
          </w:tcPr>
          <w:p w14:paraId="2BAFC3B5"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10F3B3F9"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704C1A4A"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329989F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公安端涉案财物信息随案移送情况</w:t>
            </w:r>
          </w:p>
        </w:tc>
        <w:tc>
          <w:tcPr>
            <w:tcW w:w="5381" w:type="dxa"/>
            <w:shd w:val="clear" w:color="000000" w:fill="FFFFFF"/>
            <w:vAlign w:val="center"/>
          </w:tcPr>
          <w:p w14:paraId="474F613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1．统计全市（本区）已随案移送涉案财物总数，即公安在向检察院移送审查起诉时未随案移送检察院的涉案财物。</w:t>
            </w:r>
          </w:p>
        </w:tc>
      </w:tr>
      <w:tr w:rsidR="00B02C6E" w14:paraId="6D97CFEB" w14:textId="77777777" w:rsidTr="00453BF8">
        <w:tc>
          <w:tcPr>
            <w:tcW w:w="554" w:type="dxa"/>
            <w:vMerge/>
            <w:shd w:val="clear" w:color="auto" w:fill="auto"/>
            <w:vAlign w:val="center"/>
          </w:tcPr>
          <w:p w14:paraId="6142455A"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466B7C4A"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248C009F"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2A009028"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72A71170"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0E54FDC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2．可下钻显示全市（本区）已随案流转涉案</w:t>
            </w:r>
            <w:proofErr w:type="gramStart"/>
            <w:r>
              <w:rPr>
                <w:rFonts w:ascii="仿宋_GB2312" w:eastAsia="仿宋_GB2312" w:hAnsi="仿宋_GB2312" w:cs="仿宋_GB2312" w:hint="eastAsia"/>
                <w:sz w:val="24"/>
              </w:rPr>
              <w:t>财物台</w:t>
            </w:r>
            <w:proofErr w:type="gramEnd"/>
            <w:r>
              <w:rPr>
                <w:rFonts w:ascii="仿宋_GB2312" w:eastAsia="仿宋_GB2312" w:hAnsi="仿宋_GB2312" w:cs="仿宋_GB2312" w:hint="eastAsia"/>
                <w:sz w:val="24"/>
              </w:rPr>
              <w:t>账列表。</w:t>
            </w:r>
          </w:p>
        </w:tc>
      </w:tr>
      <w:tr w:rsidR="00B02C6E" w14:paraId="4EBD66C5" w14:textId="77777777" w:rsidTr="00453BF8">
        <w:tc>
          <w:tcPr>
            <w:tcW w:w="554" w:type="dxa"/>
            <w:vMerge w:val="restart"/>
            <w:shd w:val="clear" w:color="auto" w:fill="auto"/>
            <w:vAlign w:val="center"/>
          </w:tcPr>
          <w:p w14:paraId="74105F6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8</w:t>
            </w:r>
          </w:p>
        </w:tc>
        <w:tc>
          <w:tcPr>
            <w:tcW w:w="381" w:type="dxa"/>
            <w:vMerge/>
            <w:shd w:val="clear" w:color="auto" w:fill="auto"/>
            <w:vAlign w:val="center"/>
          </w:tcPr>
          <w:p w14:paraId="33290E7F"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491DDF66"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1A102DEA"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79BE260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检察院端涉案财物信息随案移送的案件情况</w:t>
            </w:r>
          </w:p>
        </w:tc>
        <w:tc>
          <w:tcPr>
            <w:tcW w:w="5381" w:type="dxa"/>
            <w:shd w:val="clear" w:color="000000" w:fill="FFFFFF"/>
            <w:vAlign w:val="center"/>
          </w:tcPr>
          <w:p w14:paraId="0EC5A0F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检察院作为检察机关，需对案件、涉案财物进行审查，因此存在检察院公诉时将涉案财物信息随案移送法院或检察院</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不起诉决定时随案对涉案财物</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处置意见或检察院将涉案财物退回公安的情况，前述三种情况均为检察院端涉案财物信息随案移送。</w:t>
            </w:r>
          </w:p>
        </w:tc>
      </w:tr>
      <w:tr w:rsidR="00B02C6E" w14:paraId="64F2B22E" w14:textId="77777777" w:rsidTr="00453BF8">
        <w:tc>
          <w:tcPr>
            <w:tcW w:w="554" w:type="dxa"/>
            <w:vMerge/>
            <w:shd w:val="clear" w:color="auto" w:fill="auto"/>
            <w:vAlign w:val="center"/>
          </w:tcPr>
          <w:p w14:paraId="531C6623"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03872D00"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73D61C22"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78023AF6"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089CDDE4"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04F9245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1．统计全市（本区）随案移送全量涉案财物信息的案件的总数及占比，即案件下所有涉案财物要么随案移送法院、要么随案</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处置意见、要么退回公安；</w:t>
            </w:r>
          </w:p>
        </w:tc>
      </w:tr>
      <w:tr w:rsidR="00B02C6E" w14:paraId="15806492" w14:textId="77777777" w:rsidTr="00453BF8">
        <w:tc>
          <w:tcPr>
            <w:tcW w:w="554" w:type="dxa"/>
            <w:vMerge/>
            <w:shd w:val="clear" w:color="auto" w:fill="auto"/>
            <w:vAlign w:val="center"/>
          </w:tcPr>
          <w:p w14:paraId="4DAA737D"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1F1D6804"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462C209E"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25EC2BF6"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705F38AF"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100E73E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2．统计全市（本区）随案移送部分涉案财物的案件总数及占比，即案件下可能部分涉案财物信息随案移送法院、随案</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处置意见、退回公安，部分涉案财物既未随案移送法院、又未</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处置意见、又未退回公安；</w:t>
            </w:r>
          </w:p>
        </w:tc>
      </w:tr>
      <w:tr w:rsidR="00B02C6E" w14:paraId="273A08C4" w14:textId="77777777" w:rsidTr="00453BF8">
        <w:tc>
          <w:tcPr>
            <w:tcW w:w="554" w:type="dxa"/>
            <w:vMerge/>
            <w:shd w:val="clear" w:color="auto" w:fill="auto"/>
            <w:vAlign w:val="center"/>
          </w:tcPr>
          <w:p w14:paraId="799EE2BE"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5F6D8B95"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0890B703"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32C9A670"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7D02E0F0"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727C579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3．统计全市（本区）未随案移送涉案财物的案件的总数及占比，即案件下所有财物都未财物随案移送法院、都未随案</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处置意见、都未退回公安。</w:t>
            </w:r>
          </w:p>
        </w:tc>
      </w:tr>
      <w:tr w:rsidR="00B02C6E" w14:paraId="3D4A9473" w14:textId="77777777" w:rsidTr="00453BF8">
        <w:tc>
          <w:tcPr>
            <w:tcW w:w="554" w:type="dxa"/>
            <w:vMerge/>
            <w:shd w:val="clear" w:color="auto" w:fill="auto"/>
            <w:vAlign w:val="center"/>
          </w:tcPr>
          <w:p w14:paraId="786EFBE0"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54C1B4D0"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264273E5"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5E64D3FC"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5D254270"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79729EF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4．可下钻显示全市（本区）随案移送全量财物案件、随案移送部分财物案件、未随案移送财物案件的案件台账列表。</w:t>
            </w:r>
          </w:p>
        </w:tc>
      </w:tr>
      <w:tr w:rsidR="00B02C6E" w14:paraId="73730B6A" w14:textId="77777777" w:rsidTr="00453BF8">
        <w:tc>
          <w:tcPr>
            <w:tcW w:w="554" w:type="dxa"/>
            <w:vMerge w:val="restart"/>
            <w:shd w:val="clear" w:color="auto" w:fill="auto"/>
            <w:vAlign w:val="center"/>
          </w:tcPr>
          <w:p w14:paraId="712DC45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9</w:t>
            </w:r>
          </w:p>
        </w:tc>
        <w:tc>
          <w:tcPr>
            <w:tcW w:w="381" w:type="dxa"/>
            <w:vMerge/>
            <w:shd w:val="clear" w:color="auto" w:fill="auto"/>
            <w:vAlign w:val="center"/>
          </w:tcPr>
          <w:p w14:paraId="03D1F8CE"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29429722"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7AACB1D7"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4E2F71A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检察院端涉案财物信息随案移送情况</w:t>
            </w:r>
          </w:p>
        </w:tc>
        <w:tc>
          <w:tcPr>
            <w:tcW w:w="5381" w:type="dxa"/>
            <w:shd w:val="clear" w:color="000000" w:fill="FFFFFF"/>
            <w:vAlign w:val="center"/>
          </w:tcPr>
          <w:p w14:paraId="0D28DB5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1．统计全市（本区）随案移送法院涉案财物总数及占比，即检察院在向法院提起公诉时随案移送法院的涉案财物。</w:t>
            </w:r>
          </w:p>
        </w:tc>
      </w:tr>
      <w:tr w:rsidR="00B02C6E" w14:paraId="0CEE3866" w14:textId="77777777" w:rsidTr="00453BF8">
        <w:tc>
          <w:tcPr>
            <w:tcW w:w="554" w:type="dxa"/>
            <w:vMerge/>
            <w:shd w:val="clear" w:color="auto" w:fill="auto"/>
            <w:vAlign w:val="center"/>
          </w:tcPr>
          <w:p w14:paraId="1F89E2E9"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07D2D2CC"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3DEDA0E5"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6042414A"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68CF9463"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7E7C985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2．统计全市（本区）随案退回公安涉案财物总数及占比，即检察院向公安退回的涉案财物。</w:t>
            </w:r>
          </w:p>
        </w:tc>
      </w:tr>
      <w:tr w:rsidR="00B02C6E" w14:paraId="1B2F46D5" w14:textId="77777777" w:rsidTr="00453BF8">
        <w:tc>
          <w:tcPr>
            <w:tcW w:w="554" w:type="dxa"/>
            <w:vMerge/>
            <w:shd w:val="clear" w:color="auto" w:fill="auto"/>
            <w:vAlign w:val="center"/>
          </w:tcPr>
          <w:p w14:paraId="29F66A69"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6D5D1150"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266E1BBB"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692A9D89"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22EA9159"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1BD6D17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3．统计全市（本区）随案</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处置意见涉案财物总数及占比，即检察院向公安反馈处置。</w:t>
            </w:r>
          </w:p>
        </w:tc>
      </w:tr>
      <w:tr w:rsidR="00B02C6E" w14:paraId="1A78F4A3" w14:textId="77777777" w:rsidTr="00453BF8">
        <w:tc>
          <w:tcPr>
            <w:tcW w:w="554" w:type="dxa"/>
            <w:vMerge/>
            <w:shd w:val="clear" w:color="auto" w:fill="auto"/>
            <w:vAlign w:val="center"/>
          </w:tcPr>
          <w:p w14:paraId="7FBD2979"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16ED0DD5"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1F38560F"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4F4A4155"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6EB94972"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5543860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4．统计全市（本区）未随案移送涉案财物总数及占比，即提起公诉时随案移送法院涉案财物、又未退回公安、又未随案</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涉案财物处置意见。</w:t>
            </w:r>
          </w:p>
        </w:tc>
      </w:tr>
      <w:tr w:rsidR="00B02C6E" w14:paraId="4F277777" w14:textId="77777777" w:rsidTr="00453BF8">
        <w:tc>
          <w:tcPr>
            <w:tcW w:w="554" w:type="dxa"/>
            <w:vMerge/>
            <w:shd w:val="clear" w:color="auto" w:fill="auto"/>
            <w:vAlign w:val="center"/>
          </w:tcPr>
          <w:p w14:paraId="2D4DD8FF"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1E8A88ED"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43B3C137"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62084201"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71D91732"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305BDC8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5．可下钻显示全市（本区）随案移送法院涉案财物总数、随案退回公安涉案财物、随案</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处置意见涉案财物、未随案移送涉案</w:t>
            </w:r>
            <w:proofErr w:type="gramStart"/>
            <w:r>
              <w:rPr>
                <w:rFonts w:ascii="仿宋_GB2312" w:eastAsia="仿宋_GB2312" w:hAnsi="仿宋_GB2312" w:cs="仿宋_GB2312" w:hint="eastAsia"/>
                <w:sz w:val="24"/>
              </w:rPr>
              <w:t>财物台</w:t>
            </w:r>
            <w:proofErr w:type="gramEnd"/>
            <w:r>
              <w:rPr>
                <w:rFonts w:ascii="仿宋_GB2312" w:eastAsia="仿宋_GB2312" w:hAnsi="仿宋_GB2312" w:cs="仿宋_GB2312" w:hint="eastAsia"/>
                <w:sz w:val="24"/>
              </w:rPr>
              <w:t>账列表。</w:t>
            </w:r>
          </w:p>
        </w:tc>
      </w:tr>
      <w:tr w:rsidR="00B02C6E" w14:paraId="153128FA" w14:textId="77777777" w:rsidTr="00453BF8">
        <w:tc>
          <w:tcPr>
            <w:tcW w:w="554" w:type="dxa"/>
            <w:vMerge w:val="restart"/>
            <w:shd w:val="clear" w:color="auto" w:fill="auto"/>
            <w:vAlign w:val="center"/>
          </w:tcPr>
          <w:p w14:paraId="381EDCF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10</w:t>
            </w:r>
          </w:p>
        </w:tc>
        <w:tc>
          <w:tcPr>
            <w:tcW w:w="381" w:type="dxa"/>
            <w:vMerge/>
            <w:shd w:val="clear" w:color="auto" w:fill="auto"/>
            <w:vAlign w:val="center"/>
          </w:tcPr>
          <w:p w14:paraId="130F7CD9"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54353C24"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19510A78"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550B6BD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法院端涉案财物信息随案移送的案件情况</w:t>
            </w:r>
          </w:p>
        </w:tc>
        <w:tc>
          <w:tcPr>
            <w:tcW w:w="5381" w:type="dxa"/>
            <w:shd w:val="clear" w:color="000000" w:fill="FFFFFF"/>
            <w:vAlign w:val="center"/>
          </w:tcPr>
          <w:p w14:paraId="3234230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法院作为审判机关，受案前需对案件、涉案财物进行审查，判决时需对案件、涉案财物进行判，因此存在法院将涉案财物退回检察院和法院判决时随案判决涉案财物处置方式，前述两种情况均为随案移送。</w:t>
            </w:r>
          </w:p>
        </w:tc>
      </w:tr>
      <w:tr w:rsidR="00B02C6E" w14:paraId="3991C030" w14:textId="77777777" w:rsidTr="00453BF8">
        <w:tc>
          <w:tcPr>
            <w:tcW w:w="554" w:type="dxa"/>
            <w:vMerge/>
            <w:shd w:val="clear" w:color="auto" w:fill="auto"/>
            <w:vAlign w:val="center"/>
          </w:tcPr>
          <w:p w14:paraId="19FDB958"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35BC1320"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0B368846"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46168A25"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69BE876E"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4D5E669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1．统计全市（本区）随案移送全量涉案财物信息的案件的总数及占比，即案件下所有涉案财物要么退回检察院、要么随案判决涉案财物处置方式；</w:t>
            </w:r>
          </w:p>
        </w:tc>
      </w:tr>
      <w:tr w:rsidR="00B02C6E" w14:paraId="7492058B" w14:textId="77777777" w:rsidTr="00453BF8">
        <w:tc>
          <w:tcPr>
            <w:tcW w:w="554" w:type="dxa"/>
            <w:vMerge/>
            <w:shd w:val="clear" w:color="auto" w:fill="auto"/>
            <w:vAlign w:val="center"/>
          </w:tcPr>
          <w:p w14:paraId="2786C06A"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77906737"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79D49878"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6BEA3E95"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146FD83C"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21C7444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2．统计全市（本区）随案移送部分涉案财物的案件总数及占比，即案件下可能部分涉案财物退回检察院或随案判决涉案财物处置方式，部分涉案财物既未退回检察院、又未随案判决涉案财物处置方式；</w:t>
            </w:r>
          </w:p>
        </w:tc>
      </w:tr>
      <w:tr w:rsidR="00B02C6E" w14:paraId="1583F351" w14:textId="77777777" w:rsidTr="00453BF8">
        <w:tc>
          <w:tcPr>
            <w:tcW w:w="554" w:type="dxa"/>
            <w:vMerge/>
            <w:shd w:val="clear" w:color="auto" w:fill="auto"/>
            <w:vAlign w:val="center"/>
          </w:tcPr>
          <w:p w14:paraId="20EB8B7A"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0752830B"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0379E78F"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76B51304"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1BA777E4"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02AF2DF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3．统计全市（本区）未随案移送涉案财物的案件的总数及占比，即案件下所有财物都未退回检察院、或都未随案判决涉案财物处置方式。</w:t>
            </w:r>
          </w:p>
        </w:tc>
      </w:tr>
      <w:tr w:rsidR="00B02C6E" w14:paraId="24EFA935" w14:textId="77777777" w:rsidTr="00453BF8">
        <w:tc>
          <w:tcPr>
            <w:tcW w:w="554" w:type="dxa"/>
            <w:vMerge/>
            <w:shd w:val="clear" w:color="auto" w:fill="auto"/>
            <w:vAlign w:val="center"/>
          </w:tcPr>
          <w:p w14:paraId="021A2AF2"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40EE3917"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0E110386"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3DC0DFD5"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2B57B20A"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5E56044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4．可下钻显示全市（本区）随案移送全量财物案件、随案移送部分财物案件、未随案移送财物案件的案件台账列表。</w:t>
            </w:r>
          </w:p>
        </w:tc>
      </w:tr>
      <w:tr w:rsidR="00B02C6E" w14:paraId="3D1FEB4C" w14:textId="77777777" w:rsidTr="00453BF8">
        <w:tc>
          <w:tcPr>
            <w:tcW w:w="554" w:type="dxa"/>
            <w:vMerge w:val="restart"/>
            <w:shd w:val="clear" w:color="auto" w:fill="auto"/>
            <w:vAlign w:val="center"/>
          </w:tcPr>
          <w:p w14:paraId="193B28A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11</w:t>
            </w:r>
          </w:p>
        </w:tc>
        <w:tc>
          <w:tcPr>
            <w:tcW w:w="381" w:type="dxa"/>
            <w:vMerge/>
            <w:shd w:val="clear" w:color="auto" w:fill="auto"/>
            <w:vAlign w:val="center"/>
          </w:tcPr>
          <w:p w14:paraId="0D944732"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0C7C148C"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0F2CE800"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48CCF0C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法院端涉案财物信息随案移送情况</w:t>
            </w:r>
          </w:p>
        </w:tc>
        <w:tc>
          <w:tcPr>
            <w:tcW w:w="5381" w:type="dxa"/>
            <w:shd w:val="clear" w:color="000000" w:fill="FFFFFF"/>
            <w:vAlign w:val="center"/>
          </w:tcPr>
          <w:p w14:paraId="793D3B7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1．统计全市（本区）随案判决处置方式涉案财物总数及占比，即法院随案移送涉案财物判决的处置方式。</w:t>
            </w:r>
          </w:p>
        </w:tc>
      </w:tr>
      <w:tr w:rsidR="00B02C6E" w14:paraId="74F227D9" w14:textId="77777777" w:rsidTr="00453BF8">
        <w:tc>
          <w:tcPr>
            <w:tcW w:w="554" w:type="dxa"/>
            <w:vMerge/>
            <w:shd w:val="clear" w:color="auto" w:fill="auto"/>
            <w:vAlign w:val="center"/>
          </w:tcPr>
          <w:p w14:paraId="0C92A824"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71492546"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1E27D11D"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788E018D"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7ADE6B04"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41BC6EC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2．统计全市（本区）随案退回检察院涉案财物总数及占比，即法院向检察院退回的涉案财物。</w:t>
            </w:r>
          </w:p>
        </w:tc>
      </w:tr>
      <w:tr w:rsidR="00B02C6E" w14:paraId="61BE1B80" w14:textId="77777777" w:rsidTr="00453BF8">
        <w:tc>
          <w:tcPr>
            <w:tcW w:w="554" w:type="dxa"/>
            <w:vMerge/>
            <w:shd w:val="clear" w:color="auto" w:fill="auto"/>
            <w:vAlign w:val="center"/>
          </w:tcPr>
          <w:p w14:paraId="08EF9716"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6A83E628"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61216B17"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5A163409"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20D71F94"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77E3303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3．统计全市（本区）未随案移送涉案财物总数及占比，即法院既未随案移送涉案财物判决的处置方式，又未退回检察院。</w:t>
            </w:r>
          </w:p>
        </w:tc>
      </w:tr>
      <w:tr w:rsidR="00B02C6E" w14:paraId="498C4F95" w14:textId="77777777" w:rsidTr="00453BF8">
        <w:tc>
          <w:tcPr>
            <w:tcW w:w="554" w:type="dxa"/>
            <w:vMerge/>
            <w:shd w:val="clear" w:color="auto" w:fill="auto"/>
            <w:vAlign w:val="center"/>
          </w:tcPr>
          <w:p w14:paraId="5531F635"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78BF40FE"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5C2D4622"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4FE87BEA"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24E699A0"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3DA04BE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可下钻显示全市（本区）随案判决处置方式涉案财物总数、随案退回检察院涉案财物、未随案移送涉案</w:t>
            </w:r>
            <w:proofErr w:type="gramStart"/>
            <w:r>
              <w:rPr>
                <w:rFonts w:ascii="仿宋_GB2312" w:eastAsia="仿宋_GB2312" w:hAnsi="仿宋_GB2312" w:cs="仿宋_GB2312" w:hint="eastAsia"/>
                <w:sz w:val="24"/>
              </w:rPr>
              <w:t>财物台</w:t>
            </w:r>
            <w:proofErr w:type="gramEnd"/>
            <w:r>
              <w:rPr>
                <w:rFonts w:ascii="仿宋_GB2312" w:eastAsia="仿宋_GB2312" w:hAnsi="仿宋_GB2312" w:cs="仿宋_GB2312" w:hint="eastAsia"/>
                <w:sz w:val="24"/>
              </w:rPr>
              <w:t>账列表。</w:t>
            </w:r>
          </w:p>
        </w:tc>
      </w:tr>
      <w:tr w:rsidR="00B02C6E" w14:paraId="05DC366A" w14:textId="77777777" w:rsidTr="00453BF8">
        <w:tc>
          <w:tcPr>
            <w:tcW w:w="554" w:type="dxa"/>
            <w:vMerge w:val="restart"/>
            <w:shd w:val="clear" w:color="auto" w:fill="auto"/>
            <w:vAlign w:val="center"/>
          </w:tcPr>
          <w:p w14:paraId="26D5D43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12</w:t>
            </w:r>
          </w:p>
        </w:tc>
        <w:tc>
          <w:tcPr>
            <w:tcW w:w="381" w:type="dxa"/>
            <w:vMerge/>
            <w:shd w:val="clear" w:color="auto" w:fill="auto"/>
            <w:vAlign w:val="center"/>
          </w:tcPr>
          <w:p w14:paraId="743BB1C0"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311EF62E"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0BD71E0D"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56A89C4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政法委维度涉案财物处置情况</w:t>
            </w:r>
          </w:p>
        </w:tc>
        <w:tc>
          <w:tcPr>
            <w:tcW w:w="5381" w:type="dxa"/>
            <w:shd w:val="clear" w:color="000000" w:fill="FFFFFF"/>
            <w:vAlign w:val="center"/>
          </w:tcPr>
          <w:p w14:paraId="1D81566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1．统计全市（本区）已处置涉案物品情况，并按照法检</w:t>
            </w:r>
            <w:proofErr w:type="gramStart"/>
            <w:r>
              <w:rPr>
                <w:rFonts w:ascii="仿宋_GB2312" w:eastAsia="仿宋_GB2312" w:hAnsi="仿宋_GB2312" w:cs="仿宋_GB2312" w:hint="eastAsia"/>
                <w:sz w:val="24"/>
              </w:rPr>
              <w:t>公统计</w:t>
            </w:r>
            <w:proofErr w:type="gramEnd"/>
            <w:r>
              <w:rPr>
                <w:rFonts w:ascii="仿宋_GB2312" w:eastAsia="仿宋_GB2312" w:hAnsi="仿宋_GB2312" w:cs="仿宋_GB2312" w:hint="eastAsia"/>
                <w:sz w:val="24"/>
              </w:rPr>
              <w:t>展示；</w:t>
            </w:r>
          </w:p>
        </w:tc>
      </w:tr>
      <w:tr w:rsidR="00B02C6E" w14:paraId="43F75A66" w14:textId="77777777" w:rsidTr="00453BF8">
        <w:tc>
          <w:tcPr>
            <w:tcW w:w="554" w:type="dxa"/>
            <w:vMerge/>
            <w:shd w:val="clear" w:color="auto" w:fill="auto"/>
            <w:vAlign w:val="center"/>
          </w:tcPr>
          <w:p w14:paraId="6C202C30"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294C29AC"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69E76540"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6D244A2C"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243E78D7"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0BAE978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2．统计全市（本区）已处置涉案款项情况，并按照法检</w:t>
            </w:r>
            <w:proofErr w:type="gramStart"/>
            <w:r>
              <w:rPr>
                <w:rFonts w:ascii="仿宋_GB2312" w:eastAsia="仿宋_GB2312" w:hAnsi="仿宋_GB2312" w:cs="仿宋_GB2312" w:hint="eastAsia"/>
                <w:sz w:val="24"/>
              </w:rPr>
              <w:t>公统计</w:t>
            </w:r>
            <w:proofErr w:type="gramEnd"/>
            <w:r>
              <w:rPr>
                <w:rFonts w:ascii="仿宋_GB2312" w:eastAsia="仿宋_GB2312" w:hAnsi="仿宋_GB2312" w:cs="仿宋_GB2312" w:hint="eastAsia"/>
                <w:sz w:val="24"/>
              </w:rPr>
              <w:t>展示；</w:t>
            </w:r>
          </w:p>
        </w:tc>
      </w:tr>
      <w:tr w:rsidR="00B02C6E" w14:paraId="02EF9B7F" w14:textId="77777777" w:rsidTr="00453BF8">
        <w:tc>
          <w:tcPr>
            <w:tcW w:w="554" w:type="dxa"/>
            <w:vMerge/>
            <w:shd w:val="clear" w:color="auto" w:fill="auto"/>
            <w:vAlign w:val="center"/>
          </w:tcPr>
          <w:p w14:paraId="0353E4C8"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447C8B72"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78FE767F"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5514CE10"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1A321342"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0E197D7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3．选择具体单位下钻显示已处置涉案财物（包括物品和款项）台账。</w:t>
            </w:r>
          </w:p>
        </w:tc>
      </w:tr>
      <w:tr w:rsidR="00B02C6E" w14:paraId="0743C64B" w14:textId="77777777" w:rsidTr="00453BF8">
        <w:tc>
          <w:tcPr>
            <w:tcW w:w="554" w:type="dxa"/>
            <w:vMerge w:val="restart"/>
            <w:shd w:val="clear" w:color="auto" w:fill="auto"/>
            <w:vAlign w:val="center"/>
          </w:tcPr>
          <w:p w14:paraId="3D2D196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13</w:t>
            </w:r>
          </w:p>
        </w:tc>
        <w:tc>
          <w:tcPr>
            <w:tcW w:w="381" w:type="dxa"/>
            <w:vMerge/>
            <w:shd w:val="clear" w:color="auto" w:fill="auto"/>
            <w:vAlign w:val="center"/>
          </w:tcPr>
          <w:p w14:paraId="0633413C"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775A5E9B"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60EC48E8"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63B5DBF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地区维度涉案财物处置情况</w:t>
            </w:r>
          </w:p>
        </w:tc>
        <w:tc>
          <w:tcPr>
            <w:tcW w:w="5381" w:type="dxa"/>
            <w:shd w:val="clear" w:color="000000" w:fill="FFFFFF"/>
            <w:vAlign w:val="center"/>
          </w:tcPr>
          <w:p w14:paraId="52C5BF2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1．统计全市11区涉案物品处置情况，仅市级</w:t>
            </w:r>
            <w:proofErr w:type="gramStart"/>
            <w:r>
              <w:rPr>
                <w:rFonts w:ascii="仿宋_GB2312" w:eastAsia="仿宋_GB2312" w:hAnsi="仿宋_GB2312" w:cs="仿宋_GB2312" w:hint="eastAsia"/>
                <w:sz w:val="24"/>
              </w:rPr>
              <w:t>政法委可查看</w:t>
            </w:r>
            <w:proofErr w:type="gramEnd"/>
            <w:r>
              <w:rPr>
                <w:rFonts w:ascii="仿宋_GB2312" w:eastAsia="仿宋_GB2312" w:hAnsi="仿宋_GB2312" w:cs="仿宋_GB2312" w:hint="eastAsia"/>
                <w:sz w:val="24"/>
              </w:rPr>
              <w:t>；</w:t>
            </w:r>
          </w:p>
        </w:tc>
      </w:tr>
      <w:tr w:rsidR="00B02C6E" w14:paraId="3A65550A" w14:textId="77777777" w:rsidTr="00453BF8">
        <w:tc>
          <w:tcPr>
            <w:tcW w:w="554" w:type="dxa"/>
            <w:vMerge/>
            <w:shd w:val="clear" w:color="auto" w:fill="auto"/>
            <w:vAlign w:val="center"/>
          </w:tcPr>
          <w:p w14:paraId="4E1ACD6A"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75472EC0"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46D97462"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1F52BE87"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4463FC3D"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4AD076A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2．统计全市11区涉案款项处置情况，仅市级</w:t>
            </w:r>
            <w:proofErr w:type="gramStart"/>
            <w:r>
              <w:rPr>
                <w:rFonts w:ascii="仿宋_GB2312" w:eastAsia="仿宋_GB2312" w:hAnsi="仿宋_GB2312" w:cs="仿宋_GB2312" w:hint="eastAsia"/>
                <w:sz w:val="24"/>
              </w:rPr>
              <w:t>政法委可查看</w:t>
            </w:r>
            <w:proofErr w:type="gramEnd"/>
            <w:r>
              <w:rPr>
                <w:rFonts w:ascii="仿宋_GB2312" w:eastAsia="仿宋_GB2312" w:hAnsi="仿宋_GB2312" w:cs="仿宋_GB2312" w:hint="eastAsia"/>
                <w:sz w:val="24"/>
              </w:rPr>
              <w:t>；</w:t>
            </w:r>
          </w:p>
        </w:tc>
      </w:tr>
      <w:tr w:rsidR="00B02C6E" w14:paraId="5C01F695" w14:textId="77777777" w:rsidTr="00453BF8">
        <w:tc>
          <w:tcPr>
            <w:tcW w:w="554" w:type="dxa"/>
            <w:vMerge/>
            <w:shd w:val="clear" w:color="auto" w:fill="auto"/>
            <w:vAlign w:val="center"/>
          </w:tcPr>
          <w:p w14:paraId="5C7C2F15"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2327194A"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2E01EB80"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1AB44925"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1166DA66"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31D5393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3．选择具体区下钻显示该区涉案财物（物品和款项）台账。</w:t>
            </w:r>
          </w:p>
        </w:tc>
      </w:tr>
      <w:tr w:rsidR="00B02C6E" w14:paraId="6C24C573" w14:textId="77777777" w:rsidTr="00453BF8">
        <w:tc>
          <w:tcPr>
            <w:tcW w:w="554" w:type="dxa"/>
            <w:shd w:val="clear" w:color="auto" w:fill="auto"/>
            <w:vAlign w:val="center"/>
          </w:tcPr>
          <w:p w14:paraId="525DA40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14</w:t>
            </w:r>
          </w:p>
        </w:tc>
        <w:tc>
          <w:tcPr>
            <w:tcW w:w="381" w:type="dxa"/>
            <w:vMerge/>
            <w:shd w:val="clear" w:color="auto" w:fill="auto"/>
            <w:vAlign w:val="center"/>
          </w:tcPr>
          <w:p w14:paraId="6D6A3140"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1DF0517F" w14:textId="77777777" w:rsidR="00B02C6E" w:rsidRDefault="00B02C6E" w:rsidP="00453BF8">
            <w:pPr>
              <w:spacing w:line="560" w:lineRule="exact"/>
              <w:rPr>
                <w:rFonts w:ascii="仿宋_GB2312" w:eastAsia="仿宋_GB2312" w:hAnsi="仿宋_GB2312" w:cs="仿宋_GB2312"/>
              </w:rPr>
            </w:pPr>
          </w:p>
        </w:tc>
        <w:tc>
          <w:tcPr>
            <w:tcW w:w="763" w:type="dxa"/>
            <w:vMerge w:val="restart"/>
            <w:shd w:val="clear" w:color="000000" w:fill="FFFFFF"/>
            <w:vAlign w:val="center"/>
          </w:tcPr>
          <w:p w14:paraId="277348A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涉案财物案件</w:t>
            </w:r>
          </w:p>
        </w:tc>
        <w:tc>
          <w:tcPr>
            <w:tcW w:w="1320" w:type="dxa"/>
            <w:vAlign w:val="center"/>
          </w:tcPr>
          <w:p w14:paraId="0CB8295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总体情况</w:t>
            </w:r>
          </w:p>
        </w:tc>
        <w:tc>
          <w:tcPr>
            <w:tcW w:w="5381" w:type="dxa"/>
            <w:vAlign w:val="center"/>
          </w:tcPr>
          <w:p w14:paraId="1017625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统计展示该案件所属行政区划、最新协同阶段以及该案件下采取措施的涉案财物总数；</w:t>
            </w:r>
          </w:p>
        </w:tc>
      </w:tr>
      <w:tr w:rsidR="00B02C6E" w14:paraId="0B816BEB" w14:textId="77777777" w:rsidTr="00453BF8">
        <w:tc>
          <w:tcPr>
            <w:tcW w:w="554" w:type="dxa"/>
            <w:vAlign w:val="center"/>
          </w:tcPr>
          <w:p w14:paraId="59B7B3C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15</w:t>
            </w:r>
          </w:p>
        </w:tc>
        <w:tc>
          <w:tcPr>
            <w:tcW w:w="381" w:type="dxa"/>
            <w:vMerge/>
            <w:vAlign w:val="center"/>
          </w:tcPr>
          <w:p w14:paraId="7779B661"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1356B18F"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7FE67A69"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47F3089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处置情况</w:t>
            </w:r>
          </w:p>
        </w:tc>
        <w:tc>
          <w:tcPr>
            <w:tcW w:w="5381" w:type="dxa"/>
            <w:vAlign w:val="center"/>
          </w:tcPr>
          <w:p w14:paraId="519CE81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统计该案件下法院、检察院、公安分别应该处置的涉案财物总数和已经完成总数；</w:t>
            </w:r>
          </w:p>
        </w:tc>
      </w:tr>
      <w:tr w:rsidR="00B02C6E" w14:paraId="52BF49A8" w14:textId="77777777" w:rsidTr="00453BF8">
        <w:tc>
          <w:tcPr>
            <w:tcW w:w="554" w:type="dxa"/>
            <w:vAlign w:val="center"/>
          </w:tcPr>
          <w:p w14:paraId="7F15BF8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16</w:t>
            </w:r>
          </w:p>
        </w:tc>
        <w:tc>
          <w:tcPr>
            <w:tcW w:w="381" w:type="dxa"/>
            <w:vMerge/>
            <w:vAlign w:val="center"/>
          </w:tcPr>
          <w:p w14:paraId="0060AD5B"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17E72858"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1A0378DC"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12405D4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侦查阶段案件</w:t>
            </w:r>
          </w:p>
        </w:tc>
        <w:tc>
          <w:tcPr>
            <w:tcW w:w="5381" w:type="dxa"/>
            <w:vAlign w:val="center"/>
          </w:tcPr>
          <w:p w14:paraId="4A484D0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统计该案件下在侦查阶段的侦查单位、查扣冻的涉案财物总数；</w:t>
            </w:r>
          </w:p>
        </w:tc>
      </w:tr>
      <w:tr w:rsidR="00B02C6E" w14:paraId="144666E5" w14:textId="77777777" w:rsidTr="00453BF8">
        <w:tc>
          <w:tcPr>
            <w:tcW w:w="554" w:type="dxa"/>
            <w:vAlign w:val="center"/>
          </w:tcPr>
          <w:p w14:paraId="0F798EB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17</w:t>
            </w:r>
          </w:p>
        </w:tc>
        <w:tc>
          <w:tcPr>
            <w:tcW w:w="381" w:type="dxa"/>
            <w:vMerge/>
            <w:vAlign w:val="center"/>
          </w:tcPr>
          <w:p w14:paraId="4564F6C5"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4D5BB9CF"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52F416A9"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791630C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起诉阶段案件</w:t>
            </w:r>
          </w:p>
        </w:tc>
        <w:tc>
          <w:tcPr>
            <w:tcW w:w="5381" w:type="dxa"/>
            <w:vAlign w:val="center"/>
          </w:tcPr>
          <w:p w14:paraId="635A24E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统计显示该案件在起诉阶段的审查单位、在起诉阶段公安向检察院随案移交的涉案财物数、检察院随案接收的涉案财物数、检察院退回公安的涉案财物数、未随案移交的涉案财物数、随案</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处置意见的涉案财物数以及审结日期；</w:t>
            </w:r>
          </w:p>
        </w:tc>
      </w:tr>
      <w:tr w:rsidR="00B02C6E" w14:paraId="03A753CE" w14:textId="77777777" w:rsidTr="00453BF8">
        <w:tc>
          <w:tcPr>
            <w:tcW w:w="554" w:type="dxa"/>
            <w:vAlign w:val="center"/>
          </w:tcPr>
          <w:p w14:paraId="6BE622C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18</w:t>
            </w:r>
          </w:p>
        </w:tc>
        <w:tc>
          <w:tcPr>
            <w:tcW w:w="381" w:type="dxa"/>
            <w:vMerge/>
            <w:vAlign w:val="center"/>
          </w:tcPr>
          <w:p w14:paraId="76D0FFFC"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4AF962B4"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5C4C6C7B"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7AEA836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审判阶段案件</w:t>
            </w:r>
          </w:p>
        </w:tc>
        <w:tc>
          <w:tcPr>
            <w:tcW w:w="5381" w:type="dxa"/>
            <w:vAlign w:val="center"/>
          </w:tcPr>
          <w:p w14:paraId="11BFBC4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统计显示该案件在审判阶段的审判单位、公诉日期、法院在审判阶段检察院向法院随案移交的涉案财物数、法院随案接收的涉案财物数、法院退回检察院的涉案财物数、随案判决的涉案财物数、判决日期以及生效日期。</w:t>
            </w:r>
          </w:p>
        </w:tc>
      </w:tr>
      <w:tr w:rsidR="00B02C6E" w14:paraId="0EC14BE7" w14:textId="77777777" w:rsidTr="00453BF8">
        <w:tc>
          <w:tcPr>
            <w:tcW w:w="554" w:type="dxa"/>
            <w:vMerge w:val="restart"/>
            <w:shd w:val="clear" w:color="auto" w:fill="auto"/>
            <w:vAlign w:val="center"/>
          </w:tcPr>
          <w:p w14:paraId="4546AF0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19</w:t>
            </w:r>
          </w:p>
        </w:tc>
        <w:tc>
          <w:tcPr>
            <w:tcW w:w="381" w:type="dxa"/>
            <w:vMerge/>
            <w:shd w:val="clear" w:color="auto" w:fill="auto"/>
            <w:vAlign w:val="center"/>
          </w:tcPr>
          <w:p w14:paraId="43B63574"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402D71AA"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2A6E6E63"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698D877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风险案件标识</w:t>
            </w:r>
          </w:p>
        </w:tc>
        <w:tc>
          <w:tcPr>
            <w:tcW w:w="5381" w:type="dxa"/>
            <w:shd w:val="clear" w:color="000000" w:fill="FFFFFF"/>
            <w:vAlign w:val="center"/>
          </w:tcPr>
          <w:p w14:paraId="759275E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对涉案财物存在未随案移送超期、处置超期等风险的案件进行标识。</w:t>
            </w:r>
          </w:p>
        </w:tc>
      </w:tr>
      <w:tr w:rsidR="00B02C6E" w14:paraId="705A1DB8" w14:textId="77777777" w:rsidTr="00453BF8">
        <w:tc>
          <w:tcPr>
            <w:tcW w:w="554" w:type="dxa"/>
            <w:vMerge/>
            <w:shd w:val="clear" w:color="auto" w:fill="auto"/>
            <w:vAlign w:val="center"/>
          </w:tcPr>
          <w:p w14:paraId="28898681"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3EF9D56F"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117DE39C"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25919ACF"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5DECC772"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5FAC4ED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点击风险标识，可按照风险分类查看该案件下部分风险类型的涉案财物情况以及产生风险的责任单位。</w:t>
            </w:r>
          </w:p>
        </w:tc>
      </w:tr>
      <w:tr w:rsidR="00B02C6E" w14:paraId="35E619B5" w14:textId="77777777" w:rsidTr="00453BF8">
        <w:tc>
          <w:tcPr>
            <w:tcW w:w="554" w:type="dxa"/>
            <w:shd w:val="clear" w:color="auto" w:fill="auto"/>
            <w:vAlign w:val="center"/>
          </w:tcPr>
          <w:p w14:paraId="4C3306D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20</w:t>
            </w:r>
          </w:p>
        </w:tc>
        <w:tc>
          <w:tcPr>
            <w:tcW w:w="381" w:type="dxa"/>
            <w:vMerge/>
            <w:shd w:val="clear" w:color="auto" w:fill="auto"/>
            <w:vAlign w:val="center"/>
          </w:tcPr>
          <w:p w14:paraId="5C9A4EA1"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26C75F3D"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499D7E74" w14:textId="77777777" w:rsidR="00B02C6E" w:rsidRDefault="00B02C6E" w:rsidP="00453BF8">
            <w:pPr>
              <w:spacing w:line="560" w:lineRule="exact"/>
              <w:rPr>
                <w:rFonts w:ascii="仿宋_GB2312" w:eastAsia="仿宋_GB2312" w:hAnsi="仿宋_GB2312" w:cs="仿宋_GB2312"/>
              </w:rPr>
            </w:pPr>
          </w:p>
        </w:tc>
        <w:tc>
          <w:tcPr>
            <w:tcW w:w="1320" w:type="dxa"/>
            <w:shd w:val="clear" w:color="000000" w:fill="FFFFFF"/>
            <w:vAlign w:val="center"/>
          </w:tcPr>
          <w:p w14:paraId="3A08F31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案件下钻</w:t>
            </w:r>
          </w:p>
        </w:tc>
        <w:tc>
          <w:tcPr>
            <w:tcW w:w="5381" w:type="dxa"/>
            <w:shd w:val="clear" w:color="000000" w:fill="FFFFFF"/>
            <w:vAlign w:val="center"/>
          </w:tcPr>
          <w:p w14:paraId="0461C59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点击案件下的涉案财物总数时可下钻查看该案件下所有涉案财物情况，包括</w:t>
            </w:r>
            <w:proofErr w:type="gramStart"/>
            <w:r>
              <w:rPr>
                <w:rFonts w:ascii="仿宋_GB2312" w:eastAsia="仿宋_GB2312" w:hAnsi="仿宋_GB2312" w:cs="仿宋_GB2312" w:hint="eastAsia"/>
                <w:sz w:val="24"/>
              </w:rPr>
              <w:t>取措施</w:t>
            </w:r>
            <w:proofErr w:type="gramEnd"/>
            <w:r>
              <w:rPr>
                <w:rFonts w:ascii="仿宋_GB2312" w:eastAsia="仿宋_GB2312" w:hAnsi="仿宋_GB2312" w:cs="仿宋_GB2312" w:hint="eastAsia"/>
                <w:sz w:val="24"/>
              </w:rPr>
              <w:t>情况、财物状态、处置情况以及流转跟踪情况分内容。</w:t>
            </w:r>
          </w:p>
        </w:tc>
      </w:tr>
      <w:tr w:rsidR="00B02C6E" w14:paraId="74976FCE" w14:textId="77777777" w:rsidTr="00453BF8">
        <w:tc>
          <w:tcPr>
            <w:tcW w:w="554" w:type="dxa"/>
            <w:shd w:val="clear" w:color="auto" w:fill="auto"/>
            <w:vAlign w:val="center"/>
          </w:tcPr>
          <w:p w14:paraId="5775052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21</w:t>
            </w:r>
          </w:p>
        </w:tc>
        <w:tc>
          <w:tcPr>
            <w:tcW w:w="381" w:type="dxa"/>
            <w:vMerge/>
            <w:shd w:val="clear" w:color="auto" w:fill="auto"/>
            <w:vAlign w:val="center"/>
          </w:tcPr>
          <w:p w14:paraId="3F537F30"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01431C00"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0695CB06" w14:textId="77777777" w:rsidR="00B02C6E" w:rsidRDefault="00B02C6E" w:rsidP="00453BF8">
            <w:pPr>
              <w:spacing w:line="560" w:lineRule="exact"/>
              <w:rPr>
                <w:rFonts w:ascii="仿宋_GB2312" w:eastAsia="仿宋_GB2312" w:hAnsi="仿宋_GB2312" w:cs="仿宋_GB2312"/>
              </w:rPr>
            </w:pPr>
          </w:p>
        </w:tc>
        <w:tc>
          <w:tcPr>
            <w:tcW w:w="1320" w:type="dxa"/>
            <w:shd w:val="clear" w:color="000000" w:fill="FFFFFF"/>
            <w:vAlign w:val="center"/>
          </w:tcPr>
          <w:p w14:paraId="3B9A604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涉案财物案件台账查看权限</w:t>
            </w:r>
          </w:p>
        </w:tc>
        <w:tc>
          <w:tcPr>
            <w:tcW w:w="5381" w:type="dxa"/>
            <w:shd w:val="clear" w:color="000000" w:fill="FFFFFF"/>
            <w:vAlign w:val="center"/>
          </w:tcPr>
          <w:p w14:paraId="2C6D350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市级政法</w:t>
            </w:r>
            <w:proofErr w:type="gramStart"/>
            <w:r>
              <w:rPr>
                <w:rFonts w:ascii="仿宋_GB2312" w:eastAsia="仿宋_GB2312" w:hAnsi="仿宋_GB2312" w:cs="仿宋_GB2312" w:hint="eastAsia"/>
                <w:sz w:val="24"/>
              </w:rPr>
              <w:t>委用户</w:t>
            </w:r>
            <w:proofErr w:type="gramEnd"/>
            <w:r>
              <w:rPr>
                <w:rFonts w:ascii="仿宋_GB2312" w:eastAsia="仿宋_GB2312" w:hAnsi="仿宋_GB2312" w:cs="仿宋_GB2312" w:hint="eastAsia"/>
                <w:sz w:val="24"/>
              </w:rPr>
              <w:t>可对全市涉案财物案件台</w:t>
            </w:r>
            <w:proofErr w:type="gramStart"/>
            <w:r>
              <w:rPr>
                <w:rFonts w:ascii="仿宋_GB2312" w:eastAsia="仿宋_GB2312" w:hAnsi="仿宋_GB2312" w:cs="仿宋_GB2312" w:hint="eastAsia"/>
                <w:sz w:val="24"/>
              </w:rPr>
              <w:t>账进行</w:t>
            </w:r>
            <w:proofErr w:type="gramEnd"/>
            <w:r>
              <w:rPr>
                <w:rFonts w:ascii="仿宋_GB2312" w:eastAsia="仿宋_GB2312" w:hAnsi="仿宋_GB2312" w:cs="仿宋_GB2312" w:hint="eastAsia"/>
                <w:sz w:val="24"/>
              </w:rPr>
              <w:t>查看，区级政法</w:t>
            </w:r>
            <w:proofErr w:type="gramStart"/>
            <w:r>
              <w:rPr>
                <w:rFonts w:ascii="仿宋_GB2312" w:eastAsia="仿宋_GB2312" w:hAnsi="仿宋_GB2312" w:cs="仿宋_GB2312" w:hint="eastAsia"/>
                <w:sz w:val="24"/>
              </w:rPr>
              <w:t>委用户</w:t>
            </w:r>
            <w:proofErr w:type="gramEnd"/>
            <w:r>
              <w:rPr>
                <w:rFonts w:ascii="仿宋_GB2312" w:eastAsia="仿宋_GB2312" w:hAnsi="仿宋_GB2312" w:cs="仿宋_GB2312" w:hint="eastAsia"/>
                <w:sz w:val="24"/>
              </w:rPr>
              <w:t>可对本区涉案财物案件台</w:t>
            </w:r>
            <w:proofErr w:type="gramStart"/>
            <w:r>
              <w:rPr>
                <w:rFonts w:ascii="仿宋_GB2312" w:eastAsia="仿宋_GB2312" w:hAnsi="仿宋_GB2312" w:cs="仿宋_GB2312" w:hint="eastAsia"/>
                <w:sz w:val="24"/>
              </w:rPr>
              <w:t>账进行</w:t>
            </w:r>
            <w:proofErr w:type="gramEnd"/>
            <w:r>
              <w:rPr>
                <w:rFonts w:ascii="仿宋_GB2312" w:eastAsia="仿宋_GB2312" w:hAnsi="仿宋_GB2312" w:cs="仿宋_GB2312" w:hint="eastAsia"/>
                <w:sz w:val="24"/>
              </w:rPr>
              <w:t>查看。</w:t>
            </w:r>
          </w:p>
        </w:tc>
      </w:tr>
      <w:tr w:rsidR="00B02C6E" w14:paraId="48BB63FE" w14:textId="77777777" w:rsidTr="00453BF8">
        <w:tc>
          <w:tcPr>
            <w:tcW w:w="554" w:type="dxa"/>
            <w:vMerge w:val="restart"/>
            <w:shd w:val="clear" w:color="auto" w:fill="auto"/>
            <w:vAlign w:val="center"/>
          </w:tcPr>
          <w:p w14:paraId="70A9291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22</w:t>
            </w:r>
          </w:p>
        </w:tc>
        <w:tc>
          <w:tcPr>
            <w:tcW w:w="381" w:type="dxa"/>
            <w:vMerge/>
            <w:shd w:val="clear" w:color="auto" w:fill="auto"/>
            <w:vAlign w:val="center"/>
          </w:tcPr>
          <w:p w14:paraId="249B6AB2"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7958FFCF" w14:textId="77777777" w:rsidR="00B02C6E" w:rsidRDefault="00B02C6E" w:rsidP="00453BF8">
            <w:pPr>
              <w:spacing w:line="560" w:lineRule="exact"/>
              <w:rPr>
                <w:rFonts w:ascii="仿宋_GB2312" w:eastAsia="仿宋_GB2312" w:hAnsi="仿宋_GB2312" w:cs="仿宋_GB2312"/>
              </w:rPr>
            </w:pPr>
          </w:p>
        </w:tc>
        <w:tc>
          <w:tcPr>
            <w:tcW w:w="763" w:type="dxa"/>
            <w:vMerge w:val="restart"/>
            <w:shd w:val="clear" w:color="auto" w:fill="auto"/>
            <w:vAlign w:val="center"/>
          </w:tcPr>
          <w:p w14:paraId="665A9D8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涉案财物风险</w:t>
            </w:r>
            <w:r>
              <w:rPr>
                <w:rFonts w:ascii="仿宋_GB2312" w:eastAsia="仿宋_GB2312" w:hAnsi="仿宋_GB2312" w:cs="仿宋_GB2312" w:hint="eastAsia"/>
                <w:sz w:val="24"/>
              </w:rPr>
              <w:lastRenderedPageBreak/>
              <w:t>规则模型</w:t>
            </w:r>
          </w:p>
        </w:tc>
        <w:tc>
          <w:tcPr>
            <w:tcW w:w="1320" w:type="dxa"/>
            <w:vMerge w:val="restart"/>
            <w:shd w:val="clear" w:color="000000" w:fill="FFFFFF"/>
            <w:vAlign w:val="center"/>
          </w:tcPr>
          <w:p w14:paraId="3D5A7BF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查扣</w:t>
            </w:r>
            <w:proofErr w:type="gramStart"/>
            <w:r>
              <w:rPr>
                <w:rFonts w:ascii="仿宋_GB2312" w:eastAsia="仿宋_GB2312" w:hAnsi="仿宋_GB2312" w:cs="仿宋_GB2312" w:hint="eastAsia"/>
                <w:sz w:val="24"/>
              </w:rPr>
              <w:t>冻风险</w:t>
            </w:r>
            <w:proofErr w:type="gramEnd"/>
            <w:r>
              <w:rPr>
                <w:rFonts w:ascii="仿宋_GB2312" w:eastAsia="仿宋_GB2312" w:hAnsi="仿宋_GB2312" w:cs="仿宋_GB2312" w:hint="eastAsia"/>
                <w:sz w:val="24"/>
              </w:rPr>
              <w:t>规则</w:t>
            </w:r>
          </w:p>
        </w:tc>
        <w:tc>
          <w:tcPr>
            <w:tcW w:w="5381" w:type="dxa"/>
            <w:shd w:val="clear" w:color="000000" w:fill="FFFFFF"/>
            <w:vAlign w:val="center"/>
          </w:tcPr>
          <w:p w14:paraId="5353965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根据公安查扣冻涉案财物情况结合后续检察院、法院提供的处置意见进行组合分析，对疑似无需扣押但实际扣押的情况进行分析：</w:t>
            </w:r>
          </w:p>
        </w:tc>
      </w:tr>
      <w:tr w:rsidR="00B02C6E" w14:paraId="17765125" w14:textId="77777777" w:rsidTr="00453BF8">
        <w:tc>
          <w:tcPr>
            <w:tcW w:w="554" w:type="dxa"/>
            <w:vMerge/>
            <w:shd w:val="clear" w:color="auto" w:fill="auto"/>
            <w:vAlign w:val="center"/>
          </w:tcPr>
          <w:p w14:paraId="57F7DFB0"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5B4D49AA"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3F0FD9B9"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5E205550"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1975C65E"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5647B1A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1．无需扣押但实际采取扣押措施：采取措施后，移送检察院，检察院反馈处置意见为返还当事人，且超过案件涉案财物总量的20%以上的。</w:t>
            </w:r>
          </w:p>
        </w:tc>
      </w:tr>
      <w:tr w:rsidR="00B02C6E" w14:paraId="4DAC7039" w14:textId="77777777" w:rsidTr="00453BF8">
        <w:tc>
          <w:tcPr>
            <w:tcW w:w="554" w:type="dxa"/>
            <w:vMerge/>
            <w:shd w:val="clear" w:color="auto" w:fill="auto"/>
            <w:vAlign w:val="center"/>
          </w:tcPr>
          <w:p w14:paraId="3113C23F"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5E0FC181"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1D7F4ACE"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37658B9D"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4DA9EA83"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0A9693B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2．对财物性质不定，且最后法院裁决结果无法</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准确执行处置要求的财物进行查扣冻合理性分析。</w:t>
            </w:r>
          </w:p>
        </w:tc>
      </w:tr>
      <w:tr w:rsidR="00B02C6E" w14:paraId="4B763821" w14:textId="77777777" w:rsidTr="00453BF8">
        <w:tc>
          <w:tcPr>
            <w:tcW w:w="554" w:type="dxa"/>
            <w:vMerge w:val="restart"/>
            <w:shd w:val="clear" w:color="auto" w:fill="auto"/>
            <w:vAlign w:val="center"/>
          </w:tcPr>
          <w:p w14:paraId="6B5A17C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23</w:t>
            </w:r>
          </w:p>
        </w:tc>
        <w:tc>
          <w:tcPr>
            <w:tcW w:w="381" w:type="dxa"/>
            <w:vMerge/>
            <w:shd w:val="clear" w:color="auto" w:fill="auto"/>
            <w:vAlign w:val="center"/>
          </w:tcPr>
          <w:p w14:paraId="7A4EAAF8"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3701D42C"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5C355AFF"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05F0DFA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随案移送风险规则</w:t>
            </w:r>
          </w:p>
        </w:tc>
        <w:tc>
          <w:tcPr>
            <w:tcW w:w="5381" w:type="dxa"/>
            <w:shd w:val="clear" w:color="000000" w:fill="FFFFFF"/>
            <w:vAlign w:val="center"/>
          </w:tcPr>
          <w:p w14:paraId="04BFC1B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1．检察院已登记系统或已接收公安随案移送但既未公诉时随案移送法院，又未退回公安，又在向公安反馈是否起诉时随案反馈处置决定。</w:t>
            </w:r>
          </w:p>
        </w:tc>
      </w:tr>
      <w:tr w:rsidR="00B02C6E" w14:paraId="65E16F2E" w14:textId="77777777" w:rsidTr="00453BF8">
        <w:tc>
          <w:tcPr>
            <w:tcW w:w="554" w:type="dxa"/>
            <w:vMerge/>
            <w:shd w:val="clear" w:color="auto" w:fill="auto"/>
            <w:vAlign w:val="center"/>
          </w:tcPr>
          <w:p w14:paraId="115436DD"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66C96CD6"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5861428E"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2643223F"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78858A7F"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361F328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2．法院已登记系统或已接收检察院随案移送的但既未退回检察院，又未在结案时随案移送涉案财物处置方式。</w:t>
            </w:r>
          </w:p>
        </w:tc>
      </w:tr>
      <w:tr w:rsidR="00B02C6E" w14:paraId="642AA51A" w14:textId="77777777" w:rsidTr="00453BF8">
        <w:tc>
          <w:tcPr>
            <w:tcW w:w="554" w:type="dxa"/>
            <w:vMerge w:val="restart"/>
            <w:shd w:val="clear" w:color="auto" w:fill="auto"/>
            <w:vAlign w:val="center"/>
          </w:tcPr>
          <w:p w14:paraId="14731C4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24</w:t>
            </w:r>
          </w:p>
        </w:tc>
        <w:tc>
          <w:tcPr>
            <w:tcW w:w="381" w:type="dxa"/>
            <w:vMerge/>
            <w:shd w:val="clear" w:color="auto" w:fill="auto"/>
            <w:vAlign w:val="center"/>
          </w:tcPr>
          <w:p w14:paraId="1F102D67"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4AAA93F2"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0CFA885A"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024DAB9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处置决定风险</w:t>
            </w:r>
          </w:p>
        </w:tc>
        <w:tc>
          <w:tcPr>
            <w:tcW w:w="5381" w:type="dxa"/>
            <w:shd w:val="clear" w:color="000000" w:fill="FFFFFF"/>
            <w:vAlign w:val="center"/>
          </w:tcPr>
          <w:p w14:paraId="78BC202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1．检察院已登记系统或已确认接收公安随案移送涉案财物但</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撤销案件决定或不起诉决定时未随案反馈处置意见的涉案财物。</w:t>
            </w:r>
          </w:p>
        </w:tc>
      </w:tr>
      <w:tr w:rsidR="00B02C6E" w14:paraId="35500D04" w14:textId="77777777" w:rsidTr="00453BF8">
        <w:tc>
          <w:tcPr>
            <w:tcW w:w="554" w:type="dxa"/>
            <w:vMerge/>
            <w:shd w:val="clear" w:color="auto" w:fill="auto"/>
            <w:vAlign w:val="center"/>
          </w:tcPr>
          <w:p w14:paraId="530CD00E"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2D967B5C"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01073CD6"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0DB58B01"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08A24DC1"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558DA06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2．法院已登记系统或已确认接收检察院随案移送涉案财物但结案时未随案移送处置方式。</w:t>
            </w:r>
          </w:p>
        </w:tc>
      </w:tr>
      <w:tr w:rsidR="00B02C6E" w14:paraId="39CC516A" w14:textId="77777777" w:rsidTr="00453BF8">
        <w:tc>
          <w:tcPr>
            <w:tcW w:w="554" w:type="dxa"/>
            <w:vMerge w:val="restart"/>
            <w:shd w:val="clear" w:color="auto" w:fill="auto"/>
            <w:vAlign w:val="center"/>
          </w:tcPr>
          <w:p w14:paraId="5B10100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25</w:t>
            </w:r>
          </w:p>
        </w:tc>
        <w:tc>
          <w:tcPr>
            <w:tcW w:w="381" w:type="dxa"/>
            <w:vMerge/>
            <w:shd w:val="clear" w:color="auto" w:fill="auto"/>
            <w:vAlign w:val="center"/>
          </w:tcPr>
          <w:p w14:paraId="12445BAD"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637DC1FB"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6A87949F"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6E5D7AD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处置风险规则</w:t>
            </w:r>
          </w:p>
        </w:tc>
        <w:tc>
          <w:tcPr>
            <w:tcW w:w="5381" w:type="dxa"/>
            <w:shd w:val="clear" w:color="000000" w:fill="FFFFFF"/>
            <w:vAlign w:val="center"/>
          </w:tcPr>
          <w:p w14:paraId="133D82B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1．公安未随案移交且在规定期限未完成处置的涉案财物，处置期限从公安移送审查起诉之日起算或检察院统一公安撤诉之日起算。</w:t>
            </w:r>
          </w:p>
        </w:tc>
      </w:tr>
      <w:tr w:rsidR="00B02C6E" w14:paraId="789BFFA3" w14:textId="77777777" w:rsidTr="00453BF8">
        <w:tc>
          <w:tcPr>
            <w:tcW w:w="554" w:type="dxa"/>
            <w:vMerge/>
            <w:shd w:val="clear" w:color="auto" w:fill="auto"/>
            <w:vAlign w:val="center"/>
          </w:tcPr>
          <w:p w14:paraId="6E5C2C6B"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6120E7B3"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4665AE58"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45DE4A86"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7BDDC760"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06369FC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2．检察院随案</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处置意见且在1个月内未完成处置的涉案财物,处置期限从检察院</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撤销案件决定或不起诉决定之日起算。（《人民检察院刑事诉讼涉案财物管理规定》人民检察院</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撤销案件决</w:t>
            </w:r>
            <w:r>
              <w:rPr>
                <w:rFonts w:ascii="仿宋_GB2312" w:eastAsia="仿宋_GB2312" w:hAnsi="仿宋_GB2312" w:cs="仿宋_GB2312" w:hint="eastAsia"/>
                <w:sz w:val="24"/>
              </w:rPr>
              <w:lastRenderedPageBreak/>
              <w:t>定、不起诉决定或者收到人民法院</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的生效判决、裁定后，应当在三十日</w:t>
            </w:r>
            <w:proofErr w:type="gramStart"/>
            <w:r>
              <w:rPr>
                <w:rFonts w:ascii="仿宋_GB2312" w:eastAsia="仿宋_GB2312" w:hAnsi="仿宋_GB2312" w:cs="仿宋_GB2312" w:hint="eastAsia"/>
                <w:sz w:val="24"/>
              </w:rPr>
              <w:t>以内对</w:t>
            </w:r>
            <w:proofErr w:type="gramEnd"/>
            <w:r>
              <w:rPr>
                <w:rFonts w:ascii="仿宋_GB2312" w:eastAsia="仿宋_GB2312" w:hAnsi="仿宋_GB2312" w:cs="仿宋_GB2312" w:hint="eastAsia"/>
                <w:sz w:val="24"/>
              </w:rPr>
              <w:t>涉案财物</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处理。情况特殊的，经检察长批准，可以延长三十日。）</w:t>
            </w:r>
          </w:p>
        </w:tc>
      </w:tr>
      <w:tr w:rsidR="00B02C6E" w14:paraId="3C069B52" w14:textId="77777777" w:rsidTr="00453BF8">
        <w:tc>
          <w:tcPr>
            <w:tcW w:w="554" w:type="dxa"/>
            <w:vMerge/>
            <w:shd w:val="clear" w:color="auto" w:fill="auto"/>
            <w:vAlign w:val="center"/>
          </w:tcPr>
          <w:p w14:paraId="13AAFD77"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21CA6B6A"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6D878949"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03AAB62D"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471B8B2E"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06B72B5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法院已判决生效且未在6个月内完成处置的涉案财物，处置日期从法院判决生效之日起算。（《最高人民法院关于人民法院执行工作若干问题的规定（试行）》人民法院执行生效法律文书，一般应当在立案之日起六个月内执行结案，但中止执行的期间应当扣除。确有特殊情况需要延长的，由本院院长批准。）</w:t>
            </w:r>
          </w:p>
        </w:tc>
      </w:tr>
      <w:tr w:rsidR="00B02C6E" w14:paraId="1C0E513B" w14:textId="77777777" w:rsidTr="00453BF8">
        <w:tc>
          <w:tcPr>
            <w:tcW w:w="554" w:type="dxa"/>
            <w:vMerge w:val="restart"/>
            <w:shd w:val="clear" w:color="auto" w:fill="auto"/>
            <w:vAlign w:val="center"/>
          </w:tcPr>
          <w:p w14:paraId="6481762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26</w:t>
            </w:r>
          </w:p>
        </w:tc>
        <w:tc>
          <w:tcPr>
            <w:tcW w:w="381" w:type="dxa"/>
            <w:vMerge/>
            <w:shd w:val="clear" w:color="auto" w:fill="auto"/>
            <w:vAlign w:val="center"/>
          </w:tcPr>
          <w:p w14:paraId="559E7615"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3B24DB25" w14:textId="77777777" w:rsidR="00B02C6E" w:rsidRDefault="00B02C6E" w:rsidP="00453BF8">
            <w:pPr>
              <w:spacing w:line="560" w:lineRule="exact"/>
              <w:rPr>
                <w:rFonts w:ascii="仿宋_GB2312" w:eastAsia="仿宋_GB2312" w:hAnsi="仿宋_GB2312" w:cs="仿宋_GB2312"/>
              </w:rPr>
            </w:pPr>
          </w:p>
        </w:tc>
        <w:tc>
          <w:tcPr>
            <w:tcW w:w="763" w:type="dxa"/>
            <w:vMerge w:val="restart"/>
            <w:shd w:val="clear" w:color="auto" w:fill="auto"/>
            <w:vAlign w:val="center"/>
          </w:tcPr>
          <w:p w14:paraId="0FF7FA4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涉案财物风险预警模型展示</w:t>
            </w:r>
          </w:p>
        </w:tc>
        <w:tc>
          <w:tcPr>
            <w:tcW w:w="1320" w:type="dxa"/>
            <w:vMerge w:val="restart"/>
            <w:shd w:val="clear" w:color="000000" w:fill="FFFFFF"/>
            <w:vAlign w:val="center"/>
          </w:tcPr>
          <w:p w14:paraId="3749357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风险排名TOP5</w:t>
            </w:r>
          </w:p>
        </w:tc>
        <w:tc>
          <w:tcPr>
            <w:tcW w:w="5381" w:type="dxa"/>
            <w:shd w:val="clear" w:color="000000" w:fill="FFFFFF"/>
            <w:vAlign w:val="center"/>
          </w:tcPr>
          <w:p w14:paraId="0E9598A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1．对全市11区的所有风险类型总数，包括查扣冻、随案移送、处置决定、处置超期的风险总数进行排名，并显示top5情况。</w:t>
            </w:r>
          </w:p>
        </w:tc>
      </w:tr>
      <w:tr w:rsidR="00B02C6E" w14:paraId="72D12760" w14:textId="77777777" w:rsidTr="00453BF8">
        <w:tc>
          <w:tcPr>
            <w:tcW w:w="554" w:type="dxa"/>
            <w:vMerge/>
            <w:shd w:val="clear" w:color="auto" w:fill="auto"/>
            <w:vAlign w:val="center"/>
          </w:tcPr>
          <w:p w14:paraId="6C4F02FF"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2E32E42D"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71686FC8"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4E9538E7"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4DB4C976"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2BA1A20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2．对排名top5可下钻，以列表统计5区各个风险类型的数据量。</w:t>
            </w:r>
          </w:p>
        </w:tc>
      </w:tr>
      <w:tr w:rsidR="00B02C6E" w14:paraId="2779DE78" w14:textId="77777777" w:rsidTr="00453BF8">
        <w:tc>
          <w:tcPr>
            <w:tcW w:w="554" w:type="dxa"/>
            <w:vMerge/>
            <w:shd w:val="clear" w:color="auto" w:fill="auto"/>
            <w:vAlign w:val="center"/>
          </w:tcPr>
          <w:p w14:paraId="5CE0895B"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2D024F16"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4CA0CF77"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5043E537"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57BD58C7"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1603B66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3．对各区的数据量可下钻显示详情。</w:t>
            </w:r>
          </w:p>
        </w:tc>
      </w:tr>
      <w:tr w:rsidR="00B02C6E" w14:paraId="3F2EB47A" w14:textId="77777777" w:rsidTr="00453BF8">
        <w:tc>
          <w:tcPr>
            <w:tcW w:w="554" w:type="dxa"/>
            <w:vMerge w:val="restart"/>
            <w:shd w:val="clear" w:color="auto" w:fill="auto"/>
            <w:vAlign w:val="center"/>
          </w:tcPr>
          <w:p w14:paraId="095872E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27</w:t>
            </w:r>
          </w:p>
        </w:tc>
        <w:tc>
          <w:tcPr>
            <w:tcW w:w="381" w:type="dxa"/>
            <w:vMerge/>
            <w:shd w:val="clear" w:color="auto" w:fill="auto"/>
            <w:vAlign w:val="center"/>
          </w:tcPr>
          <w:p w14:paraId="213C71BE"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26E4427E"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1DD7A5A8"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74FAD54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涉案财物查扣</w:t>
            </w:r>
            <w:proofErr w:type="gramStart"/>
            <w:r>
              <w:rPr>
                <w:rFonts w:ascii="仿宋_GB2312" w:eastAsia="仿宋_GB2312" w:hAnsi="仿宋_GB2312" w:cs="仿宋_GB2312" w:hint="eastAsia"/>
                <w:sz w:val="24"/>
              </w:rPr>
              <w:t>冻风险</w:t>
            </w:r>
            <w:proofErr w:type="gramEnd"/>
          </w:p>
        </w:tc>
        <w:tc>
          <w:tcPr>
            <w:tcW w:w="5381" w:type="dxa"/>
            <w:shd w:val="clear" w:color="000000" w:fill="FFFFFF"/>
            <w:vAlign w:val="center"/>
          </w:tcPr>
          <w:p w14:paraId="55D3F36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1．统计全市/本区公安查扣冻疑似异常的涉案财物；</w:t>
            </w:r>
          </w:p>
        </w:tc>
      </w:tr>
      <w:tr w:rsidR="00B02C6E" w14:paraId="57ECE87E" w14:textId="77777777" w:rsidTr="00453BF8">
        <w:tc>
          <w:tcPr>
            <w:tcW w:w="554" w:type="dxa"/>
            <w:vMerge/>
            <w:shd w:val="clear" w:color="auto" w:fill="auto"/>
            <w:vAlign w:val="center"/>
          </w:tcPr>
          <w:p w14:paraId="7DCE8D46"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780EB847"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67C073C0"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5D25859C"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03838AFE"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6877D32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2．可下钻显示具体案件、涉案财物数据详情。</w:t>
            </w:r>
          </w:p>
        </w:tc>
      </w:tr>
      <w:tr w:rsidR="00B02C6E" w14:paraId="510DA450" w14:textId="77777777" w:rsidTr="00453BF8">
        <w:tc>
          <w:tcPr>
            <w:tcW w:w="554" w:type="dxa"/>
            <w:vMerge w:val="restart"/>
            <w:shd w:val="clear" w:color="auto" w:fill="auto"/>
            <w:vAlign w:val="center"/>
          </w:tcPr>
          <w:p w14:paraId="36A01BB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28</w:t>
            </w:r>
          </w:p>
        </w:tc>
        <w:tc>
          <w:tcPr>
            <w:tcW w:w="381" w:type="dxa"/>
            <w:vMerge/>
            <w:shd w:val="clear" w:color="auto" w:fill="auto"/>
            <w:vAlign w:val="center"/>
          </w:tcPr>
          <w:p w14:paraId="37550611"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53D67CF0"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6683D6F5"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6ADA51B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涉案财物信息随案移送风险</w:t>
            </w:r>
          </w:p>
        </w:tc>
        <w:tc>
          <w:tcPr>
            <w:tcW w:w="5381" w:type="dxa"/>
            <w:shd w:val="clear" w:color="000000" w:fill="FFFFFF"/>
            <w:vAlign w:val="center"/>
          </w:tcPr>
          <w:p w14:paraId="547CC13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1．统计全市/本区公安、检察院、法院未随案移送涉案财物数，包括公安随案移送、检察院随案移送、检察院退回公安、检察院随案</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处置决定、法院退回检察院、法院随案判决处置方式；</w:t>
            </w:r>
          </w:p>
        </w:tc>
      </w:tr>
      <w:tr w:rsidR="00B02C6E" w14:paraId="696F6E35" w14:textId="77777777" w:rsidTr="00453BF8">
        <w:tc>
          <w:tcPr>
            <w:tcW w:w="554" w:type="dxa"/>
            <w:vMerge/>
            <w:shd w:val="clear" w:color="auto" w:fill="auto"/>
            <w:vAlign w:val="center"/>
          </w:tcPr>
          <w:p w14:paraId="13656D87"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35278D10"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495B816B"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5680C135"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2480F834"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02BEB69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2．可下钻显示法院、检察院、公安未随案移送涉</w:t>
            </w:r>
            <w:r>
              <w:rPr>
                <w:rFonts w:ascii="仿宋_GB2312" w:eastAsia="仿宋_GB2312" w:hAnsi="仿宋_GB2312" w:cs="仿宋_GB2312" w:hint="eastAsia"/>
                <w:sz w:val="24"/>
              </w:rPr>
              <w:lastRenderedPageBreak/>
              <w:t>案财物详情。</w:t>
            </w:r>
          </w:p>
        </w:tc>
      </w:tr>
      <w:tr w:rsidR="00B02C6E" w14:paraId="64C1B667" w14:textId="77777777" w:rsidTr="00453BF8">
        <w:tc>
          <w:tcPr>
            <w:tcW w:w="554" w:type="dxa"/>
            <w:vMerge w:val="restart"/>
            <w:shd w:val="clear" w:color="auto" w:fill="auto"/>
            <w:vAlign w:val="center"/>
          </w:tcPr>
          <w:p w14:paraId="72E3DFA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29</w:t>
            </w:r>
          </w:p>
        </w:tc>
        <w:tc>
          <w:tcPr>
            <w:tcW w:w="381" w:type="dxa"/>
            <w:vMerge/>
            <w:shd w:val="clear" w:color="auto" w:fill="auto"/>
            <w:vAlign w:val="center"/>
          </w:tcPr>
          <w:p w14:paraId="2B0869A1"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7CC91C7A"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4A56701A"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711771F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涉案财物处置决定风险</w:t>
            </w:r>
          </w:p>
        </w:tc>
        <w:tc>
          <w:tcPr>
            <w:tcW w:w="5381" w:type="dxa"/>
            <w:shd w:val="clear" w:color="000000" w:fill="FFFFFF"/>
            <w:vAlign w:val="center"/>
          </w:tcPr>
          <w:p w14:paraId="2B7C908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1．统计全市/本区公安、检察院、法院未做处置决定的涉案财物数；</w:t>
            </w:r>
          </w:p>
        </w:tc>
      </w:tr>
      <w:tr w:rsidR="00B02C6E" w14:paraId="782EF5A6" w14:textId="77777777" w:rsidTr="00453BF8">
        <w:tc>
          <w:tcPr>
            <w:tcW w:w="554" w:type="dxa"/>
            <w:vMerge/>
            <w:shd w:val="clear" w:color="auto" w:fill="auto"/>
            <w:vAlign w:val="center"/>
          </w:tcPr>
          <w:p w14:paraId="767F7710"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1307A55D"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275FA0B3"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1AA4CA8C"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3EFB1654"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41947A9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2．可下钻显示法院、检察院、公安未做处置决定的涉案财物详情。</w:t>
            </w:r>
          </w:p>
        </w:tc>
      </w:tr>
      <w:tr w:rsidR="00B02C6E" w14:paraId="4F4A44B3" w14:textId="77777777" w:rsidTr="00453BF8">
        <w:tc>
          <w:tcPr>
            <w:tcW w:w="554" w:type="dxa"/>
            <w:vMerge w:val="restart"/>
            <w:shd w:val="clear" w:color="auto" w:fill="auto"/>
            <w:vAlign w:val="center"/>
          </w:tcPr>
          <w:p w14:paraId="3C92CD8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30</w:t>
            </w:r>
          </w:p>
        </w:tc>
        <w:tc>
          <w:tcPr>
            <w:tcW w:w="381" w:type="dxa"/>
            <w:vMerge/>
            <w:shd w:val="clear" w:color="auto" w:fill="auto"/>
            <w:vAlign w:val="center"/>
          </w:tcPr>
          <w:p w14:paraId="66E28C6D"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1C322524"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4AC78D00"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6479184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涉案财物处置超期风险</w:t>
            </w:r>
          </w:p>
        </w:tc>
        <w:tc>
          <w:tcPr>
            <w:tcW w:w="5381" w:type="dxa"/>
            <w:shd w:val="clear" w:color="000000" w:fill="FFFFFF"/>
            <w:vAlign w:val="center"/>
          </w:tcPr>
          <w:p w14:paraId="14A66A5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1．统计全市/本区公安、检察院、法院超期处置、超期未处置的涉案财物数，即截止到统计期已完成处置但未按照期限处置的涉案财物数和截止到统计期已经</w:t>
            </w:r>
            <w:proofErr w:type="gramStart"/>
            <w:r>
              <w:rPr>
                <w:rFonts w:ascii="仿宋_GB2312" w:eastAsia="仿宋_GB2312" w:hAnsi="仿宋_GB2312" w:cs="仿宋_GB2312" w:hint="eastAsia"/>
                <w:sz w:val="24"/>
              </w:rPr>
              <w:t>超期且未完</w:t>
            </w:r>
            <w:proofErr w:type="gramEnd"/>
            <w:r>
              <w:rPr>
                <w:rFonts w:ascii="仿宋_GB2312" w:eastAsia="仿宋_GB2312" w:hAnsi="仿宋_GB2312" w:cs="仿宋_GB2312" w:hint="eastAsia"/>
                <w:sz w:val="24"/>
              </w:rPr>
              <w:t>成处置的涉案财物数；</w:t>
            </w:r>
          </w:p>
        </w:tc>
      </w:tr>
      <w:tr w:rsidR="00B02C6E" w14:paraId="29967E5D" w14:textId="77777777" w:rsidTr="00453BF8">
        <w:tc>
          <w:tcPr>
            <w:tcW w:w="554" w:type="dxa"/>
            <w:vMerge/>
            <w:shd w:val="clear" w:color="auto" w:fill="auto"/>
            <w:vAlign w:val="center"/>
          </w:tcPr>
          <w:p w14:paraId="6F3A7099"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2FFE9B2A"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55935E37"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11925A85"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36A7616E"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4E518CE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2．可下钻显示法院、检察院、公安超期处置、超期未处置的涉案财物详情。</w:t>
            </w:r>
          </w:p>
        </w:tc>
      </w:tr>
      <w:tr w:rsidR="00B02C6E" w14:paraId="5ACF2552" w14:textId="77777777" w:rsidTr="00453BF8">
        <w:tc>
          <w:tcPr>
            <w:tcW w:w="554" w:type="dxa"/>
            <w:vMerge w:val="restart"/>
            <w:shd w:val="clear" w:color="auto" w:fill="auto"/>
            <w:vAlign w:val="center"/>
          </w:tcPr>
          <w:p w14:paraId="0D7A7B7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31</w:t>
            </w:r>
          </w:p>
        </w:tc>
        <w:tc>
          <w:tcPr>
            <w:tcW w:w="381" w:type="dxa"/>
            <w:vMerge w:val="restart"/>
            <w:shd w:val="clear" w:color="auto" w:fill="auto"/>
            <w:vAlign w:val="center"/>
          </w:tcPr>
          <w:p w14:paraId="2EDF819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 xml:space="preserve">　</w:t>
            </w:r>
          </w:p>
        </w:tc>
        <w:tc>
          <w:tcPr>
            <w:tcW w:w="547" w:type="dxa"/>
            <w:vMerge w:val="restart"/>
            <w:shd w:val="clear" w:color="auto" w:fill="auto"/>
            <w:vAlign w:val="center"/>
          </w:tcPr>
          <w:p w14:paraId="4F7B2CE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新增刑事案件协同流程（新建</w:t>
            </w:r>
            <w:r>
              <w:rPr>
                <w:rFonts w:ascii="仿宋_GB2312" w:eastAsia="仿宋_GB2312" w:hAnsi="仿宋_GB2312" w:cs="仿宋_GB2312" w:hint="eastAsia"/>
                <w:sz w:val="24"/>
              </w:rPr>
              <w:lastRenderedPageBreak/>
              <w:t>）</w:t>
            </w:r>
          </w:p>
        </w:tc>
        <w:tc>
          <w:tcPr>
            <w:tcW w:w="763" w:type="dxa"/>
            <w:vMerge w:val="restart"/>
            <w:shd w:val="clear" w:color="000000" w:fill="FFFFFF"/>
            <w:vAlign w:val="center"/>
          </w:tcPr>
          <w:p w14:paraId="4376C32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未成年的诉讼程序</w:t>
            </w:r>
          </w:p>
        </w:tc>
        <w:tc>
          <w:tcPr>
            <w:tcW w:w="1320" w:type="dxa"/>
            <w:vMerge w:val="restart"/>
            <w:shd w:val="clear" w:color="000000" w:fill="FFFFFF"/>
            <w:vAlign w:val="center"/>
          </w:tcPr>
          <w:p w14:paraId="3E2AA21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附条件不起诉</w:t>
            </w:r>
          </w:p>
        </w:tc>
        <w:tc>
          <w:tcPr>
            <w:tcW w:w="5381" w:type="dxa"/>
            <w:shd w:val="clear" w:color="000000" w:fill="FFFFFF"/>
            <w:vAlign w:val="center"/>
          </w:tcPr>
          <w:p w14:paraId="04981E4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人民检察院在对未成年人</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附条件不起诉的决定前，听取公安机关意见时，公安机关应当提出书面意见，经县级以上公安机关负责人批准，移送同级人民检察院。</w:t>
            </w:r>
          </w:p>
        </w:tc>
      </w:tr>
      <w:tr w:rsidR="00B02C6E" w14:paraId="31E675EB" w14:textId="77777777" w:rsidTr="00453BF8">
        <w:tc>
          <w:tcPr>
            <w:tcW w:w="554" w:type="dxa"/>
            <w:vMerge/>
            <w:shd w:val="clear" w:color="auto" w:fill="auto"/>
            <w:vAlign w:val="center"/>
          </w:tcPr>
          <w:p w14:paraId="57D7A137"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0650A070"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5E2799EA"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30488CD0"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6A4EC321"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6AA0B25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提供检察机关代码、检察机关案件名称、案由、案情摘要、未成年人信息、不起诉条件、不起诉意见，不起诉意见反馈，《附条件不起诉决定书》等。</w:t>
            </w:r>
          </w:p>
        </w:tc>
      </w:tr>
      <w:tr w:rsidR="00B02C6E" w14:paraId="07E6B347" w14:textId="77777777" w:rsidTr="00453BF8">
        <w:tc>
          <w:tcPr>
            <w:tcW w:w="554" w:type="dxa"/>
            <w:vMerge w:val="restart"/>
            <w:shd w:val="clear" w:color="auto" w:fill="auto"/>
            <w:vAlign w:val="center"/>
          </w:tcPr>
          <w:p w14:paraId="714688B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32</w:t>
            </w:r>
          </w:p>
        </w:tc>
        <w:tc>
          <w:tcPr>
            <w:tcW w:w="381" w:type="dxa"/>
            <w:vMerge/>
            <w:shd w:val="clear" w:color="auto" w:fill="auto"/>
            <w:vAlign w:val="center"/>
          </w:tcPr>
          <w:p w14:paraId="39F6E3B7"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4F8AAF3B"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16715CC7"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1600F8D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未成年犯罪记录封存/解除通知</w:t>
            </w:r>
          </w:p>
        </w:tc>
        <w:tc>
          <w:tcPr>
            <w:tcW w:w="5381" w:type="dxa"/>
            <w:shd w:val="clear" w:color="000000" w:fill="FFFFFF"/>
            <w:vAlign w:val="center"/>
          </w:tcPr>
          <w:p w14:paraId="3E56181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未成年人犯罪的时候不满十八周岁，被判处五年有期徒刑以下刑罚的，公安机关应当依据人民法院已经生效的判决书，将该未成年人的犯罪记录予以封存。</w:t>
            </w:r>
          </w:p>
        </w:tc>
      </w:tr>
      <w:tr w:rsidR="00B02C6E" w14:paraId="3B0D6EA2" w14:textId="77777777" w:rsidTr="00453BF8">
        <w:tc>
          <w:tcPr>
            <w:tcW w:w="554" w:type="dxa"/>
            <w:vMerge/>
            <w:shd w:val="clear" w:color="auto" w:fill="auto"/>
            <w:vAlign w:val="center"/>
          </w:tcPr>
          <w:p w14:paraId="38784F82"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7A8F0836"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5C3B0596"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5F524300"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71E14C56"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6B3A6A5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封存案件信息、卷宗、文书等全部信息并出具封存记录相关证明。</w:t>
            </w:r>
          </w:p>
        </w:tc>
      </w:tr>
      <w:tr w:rsidR="00B02C6E" w14:paraId="45D14528" w14:textId="77777777" w:rsidTr="00453BF8">
        <w:tc>
          <w:tcPr>
            <w:tcW w:w="554" w:type="dxa"/>
            <w:vMerge w:val="restart"/>
            <w:shd w:val="clear" w:color="auto" w:fill="auto"/>
            <w:vAlign w:val="center"/>
          </w:tcPr>
          <w:p w14:paraId="0D5A022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33</w:t>
            </w:r>
          </w:p>
        </w:tc>
        <w:tc>
          <w:tcPr>
            <w:tcW w:w="381" w:type="dxa"/>
            <w:vMerge/>
            <w:shd w:val="clear" w:color="auto" w:fill="auto"/>
            <w:vAlign w:val="center"/>
          </w:tcPr>
          <w:p w14:paraId="5111B968"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3002B4CE"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72DF1D7F"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747B891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原有协同流程涉未成年人案件条件必填逻辑深化</w:t>
            </w:r>
          </w:p>
        </w:tc>
        <w:tc>
          <w:tcPr>
            <w:tcW w:w="5381" w:type="dxa"/>
            <w:shd w:val="clear" w:color="000000" w:fill="FFFFFF"/>
            <w:vAlign w:val="center"/>
          </w:tcPr>
          <w:p w14:paraId="4247569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公安端：审查逮捕-公安提请逮捕、检察院决定逮捕、法院决定逮捕；不捕异议-不捕复议、不捕复核；延长侦查羁押期限；变更强制措施；审查起诉；交付刑罚执行（监禁刑）；提前介入；羁押必要性审查；变更羁押期限；超期羁押通知；电子换押。</w:t>
            </w:r>
          </w:p>
        </w:tc>
      </w:tr>
      <w:tr w:rsidR="00B02C6E" w14:paraId="06B7AA96" w14:textId="77777777" w:rsidTr="00453BF8">
        <w:tc>
          <w:tcPr>
            <w:tcW w:w="554" w:type="dxa"/>
            <w:vMerge/>
            <w:shd w:val="clear" w:color="auto" w:fill="auto"/>
            <w:vAlign w:val="center"/>
          </w:tcPr>
          <w:p w14:paraId="0856DDC3"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0786273C"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409BCE69"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344A7307"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272BA810"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50DB437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检察院端：审查逮捕-公安提请逮捕、检察院决定逮捕、法院决定逮捕；不捕异议-不捕复议、不捕复核；延长侦查羁押期限；变更强制措施；审查起诉；不诉异议-不起诉复议、不起诉复核；提起公诉；一审审理；二审上诉；二审抗诉；交付刑罚执行（监禁刑）；提前介入；羁押必要性审查；变更羁押期限；超期羁押通知；电子换押。</w:t>
            </w:r>
          </w:p>
        </w:tc>
      </w:tr>
      <w:tr w:rsidR="00B02C6E" w14:paraId="1A2477C7" w14:textId="77777777" w:rsidTr="00453BF8">
        <w:tc>
          <w:tcPr>
            <w:tcW w:w="554" w:type="dxa"/>
            <w:vMerge/>
            <w:shd w:val="clear" w:color="auto" w:fill="auto"/>
            <w:vAlign w:val="center"/>
          </w:tcPr>
          <w:p w14:paraId="4F17F01E"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64638E81"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5A5EE25F"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051F4BDA"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1CADAEE8"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4E1BC36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法院端：审查逮捕-法院决定逮捕；变更强制措施；不诉异议-不起诉复议、不起诉复核；提起公诉；一审审理；二审上诉；二审抗诉；交付刑罚执行（监禁刑）；变更羁押期限；超期羁押通知；电子换押。</w:t>
            </w:r>
          </w:p>
        </w:tc>
      </w:tr>
      <w:tr w:rsidR="00B02C6E" w14:paraId="4F602701" w14:textId="77777777" w:rsidTr="00453BF8">
        <w:tc>
          <w:tcPr>
            <w:tcW w:w="554" w:type="dxa"/>
            <w:vMerge/>
            <w:shd w:val="clear" w:color="auto" w:fill="auto"/>
            <w:vAlign w:val="center"/>
          </w:tcPr>
          <w:p w14:paraId="0413BE9A"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0483BAFE"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4CA959B8"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17E3D192"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19EB8CD5"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7C86831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司法端：变更强制措施；交付刑罚执行（监禁刑）；电子换押。</w:t>
            </w:r>
          </w:p>
        </w:tc>
      </w:tr>
      <w:tr w:rsidR="00B02C6E" w14:paraId="69548DEA" w14:textId="77777777" w:rsidTr="00453BF8">
        <w:tc>
          <w:tcPr>
            <w:tcW w:w="554" w:type="dxa"/>
            <w:vMerge/>
            <w:shd w:val="clear" w:color="auto" w:fill="auto"/>
            <w:vAlign w:val="center"/>
          </w:tcPr>
          <w:p w14:paraId="36C531CC" w14:textId="77777777" w:rsidR="00B02C6E" w:rsidRDefault="00B02C6E" w:rsidP="00453BF8">
            <w:pPr>
              <w:spacing w:line="560" w:lineRule="exact"/>
              <w:rPr>
                <w:rFonts w:ascii="仿宋_GB2312" w:eastAsia="仿宋_GB2312" w:hAnsi="仿宋_GB2312" w:cs="仿宋_GB2312"/>
              </w:rPr>
            </w:pPr>
          </w:p>
        </w:tc>
        <w:tc>
          <w:tcPr>
            <w:tcW w:w="381" w:type="dxa"/>
            <w:vMerge/>
            <w:shd w:val="clear" w:color="auto" w:fill="auto"/>
            <w:vAlign w:val="center"/>
          </w:tcPr>
          <w:p w14:paraId="4614302F"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0F894315"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1FDF4576" w14:textId="77777777" w:rsidR="00B02C6E" w:rsidRDefault="00B02C6E" w:rsidP="00453BF8">
            <w:pPr>
              <w:spacing w:line="560" w:lineRule="exact"/>
              <w:rPr>
                <w:rFonts w:ascii="仿宋_GB2312" w:eastAsia="仿宋_GB2312" w:hAnsi="仿宋_GB2312" w:cs="仿宋_GB2312"/>
              </w:rPr>
            </w:pPr>
          </w:p>
        </w:tc>
        <w:tc>
          <w:tcPr>
            <w:tcW w:w="1320" w:type="dxa"/>
            <w:vMerge/>
            <w:shd w:val="clear" w:color="auto" w:fill="auto"/>
            <w:vAlign w:val="center"/>
          </w:tcPr>
          <w:p w14:paraId="5378889F" w14:textId="77777777" w:rsidR="00B02C6E" w:rsidRDefault="00B02C6E" w:rsidP="00453BF8">
            <w:pPr>
              <w:spacing w:line="560" w:lineRule="exact"/>
              <w:rPr>
                <w:rFonts w:ascii="仿宋_GB2312" w:eastAsia="仿宋_GB2312" w:hAnsi="仿宋_GB2312" w:cs="仿宋_GB2312"/>
              </w:rPr>
            </w:pPr>
          </w:p>
        </w:tc>
        <w:tc>
          <w:tcPr>
            <w:tcW w:w="5381" w:type="dxa"/>
            <w:shd w:val="clear" w:color="000000" w:fill="FFFFFF"/>
            <w:vAlign w:val="center"/>
          </w:tcPr>
          <w:p w14:paraId="521E23E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深化原有适用未成年人案件办理的条件必</w:t>
            </w:r>
            <w:proofErr w:type="gramStart"/>
            <w:r>
              <w:rPr>
                <w:rFonts w:ascii="仿宋_GB2312" w:eastAsia="仿宋_GB2312" w:hAnsi="仿宋_GB2312" w:cs="仿宋_GB2312" w:hint="eastAsia"/>
                <w:sz w:val="24"/>
              </w:rPr>
              <w:t>填内容</w:t>
            </w:r>
            <w:proofErr w:type="gramEnd"/>
            <w:r>
              <w:rPr>
                <w:rFonts w:ascii="仿宋_GB2312" w:eastAsia="仿宋_GB2312" w:hAnsi="仿宋_GB2312" w:cs="仿宋_GB2312" w:hint="eastAsia"/>
                <w:sz w:val="24"/>
              </w:rPr>
              <w:t>与文书必填限制。</w:t>
            </w:r>
          </w:p>
        </w:tc>
      </w:tr>
      <w:tr w:rsidR="00B02C6E" w14:paraId="54F6E53B" w14:textId="77777777" w:rsidTr="00453BF8">
        <w:tc>
          <w:tcPr>
            <w:tcW w:w="554" w:type="dxa"/>
            <w:shd w:val="clear" w:color="auto" w:fill="auto"/>
            <w:vAlign w:val="center"/>
          </w:tcPr>
          <w:p w14:paraId="6BD535E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34</w:t>
            </w:r>
          </w:p>
        </w:tc>
        <w:tc>
          <w:tcPr>
            <w:tcW w:w="381" w:type="dxa"/>
            <w:vMerge/>
            <w:shd w:val="clear" w:color="auto" w:fill="auto"/>
            <w:vAlign w:val="center"/>
          </w:tcPr>
          <w:p w14:paraId="6D81CE55"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27D596FB"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480DD7A7"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5616EB8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公安</w:t>
            </w:r>
            <w:proofErr w:type="gramStart"/>
            <w:r>
              <w:rPr>
                <w:rFonts w:ascii="仿宋_GB2312" w:eastAsia="仿宋_GB2312" w:hAnsi="仿宋_GB2312" w:cs="仿宋_GB2312" w:hint="eastAsia"/>
                <w:sz w:val="24"/>
              </w:rPr>
              <w:t>端实施</w:t>
            </w:r>
            <w:proofErr w:type="gramEnd"/>
            <w:r>
              <w:rPr>
                <w:rFonts w:ascii="仿宋_GB2312" w:eastAsia="仿宋_GB2312" w:hAnsi="仿宋_GB2312" w:cs="仿宋_GB2312" w:hint="eastAsia"/>
                <w:sz w:val="24"/>
              </w:rPr>
              <w:t>部署及质检规则配置</w:t>
            </w:r>
          </w:p>
        </w:tc>
        <w:tc>
          <w:tcPr>
            <w:tcW w:w="5381" w:type="dxa"/>
            <w:shd w:val="clear" w:color="000000" w:fill="FFFFFF"/>
            <w:vAlign w:val="center"/>
          </w:tcPr>
          <w:p w14:paraId="4857377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公安关联的流程案件信息质检规则配置</w:t>
            </w:r>
          </w:p>
        </w:tc>
      </w:tr>
      <w:tr w:rsidR="00B02C6E" w14:paraId="68E131E3" w14:textId="77777777" w:rsidTr="00453BF8">
        <w:tc>
          <w:tcPr>
            <w:tcW w:w="554" w:type="dxa"/>
            <w:vAlign w:val="center"/>
          </w:tcPr>
          <w:p w14:paraId="1EC4F9F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35</w:t>
            </w:r>
          </w:p>
        </w:tc>
        <w:tc>
          <w:tcPr>
            <w:tcW w:w="381" w:type="dxa"/>
            <w:vMerge/>
            <w:vAlign w:val="center"/>
          </w:tcPr>
          <w:p w14:paraId="05B5C03D"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289C9949"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1AB1570B"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20650C73"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5F9B6E3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公安关联的系统流程系统联调</w:t>
            </w:r>
          </w:p>
        </w:tc>
      </w:tr>
      <w:tr w:rsidR="00B02C6E" w14:paraId="104423E4" w14:textId="77777777" w:rsidTr="00453BF8">
        <w:tc>
          <w:tcPr>
            <w:tcW w:w="554" w:type="dxa"/>
            <w:shd w:val="clear" w:color="auto" w:fill="auto"/>
            <w:vAlign w:val="center"/>
          </w:tcPr>
          <w:p w14:paraId="2243CAD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36</w:t>
            </w:r>
          </w:p>
        </w:tc>
        <w:tc>
          <w:tcPr>
            <w:tcW w:w="381" w:type="dxa"/>
            <w:vMerge/>
            <w:shd w:val="clear" w:color="auto" w:fill="auto"/>
            <w:vAlign w:val="center"/>
          </w:tcPr>
          <w:p w14:paraId="1DC9CA90"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616CC715"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251E697D"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1AC1B9B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检察院</w:t>
            </w:r>
            <w:proofErr w:type="gramStart"/>
            <w:r>
              <w:rPr>
                <w:rFonts w:ascii="仿宋_GB2312" w:eastAsia="仿宋_GB2312" w:hAnsi="仿宋_GB2312" w:cs="仿宋_GB2312" w:hint="eastAsia"/>
                <w:sz w:val="24"/>
              </w:rPr>
              <w:t>端实施</w:t>
            </w:r>
            <w:proofErr w:type="gramEnd"/>
            <w:r>
              <w:rPr>
                <w:rFonts w:ascii="仿宋_GB2312" w:eastAsia="仿宋_GB2312" w:hAnsi="仿宋_GB2312" w:cs="仿宋_GB2312" w:hint="eastAsia"/>
                <w:sz w:val="24"/>
              </w:rPr>
              <w:t>部署及质检规则配置</w:t>
            </w:r>
          </w:p>
        </w:tc>
        <w:tc>
          <w:tcPr>
            <w:tcW w:w="5381" w:type="dxa"/>
            <w:shd w:val="clear" w:color="000000" w:fill="FFFFFF"/>
            <w:vAlign w:val="center"/>
          </w:tcPr>
          <w:p w14:paraId="14FEDBD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检察院关联的系统流程案件信息质检规则配置</w:t>
            </w:r>
          </w:p>
        </w:tc>
      </w:tr>
      <w:tr w:rsidR="00B02C6E" w14:paraId="3B09AE99" w14:textId="77777777" w:rsidTr="00453BF8">
        <w:tc>
          <w:tcPr>
            <w:tcW w:w="554" w:type="dxa"/>
            <w:vAlign w:val="center"/>
          </w:tcPr>
          <w:p w14:paraId="2121AD6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37</w:t>
            </w:r>
          </w:p>
        </w:tc>
        <w:tc>
          <w:tcPr>
            <w:tcW w:w="381" w:type="dxa"/>
            <w:vMerge/>
            <w:vAlign w:val="center"/>
          </w:tcPr>
          <w:p w14:paraId="2407395E"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44308DE9"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15C0F76B"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26E07A32"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0CBC9E1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检察院关联的系统流程系统联调</w:t>
            </w:r>
          </w:p>
        </w:tc>
      </w:tr>
      <w:tr w:rsidR="00B02C6E" w14:paraId="3E69A491" w14:textId="77777777" w:rsidTr="00453BF8">
        <w:tc>
          <w:tcPr>
            <w:tcW w:w="554" w:type="dxa"/>
            <w:shd w:val="clear" w:color="auto" w:fill="auto"/>
            <w:vAlign w:val="center"/>
          </w:tcPr>
          <w:p w14:paraId="7D7C000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38</w:t>
            </w:r>
          </w:p>
        </w:tc>
        <w:tc>
          <w:tcPr>
            <w:tcW w:w="381" w:type="dxa"/>
            <w:vMerge/>
            <w:shd w:val="clear" w:color="auto" w:fill="auto"/>
            <w:vAlign w:val="center"/>
          </w:tcPr>
          <w:p w14:paraId="191A8562"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297BBCEC"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0B0B65AE" w14:textId="77777777" w:rsidR="00B02C6E" w:rsidRDefault="00B02C6E" w:rsidP="00453BF8">
            <w:pPr>
              <w:spacing w:line="560" w:lineRule="exact"/>
              <w:rPr>
                <w:rFonts w:ascii="仿宋_GB2312" w:eastAsia="仿宋_GB2312" w:hAnsi="仿宋_GB2312" w:cs="仿宋_GB2312"/>
              </w:rPr>
            </w:pPr>
          </w:p>
        </w:tc>
        <w:tc>
          <w:tcPr>
            <w:tcW w:w="1320" w:type="dxa"/>
            <w:vMerge w:val="restart"/>
            <w:shd w:val="clear" w:color="000000" w:fill="FFFFFF"/>
            <w:vAlign w:val="center"/>
          </w:tcPr>
          <w:p w14:paraId="4F4883A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法院</w:t>
            </w:r>
            <w:proofErr w:type="gramStart"/>
            <w:r>
              <w:rPr>
                <w:rFonts w:ascii="仿宋_GB2312" w:eastAsia="仿宋_GB2312" w:hAnsi="仿宋_GB2312" w:cs="仿宋_GB2312" w:hint="eastAsia"/>
                <w:sz w:val="24"/>
              </w:rPr>
              <w:t>端实施</w:t>
            </w:r>
            <w:proofErr w:type="gramEnd"/>
            <w:r>
              <w:rPr>
                <w:rFonts w:ascii="仿宋_GB2312" w:eastAsia="仿宋_GB2312" w:hAnsi="仿宋_GB2312" w:cs="仿宋_GB2312" w:hint="eastAsia"/>
                <w:sz w:val="24"/>
              </w:rPr>
              <w:t>部署及质检规则配置</w:t>
            </w:r>
          </w:p>
        </w:tc>
        <w:tc>
          <w:tcPr>
            <w:tcW w:w="5381" w:type="dxa"/>
            <w:shd w:val="clear" w:color="000000" w:fill="FFFFFF"/>
            <w:vAlign w:val="center"/>
          </w:tcPr>
          <w:p w14:paraId="2BF057E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法院关联的系统流程案件信息质检规则配置</w:t>
            </w:r>
          </w:p>
        </w:tc>
      </w:tr>
      <w:tr w:rsidR="00B02C6E" w14:paraId="776E393F" w14:textId="77777777" w:rsidTr="00453BF8">
        <w:tc>
          <w:tcPr>
            <w:tcW w:w="554" w:type="dxa"/>
            <w:vAlign w:val="center"/>
          </w:tcPr>
          <w:p w14:paraId="75DB327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39</w:t>
            </w:r>
          </w:p>
        </w:tc>
        <w:tc>
          <w:tcPr>
            <w:tcW w:w="381" w:type="dxa"/>
            <w:vMerge/>
            <w:vAlign w:val="center"/>
          </w:tcPr>
          <w:p w14:paraId="752C706C"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44E1D40C"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2690B118"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17E6AC4E"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076CE3D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法院关联的系统流程系统联调</w:t>
            </w:r>
          </w:p>
        </w:tc>
      </w:tr>
      <w:tr w:rsidR="00B02C6E" w14:paraId="684262A1" w14:textId="77777777" w:rsidTr="00453BF8">
        <w:tc>
          <w:tcPr>
            <w:tcW w:w="554" w:type="dxa"/>
            <w:shd w:val="clear" w:color="auto" w:fill="auto"/>
            <w:vAlign w:val="center"/>
          </w:tcPr>
          <w:p w14:paraId="5A972D4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40</w:t>
            </w:r>
          </w:p>
        </w:tc>
        <w:tc>
          <w:tcPr>
            <w:tcW w:w="381" w:type="dxa"/>
            <w:vMerge/>
            <w:shd w:val="clear" w:color="auto" w:fill="auto"/>
            <w:vAlign w:val="center"/>
          </w:tcPr>
          <w:p w14:paraId="74B105AF"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4634054F" w14:textId="77777777" w:rsidR="00B02C6E" w:rsidRDefault="00B02C6E" w:rsidP="00453BF8">
            <w:pPr>
              <w:spacing w:line="560" w:lineRule="exact"/>
              <w:rPr>
                <w:rFonts w:ascii="仿宋_GB2312" w:eastAsia="仿宋_GB2312" w:hAnsi="仿宋_GB2312" w:cs="仿宋_GB2312"/>
              </w:rPr>
            </w:pPr>
          </w:p>
        </w:tc>
        <w:tc>
          <w:tcPr>
            <w:tcW w:w="763" w:type="dxa"/>
            <w:vMerge w:val="restart"/>
            <w:shd w:val="clear" w:color="auto" w:fill="auto"/>
            <w:vAlign w:val="center"/>
          </w:tcPr>
          <w:p w14:paraId="54BC6F8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法律帮助（随案）</w:t>
            </w:r>
          </w:p>
        </w:tc>
        <w:tc>
          <w:tcPr>
            <w:tcW w:w="1320" w:type="dxa"/>
            <w:shd w:val="clear" w:color="000000" w:fill="FFFFFF"/>
            <w:vAlign w:val="center"/>
          </w:tcPr>
          <w:p w14:paraId="5C107BD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法律帮助（随案）</w:t>
            </w:r>
          </w:p>
        </w:tc>
        <w:tc>
          <w:tcPr>
            <w:tcW w:w="5381" w:type="dxa"/>
            <w:shd w:val="clear" w:color="000000" w:fill="FFFFFF"/>
            <w:vAlign w:val="center"/>
          </w:tcPr>
          <w:p w14:paraId="7F6BDE7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基于单一案件申请法律帮助，将在原法律援助流程申请业务协同基础上添加法律帮助节点。</w:t>
            </w:r>
          </w:p>
        </w:tc>
      </w:tr>
      <w:tr w:rsidR="00B02C6E" w14:paraId="4E4C92ED" w14:textId="77777777" w:rsidTr="00453BF8">
        <w:tc>
          <w:tcPr>
            <w:tcW w:w="554" w:type="dxa"/>
            <w:shd w:val="clear" w:color="auto" w:fill="auto"/>
            <w:vAlign w:val="center"/>
          </w:tcPr>
          <w:p w14:paraId="55CEADC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41</w:t>
            </w:r>
          </w:p>
        </w:tc>
        <w:tc>
          <w:tcPr>
            <w:tcW w:w="381" w:type="dxa"/>
            <w:vMerge/>
            <w:shd w:val="clear" w:color="auto" w:fill="auto"/>
            <w:vAlign w:val="center"/>
          </w:tcPr>
          <w:p w14:paraId="74EE8037"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7CB9A9A6"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79AE4641" w14:textId="77777777" w:rsidR="00B02C6E" w:rsidRDefault="00B02C6E" w:rsidP="00453BF8">
            <w:pPr>
              <w:spacing w:line="560" w:lineRule="exact"/>
              <w:rPr>
                <w:rFonts w:ascii="仿宋_GB2312" w:eastAsia="仿宋_GB2312" w:hAnsi="仿宋_GB2312" w:cs="仿宋_GB2312"/>
              </w:rPr>
            </w:pPr>
          </w:p>
        </w:tc>
        <w:tc>
          <w:tcPr>
            <w:tcW w:w="1320" w:type="dxa"/>
            <w:shd w:val="clear" w:color="000000" w:fill="FFFFFF"/>
            <w:vAlign w:val="center"/>
          </w:tcPr>
          <w:p w14:paraId="2DCA1CA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公安</w:t>
            </w:r>
            <w:proofErr w:type="gramStart"/>
            <w:r>
              <w:rPr>
                <w:rFonts w:ascii="仿宋_GB2312" w:eastAsia="仿宋_GB2312" w:hAnsi="仿宋_GB2312" w:cs="仿宋_GB2312" w:hint="eastAsia"/>
                <w:sz w:val="24"/>
              </w:rPr>
              <w:t>端实施</w:t>
            </w:r>
            <w:proofErr w:type="gramEnd"/>
            <w:r>
              <w:rPr>
                <w:rFonts w:ascii="仿宋_GB2312" w:eastAsia="仿宋_GB2312" w:hAnsi="仿宋_GB2312" w:cs="仿宋_GB2312" w:hint="eastAsia"/>
                <w:sz w:val="24"/>
              </w:rPr>
              <w:t>部署及质检规则配置</w:t>
            </w:r>
          </w:p>
        </w:tc>
        <w:tc>
          <w:tcPr>
            <w:tcW w:w="5381" w:type="dxa"/>
            <w:shd w:val="clear" w:color="000000" w:fill="FFFFFF"/>
            <w:vAlign w:val="center"/>
          </w:tcPr>
          <w:p w14:paraId="3DBB1CC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公安关联的流程案件信息质检规则配置</w:t>
            </w:r>
          </w:p>
        </w:tc>
      </w:tr>
      <w:tr w:rsidR="00B02C6E" w14:paraId="28825F7E" w14:textId="77777777" w:rsidTr="00453BF8">
        <w:tc>
          <w:tcPr>
            <w:tcW w:w="554" w:type="dxa"/>
            <w:shd w:val="clear" w:color="auto" w:fill="auto"/>
            <w:vAlign w:val="center"/>
          </w:tcPr>
          <w:p w14:paraId="6AAD7F9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42</w:t>
            </w:r>
          </w:p>
        </w:tc>
        <w:tc>
          <w:tcPr>
            <w:tcW w:w="381" w:type="dxa"/>
            <w:vMerge/>
            <w:shd w:val="clear" w:color="auto" w:fill="auto"/>
            <w:vAlign w:val="center"/>
          </w:tcPr>
          <w:p w14:paraId="1D058AFF"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78B20DC2"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61C6C35C" w14:textId="77777777" w:rsidR="00B02C6E" w:rsidRDefault="00B02C6E" w:rsidP="00453BF8">
            <w:pPr>
              <w:spacing w:line="560" w:lineRule="exact"/>
              <w:rPr>
                <w:rFonts w:ascii="仿宋_GB2312" w:eastAsia="仿宋_GB2312" w:hAnsi="仿宋_GB2312" w:cs="仿宋_GB2312"/>
              </w:rPr>
            </w:pPr>
          </w:p>
        </w:tc>
        <w:tc>
          <w:tcPr>
            <w:tcW w:w="1320" w:type="dxa"/>
            <w:shd w:val="clear" w:color="000000" w:fill="FFFFFF"/>
            <w:vAlign w:val="center"/>
          </w:tcPr>
          <w:p w14:paraId="2141923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检察院</w:t>
            </w:r>
            <w:proofErr w:type="gramStart"/>
            <w:r>
              <w:rPr>
                <w:rFonts w:ascii="仿宋_GB2312" w:eastAsia="仿宋_GB2312" w:hAnsi="仿宋_GB2312" w:cs="仿宋_GB2312" w:hint="eastAsia"/>
                <w:sz w:val="24"/>
              </w:rPr>
              <w:t>端实施</w:t>
            </w:r>
            <w:proofErr w:type="gramEnd"/>
            <w:r>
              <w:rPr>
                <w:rFonts w:ascii="仿宋_GB2312" w:eastAsia="仿宋_GB2312" w:hAnsi="仿宋_GB2312" w:cs="仿宋_GB2312" w:hint="eastAsia"/>
                <w:sz w:val="24"/>
              </w:rPr>
              <w:t>部署及质检规则配置</w:t>
            </w:r>
          </w:p>
        </w:tc>
        <w:tc>
          <w:tcPr>
            <w:tcW w:w="5381" w:type="dxa"/>
            <w:shd w:val="clear" w:color="000000" w:fill="FFFFFF"/>
            <w:vAlign w:val="center"/>
          </w:tcPr>
          <w:p w14:paraId="6B9404A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公安关联的系统流程系统联调</w:t>
            </w:r>
          </w:p>
        </w:tc>
      </w:tr>
      <w:tr w:rsidR="00B02C6E" w14:paraId="77A427AC" w14:textId="77777777" w:rsidTr="00453BF8">
        <w:tc>
          <w:tcPr>
            <w:tcW w:w="554" w:type="dxa"/>
            <w:shd w:val="clear" w:color="auto" w:fill="auto"/>
            <w:vAlign w:val="center"/>
          </w:tcPr>
          <w:p w14:paraId="2C9637D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43</w:t>
            </w:r>
          </w:p>
        </w:tc>
        <w:tc>
          <w:tcPr>
            <w:tcW w:w="381" w:type="dxa"/>
            <w:vMerge/>
            <w:shd w:val="clear" w:color="auto" w:fill="auto"/>
            <w:vAlign w:val="center"/>
          </w:tcPr>
          <w:p w14:paraId="19EA2A59"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476764FC"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6499EA6A" w14:textId="77777777" w:rsidR="00B02C6E" w:rsidRDefault="00B02C6E" w:rsidP="00453BF8">
            <w:pPr>
              <w:spacing w:line="560" w:lineRule="exact"/>
              <w:rPr>
                <w:rFonts w:ascii="仿宋_GB2312" w:eastAsia="仿宋_GB2312" w:hAnsi="仿宋_GB2312" w:cs="仿宋_GB2312"/>
              </w:rPr>
            </w:pPr>
          </w:p>
        </w:tc>
        <w:tc>
          <w:tcPr>
            <w:tcW w:w="1320" w:type="dxa"/>
            <w:shd w:val="clear" w:color="000000" w:fill="FFFFFF"/>
            <w:vAlign w:val="center"/>
          </w:tcPr>
          <w:p w14:paraId="7FC2E0A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法院</w:t>
            </w:r>
            <w:proofErr w:type="gramStart"/>
            <w:r>
              <w:rPr>
                <w:rFonts w:ascii="仿宋_GB2312" w:eastAsia="仿宋_GB2312" w:hAnsi="仿宋_GB2312" w:cs="仿宋_GB2312" w:hint="eastAsia"/>
                <w:sz w:val="24"/>
              </w:rPr>
              <w:t>端实施</w:t>
            </w:r>
            <w:proofErr w:type="gramEnd"/>
            <w:r>
              <w:rPr>
                <w:rFonts w:ascii="仿宋_GB2312" w:eastAsia="仿宋_GB2312" w:hAnsi="仿宋_GB2312" w:cs="仿宋_GB2312" w:hint="eastAsia"/>
                <w:sz w:val="24"/>
              </w:rPr>
              <w:t>部署及质检规则配置</w:t>
            </w:r>
          </w:p>
        </w:tc>
        <w:tc>
          <w:tcPr>
            <w:tcW w:w="5381" w:type="dxa"/>
            <w:shd w:val="clear" w:color="000000" w:fill="FFFFFF"/>
            <w:vAlign w:val="center"/>
          </w:tcPr>
          <w:p w14:paraId="7231B2C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检察院关联的系统流程案件信息质检规则配置</w:t>
            </w:r>
          </w:p>
        </w:tc>
      </w:tr>
      <w:tr w:rsidR="00B02C6E" w14:paraId="67711A80" w14:textId="77777777" w:rsidTr="00453BF8">
        <w:tc>
          <w:tcPr>
            <w:tcW w:w="554" w:type="dxa"/>
            <w:shd w:val="clear" w:color="auto" w:fill="auto"/>
            <w:vAlign w:val="center"/>
          </w:tcPr>
          <w:p w14:paraId="6F92F84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44</w:t>
            </w:r>
          </w:p>
        </w:tc>
        <w:tc>
          <w:tcPr>
            <w:tcW w:w="381" w:type="dxa"/>
            <w:vMerge/>
            <w:shd w:val="clear" w:color="auto" w:fill="auto"/>
            <w:vAlign w:val="center"/>
          </w:tcPr>
          <w:p w14:paraId="744BB34D"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172A8663"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55724FB7" w14:textId="77777777" w:rsidR="00B02C6E" w:rsidRDefault="00B02C6E" w:rsidP="00453BF8">
            <w:pPr>
              <w:spacing w:line="560" w:lineRule="exact"/>
              <w:rPr>
                <w:rFonts w:ascii="仿宋_GB2312" w:eastAsia="仿宋_GB2312" w:hAnsi="仿宋_GB2312" w:cs="仿宋_GB2312"/>
              </w:rPr>
            </w:pPr>
          </w:p>
        </w:tc>
        <w:tc>
          <w:tcPr>
            <w:tcW w:w="1320" w:type="dxa"/>
            <w:shd w:val="clear" w:color="000000" w:fill="FFFFFF"/>
            <w:vAlign w:val="center"/>
          </w:tcPr>
          <w:p w14:paraId="1D6911D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司法</w:t>
            </w:r>
            <w:proofErr w:type="gramStart"/>
            <w:r>
              <w:rPr>
                <w:rFonts w:ascii="仿宋_GB2312" w:eastAsia="仿宋_GB2312" w:hAnsi="仿宋_GB2312" w:cs="仿宋_GB2312" w:hint="eastAsia"/>
                <w:sz w:val="24"/>
              </w:rPr>
              <w:t>端实施</w:t>
            </w:r>
            <w:proofErr w:type="gramEnd"/>
            <w:r>
              <w:rPr>
                <w:rFonts w:ascii="仿宋_GB2312" w:eastAsia="仿宋_GB2312" w:hAnsi="仿宋_GB2312" w:cs="仿宋_GB2312" w:hint="eastAsia"/>
                <w:sz w:val="24"/>
              </w:rPr>
              <w:t>部署及</w:t>
            </w:r>
            <w:r>
              <w:rPr>
                <w:rFonts w:ascii="仿宋_GB2312" w:eastAsia="仿宋_GB2312" w:hAnsi="仿宋_GB2312" w:cs="仿宋_GB2312" w:hint="eastAsia"/>
                <w:sz w:val="24"/>
              </w:rPr>
              <w:lastRenderedPageBreak/>
              <w:t>质检规则配置</w:t>
            </w:r>
          </w:p>
        </w:tc>
        <w:tc>
          <w:tcPr>
            <w:tcW w:w="5381" w:type="dxa"/>
            <w:shd w:val="clear" w:color="000000" w:fill="FFFFFF"/>
            <w:vAlign w:val="center"/>
          </w:tcPr>
          <w:p w14:paraId="62DD862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检察院关联的系统流程系统联调</w:t>
            </w:r>
          </w:p>
        </w:tc>
      </w:tr>
      <w:tr w:rsidR="00B02C6E" w14:paraId="0C025391" w14:textId="77777777" w:rsidTr="00453BF8">
        <w:tc>
          <w:tcPr>
            <w:tcW w:w="554" w:type="dxa"/>
            <w:vAlign w:val="center"/>
          </w:tcPr>
          <w:p w14:paraId="79129C8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45</w:t>
            </w:r>
          </w:p>
        </w:tc>
        <w:tc>
          <w:tcPr>
            <w:tcW w:w="381" w:type="dxa"/>
            <w:vMerge/>
            <w:vAlign w:val="center"/>
          </w:tcPr>
          <w:p w14:paraId="5A0AF24E"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70FE7479" w14:textId="77777777" w:rsidR="00B02C6E" w:rsidRDefault="00B02C6E" w:rsidP="00453BF8">
            <w:pPr>
              <w:spacing w:line="560" w:lineRule="exact"/>
              <w:rPr>
                <w:rFonts w:ascii="仿宋_GB2312" w:eastAsia="仿宋_GB2312" w:hAnsi="仿宋_GB2312" w:cs="仿宋_GB2312"/>
              </w:rPr>
            </w:pPr>
          </w:p>
        </w:tc>
        <w:tc>
          <w:tcPr>
            <w:tcW w:w="763" w:type="dxa"/>
            <w:vMerge w:val="restart"/>
            <w:vAlign w:val="center"/>
          </w:tcPr>
          <w:p w14:paraId="6CC7338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补充材料业务流程</w:t>
            </w:r>
          </w:p>
        </w:tc>
        <w:tc>
          <w:tcPr>
            <w:tcW w:w="1320" w:type="dxa"/>
            <w:vAlign w:val="center"/>
          </w:tcPr>
          <w:p w14:paraId="310FA4E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通知补充材料</w:t>
            </w:r>
          </w:p>
        </w:tc>
        <w:tc>
          <w:tcPr>
            <w:tcW w:w="5381" w:type="dxa"/>
            <w:vAlign w:val="center"/>
          </w:tcPr>
          <w:p w14:paraId="4036A91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通知补充材料</w:t>
            </w:r>
          </w:p>
        </w:tc>
      </w:tr>
      <w:tr w:rsidR="00B02C6E" w14:paraId="5872E8DF" w14:textId="77777777" w:rsidTr="00453BF8">
        <w:tc>
          <w:tcPr>
            <w:tcW w:w="554" w:type="dxa"/>
            <w:vAlign w:val="center"/>
          </w:tcPr>
          <w:p w14:paraId="504CA49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46</w:t>
            </w:r>
          </w:p>
        </w:tc>
        <w:tc>
          <w:tcPr>
            <w:tcW w:w="381" w:type="dxa"/>
            <w:vMerge/>
            <w:vAlign w:val="center"/>
          </w:tcPr>
          <w:p w14:paraId="2752F033"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33D5A8F9"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26C02722"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34AA128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补充材料推送</w:t>
            </w:r>
          </w:p>
        </w:tc>
        <w:tc>
          <w:tcPr>
            <w:tcW w:w="5381" w:type="dxa"/>
            <w:vAlign w:val="center"/>
          </w:tcPr>
          <w:p w14:paraId="7B9684D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补充材料推送</w:t>
            </w:r>
          </w:p>
        </w:tc>
      </w:tr>
      <w:tr w:rsidR="00B02C6E" w14:paraId="0C8AE220" w14:textId="77777777" w:rsidTr="00453BF8">
        <w:tc>
          <w:tcPr>
            <w:tcW w:w="554" w:type="dxa"/>
            <w:shd w:val="clear" w:color="auto" w:fill="auto"/>
            <w:vAlign w:val="center"/>
          </w:tcPr>
          <w:p w14:paraId="4B5C98D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47</w:t>
            </w:r>
          </w:p>
        </w:tc>
        <w:tc>
          <w:tcPr>
            <w:tcW w:w="381" w:type="dxa"/>
            <w:vMerge/>
            <w:shd w:val="clear" w:color="auto" w:fill="auto"/>
            <w:vAlign w:val="center"/>
          </w:tcPr>
          <w:p w14:paraId="3A60442D"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1A24448C"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7C666C4C" w14:textId="77777777" w:rsidR="00B02C6E" w:rsidRDefault="00B02C6E" w:rsidP="00453BF8">
            <w:pPr>
              <w:spacing w:line="560" w:lineRule="exact"/>
              <w:rPr>
                <w:rFonts w:ascii="仿宋_GB2312" w:eastAsia="仿宋_GB2312" w:hAnsi="仿宋_GB2312" w:cs="仿宋_GB2312"/>
              </w:rPr>
            </w:pPr>
          </w:p>
        </w:tc>
        <w:tc>
          <w:tcPr>
            <w:tcW w:w="1320" w:type="dxa"/>
            <w:shd w:val="clear" w:color="000000" w:fill="FFFFFF"/>
            <w:vAlign w:val="center"/>
          </w:tcPr>
          <w:p w14:paraId="00559DB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公安</w:t>
            </w:r>
            <w:proofErr w:type="gramStart"/>
            <w:r>
              <w:rPr>
                <w:rFonts w:ascii="仿宋_GB2312" w:eastAsia="仿宋_GB2312" w:hAnsi="仿宋_GB2312" w:cs="仿宋_GB2312" w:hint="eastAsia"/>
                <w:sz w:val="24"/>
              </w:rPr>
              <w:t>端实施</w:t>
            </w:r>
            <w:proofErr w:type="gramEnd"/>
            <w:r>
              <w:rPr>
                <w:rFonts w:ascii="仿宋_GB2312" w:eastAsia="仿宋_GB2312" w:hAnsi="仿宋_GB2312" w:cs="仿宋_GB2312" w:hint="eastAsia"/>
                <w:sz w:val="24"/>
              </w:rPr>
              <w:t>部署及质检规则配置</w:t>
            </w:r>
          </w:p>
        </w:tc>
        <w:tc>
          <w:tcPr>
            <w:tcW w:w="5381" w:type="dxa"/>
            <w:shd w:val="clear" w:color="000000" w:fill="FFFFFF"/>
            <w:vAlign w:val="center"/>
          </w:tcPr>
          <w:p w14:paraId="6F9043E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公安关联的流程案件信息质检规则配置</w:t>
            </w:r>
          </w:p>
        </w:tc>
      </w:tr>
      <w:tr w:rsidR="00B02C6E" w14:paraId="34A38362" w14:textId="77777777" w:rsidTr="00453BF8">
        <w:tc>
          <w:tcPr>
            <w:tcW w:w="554" w:type="dxa"/>
            <w:shd w:val="clear" w:color="auto" w:fill="auto"/>
            <w:vAlign w:val="center"/>
          </w:tcPr>
          <w:p w14:paraId="47118D4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48</w:t>
            </w:r>
          </w:p>
        </w:tc>
        <w:tc>
          <w:tcPr>
            <w:tcW w:w="381" w:type="dxa"/>
            <w:vMerge/>
            <w:shd w:val="clear" w:color="auto" w:fill="auto"/>
            <w:vAlign w:val="center"/>
          </w:tcPr>
          <w:p w14:paraId="0765208E"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4D9E9990"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58760912" w14:textId="77777777" w:rsidR="00B02C6E" w:rsidRDefault="00B02C6E" w:rsidP="00453BF8">
            <w:pPr>
              <w:spacing w:line="560" w:lineRule="exact"/>
              <w:rPr>
                <w:rFonts w:ascii="仿宋_GB2312" w:eastAsia="仿宋_GB2312" w:hAnsi="仿宋_GB2312" w:cs="仿宋_GB2312"/>
              </w:rPr>
            </w:pPr>
          </w:p>
        </w:tc>
        <w:tc>
          <w:tcPr>
            <w:tcW w:w="1320" w:type="dxa"/>
            <w:shd w:val="clear" w:color="000000" w:fill="FFFFFF"/>
            <w:vAlign w:val="center"/>
          </w:tcPr>
          <w:p w14:paraId="4346D6A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检察院</w:t>
            </w:r>
            <w:proofErr w:type="gramStart"/>
            <w:r>
              <w:rPr>
                <w:rFonts w:ascii="仿宋_GB2312" w:eastAsia="仿宋_GB2312" w:hAnsi="仿宋_GB2312" w:cs="仿宋_GB2312" w:hint="eastAsia"/>
                <w:sz w:val="24"/>
              </w:rPr>
              <w:t>端实施</w:t>
            </w:r>
            <w:proofErr w:type="gramEnd"/>
            <w:r>
              <w:rPr>
                <w:rFonts w:ascii="仿宋_GB2312" w:eastAsia="仿宋_GB2312" w:hAnsi="仿宋_GB2312" w:cs="仿宋_GB2312" w:hint="eastAsia"/>
                <w:sz w:val="24"/>
              </w:rPr>
              <w:t>部署及质检规则配置</w:t>
            </w:r>
          </w:p>
        </w:tc>
        <w:tc>
          <w:tcPr>
            <w:tcW w:w="5381" w:type="dxa"/>
            <w:shd w:val="clear" w:color="000000" w:fill="FFFFFF"/>
            <w:vAlign w:val="center"/>
          </w:tcPr>
          <w:p w14:paraId="0FA47ED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公安关联的系统流程系统联调</w:t>
            </w:r>
          </w:p>
        </w:tc>
      </w:tr>
      <w:tr w:rsidR="00B02C6E" w14:paraId="09AA00B2" w14:textId="77777777" w:rsidTr="00453BF8">
        <w:tc>
          <w:tcPr>
            <w:tcW w:w="554" w:type="dxa"/>
            <w:shd w:val="clear" w:color="auto" w:fill="auto"/>
            <w:vAlign w:val="center"/>
          </w:tcPr>
          <w:p w14:paraId="7FF408A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49</w:t>
            </w:r>
          </w:p>
        </w:tc>
        <w:tc>
          <w:tcPr>
            <w:tcW w:w="381" w:type="dxa"/>
            <w:vMerge/>
            <w:shd w:val="clear" w:color="auto" w:fill="auto"/>
            <w:vAlign w:val="center"/>
          </w:tcPr>
          <w:p w14:paraId="4FFE29B8"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64935354"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02F0B568" w14:textId="77777777" w:rsidR="00B02C6E" w:rsidRDefault="00B02C6E" w:rsidP="00453BF8">
            <w:pPr>
              <w:spacing w:line="560" w:lineRule="exact"/>
              <w:rPr>
                <w:rFonts w:ascii="仿宋_GB2312" w:eastAsia="仿宋_GB2312" w:hAnsi="仿宋_GB2312" w:cs="仿宋_GB2312"/>
              </w:rPr>
            </w:pPr>
          </w:p>
        </w:tc>
        <w:tc>
          <w:tcPr>
            <w:tcW w:w="1320" w:type="dxa"/>
            <w:shd w:val="clear" w:color="000000" w:fill="FFFFFF"/>
            <w:vAlign w:val="center"/>
          </w:tcPr>
          <w:p w14:paraId="676BFBD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法院</w:t>
            </w:r>
            <w:proofErr w:type="gramStart"/>
            <w:r>
              <w:rPr>
                <w:rFonts w:ascii="仿宋_GB2312" w:eastAsia="仿宋_GB2312" w:hAnsi="仿宋_GB2312" w:cs="仿宋_GB2312" w:hint="eastAsia"/>
                <w:sz w:val="24"/>
              </w:rPr>
              <w:t>端实施</w:t>
            </w:r>
            <w:proofErr w:type="gramEnd"/>
            <w:r>
              <w:rPr>
                <w:rFonts w:ascii="仿宋_GB2312" w:eastAsia="仿宋_GB2312" w:hAnsi="仿宋_GB2312" w:cs="仿宋_GB2312" w:hint="eastAsia"/>
                <w:sz w:val="24"/>
              </w:rPr>
              <w:t>部署及质检规则配置</w:t>
            </w:r>
          </w:p>
        </w:tc>
        <w:tc>
          <w:tcPr>
            <w:tcW w:w="5381" w:type="dxa"/>
            <w:shd w:val="clear" w:color="000000" w:fill="FFFFFF"/>
            <w:vAlign w:val="center"/>
          </w:tcPr>
          <w:p w14:paraId="34AA707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检察院关联的系统流程案件信息质检规则配置</w:t>
            </w:r>
          </w:p>
        </w:tc>
      </w:tr>
      <w:tr w:rsidR="00B02C6E" w14:paraId="473F8B04" w14:textId="77777777" w:rsidTr="00453BF8">
        <w:tc>
          <w:tcPr>
            <w:tcW w:w="554" w:type="dxa"/>
            <w:shd w:val="clear" w:color="auto" w:fill="auto"/>
            <w:vAlign w:val="center"/>
          </w:tcPr>
          <w:p w14:paraId="59E9504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50</w:t>
            </w:r>
          </w:p>
        </w:tc>
        <w:tc>
          <w:tcPr>
            <w:tcW w:w="381" w:type="dxa"/>
            <w:vMerge/>
            <w:shd w:val="clear" w:color="auto" w:fill="auto"/>
            <w:vAlign w:val="center"/>
          </w:tcPr>
          <w:p w14:paraId="66B8B22A"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5697EC51"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1D51D152" w14:textId="77777777" w:rsidR="00B02C6E" w:rsidRDefault="00B02C6E" w:rsidP="00453BF8">
            <w:pPr>
              <w:spacing w:line="560" w:lineRule="exact"/>
              <w:rPr>
                <w:rFonts w:ascii="仿宋_GB2312" w:eastAsia="仿宋_GB2312" w:hAnsi="仿宋_GB2312" w:cs="仿宋_GB2312"/>
              </w:rPr>
            </w:pPr>
          </w:p>
        </w:tc>
        <w:tc>
          <w:tcPr>
            <w:tcW w:w="1320" w:type="dxa"/>
            <w:shd w:val="clear" w:color="000000" w:fill="FFFFFF"/>
            <w:vAlign w:val="center"/>
          </w:tcPr>
          <w:p w14:paraId="66D7EDD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司法</w:t>
            </w:r>
            <w:proofErr w:type="gramStart"/>
            <w:r>
              <w:rPr>
                <w:rFonts w:ascii="仿宋_GB2312" w:eastAsia="仿宋_GB2312" w:hAnsi="仿宋_GB2312" w:cs="仿宋_GB2312" w:hint="eastAsia"/>
                <w:sz w:val="24"/>
              </w:rPr>
              <w:t>端实施</w:t>
            </w:r>
            <w:proofErr w:type="gramEnd"/>
            <w:r>
              <w:rPr>
                <w:rFonts w:ascii="仿宋_GB2312" w:eastAsia="仿宋_GB2312" w:hAnsi="仿宋_GB2312" w:cs="仿宋_GB2312" w:hint="eastAsia"/>
                <w:sz w:val="24"/>
              </w:rPr>
              <w:t>部署及质检规则配置</w:t>
            </w:r>
          </w:p>
        </w:tc>
        <w:tc>
          <w:tcPr>
            <w:tcW w:w="5381" w:type="dxa"/>
            <w:shd w:val="clear" w:color="000000" w:fill="FFFFFF"/>
            <w:vAlign w:val="center"/>
          </w:tcPr>
          <w:p w14:paraId="04CCFE2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检察院关联的系统流程系统联调</w:t>
            </w:r>
          </w:p>
        </w:tc>
      </w:tr>
      <w:tr w:rsidR="00B02C6E" w14:paraId="43B39658" w14:textId="77777777" w:rsidTr="00453BF8">
        <w:tc>
          <w:tcPr>
            <w:tcW w:w="554" w:type="dxa"/>
            <w:vAlign w:val="center"/>
          </w:tcPr>
          <w:p w14:paraId="6BC4F8A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51</w:t>
            </w:r>
          </w:p>
        </w:tc>
        <w:tc>
          <w:tcPr>
            <w:tcW w:w="381" w:type="dxa"/>
            <w:vMerge/>
            <w:vAlign w:val="center"/>
          </w:tcPr>
          <w:p w14:paraId="7E844DEC" w14:textId="77777777" w:rsidR="00B02C6E" w:rsidRDefault="00B02C6E" w:rsidP="00453BF8">
            <w:pPr>
              <w:spacing w:line="560" w:lineRule="exact"/>
              <w:rPr>
                <w:rFonts w:ascii="仿宋_GB2312" w:eastAsia="仿宋_GB2312" w:hAnsi="仿宋_GB2312" w:cs="仿宋_GB2312"/>
              </w:rPr>
            </w:pPr>
          </w:p>
        </w:tc>
        <w:tc>
          <w:tcPr>
            <w:tcW w:w="547" w:type="dxa"/>
            <w:vAlign w:val="center"/>
          </w:tcPr>
          <w:p w14:paraId="34AE518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现有</w:t>
            </w:r>
            <w:r>
              <w:rPr>
                <w:rFonts w:ascii="仿宋_GB2312" w:eastAsia="仿宋_GB2312" w:hAnsi="仿宋_GB2312" w:cs="仿宋_GB2312" w:hint="eastAsia"/>
                <w:sz w:val="24"/>
              </w:rPr>
              <w:lastRenderedPageBreak/>
              <w:t>流程数据项完善</w:t>
            </w:r>
          </w:p>
        </w:tc>
        <w:tc>
          <w:tcPr>
            <w:tcW w:w="763" w:type="dxa"/>
            <w:vAlign w:val="center"/>
          </w:tcPr>
          <w:p w14:paraId="1E7B104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现有流程</w:t>
            </w:r>
            <w:r>
              <w:rPr>
                <w:rFonts w:ascii="仿宋_GB2312" w:eastAsia="仿宋_GB2312" w:hAnsi="仿宋_GB2312" w:cs="仿宋_GB2312" w:hint="eastAsia"/>
                <w:sz w:val="24"/>
              </w:rPr>
              <w:lastRenderedPageBreak/>
              <w:t>数据项完善</w:t>
            </w:r>
          </w:p>
        </w:tc>
        <w:tc>
          <w:tcPr>
            <w:tcW w:w="1320" w:type="dxa"/>
            <w:vAlign w:val="center"/>
          </w:tcPr>
          <w:p w14:paraId="722B170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现有流程数据项完</w:t>
            </w:r>
            <w:r>
              <w:rPr>
                <w:rFonts w:ascii="仿宋_GB2312" w:eastAsia="仿宋_GB2312" w:hAnsi="仿宋_GB2312" w:cs="仿宋_GB2312" w:hint="eastAsia"/>
                <w:sz w:val="24"/>
              </w:rPr>
              <w:lastRenderedPageBreak/>
              <w:t>善配合联调</w:t>
            </w:r>
          </w:p>
        </w:tc>
        <w:tc>
          <w:tcPr>
            <w:tcW w:w="5381" w:type="dxa"/>
            <w:vAlign w:val="center"/>
          </w:tcPr>
          <w:p w14:paraId="7A20499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对已建流程，法检公司间需要新增数据项，</w:t>
            </w:r>
            <w:proofErr w:type="gramStart"/>
            <w:r>
              <w:rPr>
                <w:rFonts w:ascii="仿宋_GB2312" w:eastAsia="仿宋_GB2312" w:hAnsi="仿宋_GB2312" w:cs="仿宋_GB2312" w:hint="eastAsia"/>
                <w:sz w:val="24"/>
              </w:rPr>
              <w:t>政法委端配合</w:t>
            </w:r>
            <w:proofErr w:type="gramEnd"/>
            <w:r>
              <w:rPr>
                <w:rFonts w:ascii="仿宋_GB2312" w:eastAsia="仿宋_GB2312" w:hAnsi="仿宋_GB2312" w:cs="仿宋_GB2312" w:hint="eastAsia"/>
                <w:sz w:val="24"/>
              </w:rPr>
              <w:t>研发、调试</w:t>
            </w:r>
          </w:p>
        </w:tc>
      </w:tr>
      <w:tr w:rsidR="00B02C6E" w14:paraId="0CEB2B3A" w14:textId="77777777" w:rsidTr="00453BF8">
        <w:tc>
          <w:tcPr>
            <w:tcW w:w="554" w:type="dxa"/>
            <w:vMerge w:val="restart"/>
            <w:vAlign w:val="center"/>
          </w:tcPr>
          <w:p w14:paraId="5B9B973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52</w:t>
            </w:r>
          </w:p>
        </w:tc>
        <w:tc>
          <w:tcPr>
            <w:tcW w:w="381" w:type="dxa"/>
            <w:vMerge w:val="restart"/>
            <w:vAlign w:val="center"/>
          </w:tcPr>
          <w:p w14:paraId="7B06073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执法监督</w:t>
            </w:r>
          </w:p>
        </w:tc>
        <w:tc>
          <w:tcPr>
            <w:tcW w:w="547" w:type="dxa"/>
            <w:vMerge w:val="restart"/>
            <w:vAlign w:val="center"/>
          </w:tcPr>
          <w:p w14:paraId="315036E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程序性风险专题案件审查</w:t>
            </w:r>
          </w:p>
        </w:tc>
        <w:tc>
          <w:tcPr>
            <w:tcW w:w="763" w:type="dxa"/>
            <w:vMerge w:val="restart"/>
            <w:vAlign w:val="center"/>
          </w:tcPr>
          <w:p w14:paraId="6D56247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程序性风险监督模型</w:t>
            </w:r>
          </w:p>
        </w:tc>
        <w:tc>
          <w:tcPr>
            <w:tcW w:w="1320" w:type="dxa"/>
            <w:vMerge w:val="restart"/>
            <w:vAlign w:val="center"/>
          </w:tcPr>
          <w:p w14:paraId="1CC2A59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移诉</w:t>
            </w:r>
            <w:proofErr w:type="gramStart"/>
            <w:r>
              <w:rPr>
                <w:rFonts w:ascii="仿宋_GB2312" w:eastAsia="仿宋_GB2312" w:hAnsi="仿宋_GB2312" w:cs="仿宋_GB2312" w:hint="eastAsia"/>
                <w:sz w:val="24"/>
              </w:rPr>
              <w:t>后撤案</w:t>
            </w:r>
            <w:proofErr w:type="gramEnd"/>
          </w:p>
        </w:tc>
        <w:tc>
          <w:tcPr>
            <w:tcW w:w="5381" w:type="dxa"/>
            <w:vAlign w:val="center"/>
          </w:tcPr>
          <w:p w14:paraId="7256F46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监督点：公安移送审查起诉后又撤回的案件</w:t>
            </w:r>
          </w:p>
        </w:tc>
      </w:tr>
      <w:tr w:rsidR="00B02C6E" w14:paraId="108671BE" w14:textId="77777777" w:rsidTr="00453BF8">
        <w:tc>
          <w:tcPr>
            <w:tcW w:w="554" w:type="dxa"/>
            <w:vMerge/>
            <w:vAlign w:val="center"/>
          </w:tcPr>
          <w:p w14:paraId="34E603D9"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772E6303"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4999595C"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1B05EE39"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4D90C557"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45EF832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案件筛选：检察院刑事审查逮捕案件中移诉</w:t>
            </w:r>
            <w:proofErr w:type="gramStart"/>
            <w:r>
              <w:rPr>
                <w:rFonts w:ascii="仿宋_GB2312" w:eastAsia="仿宋_GB2312" w:hAnsi="仿宋_GB2312" w:cs="仿宋_GB2312" w:hint="eastAsia"/>
                <w:sz w:val="24"/>
              </w:rPr>
              <w:t>后撤案</w:t>
            </w:r>
            <w:proofErr w:type="gramEnd"/>
            <w:r>
              <w:rPr>
                <w:rFonts w:ascii="仿宋_GB2312" w:eastAsia="仿宋_GB2312" w:hAnsi="仿宋_GB2312" w:cs="仿宋_GB2312" w:hint="eastAsia"/>
                <w:sz w:val="24"/>
              </w:rPr>
              <w:t>的案件</w:t>
            </w:r>
          </w:p>
        </w:tc>
      </w:tr>
      <w:tr w:rsidR="00B02C6E" w14:paraId="64A8005D" w14:textId="77777777" w:rsidTr="00453BF8">
        <w:tc>
          <w:tcPr>
            <w:tcW w:w="554" w:type="dxa"/>
            <w:vMerge/>
            <w:vAlign w:val="center"/>
          </w:tcPr>
          <w:p w14:paraId="10C636F4"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1F36F992"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1B112218"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7B55B434"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21EF25A7"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6E844DC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数据信息项：案件编号，案件名称，案件详细案由，案件办理单位，案件具体承办单位</w:t>
            </w:r>
          </w:p>
        </w:tc>
      </w:tr>
      <w:tr w:rsidR="00B02C6E" w14:paraId="57A78F62" w14:textId="77777777" w:rsidTr="00453BF8">
        <w:tc>
          <w:tcPr>
            <w:tcW w:w="554" w:type="dxa"/>
            <w:vMerge/>
            <w:vAlign w:val="center"/>
          </w:tcPr>
          <w:p w14:paraId="1C22D76A"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7FAEB8FF"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6CFC1761"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1E19D11D"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5F77F629"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182B7EA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模型设计：识别各程序性案件的风险，按预设规则计算风险值，找出异常的指标。</w:t>
            </w:r>
          </w:p>
        </w:tc>
      </w:tr>
      <w:tr w:rsidR="00B02C6E" w14:paraId="555318D1" w14:textId="77777777" w:rsidTr="00453BF8">
        <w:tc>
          <w:tcPr>
            <w:tcW w:w="554" w:type="dxa"/>
            <w:vMerge w:val="restart"/>
            <w:vAlign w:val="center"/>
          </w:tcPr>
          <w:p w14:paraId="523488F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53</w:t>
            </w:r>
          </w:p>
        </w:tc>
        <w:tc>
          <w:tcPr>
            <w:tcW w:w="381" w:type="dxa"/>
            <w:vMerge/>
            <w:vAlign w:val="center"/>
          </w:tcPr>
          <w:p w14:paraId="4476D720"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1E27C257"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765743AB" w14:textId="77777777" w:rsidR="00B02C6E" w:rsidRDefault="00B02C6E" w:rsidP="00453BF8">
            <w:pPr>
              <w:spacing w:line="560" w:lineRule="exact"/>
              <w:rPr>
                <w:rFonts w:ascii="仿宋_GB2312" w:eastAsia="仿宋_GB2312" w:hAnsi="仿宋_GB2312" w:cs="仿宋_GB2312"/>
              </w:rPr>
            </w:pPr>
          </w:p>
        </w:tc>
        <w:tc>
          <w:tcPr>
            <w:tcW w:w="1320" w:type="dxa"/>
            <w:vMerge w:val="restart"/>
            <w:vAlign w:val="center"/>
          </w:tcPr>
          <w:p w14:paraId="0CCBDC9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不批准逮捕案件</w:t>
            </w:r>
          </w:p>
        </w:tc>
        <w:tc>
          <w:tcPr>
            <w:tcW w:w="5381" w:type="dxa"/>
            <w:vAlign w:val="center"/>
          </w:tcPr>
          <w:p w14:paraId="03D9CB2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监督点：不批准逮捕案件</w:t>
            </w:r>
          </w:p>
        </w:tc>
      </w:tr>
      <w:tr w:rsidR="00B02C6E" w14:paraId="51960614" w14:textId="77777777" w:rsidTr="00453BF8">
        <w:tc>
          <w:tcPr>
            <w:tcW w:w="554" w:type="dxa"/>
            <w:vMerge/>
            <w:vAlign w:val="center"/>
          </w:tcPr>
          <w:p w14:paraId="6FEBE39D"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4787E822"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43E141FC"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33AD2E06"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15CB6EFA"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386D3BA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案件筛选：检察院刑事审查逮捕案件中审查逮捕结果=不逮捕、不批准逮捕的案件</w:t>
            </w:r>
          </w:p>
        </w:tc>
      </w:tr>
      <w:tr w:rsidR="00B02C6E" w14:paraId="28CBD86E" w14:textId="77777777" w:rsidTr="00453BF8">
        <w:tc>
          <w:tcPr>
            <w:tcW w:w="554" w:type="dxa"/>
            <w:vMerge/>
            <w:vAlign w:val="center"/>
          </w:tcPr>
          <w:p w14:paraId="0373FEA4"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13FC9719"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5C3D526D"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37901037"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2CCAE80C"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7F34D49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数据信息项：案件编号，案件名称，案件详细案由，案件办理单位，案件具体承办单位</w:t>
            </w:r>
          </w:p>
        </w:tc>
      </w:tr>
      <w:tr w:rsidR="00B02C6E" w14:paraId="0B3BEBD9" w14:textId="77777777" w:rsidTr="00453BF8">
        <w:tc>
          <w:tcPr>
            <w:tcW w:w="554" w:type="dxa"/>
            <w:vMerge/>
            <w:vAlign w:val="center"/>
          </w:tcPr>
          <w:p w14:paraId="2F3AC350"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7C63953F"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13619324"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21568C4B"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1050E647"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0A9EDAC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模型设计：识别各程序性案件的风险，按预设规则计算风险值，找出异常的指标。</w:t>
            </w:r>
          </w:p>
        </w:tc>
      </w:tr>
      <w:tr w:rsidR="00B02C6E" w14:paraId="6A9A811F" w14:textId="77777777" w:rsidTr="00453BF8">
        <w:tc>
          <w:tcPr>
            <w:tcW w:w="554" w:type="dxa"/>
            <w:vMerge w:val="restart"/>
            <w:vAlign w:val="center"/>
          </w:tcPr>
          <w:p w14:paraId="14D3985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54</w:t>
            </w:r>
          </w:p>
        </w:tc>
        <w:tc>
          <w:tcPr>
            <w:tcW w:w="381" w:type="dxa"/>
            <w:vMerge/>
            <w:vAlign w:val="center"/>
          </w:tcPr>
          <w:p w14:paraId="1488C190"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5D76775E"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24CE4AFC" w14:textId="77777777" w:rsidR="00B02C6E" w:rsidRDefault="00B02C6E" w:rsidP="00453BF8">
            <w:pPr>
              <w:spacing w:line="560" w:lineRule="exact"/>
              <w:rPr>
                <w:rFonts w:ascii="仿宋_GB2312" w:eastAsia="仿宋_GB2312" w:hAnsi="仿宋_GB2312" w:cs="仿宋_GB2312"/>
              </w:rPr>
            </w:pPr>
          </w:p>
        </w:tc>
        <w:tc>
          <w:tcPr>
            <w:tcW w:w="1320" w:type="dxa"/>
            <w:vMerge w:val="restart"/>
            <w:vAlign w:val="center"/>
          </w:tcPr>
          <w:p w14:paraId="191F665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一次退补</w:t>
            </w:r>
          </w:p>
        </w:tc>
        <w:tc>
          <w:tcPr>
            <w:tcW w:w="5381" w:type="dxa"/>
            <w:vAlign w:val="center"/>
          </w:tcPr>
          <w:p w14:paraId="64A6B5D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监督点：检察院审查起诉阶段第一次退</w:t>
            </w:r>
            <w:proofErr w:type="gramStart"/>
            <w:r>
              <w:rPr>
                <w:rFonts w:ascii="仿宋_GB2312" w:eastAsia="仿宋_GB2312" w:hAnsi="仿宋_GB2312" w:cs="仿宋_GB2312" w:hint="eastAsia"/>
                <w:sz w:val="24"/>
              </w:rPr>
              <w:t>侦</w:t>
            </w:r>
            <w:proofErr w:type="gramEnd"/>
            <w:r>
              <w:rPr>
                <w:rFonts w:ascii="仿宋_GB2312" w:eastAsia="仿宋_GB2312" w:hAnsi="仿宋_GB2312" w:cs="仿宋_GB2312" w:hint="eastAsia"/>
                <w:sz w:val="24"/>
              </w:rPr>
              <w:t>的案件</w:t>
            </w:r>
          </w:p>
        </w:tc>
      </w:tr>
      <w:tr w:rsidR="00B02C6E" w14:paraId="6BDE893A" w14:textId="77777777" w:rsidTr="00453BF8">
        <w:tc>
          <w:tcPr>
            <w:tcW w:w="554" w:type="dxa"/>
            <w:vMerge/>
            <w:vAlign w:val="center"/>
          </w:tcPr>
          <w:p w14:paraId="44586CCF"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0F532648"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03F04CE9"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34C33553"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3FE19136"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4B8C993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案件筛选：筛选检察院刑事审查起诉案件中，一次退查日期或一次退查理由不为空且二次退查日期</w:t>
            </w:r>
            <w:r>
              <w:rPr>
                <w:rFonts w:ascii="仿宋_GB2312" w:eastAsia="仿宋_GB2312" w:hAnsi="仿宋_GB2312" w:cs="仿宋_GB2312" w:hint="eastAsia"/>
                <w:sz w:val="24"/>
              </w:rPr>
              <w:lastRenderedPageBreak/>
              <w:t>或二次退查理由为空的案件</w:t>
            </w:r>
          </w:p>
        </w:tc>
      </w:tr>
      <w:tr w:rsidR="00B02C6E" w14:paraId="77D99110" w14:textId="77777777" w:rsidTr="00453BF8">
        <w:tc>
          <w:tcPr>
            <w:tcW w:w="554" w:type="dxa"/>
            <w:vMerge/>
            <w:vAlign w:val="center"/>
          </w:tcPr>
          <w:p w14:paraId="53436364"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5B48CDC4"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130ABB43"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1DBEB1C3"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37B65710"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6936D6C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数据信息项：案件编号，案件名称，案件详细案由，案件办理单位，案件具体承办单位</w:t>
            </w:r>
          </w:p>
        </w:tc>
      </w:tr>
      <w:tr w:rsidR="00B02C6E" w14:paraId="7B3E9C3D" w14:textId="77777777" w:rsidTr="00453BF8">
        <w:tc>
          <w:tcPr>
            <w:tcW w:w="554" w:type="dxa"/>
            <w:vMerge/>
            <w:vAlign w:val="center"/>
          </w:tcPr>
          <w:p w14:paraId="709F02AE"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1F36AE65"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0FCD22CC"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4BBCB83C"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21F4C49E"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4627ADA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模型设计：识别各程序性案件的风险，按预设规则计算风险值，找出异常的指标。</w:t>
            </w:r>
          </w:p>
        </w:tc>
      </w:tr>
      <w:tr w:rsidR="00B02C6E" w14:paraId="42CFEE45" w14:textId="77777777" w:rsidTr="00453BF8">
        <w:tc>
          <w:tcPr>
            <w:tcW w:w="554" w:type="dxa"/>
            <w:vMerge w:val="restart"/>
            <w:vAlign w:val="center"/>
          </w:tcPr>
          <w:p w14:paraId="2BFCBA8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55</w:t>
            </w:r>
          </w:p>
        </w:tc>
        <w:tc>
          <w:tcPr>
            <w:tcW w:w="381" w:type="dxa"/>
            <w:vMerge/>
            <w:vAlign w:val="center"/>
          </w:tcPr>
          <w:p w14:paraId="198DD718"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718170B5"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0DCDCA6A" w14:textId="77777777" w:rsidR="00B02C6E" w:rsidRDefault="00B02C6E" w:rsidP="00453BF8">
            <w:pPr>
              <w:spacing w:line="560" w:lineRule="exact"/>
              <w:rPr>
                <w:rFonts w:ascii="仿宋_GB2312" w:eastAsia="仿宋_GB2312" w:hAnsi="仿宋_GB2312" w:cs="仿宋_GB2312"/>
              </w:rPr>
            </w:pPr>
          </w:p>
        </w:tc>
        <w:tc>
          <w:tcPr>
            <w:tcW w:w="1320" w:type="dxa"/>
            <w:vMerge w:val="restart"/>
            <w:vAlign w:val="center"/>
          </w:tcPr>
          <w:p w14:paraId="2ADB055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二次退补</w:t>
            </w:r>
          </w:p>
        </w:tc>
        <w:tc>
          <w:tcPr>
            <w:tcW w:w="5381" w:type="dxa"/>
            <w:vAlign w:val="center"/>
          </w:tcPr>
          <w:p w14:paraId="2F67F93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监督点：检察院审查起诉阶段两次退</w:t>
            </w:r>
            <w:proofErr w:type="gramStart"/>
            <w:r>
              <w:rPr>
                <w:rFonts w:ascii="仿宋_GB2312" w:eastAsia="仿宋_GB2312" w:hAnsi="仿宋_GB2312" w:cs="仿宋_GB2312" w:hint="eastAsia"/>
                <w:sz w:val="24"/>
              </w:rPr>
              <w:t>侦</w:t>
            </w:r>
            <w:proofErr w:type="gramEnd"/>
            <w:r>
              <w:rPr>
                <w:rFonts w:ascii="仿宋_GB2312" w:eastAsia="仿宋_GB2312" w:hAnsi="仿宋_GB2312" w:cs="仿宋_GB2312" w:hint="eastAsia"/>
                <w:sz w:val="24"/>
              </w:rPr>
              <w:t>的案件</w:t>
            </w:r>
          </w:p>
        </w:tc>
      </w:tr>
      <w:tr w:rsidR="00B02C6E" w14:paraId="4DF4F729" w14:textId="77777777" w:rsidTr="00453BF8">
        <w:tc>
          <w:tcPr>
            <w:tcW w:w="554" w:type="dxa"/>
            <w:vMerge/>
            <w:vAlign w:val="center"/>
          </w:tcPr>
          <w:p w14:paraId="3DF4B79D"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7034E71C"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38931EA6"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7F0B9B58"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7B538563"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4E31221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案件筛选：筛选检察院刑事审查起诉案件中，二次退查日期或二次退查理由不为空的案件</w:t>
            </w:r>
          </w:p>
        </w:tc>
      </w:tr>
      <w:tr w:rsidR="00B02C6E" w14:paraId="3B0F8D66" w14:textId="77777777" w:rsidTr="00453BF8">
        <w:tc>
          <w:tcPr>
            <w:tcW w:w="554" w:type="dxa"/>
            <w:vMerge/>
            <w:vAlign w:val="center"/>
          </w:tcPr>
          <w:p w14:paraId="49BACBF1"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1E2EB38B"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00AAB0EB"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2F51DD8C"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72AD03D9"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727985D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数据信息项：案件编号，案件名称，案件详细案由，案件办理单位，案件具体承办单位</w:t>
            </w:r>
          </w:p>
        </w:tc>
      </w:tr>
      <w:tr w:rsidR="00B02C6E" w14:paraId="52629A91" w14:textId="77777777" w:rsidTr="00453BF8">
        <w:tc>
          <w:tcPr>
            <w:tcW w:w="554" w:type="dxa"/>
            <w:vMerge/>
            <w:vAlign w:val="center"/>
          </w:tcPr>
          <w:p w14:paraId="5EB0603D"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2F68EA5D"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66F3C255"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30731AD6"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4AD9430E"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0BEE5C9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模型设计：识别各程序性案件的风险，按预设规则计算风险值，找出异常的指标。</w:t>
            </w:r>
          </w:p>
        </w:tc>
      </w:tr>
      <w:tr w:rsidR="00B02C6E" w14:paraId="1607BE36" w14:textId="77777777" w:rsidTr="00453BF8">
        <w:tc>
          <w:tcPr>
            <w:tcW w:w="554" w:type="dxa"/>
            <w:vMerge w:val="restart"/>
            <w:vAlign w:val="center"/>
          </w:tcPr>
          <w:p w14:paraId="2BD08FB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56</w:t>
            </w:r>
          </w:p>
        </w:tc>
        <w:tc>
          <w:tcPr>
            <w:tcW w:w="381" w:type="dxa"/>
            <w:vMerge/>
            <w:vAlign w:val="center"/>
          </w:tcPr>
          <w:p w14:paraId="7B26D7B7"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1C2E7F12"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3ECD851E" w14:textId="77777777" w:rsidR="00B02C6E" w:rsidRDefault="00B02C6E" w:rsidP="00453BF8">
            <w:pPr>
              <w:spacing w:line="560" w:lineRule="exact"/>
              <w:rPr>
                <w:rFonts w:ascii="仿宋_GB2312" w:eastAsia="仿宋_GB2312" w:hAnsi="仿宋_GB2312" w:cs="仿宋_GB2312"/>
              </w:rPr>
            </w:pPr>
          </w:p>
        </w:tc>
        <w:tc>
          <w:tcPr>
            <w:tcW w:w="1320" w:type="dxa"/>
            <w:vMerge w:val="restart"/>
            <w:vAlign w:val="center"/>
          </w:tcPr>
          <w:p w14:paraId="6D78B6D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捕后不起诉</w:t>
            </w:r>
          </w:p>
        </w:tc>
        <w:tc>
          <w:tcPr>
            <w:tcW w:w="5381" w:type="dxa"/>
            <w:vAlign w:val="center"/>
          </w:tcPr>
          <w:p w14:paraId="4B0B92B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监督点：捕后不起诉案件</w:t>
            </w:r>
          </w:p>
        </w:tc>
      </w:tr>
      <w:tr w:rsidR="00B02C6E" w14:paraId="4300E215" w14:textId="77777777" w:rsidTr="00453BF8">
        <w:tc>
          <w:tcPr>
            <w:tcW w:w="554" w:type="dxa"/>
            <w:vMerge/>
            <w:vAlign w:val="center"/>
          </w:tcPr>
          <w:p w14:paraId="4218E7A6"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507B9076"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2F61F1CF"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5B865E1A"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4CD4E55C"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1E6FD31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案件筛选：通过统一受案号关联检察院刑事审查逮捕案件和刑事审查起诉案件，筛选审查逮捕结果=（逮捕、批准逮捕或决定逮捕）且审查起诉结果=不起诉 的案件</w:t>
            </w:r>
          </w:p>
        </w:tc>
      </w:tr>
      <w:tr w:rsidR="00B02C6E" w14:paraId="2C842186" w14:textId="77777777" w:rsidTr="00453BF8">
        <w:tc>
          <w:tcPr>
            <w:tcW w:w="554" w:type="dxa"/>
            <w:vMerge/>
            <w:vAlign w:val="center"/>
          </w:tcPr>
          <w:p w14:paraId="13EE0E3B"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2EA4B5AA"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7FDA187D"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6CEA7C87"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7AB83077"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072834F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数据信息项：案件编号，案件名称，案件详细案由，案件办理单位，案件具体承办单位</w:t>
            </w:r>
          </w:p>
        </w:tc>
      </w:tr>
      <w:tr w:rsidR="00B02C6E" w14:paraId="58C548A2" w14:textId="77777777" w:rsidTr="00453BF8">
        <w:tc>
          <w:tcPr>
            <w:tcW w:w="554" w:type="dxa"/>
            <w:vMerge/>
            <w:vAlign w:val="center"/>
          </w:tcPr>
          <w:p w14:paraId="6406E3F3"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7763CC0C"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4A97E258"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3FD318B8"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20682103"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55C7459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模型设计：识别各程序性案件的风险，按预设规则计算风险值，找出异常的指标。</w:t>
            </w:r>
          </w:p>
        </w:tc>
      </w:tr>
      <w:tr w:rsidR="00B02C6E" w14:paraId="077302D5" w14:textId="77777777" w:rsidTr="00453BF8">
        <w:tc>
          <w:tcPr>
            <w:tcW w:w="554" w:type="dxa"/>
            <w:vMerge w:val="restart"/>
            <w:vAlign w:val="center"/>
          </w:tcPr>
          <w:p w14:paraId="2380511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57</w:t>
            </w:r>
          </w:p>
        </w:tc>
        <w:tc>
          <w:tcPr>
            <w:tcW w:w="381" w:type="dxa"/>
            <w:vMerge/>
            <w:vAlign w:val="center"/>
          </w:tcPr>
          <w:p w14:paraId="0CB3717E"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5B15A099"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67BF05C4" w14:textId="77777777" w:rsidR="00B02C6E" w:rsidRDefault="00B02C6E" w:rsidP="00453BF8">
            <w:pPr>
              <w:spacing w:line="560" w:lineRule="exact"/>
              <w:rPr>
                <w:rFonts w:ascii="仿宋_GB2312" w:eastAsia="仿宋_GB2312" w:hAnsi="仿宋_GB2312" w:cs="仿宋_GB2312"/>
              </w:rPr>
            </w:pPr>
          </w:p>
        </w:tc>
        <w:tc>
          <w:tcPr>
            <w:tcW w:w="1320" w:type="dxa"/>
            <w:vMerge w:val="restart"/>
            <w:vAlign w:val="center"/>
          </w:tcPr>
          <w:p w14:paraId="264D178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公诉</w:t>
            </w:r>
            <w:proofErr w:type="gramStart"/>
            <w:r>
              <w:rPr>
                <w:rFonts w:ascii="仿宋_GB2312" w:eastAsia="仿宋_GB2312" w:hAnsi="仿宋_GB2312" w:cs="仿宋_GB2312" w:hint="eastAsia"/>
                <w:sz w:val="24"/>
              </w:rPr>
              <w:t>后撤案</w:t>
            </w:r>
            <w:proofErr w:type="gramEnd"/>
          </w:p>
        </w:tc>
        <w:tc>
          <w:tcPr>
            <w:tcW w:w="5381" w:type="dxa"/>
            <w:vAlign w:val="center"/>
          </w:tcPr>
          <w:p w14:paraId="768C826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监督点：检察院公诉到法院后又撤回起诉的案件</w:t>
            </w:r>
          </w:p>
        </w:tc>
      </w:tr>
      <w:tr w:rsidR="00B02C6E" w14:paraId="3B0C49C7" w14:textId="77777777" w:rsidTr="00453BF8">
        <w:tc>
          <w:tcPr>
            <w:tcW w:w="554" w:type="dxa"/>
            <w:vMerge/>
            <w:vAlign w:val="center"/>
          </w:tcPr>
          <w:p w14:paraId="62406A63"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5C3E3CF7"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5AB5CA3D"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0B1C5F54"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5A81D2D6"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418233D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案件筛选：筛选法院刑事案件基础信息中，审判程序=刑事</w:t>
            </w:r>
            <w:proofErr w:type="gramStart"/>
            <w:r>
              <w:rPr>
                <w:rFonts w:ascii="仿宋_GB2312" w:eastAsia="仿宋_GB2312" w:hAnsi="仿宋_GB2312" w:cs="仿宋_GB2312" w:hint="eastAsia"/>
                <w:sz w:val="24"/>
              </w:rPr>
              <w:t>一审且</w:t>
            </w:r>
            <w:proofErr w:type="gramEnd"/>
            <w:r>
              <w:rPr>
                <w:rFonts w:ascii="仿宋_GB2312" w:eastAsia="仿宋_GB2312" w:hAnsi="仿宋_GB2312" w:cs="仿宋_GB2312" w:hint="eastAsia"/>
                <w:sz w:val="24"/>
              </w:rPr>
              <w:t>结案方式=准予撤诉的案件。</w:t>
            </w:r>
          </w:p>
        </w:tc>
      </w:tr>
      <w:tr w:rsidR="00B02C6E" w14:paraId="799889C7" w14:textId="77777777" w:rsidTr="00453BF8">
        <w:tc>
          <w:tcPr>
            <w:tcW w:w="554" w:type="dxa"/>
            <w:vMerge/>
            <w:vAlign w:val="center"/>
          </w:tcPr>
          <w:p w14:paraId="61771C60"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31887AD9"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5BDDA6DB"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6156F919"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609F103E"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513F046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数据信息项：案件编号，案件名称，案件详细案由，案件办理单位，案件具体承办单位</w:t>
            </w:r>
          </w:p>
        </w:tc>
      </w:tr>
      <w:tr w:rsidR="00B02C6E" w14:paraId="08D7FDCC" w14:textId="77777777" w:rsidTr="00453BF8">
        <w:tc>
          <w:tcPr>
            <w:tcW w:w="554" w:type="dxa"/>
            <w:vMerge/>
            <w:vAlign w:val="center"/>
          </w:tcPr>
          <w:p w14:paraId="6BEA977E"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21C2B4E3"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45A22289"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7813B2D7"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26C0D07A"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4E0AA13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模型设计：识别各程序性案件的风险，按预设规则计算风险值，找出异常的指标。</w:t>
            </w:r>
          </w:p>
        </w:tc>
      </w:tr>
      <w:tr w:rsidR="00B02C6E" w14:paraId="6E5589E6" w14:textId="77777777" w:rsidTr="00453BF8">
        <w:tc>
          <w:tcPr>
            <w:tcW w:w="554" w:type="dxa"/>
            <w:vMerge w:val="restart"/>
            <w:vAlign w:val="center"/>
          </w:tcPr>
          <w:p w14:paraId="613038C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58</w:t>
            </w:r>
          </w:p>
        </w:tc>
        <w:tc>
          <w:tcPr>
            <w:tcW w:w="381" w:type="dxa"/>
            <w:vMerge/>
            <w:vAlign w:val="center"/>
          </w:tcPr>
          <w:p w14:paraId="11FEF094"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7C601FC6"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0EAFF01C" w14:textId="77777777" w:rsidR="00B02C6E" w:rsidRDefault="00B02C6E" w:rsidP="00453BF8">
            <w:pPr>
              <w:spacing w:line="560" w:lineRule="exact"/>
              <w:rPr>
                <w:rFonts w:ascii="仿宋_GB2312" w:eastAsia="仿宋_GB2312" w:hAnsi="仿宋_GB2312" w:cs="仿宋_GB2312"/>
              </w:rPr>
            </w:pPr>
          </w:p>
        </w:tc>
        <w:tc>
          <w:tcPr>
            <w:tcW w:w="1320" w:type="dxa"/>
            <w:vMerge w:val="restart"/>
            <w:vAlign w:val="center"/>
          </w:tcPr>
          <w:p w14:paraId="0E9B1B5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上诉改判</w:t>
            </w:r>
          </w:p>
        </w:tc>
        <w:tc>
          <w:tcPr>
            <w:tcW w:w="5381" w:type="dxa"/>
            <w:vAlign w:val="center"/>
          </w:tcPr>
          <w:p w14:paraId="6F74C92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监督点：二审改判的案件</w:t>
            </w:r>
          </w:p>
        </w:tc>
      </w:tr>
      <w:tr w:rsidR="00B02C6E" w14:paraId="2C812A5C" w14:textId="77777777" w:rsidTr="00453BF8">
        <w:tc>
          <w:tcPr>
            <w:tcW w:w="554" w:type="dxa"/>
            <w:vMerge/>
            <w:vAlign w:val="center"/>
          </w:tcPr>
          <w:p w14:paraId="62982753"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02299537"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104E0E57"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1D88CB4B"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23EBC2C1"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269B3D0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案件筛选：筛选法院刑事案件基础信息中，审判程序=刑事</w:t>
            </w:r>
            <w:proofErr w:type="gramStart"/>
            <w:r>
              <w:rPr>
                <w:rFonts w:ascii="仿宋_GB2312" w:eastAsia="仿宋_GB2312" w:hAnsi="仿宋_GB2312" w:cs="仿宋_GB2312" w:hint="eastAsia"/>
                <w:sz w:val="24"/>
              </w:rPr>
              <w:t>二审且</w:t>
            </w:r>
            <w:proofErr w:type="gramEnd"/>
            <w:r>
              <w:rPr>
                <w:rFonts w:ascii="仿宋_GB2312" w:eastAsia="仿宋_GB2312" w:hAnsi="仿宋_GB2312" w:cs="仿宋_GB2312" w:hint="eastAsia"/>
                <w:sz w:val="24"/>
              </w:rPr>
              <w:t>结案方式=改判的案件。</w:t>
            </w:r>
          </w:p>
        </w:tc>
      </w:tr>
      <w:tr w:rsidR="00B02C6E" w14:paraId="4BF1C935" w14:textId="77777777" w:rsidTr="00453BF8">
        <w:tc>
          <w:tcPr>
            <w:tcW w:w="554" w:type="dxa"/>
            <w:vMerge/>
            <w:vAlign w:val="center"/>
          </w:tcPr>
          <w:p w14:paraId="7242C5B7"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06A7E376"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71CDE195"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0254086B"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6CD3AAF0"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0F51B0A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数据信息项：案件编号，案件名称，案件详细案由，案件办理单位，案件具体承办单位</w:t>
            </w:r>
          </w:p>
        </w:tc>
      </w:tr>
      <w:tr w:rsidR="00B02C6E" w14:paraId="4107C25C" w14:textId="77777777" w:rsidTr="00453BF8">
        <w:tc>
          <w:tcPr>
            <w:tcW w:w="554" w:type="dxa"/>
            <w:vMerge/>
            <w:vAlign w:val="center"/>
          </w:tcPr>
          <w:p w14:paraId="15C0E35A"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23DEB928"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3271F59F"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58E8902E"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6CF0101F"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50A7662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模型设计：识别各程序性案件的风险，按预设规则计算风险值，找出异常的指标。</w:t>
            </w:r>
          </w:p>
        </w:tc>
      </w:tr>
      <w:tr w:rsidR="00B02C6E" w14:paraId="12DF9A6F" w14:textId="77777777" w:rsidTr="00453BF8">
        <w:tc>
          <w:tcPr>
            <w:tcW w:w="554" w:type="dxa"/>
            <w:vMerge w:val="restart"/>
            <w:vAlign w:val="center"/>
          </w:tcPr>
          <w:p w14:paraId="61B8207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59</w:t>
            </w:r>
          </w:p>
        </w:tc>
        <w:tc>
          <w:tcPr>
            <w:tcW w:w="381" w:type="dxa"/>
            <w:vMerge/>
            <w:vAlign w:val="center"/>
          </w:tcPr>
          <w:p w14:paraId="6FC2FF73"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26CEC6C8"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65AC9EA0" w14:textId="77777777" w:rsidR="00B02C6E" w:rsidRDefault="00B02C6E" w:rsidP="00453BF8">
            <w:pPr>
              <w:spacing w:line="560" w:lineRule="exact"/>
              <w:rPr>
                <w:rFonts w:ascii="仿宋_GB2312" w:eastAsia="仿宋_GB2312" w:hAnsi="仿宋_GB2312" w:cs="仿宋_GB2312"/>
              </w:rPr>
            </w:pPr>
          </w:p>
        </w:tc>
        <w:tc>
          <w:tcPr>
            <w:tcW w:w="1320" w:type="dxa"/>
            <w:vMerge w:val="restart"/>
            <w:vAlign w:val="center"/>
          </w:tcPr>
          <w:p w14:paraId="2A4E544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抗诉案件</w:t>
            </w:r>
          </w:p>
        </w:tc>
        <w:tc>
          <w:tcPr>
            <w:tcW w:w="5381" w:type="dxa"/>
            <w:vAlign w:val="center"/>
          </w:tcPr>
          <w:p w14:paraId="1A037D0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监督点：检察院提出抗诉的案件</w:t>
            </w:r>
          </w:p>
        </w:tc>
      </w:tr>
      <w:tr w:rsidR="00B02C6E" w14:paraId="68F5A54C" w14:textId="77777777" w:rsidTr="00453BF8">
        <w:tc>
          <w:tcPr>
            <w:tcW w:w="554" w:type="dxa"/>
            <w:vMerge/>
            <w:vAlign w:val="center"/>
          </w:tcPr>
          <w:p w14:paraId="27344C99"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1C6B4CDF"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5B70BED5"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0F55D796"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6B3C3FAD"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0163B3C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案件筛选：筛选法院刑事案件基础信息中，（审判程序=刑事</w:t>
            </w:r>
            <w:proofErr w:type="gramStart"/>
            <w:r>
              <w:rPr>
                <w:rFonts w:ascii="仿宋_GB2312" w:eastAsia="仿宋_GB2312" w:hAnsi="仿宋_GB2312" w:cs="仿宋_GB2312" w:hint="eastAsia"/>
                <w:sz w:val="24"/>
              </w:rPr>
              <w:t>二审且</w:t>
            </w:r>
            <w:proofErr w:type="gramEnd"/>
            <w:r>
              <w:rPr>
                <w:rFonts w:ascii="仿宋_GB2312" w:eastAsia="仿宋_GB2312" w:hAnsi="仿宋_GB2312" w:cs="仿宋_GB2312" w:hint="eastAsia"/>
                <w:sz w:val="24"/>
              </w:rPr>
              <w:t>案件来源=（仅检察院抗诉或当事人及其法定代理人上诉并检察院抗诉））或（审判程序=刑事再审且案件来源=（仅抗诉或上诉并抗诉））的案件</w:t>
            </w:r>
          </w:p>
        </w:tc>
      </w:tr>
      <w:tr w:rsidR="00B02C6E" w14:paraId="58E249D4" w14:textId="77777777" w:rsidTr="00453BF8">
        <w:tc>
          <w:tcPr>
            <w:tcW w:w="554" w:type="dxa"/>
            <w:vMerge/>
            <w:vAlign w:val="center"/>
          </w:tcPr>
          <w:p w14:paraId="32D34F0B"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6F8C36A7"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7119A6D1"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00218D66"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223A4412"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30521AF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数据信息项：案件编号，案件名称，案件详细案由，案件办理单位，案件具体承办单位</w:t>
            </w:r>
          </w:p>
        </w:tc>
      </w:tr>
      <w:tr w:rsidR="00B02C6E" w14:paraId="316B051F" w14:textId="77777777" w:rsidTr="00453BF8">
        <w:tc>
          <w:tcPr>
            <w:tcW w:w="554" w:type="dxa"/>
            <w:vMerge/>
            <w:vAlign w:val="center"/>
          </w:tcPr>
          <w:p w14:paraId="7C3735C2"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6D165B52"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0DBA3EC5"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3D06C749"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48180C71"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5DA22B7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模型设计：识别各程序性案件的风险，按预设规则计算风险值，找出异常的指标。</w:t>
            </w:r>
          </w:p>
        </w:tc>
      </w:tr>
      <w:tr w:rsidR="00B02C6E" w14:paraId="6F5A35E4" w14:textId="77777777" w:rsidTr="00453BF8">
        <w:tc>
          <w:tcPr>
            <w:tcW w:w="554" w:type="dxa"/>
            <w:vMerge w:val="restart"/>
            <w:vAlign w:val="center"/>
          </w:tcPr>
          <w:p w14:paraId="71B03E4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60</w:t>
            </w:r>
          </w:p>
        </w:tc>
        <w:tc>
          <w:tcPr>
            <w:tcW w:w="381" w:type="dxa"/>
            <w:vMerge/>
            <w:vAlign w:val="center"/>
          </w:tcPr>
          <w:p w14:paraId="1151A5E6"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04563150"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79AE8BD9" w14:textId="77777777" w:rsidR="00B02C6E" w:rsidRDefault="00B02C6E" w:rsidP="00453BF8">
            <w:pPr>
              <w:spacing w:line="560" w:lineRule="exact"/>
              <w:rPr>
                <w:rFonts w:ascii="仿宋_GB2312" w:eastAsia="仿宋_GB2312" w:hAnsi="仿宋_GB2312" w:cs="仿宋_GB2312"/>
              </w:rPr>
            </w:pPr>
          </w:p>
        </w:tc>
        <w:tc>
          <w:tcPr>
            <w:tcW w:w="1320" w:type="dxa"/>
            <w:vMerge w:val="restart"/>
            <w:vAlign w:val="center"/>
          </w:tcPr>
          <w:p w14:paraId="3837F01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判处无罪</w:t>
            </w:r>
          </w:p>
        </w:tc>
        <w:tc>
          <w:tcPr>
            <w:tcW w:w="5381" w:type="dxa"/>
            <w:vAlign w:val="center"/>
          </w:tcPr>
          <w:p w14:paraId="5503016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监督点：法院判决宣告无罪的案件</w:t>
            </w:r>
          </w:p>
        </w:tc>
      </w:tr>
      <w:tr w:rsidR="00B02C6E" w14:paraId="3D022EAF" w14:textId="77777777" w:rsidTr="00453BF8">
        <w:tc>
          <w:tcPr>
            <w:tcW w:w="554" w:type="dxa"/>
            <w:vMerge/>
            <w:vAlign w:val="center"/>
          </w:tcPr>
          <w:p w14:paraId="72D26BBA"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0D7BC12C"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5FAE7F89"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445FA0B5"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23A515D9"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0F43F45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案件筛选：筛选法院刑事案件当事人量刑信息中判处情况=宣告无罪的刑事案件</w:t>
            </w:r>
          </w:p>
        </w:tc>
      </w:tr>
      <w:tr w:rsidR="00B02C6E" w14:paraId="2DCE8E04" w14:textId="77777777" w:rsidTr="00453BF8">
        <w:tc>
          <w:tcPr>
            <w:tcW w:w="554" w:type="dxa"/>
            <w:vMerge/>
            <w:vAlign w:val="center"/>
          </w:tcPr>
          <w:p w14:paraId="17C5D16F"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1B004B58"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75573566"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2DA8805E"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345168CC"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322E1B0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数据信息项：案件编号，案件名称，案件详细案由，案件办理单位，案件具体承办单位</w:t>
            </w:r>
          </w:p>
        </w:tc>
      </w:tr>
      <w:tr w:rsidR="00B02C6E" w14:paraId="44928D92" w14:textId="77777777" w:rsidTr="00453BF8">
        <w:tc>
          <w:tcPr>
            <w:tcW w:w="554" w:type="dxa"/>
            <w:vMerge/>
            <w:vAlign w:val="center"/>
          </w:tcPr>
          <w:p w14:paraId="682B0013"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54AEC3D3"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4F9B5735"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156D7921"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23CC978B"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7ADE7DF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模型设计：识别各程序性案件的风险，按预设规则计算风险值，找出异常的指标。</w:t>
            </w:r>
          </w:p>
        </w:tc>
      </w:tr>
      <w:tr w:rsidR="00B02C6E" w14:paraId="1FC6C28D" w14:textId="77777777" w:rsidTr="00453BF8">
        <w:tc>
          <w:tcPr>
            <w:tcW w:w="554" w:type="dxa"/>
            <w:vMerge w:val="restart"/>
            <w:vAlign w:val="center"/>
          </w:tcPr>
          <w:p w14:paraId="454E002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61</w:t>
            </w:r>
          </w:p>
        </w:tc>
        <w:tc>
          <w:tcPr>
            <w:tcW w:w="381" w:type="dxa"/>
            <w:vMerge/>
            <w:vAlign w:val="center"/>
          </w:tcPr>
          <w:p w14:paraId="5C693B33"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4C10FB9A"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42912840" w14:textId="77777777" w:rsidR="00B02C6E" w:rsidRDefault="00B02C6E" w:rsidP="00453BF8">
            <w:pPr>
              <w:spacing w:line="560" w:lineRule="exact"/>
              <w:rPr>
                <w:rFonts w:ascii="仿宋_GB2312" w:eastAsia="仿宋_GB2312" w:hAnsi="仿宋_GB2312" w:cs="仿宋_GB2312"/>
              </w:rPr>
            </w:pPr>
          </w:p>
        </w:tc>
        <w:tc>
          <w:tcPr>
            <w:tcW w:w="1320" w:type="dxa"/>
            <w:vMerge w:val="restart"/>
            <w:vAlign w:val="center"/>
          </w:tcPr>
          <w:p w14:paraId="55C1E8E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定罪免刑案件</w:t>
            </w:r>
          </w:p>
        </w:tc>
        <w:tc>
          <w:tcPr>
            <w:tcW w:w="5381" w:type="dxa"/>
            <w:vAlign w:val="center"/>
          </w:tcPr>
          <w:p w14:paraId="0B10D4F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监督点：法院判决免予刑事处罚的案件</w:t>
            </w:r>
          </w:p>
        </w:tc>
      </w:tr>
      <w:tr w:rsidR="00B02C6E" w14:paraId="231BB6A0" w14:textId="77777777" w:rsidTr="00453BF8">
        <w:tc>
          <w:tcPr>
            <w:tcW w:w="554" w:type="dxa"/>
            <w:vMerge/>
            <w:vAlign w:val="center"/>
          </w:tcPr>
          <w:p w14:paraId="27226541"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6D9333C5"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4335FF82"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0997EA48"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24038DA5"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375DC35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案件筛选：筛选法院刑事案件当事人量刑信息中判处情况=免予刑事处罚的刑事案件</w:t>
            </w:r>
          </w:p>
        </w:tc>
      </w:tr>
      <w:tr w:rsidR="00B02C6E" w14:paraId="5DE1E26A" w14:textId="77777777" w:rsidTr="00453BF8">
        <w:tc>
          <w:tcPr>
            <w:tcW w:w="554" w:type="dxa"/>
            <w:vMerge/>
            <w:vAlign w:val="center"/>
          </w:tcPr>
          <w:p w14:paraId="7939DFAE"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3C4701F5"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0B22F5A4"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57363BB1"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569CC818"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57B535E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数据信息项：案件编号，案件名称，案件详细案由，案件办理单位，案件具体承办单位</w:t>
            </w:r>
          </w:p>
        </w:tc>
      </w:tr>
      <w:tr w:rsidR="00B02C6E" w14:paraId="2E83C491" w14:textId="77777777" w:rsidTr="00453BF8">
        <w:tc>
          <w:tcPr>
            <w:tcW w:w="554" w:type="dxa"/>
            <w:vMerge/>
            <w:vAlign w:val="center"/>
          </w:tcPr>
          <w:p w14:paraId="3DB7F43E"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5521D267"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0D919821"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2585F43F"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1EF7C897"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22D7091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模型设计：识别各程序性案件的风险，按预设规则计算风险值，找出异常的指标。</w:t>
            </w:r>
          </w:p>
        </w:tc>
      </w:tr>
      <w:tr w:rsidR="00B02C6E" w14:paraId="6E64C782" w14:textId="77777777" w:rsidTr="00453BF8">
        <w:tc>
          <w:tcPr>
            <w:tcW w:w="554" w:type="dxa"/>
            <w:vMerge w:val="restart"/>
            <w:vAlign w:val="center"/>
          </w:tcPr>
          <w:p w14:paraId="1018BE0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62</w:t>
            </w:r>
          </w:p>
        </w:tc>
        <w:tc>
          <w:tcPr>
            <w:tcW w:w="381" w:type="dxa"/>
            <w:vMerge/>
            <w:vAlign w:val="center"/>
          </w:tcPr>
          <w:p w14:paraId="203ED3BC"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254D87D3"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2A6069CB" w14:textId="77777777" w:rsidR="00B02C6E" w:rsidRDefault="00B02C6E" w:rsidP="00453BF8">
            <w:pPr>
              <w:spacing w:line="560" w:lineRule="exact"/>
              <w:rPr>
                <w:rFonts w:ascii="仿宋_GB2312" w:eastAsia="仿宋_GB2312" w:hAnsi="仿宋_GB2312" w:cs="仿宋_GB2312"/>
              </w:rPr>
            </w:pPr>
          </w:p>
        </w:tc>
        <w:tc>
          <w:tcPr>
            <w:tcW w:w="1320" w:type="dxa"/>
            <w:vMerge w:val="restart"/>
            <w:vAlign w:val="center"/>
          </w:tcPr>
          <w:p w14:paraId="4FC756C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起诉后改变定性</w:t>
            </w:r>
          </w:p>
        </w:tc>
        <w:tc>
          <w:tcPr>
            <w:tcW w:w="5381" w:type="dxa"/>
            <w:vAlign w:val="center"/>
          </w:tcPr>
          <w:p w14:paraId="2D59F04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监督点：法院起诉后改变定性</w:t>
            </w:r>
          </w:p>
        </w:tc>
      </w:tr>
      <w:tr w:rsidR="00B02C6E" w14:paraId="7A0D9268" w14:textId="77777777" w:rsidTr="00453BF8">
        <w:tc>
          <w:tcPr>
            <w:tcW w:w="554" w:type="dxa"/>
            <w:vMerge/>
            <w:vAlign w:val="center"/>
          </w:tcPr>
          <w:p w14:paraId="2B46CB00"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55E693BE"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09BECA93"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776E281D"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5805E203"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74BC622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案件筛选：一审公诉案件</w:t>
            </w:r>
          </w:p>
        </w:tc>
      </w:tr>
      <w:tr w:rsidR="00B02C6E" w14:paraId="1B61C7D5" w14:textId="77777777" w:rsidTr="00453BF8">
        <w:tc>
          <w:tcPr>
            <w:tcW w:w="554" w:type="dxa"/>
            <w:vMerge/>
            <w:vAlign w:val="center"/>
          </w:tcPr>
          <w:p w14:paraId="75B69AE3"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7960E116"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14A7F51E"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0A733793"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0127B44F"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6B3CED2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数据信息项：起诉后法院改变定性案件清单</w:t>
            </w:r>
          </w:p>
        </w:tc>
      </w:tr>
      <w:tr w:rsidR="00B02C6E" w14:paraId="3E5E8D58" w14:textId="77777777" w:rsidTr="00453BF8">
        <w:tc>
          <w:tcPr>
            <w:tcW w:w="554" w:type="dxa"/>
            <w:vMerge/>
            <w:vAlign w:val="center"/>
          </w:tcPr>
          <w:p w14:paraId="113C0847"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471653B9"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3E96C86F"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39941734"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014AE74F"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319864C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模型设计：识别各程序性案件的风险，按预设规则计算风险值，找出异常的指标。</w:t>
            </w:r>
          </w:p>
        </w:tc>
      </w:tr>
      <w:tr w:rsidR="00B02C6E" w14:paraId="42B4EE42" w14:textId="77777777" w:rsidTr="00453BF8">
        <w:tc>
          <w:tcPr>
            <w:tcW w:w="554" w:type="dxa"/>
            <w:vMerge w:val="restart"/>
            <w:vAlign w:val="center"/>
          </w:tcPr>
          <w:p w14:paraId="4C613BA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63</w:t>
            </w:r>
          </w:p>
        </w:tc>
        <w:tc>
          <w:tcPr>
            <w:tcW w:w="381" w:type="dxa"/>
            <w:vMerge/>
            <w:vAlign w:val="center"/>
          </w:tcPr>
          <w:p w14:paraId="493A4D2F"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5CAFE3E8"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62C72155" w14:textId="77777777" w:rsidR="00B02C6E" w:rsidRDefault="00B02C6E" w:rsidP="00453BF8">
            <w:pPr>
              <w:spacing w:line="560" w:lineRule="exact"/>
              <w:rPr>
                <w:rFonts w:ascii="仿宋_GB2312" w:eastAsia="仿宋_GB2312" w:hAnsi="仿宋_GB2312" w:cs="仿宋_GB2312"/>
              </w:rPr>
            </w:pPr>
          </w:p>
        </w:tc>
        <w:tc>
          <w:tcPr>
            <w:tcW w:w="1320" w:type="dxa"/>
            <w:vMerge w:val="restart"/>
            <w:vAlign w:val="center"/>
          </w:tcPr>
          <w:p w14:paraId="0C56A2D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延长侦查羁押</w:t>
            </w:r>
          </w:p>
        </w:tc>
        <w:tc>
          <w:tcPr>
            <w:tcW w:w="5381" w:type="dxa"/>
            <w:vAlign w:val="center"/>
          </w:tcPr>
          <w:p w14:paraId="72B2716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监督点：公安申请延长羁押期限的案件</w:t>
            </w:r>
          </w:p>
        </w:tc>
      </w:tr>
      <w:tr w:rsidR="00B02C6E" w14:paraId="7D85CDB4" w14:textId="77777777" w:rsidTr="00453BF8">
        <w:tc>
          <w:tcPr>
            <w:tcW w:w="554" w:type="dxa"/>
            <w:vMerge/>
            <w:vAlign w:val="center"/>
          </w:tcPr>
          <w:p w14:paraId="3225273B"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565EC053"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0C050B58"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3890E49E"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299F5D56"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61CC813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案件筛选：公安逮捕后未变更强制措施或移送起诉案件，具有（提请批准延长侦查羁押期限意见书）</w:t>
            </w:r>
          </w:p>
        </w:tc>
      </w:tr>
      <w:tr w:rsidR="00B02C6E" w14:paraId="798376C5" w14:textId="77777777" w:rsidTr="00453BF8">
        <w:tc>
          <w:tcPr>
            <w:tcW w:w="554" w:type="dxa"/>
            <w:vMerge/>
            <w:vAlign w:val="center"/>
          </w:tcPr>
          <w:p w14:paraId="11317179"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30DAE4D5"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588989DB"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2F7A8587"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0A616643"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559CC02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数据信息项：案件名称、立案时间、立案单位、提请批捕时间、审查逮捕结果、是否移送审查起诉、移送审查起诉日期、最新强制措施类型、最新强制措施决定日期，是否出具提请批准延长侦查羁押期限意见书</w:t>
            </w:r>
          </w:p>
        </w:tc>
      </w:tr>
      <w:tr w:rsidR="00B02C6E" w14:paraId="2C128550" w14:textId="77777777" w:rsidTr="00453BF8">
        <w:tc>
          <w:tcPr>
            <w:tcW w:w="554" w:type="dxa"/>
            <w:vMerge/>
            <w:vAlign w:val="center"/>
          </w:tcPr>
          <w:p w14:paraId="43705A07"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483A9F20"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0BF76DA3"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2E35C5FB"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5FF8F7C3"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6D45DBE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模型设计：识别各程序性案件的风险，按预设规则计算风险值，找出异常的指标。</w:t>
            </w:r>
          </w:p>
        </w:tc>
      </w:tr>
      <w:tr w:rsidR="00B02C6E" w14:paraId="34EC8AD4" w14:textId="77777777" w:rsidTr="00453BF8">
        <w:tc>
          <w:tcPr>
            <w:tcW w:w="554" w:type="dxa"/>
            <w:vAlign w:val="center"/>
          </w:tcPr>
          <w:p w14:paraId="5D9117B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64</w:t>
            </w:r>
          </w:p>
        </w:tc>
        <w:tc>
          <w:tcPr>
            <w:tcW w:w="381" w:type="dxa"/>
            <w:vMerge/>
            <w:vAlign w:val="center"/>
          </w:tcPr>
          <w:p w14:paraId="2247B687"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343213DD" w14:textId="77777777" w:rsidR="00B02C6E" w:rsidRDefault="00B02C6E" w:rsidP="00453BF8">
            <w:pPr>
              <w:spacing w:line="560" w:lineRule="exact"/>
              <w:rPr>
                <w:rFonts w:ascii="仿宋_GB2312" w:eastAsia="仿宋_GB2312" w:hAnsi="仿宋_GB2312" w:cs="仿宋_GB2312"/>
              </w:rPr>
            </w:pPr>
          </w:p>
        </w:tc>
        <w:tc>
          <w:tcPr>
            <w:tcW w:w="763" w:type="dxa"/>
            <w:vMerge w:val="restart"/>
            <w:vAlign w:val="center"/>
          </w:tcPr>
          <w:p w14:paraId="0030CF5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程序性风险专题功能</w:t>
            </w:r>
          </w:p>
        </w:tc>
        <w:tc>
          <w:tcPr>
            <w:tcW w:w="1320" w:type="dxa"/>
            <w:vAlign w:val="center"/>
          </w:tcPr>
          <w:p w14:paraId="6B8E1B95" w14:textId="77777777" w:rsidR="00B02C6E" w:rsidRDefault="00B02C6E" w:rsidP="00453BF8">
            <w:pPr>
              <w:spacing w:line="560" w:lineRule="exact"/>
              <w:rPr>
                <w:rFonts w:ascii="仿宋_GB2312" w:eastAsia="仿宋_GB2312" w:hAnsi="仿宋_GB2312" w:cs="仿宋_GB2312"/>
              </w:rPr>
            </w:pPr>
            <w:proofErr w:type="gramStart"/>
            <w:r>
              <w:rPr>
                <w:rFonts w:ascii="仿宋_GB2312" w:eastAsia="仿宋_GB2312" w:hAnsi="仿宋_GB2312" w:cs="仿宋_GB2312" w:hint="eastAsia"/>
                <w:sz w:val="24"/>
              </w:rPr>
              <w:t>各风险</w:t>
            </w:r>
            <w:proofErr w:type="gramEnd"/>
            <w:r>
              <w:rPr>
                <w:rFonts w:ascii="仿宋_GB2312" w:eastAsia="仿宋_GB2312" w:hAnsi="仿宋_GB2312" w:cs="仿宋_GB2312" w:hint="eastAsia"/>
                <w:sz w:val="24"/>
              </w:rPr>
              <w:t>点的风险预警</w:t>
            </w:r>
          </w:p>
        </w:tc>
        <w:tc>
          <w:tcPr>
            <w:tcW w:w="5381" w:type="dxa"/>
            <w:vAlign w:val="center"/>
          </w:tcPr>
          <w:p w14:paraId="45C5161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识别各程序性案件的风险，按预设规则计算风险值，找出异常的指标，对发现风险模型计算出来的数量或占比通过统一的归一化算法，然后结合监督模型风险权重进行综合计算，最终找出风险较高的监督模型，进行预警。</w:t>
            </w:r>
          </w:p>
        </w:tc>
      </w:tr>
      <w:tr w:rsidR="00B02C6E" w14:paraId="328A5B46" w14:textId="77777777" w:rsidTr="00453BF8">
        <w:tc>
          <w:tcPr>
            <w:tcW w:w="554" w:type="dxa"/>
            <w:vAlign w:val="center"/>
          </w:tcPr>
          <w:p w14:paraId="7196BC2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65</w:t>
            </w:r>
          </w:p>
        </w:tc>
        <w:tc>
          <w:tcPr>
            <w:tcW w:w="381" w:type="dxa"/>
            <w:vMerge/>
            <w:vAlign w:val="center"/>
          </w:tcPr>
          <w:p w14:paraId="3EBC4B61"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58A498C9"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3D863AF9"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6191482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风险案件及预警情况</w:t>
            </w:r>
          </w:p>
        </w:tc>
        <w:tc>
          <w:tcPr>
            <w:tcW w:w="5381" w:type="dxa"/>
            <w:vAlign w:val="center"/>
          </w:tcPr>
          <w:p w14:paraId="1D892CD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以监督模型为维度，按照模型的实际数据和风险预警指数及风险预警标识，按风险高低进行排序。</w:t>
            </w:r>
          </w:p>
        </w:tc>
      </w:tr>
      <w:tr w:rsidR="00B02C6E" w14:paraId="5D2764F8" w14:textId="77777777" w:rsidTr="00453BF8">
        <w:tc>
          <w:tcPr>
            <w:tcW w:w="554" w:type="dxa"/>
            <w:vAlign w:val="center"/>
          </w:tcPr>
          <w:p w14:paraId="00DC492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66</w:t>
            </w:r>
          </w:p>
        </w:tc>
        <w:tc>
          <w:tcPr>
            <w:tcW w:w="381" w:type="dxa"/>
            <w:vMerge/>
            <w:vAlign w:val="center"/>
          </w:tcPr>
          <w:p w14:paraId="1DEE090C"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4FDDE295"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0E4A4F94"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53DB89A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风险案件地域分布</w:t>
            </w:r>
          </w:p>
        </w:tc>
        <w:tc>
          <w:tcPr>
            <w:tcW w:w="5381" w:type="dxa"/>
            <w:vAlign w:val="center"/>
          </w:tcPr>
          <w:p w14:paraId="283D926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以风险案件量作为热力地图的数据源，默认展示各地区风险案件的案件量热力图。</w:t>
            </w:r>
          </w:p>
        </w:tc>
      </w:tr>
      <w:tr w:rsidR="00B02C6E" w14:paraId="1B74E7EB" w14:textId="77777777" w:rsidTr="00453BF8">
        <w:tc>
          <w:tcPr>
            <w:tcW w:w="554" w:type="dxa"/>
            <w:vAlign w:val="center"/>
          </w:tcPr>
          <w:p w14:paraId="4B59643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67</w:t>
            </w:r>
          </w:p>
        </w:tc>
        <w:tc>
          <w:tcPr>
            <w:tcW w:w="381" w:type="dxa"/>
            <w:vMerge/>
            <w:vAlign w:val="center"/>
          </w:tcPr>
          <w:p w14:paraId="3F66A849"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6052E098"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667F0C85"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33103A5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办案单位预警排名</w:t>
            </w:r>
          </w:p>
        </w:tc>
        <w:tc>
          <w:tcPr>
            <w:tcW w:w="5381" w:type="dxa"/>
            <w:vAlign w:val="center"/>
          </w:tcPr>
          <w:p w14:paraId="109ABDE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以办案单位为维度进行分析，找出涉及风险案件最多的办案单位。支持查看对应的案件列表。</w:t>
            </w:r>
          </w:p>
        </w:tc>
      </w:tr>
      <w:tr w:rsidR="00B02C6E" w14:paraId="1F81D415" w14:textId="77777777" w:rsidTr="00453BF8">
        <w:tc>
          <w:tcPr>
            <w:tcW w:w="554" w:type="dxa"/>
            <w:vAlign w:val="center"/>
          </w:tcPr>
          <w:p w14:paraId="6EF1EC6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68</w:t>
            </w:r>
          </w:p>
        </w:tc>
        <w:tc>
          <w:tcPr>
            <w:tcW w:w="381" w:type="dxa"/>
            <w:vMerge/>
            <w:vAlign w:val="center"/>
          </w:tcPr>
          <w:p w14:paraId="5206F093"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6F482A6A"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3E901DBE"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39D1D7F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风险案由排名</w:t>
            </w:r>
          </w:p>
        </w:tc>
        <w:tc>
          <w:tcPr>
            <w:tcW w:w="5381" w:type="dxa"/>
            <w:vAlign w:val="center"/>
          </w:tcPr>
          <w:p w14:paraId="425705A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从案由的维度，展示各案由的</w:t>
            </w:r>
            <w:proofErr w:type="gramStart"/>
            <w:r>
              <w:rPr>
                <w:rFonts w:ascii="仿宋_GB2312" w:eastAsia="仿宋_GB2312" w:hAnsi="仿宋_GB2312" w:cs="仿宋_GB2312" w:hint="eastAsia"/>
                <w:sz w:val="24"/>
              </w:rPr>
              <w:t>风险案</w:t>
            </w:r>
            <w:proofErr w:type="gramEnd"/>
            <w:r>
              <w:rPr>
                <w:rFonts w:ascii="仿宋_GB2312" w:eastAsia="仿宋_GB2312" w:hAnsi="仿宋_GB2312" w:cs="仿宋_GB2312" w:hint="eastAsia"/>
                <w:sz w:val="24"/>
              </w:rPr>
              <w:t>量排名情况。</w:t>
            </w:r>
          </w:p>
        </w:tc>
      </w:tr>
      <w:tr w:rsidR="00B02C6E" w14:paraId="48BB5EF0" w14:textId="77777777" w:rsidTr="00453BF8">
        <w:tc>
          <w:tcPr>
            <w:tcW w:w="554" w:type="dxa"/>
            <w:vAlign w:val="center"/>
          </w:tcPr>
          <w:p w14:paraId="52B1E45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69</w:t>
            </w:r>
          </w:p>
        </w:tc>
        <w:tc>
          <w:tcPr>
            <w:tcW w:w="381" w:type="dxa"/>
            <w:vMerge/>
            <w:vAlign w:val="center"/>
          </w:tcPr>
          <w:p w14:paraId="0D92F9F0"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5A8B3577"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298F08CC"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6F51498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风险趋势预警</w:t>
            </w:r>
          </w:p>
        </w:tc>
        <w:tc>
          <w:tcPr>
            <w:tcW w:w="5381" w:type="dxa"/>
            <w:vAlign w:val="center"/>
          </w:tcPr>
          <w:p w14:paraId="1C7ED4E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以指标数量、同比/环比与平均值的对比趋势，进行对比查看，分析可能出现风险的时间段，支持查看时间范围的具体案件列表。</w:t>
            </w:r>
          </w:p>
        </w:tc>
      </w:tr>
      <w:tr w:rsidR="00B02C6E" w14:paraId="5215413E" w14:textId="77777777" w:rsidTr="00453BF8">
        <w:tc>
          <w:tcPr>
            <w:tcW w:w="554" w:type="dxa"/>
            <w:vAlign w:val="center"/>
          </w:tcPr>
          <w:p w14:paraId="57360B0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70</w:t>
            </w:r>
          </w:p>
        </w:tc>
        <w:tc>
          <w:tcPr>
            <w:tcW w:w="381" w:type="dxa"/>
            <w:vMerge/>
            <w:vAlign w:val="center"/>
          </w:tcPr>
          <w:p w14:paraId="4F5216AF"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1B3D1D2E"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12952CE1"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7FE76BE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风险案件列表</w:t>
            </w:r>
          </w:p>
        </w:tc>
        <w:tc>
          <w:tcPr>
            <w:tcW w:w="5381" w:type="dxa"/>
            <w:vAlign w:val="center"/>
          </w:tcPr>
          <w:p w14:paraId="6C24928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以案件为单位，通过风险点分值计算</w:t>
            </w:r>
            <w:proofErr w:type="gramStart"/>
            <w:r>
              <w:rPr>
                <w:rFonts w:ascii="仿宋_GB2312" w:eastAsia="仿宋_GB2312" w:hAnsi="仿宋_GB2312" w:cs="仿宋_GB2312" w:hint="eastAsia"/>
                <w:sz w:val="24"/>
              </w:rPr>
              <w:t>各风险</w:t>
            </w:r>
            <w:proofErr w:type="gramEnd"/>
            <w:r>
              <w:rPr>
                <w:rFonts w:ascii="仿宋_GB2312" w:eastAsia="仿宋_GB2312" w:hAnsi="仿宋_GB2312" w:cs="仿宋_GB2312" w:hint="eastAsia"/>
                <w:sz w:val="24"/>
              </w:rPr>
              <w:t>案件的风险得分，按照风险得分降序显示风险案件，支持查看所有风险案件</w:t>
            </w:r>
          </w:p>
        </w:tc>
      </w:tr>
      <w:tr w:rsidR="00B02C6E" w14:paraId="38400182" w14:textId="77777777" w:rsidTr="00453BF8">
        <w:tc>
          <w:tcPr>
            <w:tcW w:w="554" w:type="dxa"/>
            <w:vAlign w:val="center"/>
          </w:tcPr>
          <w:p w14:paraId="1474D46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71</w:t>
            </w:r>
          </w:p>
        </w:tc>
        <w:tc>
          <w:tcPr>
            <w:tcW w:w="381" w:type="dxa"/>
            <w:vMerge/>
            <w:vAlign w:val="center"/>
          </w:tcPr>
          <w:p w14:paraId="6104FD9B"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17821820" w14:textId="77777777" w:rsidR="00B02C6E" w:rsidRDefault="00B02C6E" w:rsidP="00453BF8">
            <w:pPr>
              <w:spacing w:line="560" w:lineRule="exact"/>
              <w:rPr>
                <w:rFonts w:ascii="仿宋_GB2312" w:eastAsia="仿宋_GB2312" w:hAnsi="仿宋_GB2312" w:cs="仿宋_GB2312"/>
              </w:rPr>
            </w:pPr>
          </w:p>
        </w:tc>
        <w:tc>
          <w:tcPr>
            <w:tcW w:w="763" w:type="dxa"/>
            <w:vMerge w:val="restart"/>
            <w:vAlign w:val="center"/>
          </w:tcPr>
          <w:p w14:paraId="74E43DE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检察院退</w:t>
            </w:r>
            <w:proofErr w:type="gramStart"/>
            <w:r>
              <w:rPr>
                <w:rFonts w:ascii="仿宋_GB2312" w:eastAsia="仿宋_GB2312" w:hAnsi="仿宋_GB2312" w:cs="仿宋_GB2312" w:hint="eastAsia"/>
                <w:sz w:val="24"/>
              </w:rPr>
              <w:lastRenderedPageBreak/>
              <w:t>侦</w:t>
            </w:r>
            <w:proofErr w:type="gramEnd"/>
            <w:r>
              <w:rPr>
                <w:rFonts w:ascii="仿宋_GB2312" w:eastAsia="仿宋_GB2312" w:hAnsi="仿宋_GB2312" w:cs="仿宋_GB2312" w:hint="eastAsia"/>
                <w:sz w:val="24"/>
              </w:rPr>
              <w:t>不再报后监督未跟进监督风险预警</w:t>
            </w:r>
          </w:p>
        </w:tc>
        <w:tc>
          <w:tcPr>
            <w:tcW w:w="1320" w:type="dxa"/>
            <w:vAlign w:val="center"/>
          </w:tcPr>
          <w:p w14:paraId="7328465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检察院退</w:t>
            </w:r>
            <w:proofErr w:type="gramStart"/>
            <w:r>
              <w:rPr>
                <w:rFonts w:ascii="仿宋_GB2312" w:eastAsia="仿宋_GB2312" w:hAnsi="仿宋_GB2312" w:cs="仿宋_GB2312" w:hint="eastAsia"/>
                <w:sz w:val="24"/>
              </w:rPr>
              <w:t>侦</w:t>
            </w:r>
            <w:proofErr w:type="gramEnd"/>
            <w:r>
              <w:rPr>
                <w:rFonts w:ascii="仿宋_GB2312" w:eastAsia="仿宋_GB2312" w:hAnsi="仿宋_GB2312" w:cs="仿宋_GB2312" w:hint="eastAsia"/>
                <w:sz w:val="24"/>
              </w:rPr>
              <w:t>不再报</w:t>
            </w:r>
            <w:r>
              <w:rPr>
                <w:rFonts w:ascii="仿宋_GB2312" w:eastAsia="仿宋_GB2312" w:hAnsi="仿宋_GB2312" w:cs="仿宋_GB2312" w:hint="eastAsia"/>
                <w:sz w:val="24"/>
              </w:rPr>
              <w:lastRenderedPageBreak/>
              <w:t>后监督未跟进监督业务模型及应用层开发</w:t>
            </w:r>
          </w:p>
        </w:tc>
        <w:tc>
          <w:tcPr>
            <w:tcW w:w="5381" w:type="dxa"/>
            <w:vAlign w:val="center"/>
          </w:tcPr>
          <w:p w14:paraId="6B1FA66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针对检察院退</w:t>
            </w:r>
            <w:proofErr w:type="gramStart"/>
            <w:r>
              <w:rPr>
                <w:rFonts w:ascii="仿宋_GB2312" w:eastAsia="仿宋_GB2312" w:hAnsi="仿宋_GB2312" w:cs="仿宋_GB2312" w:hint="eastAsia"/>
                <w:sz w:val="24"/>
              </w:rPr>
              <w:t>侦</w:t>
            </w:r>
            <w:proofErr w:type="gramEnd"/>
            <w:r>
              <w:rPr>
                <w:rFonts w:ascii="仿宋_GB2312" w:eastAsia="仿宋_GB2312" w:hAnsi="仿宋_GB2312" w:cs="仿宋_GB2312" w:hint="eastAsia"/>
                <w:sz w:val="24"/>
              </w:rPr>
              <w:t>后，公安未补充侦查的案件，检察院未进一步跟进的案件，进行监督预警。通过对检</w:t>
            </w:r>
            <w:r>
              <w:rPr>
                <w:rFonts w:ascii="仿宋_GB2312" w:eastAsia="仿宋_GB2312" w:hAnsi="仿宋_GB2312" w:cs="仿宋_GB2312" w:hint="eastAsia"/>
                <w:sz w:val="24"/>
              </w:rPr>
              <w:lastRenderedPageBreak/>
              <w:t>察院一次退回补充侦查和二次退回补充侦查后未重报的案件和检察院发出检察建议或纠正违法通知书的案件进行对比，确认风险后进行预警。</w:t>
            </w:r>
          </w:p>
        </w:tc>
      </w:tr>
      <w:tr w:rsidR="00B02C6E" w14:paraId="09BD88F0" w14:textId="77777777" w:rsidTr="00453BF8">
        <w:tc>
          <w:tcPr>
            <w:tcW w:w="554" w:type="dxa"/>
            <w:vAlign w:val="center"/>
          </w:tcPr>
          <w:p w14:paraId="0A86995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72</w:t>
            </w:r>
          </w:p>
        </w:tc>
        <w:tc>
          <w:tcPr>
            <w:tcW w:w="381" w:type="dxa"/>
            <w:vMerge/>
            <w:vAlign w:val="center"/>
          </w:tcPr>
          <w:p w14:paraId="68B57286"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13F7694E"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158F9B06"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413AE5C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检察院退</w:t>
            </w:r>
            <w:proofErr w:type="gramStart"/>
            <w:r>
              <w:rPr>
                <w:rFonts w:ascii="仿宋_GB2312" w:eastAsia="仿宋_GB2312" w:hAnsi="仿宋_GB2312" w:cs="仿宋_GB2312" w:hint="eastAsia"/>
                <w:sz w:val="24"/>
              </w:rPr>
              <w:t>侦</w:t>
            </w:r>
            <w:proofErr w:type="gramEnd"/>
            <w:r>
              <w:rPr>
                <w:rFonts w:ascii="仿宋_GB2312" w:eastAsia="仿宋_GB2312" w:hAnsi="仿宋_GB2312" w:cs="仿宋_GB2312" w:hint="eastAsia"/>
                <w:sz w:val="24"/>
              </w:rPr>
              <w:t>不再报后监督未跟进监督数据模型</w:t>
            </w:r>
          </w:p>
        </w:tc>
        <w:tc>
          <w:tcPr>
            <w:tcW w:w="5381" w:type="dxa"/>
            <w:vAlign w:val="center"/>
          </w:tcPr>
          <w:p w14:paraId="0B8F0B9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数据模型：在协同流转信息中，检察院有退</w:t>
            </w:r>
            <w:proofErr w:type="gramStart"/>
            <w:r>
              <w:rPr>
                <w:rFonts w:ascii="仿宋_GB2312" w:eastAsia="仿宋_GB2312" w:hAnsi="仿宋_GB2312" w:cs="仿宋_GB2312" w:hint="eastAsia"/>
                <w:sz w:val="24"/>
              </w:rPr>
              <w:t>侦</w:t>
            </w:r>
            <w:proofErr w:type="gramEnd"/>
            <w:r>
              <w:rPr>
                <w:rFonts w:ascii="仿宋_GB2312" w:eastAsia="仿宋_GB2312" w:hAnsi="仿宋_GB2312" w:cs="仿宋_GB2312" w:hint="eastAsia"/>
                <w:sz w:val="24"/>
              </w:rPr>
              <w:t>不再报后监督的流程，但约定时间内协同流转数据中，没有公安反馈情况，而检察院未再有监督流转信息。涉及到多个业务流程，涉及到一退、二</w:t>
            </w:r>
            <w:proofErr w:type="gramStart"/>
            <w:r>
              <w:rPr>
                <w:rFonts w:ascii="仿宋_GB2312" w:eastAsia="仿宋_GB2312" w:hAnsi="仿宋_GB2312" w:cs="仿宋_GB2312" w:hint="eastAsia"/>
                <w:sz w:val="24"/>
              </w:rPr>
              <w:t>退是否</w:t>
            </w:r>
            <w:proofErr w:type="gramEnd"/>
            <w:r>
              <w:rPr>
                <w:rFonts w:ascii="仿宋_GB2312" w:eastAsia="仿宋_GB2312" w:hAnsi="仿宋_GB2312" w:cs="仿宋_GB2312" w:hint="eastAsia"/>
                <w:sz w:val="24"/>
              </w:rPr>
              <w:t>有退补增的流程，要根据补充材料的对应情况及时效。</w:t>
            </w:r>
          </w:p>
        </w:tc>
      </w:tr>
      <w:tr w:rsidR="00B02C6E" w14:paraId="149D54B8" w14:textId="77777777" w:rsidTr="00453BF8">
        <w:tc>
          <w:tcPr>
            <w:tcW w:w="554" w:type="dxa"/>
            <w:vAlign w:val="center"/>
          </w:tcPr>
          <w:p w14:paraId="473B1F2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73</w:t>
            </w:r>
          </w:p>
        </w:tc>
        <w:tc>
          <w:tcPr>
            <w:tcW w:w="381" w:type="dxa"/>
            <w:vMerge/>
            <w:vAlign w:val="center"/>
          </w:tcPr>
          <w:p w14:paraId="4227DFD5"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0EC2CA18"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61CFBAC8"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793D701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案件监督情况</w:t>
            </w:r>
          </w:p>
        </w:tc>
        <w:tc>
          <w:tcPr>
            <w:tcW w:w="5381" w:type="dxa"/>
            <w:vAlign w:val="center"/>
          </w:tcPr>
          <w:p w14:paraId="4502B9C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针对监督案件数量、发现风险案件数、风险案件占比、涉及责任单位数进行统计分析。根据地域风险案件数、风险案件/本地案件总数指标，绘制风险案件地域分布图形，直观展现风险案件的地域分布。</w:t>
            </w:r>
          </w:p>
        </w:tc>
      </w:tr>
      <w:tr w:rsidR="00B02C6E" w14:paraId="578A70F2" w14:textId="77777777" w:rsidTr="00453BF8">
        <w:tc>
          <w:tcPr>
            <w:tcW w:w="554" w:type="dxa"/>
            <w:vAlign w:val="center"/>
          </w:tcPr>
          <w:p w14:paraId="72C7D96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74</w:t>
            </w:r>
          </w:p>
        </w:tc>
        <w:tc>
          <w:tcPr>
            <w:tcW w:w="381" w:type="dxa"/>
            <w:vMerge/>
            <w:vAlign w:val="center"/>
          </w:tcPr>
          <w:p w14:paraId="77EB4377"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1788155C"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5AA817E7"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7DA9DC9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风险案件地域分布</w:t>
            </w:r>
          </w:p>
        </w:tc>
        <w:tc>
          <w:tcPr>
            <w:tcW w:w="5381" w:type="dxa"/>
            <w:vAlign w:val="center"/>
          </w:tcPr>
          <w:p w14:paraId="787FBD3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根据风险案件总数，以地域为测量度，结合风险案件数量和风险案件占本地总案件的比例，绘制地域的风险案件发展趋势图。</w:t>
            </w:r>
          </w:p>
        </w:tc>
      </w:tr>
      <w:tr w:rsidR="00B02C6E" w14:paraId="50A17CC2" w14:textId="77777777" w:rsidTr="00453BF8">
        <w:tc>
          <w:tcPr>
            <w:tcW w:w="554" w:type="dxa"/>
            <w:vAlign w:val="center"/>
          </w:tcPr>
          <w:p w14:paraId="751BD3E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75</w:t>
            </w:r>
          </w:p>
        </w:tc>
        <w:tc>
          <w:tcPr>
            <w:tcW w:w="381" w:type="dxa"/>
            <w:vMerge/>
            <w:vAlign w:val="center"/>
          </w:tcPr>
          <w:p w14:paraId="479CEC2E"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6A1D8171"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08FBB900"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3BF4EC8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风险案件趋势分析</w:t>
            </w:r>
          </w:p>
        </w:tc>
        <w:tc>
          <w:tcPr>
            <w:tcW w:w="5381" w:type="dxa"/>
            <w:vAlign w:val="center"/>
          </w:tcPr>
          <w:p w14:paraId="3E229B0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根据风险案件和案件总数，以月份为测量度，结合数量和比例，绘制年度内每个月份的风险案件发展趋势图。</w:t>
            </w:r>
          </w:p>
        </w:tc>
      </w:tr>
      <w:tr w:rsidR="00B02C6E" w14:paraId="6020B3C1" w14:textId="77777777" w:rsidTr="00453BF8">
        <w:tc>
          <w:tcPr>
            <w:tcW w:w="554" w:type="dxa"/>
            <w:vAlign w:val="center"/>
          </w:tcPr>
          <w:p w14:paraId="5E3C00E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76</w:t>
            </w:r>
          </w:p>
        </w:tc>
        <w:tc>
          <w:tcPr>
            <w:tcW w:w="381" w:type="dxa"/>
            <w:vMerge/>
            <w:vAlign w:val="center"/>
          </w:tcPr>
          <w:p w14:paraId="3EFC9E3A"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7C4EE2E5"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7963647F"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75135F5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风险案件案由和数</w:t>
            </w:r>
            <w:r>
              <w:rPr>
                <w:rFonts w:ascii="仿宋_GB2312" w:eastAsia="仿宋_GB2312" w:hAnsi="仿宋_GB2312" w:cs="仿宋_GB2312" w:hint="eastAsia"/>
                <w:sz w:val="24"/>
              </w:rPr>
              <w:lastRenderedPageBreak/>
              <w:t>量排名</w:t>
            </w:r>
          </w:p>
        </w:tc>
        <w:tc>
          <w:tcPr>
            <w:tcW w:w="5381" w:type="dxa"/>
            <w:vAlign w:val="center"/>
          </w:tcPr>
          <w:p w14:paraId="033D422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提供风险案件案由的TOP10排名和风险案件数量TOP的单位排名，形成直观简洁的可视化图表。</w:t>
            </w:r>
          </w:p>
        </w:tc>
      </w:tr>
      <w:tr w:rsidR="00B02C6E" w14:paraId="3FCCB51E" w14:textId="77777777" w:rsidTr="00453BF8">
        <w:tc>
          <w:tcPr>
            <w:tcW w:w="554" w:type="dxa"/>
            <w:vAlign w:val="center"/>
          </w:tcPr>
          <w:p w14:paraId="619CD32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77</w:t>
            </w:r>
          </w:p>
        </w:tc>
        <w:tc>
          <w:tcPr>
            <w:tcW w:w="381" w:type="dxa"/>
            <w:vMerge/>
            <w:vAlign w:val="center"/>
          </w:tcPr>
          <w:p w14:paraId="585E2A95"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2F9469AD" w14:textId="77777777" w:rsidR="00B02C6E" w:rsidRDefault="00B02C6E" w:rsidP="00453BF8">
            <w:pPr>
              <w:spacing w:line="560" w:lineRule="exact"/>
              <w:rPr>
                <w:rFonts w:ascii="仿宋_GB2312" w:eastAsia="仿宋_GB2312" w:hAnsi="仿宋_GB2312" w:cs="仿宋_GB2312"/>
              </w:rPr>
            </w:pPr>
          </w:p>
        </w:tc>
        <w:tc>
          <w:tcPr>
            <w:tcW w:w="763" w:type="dxa"/>
            <w:vMerge w:val="restart"/>
            <w:vAlign w:val="center"/>
          </w:tcPr>
          <w:p w14:paraId="6BA6D9A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检察建议无反馈后无跟进监督风险预警</w:t>
            </w:r>
          </w:p>
        </w:tc>
        <w:tc>
          <w:tcPr>
            <w:tcW w:w="1320" w:type="dxa"/>
            <w:vAlign w:val="center"/>
          </w:tcPr>
          <w:p w14:paraId="7AF7CFC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检察建议无反馈后无跟进监督业务模型及应用层开发</w:t>
            </w:r>
          </w:p>
        </w:tc>
        <w:tc>
          <w:tcPr>
            <w:tcW w:w="5381" w:type="dxa"/>
            <w:vAlign w:val="center"/>
          </w:tcPr>
          <w:p w14:paraId="0FEADA7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针对检察机关提出的检察建议，被建议单位未处理反馈，检察院未进一步跟进的案件，进行监督预警。</w:t>
            </w:r>
          </w:p>
        </w:tc>
      </w:tr>
      <w:tr w:rsidR="00B02C6E" w14:paraId="3267CE44" w14:textId="77777777" w:rsidTr="00453BF8">
        <w:tc>
          <w:tcPr>
            <w:tcW w:w="554" w:type="dxa"/>
            <w:vAlign w:val="center"/>
          </w:tcPr>
          <w:p w14:paraId="2B4D133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78</w:t>
            </w:r>
          </w:p>
        </w:tc>
        <w:tc>
          <w:tcPr>
            <w:tcW w:w="381" w:type="dxa"/>
            <w:vMerge/>
            <w:vAlign w:val="center"/>
          </w:tcPr>
          <w:p w14:paraId="46E72495"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2C734EC8"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5EA222A6"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0D182BE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检察建议无反馈后无跟进监督数据模型</w:t>
            </w:r>
          </w:p>
        </w:tc>
        <w:tc>
          <w:tcPr>
            <w:tcW w:w="5381" w:type="dxa"/>
            <w:vAlign w:val="center"/>
          </w:tcPr>
          <w:p w14:paraId="7358D81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数据模型：在协同流转信息中，检察院有退</w:t>
            </w:r>
            <w:proofErr w:type="gramStart"/>
            <w:r>
              <w:rPr>
                <w:rFonts w:ascii="仿宋_GB2312" w:eastAsia="仿宋_GB2312" w:hAnsi="仿宋_GB2312" w:cs="仿宋_GB2312" w:hint="eastAsia"/>
                <w:sz w:val="24"/>
              </w:rPr>
              <w:t>侦</w:t>
            </w:r>
            <w:proofErr w:type="gramEnd"/>
            <w:r>
              <w:rPr>
                <w:rFonts w:ascii="仿宋_GB2312" w:eastAsia="仿宋_GB2312" w:hAnsi="仿宋_GB2312" w:cs="仿宋_GB2312" w:hint="eastAsia"/>
                <w:sz w:val="24"/>
              </w:rPr>
              <w:t>不再报后监督的流程，但约定时间内协同流转数据中，没有公安反馈情况，而检察院未再有监督流转信息。涉及到多个业务流程，涉及到一退、二</w:t>
            </w:r>
            <w:proofErr w:type="gramStart"/>
            <w:r>
              <w:rPr>
                <w:rFonts w:ascii="仿宋_GB2312" w:eastAsia="仿宋_GB2312" w:hAnsi="仿宋_GB2312" w:cs="仿宋_GB2312" w:hint="eastAsia"/>
                <w:sz w:val="24"/>
              </w:rPr>
              <w:t>退是否</w:t>
            </w:r>
            <w:proofErr w:type="gramEnd"/>
            <w:r>
              <w:rPr>
                <w:rFonts w:ascii="仿宋_GB2312" w:eastAsia="仿宋_GB2312" w:hAnsi="仿宋_GB2312" w:cs="仿宋_GB2312" w:hint="eastAsia"/>
                <w:sz w:val="24"/>
              </w:rPr>
              <w:t>有退补增的流程，要根据补充材料的对应情况及时效。</w:t>
            </w:r>
          </w:p>
        </w:tc>
      </w:tr>
      <w:tr w:rsidR="00B02C6E" w14:paraId="7282D5C1" w14:textId="77777777" w:rsidTr="00453BF8">
        <w:tc>
          <w:tcPr>
            <w:tcW w:w="554" w:type="dxa"/>
            <w:vAlign w:val="center"/>
          </w:tcPr>
          <w:p w14:paraId="5360D8C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79</w:t>
            </w:r>
          </w:p>
        </w:tc>
        <w:tc>
          <w:tcPr>
            <w:tcW w:w="381" w:type="dxa"/>
            <w:vMerge/>
            <w:vAlign w:val="center"/>
          </w:tcPr>
          <w:p w14:paraId="4568139E"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44C57462"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660EA13A"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5A4C0EC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案件监督情况</w:t>
            </w:r>
          </w:p>
        </w:tc>
        <w:tc>
          <w:tcPr>
            <w:tcW w:w="5381" w:type="dxa"/>
            <w:vAlign w:val="center"/>
          </w:tcPr>
          <w:p w14:paraId="32E0BB6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针对监督案件数量、发现风险案件数、风险案件占比、涉及责任单位数进行统计分析。根据地域风险案件数、风险案件/本地案件总数指标，绘制风险案件地域分布图形，直观展现风险案件的地域分布。</w:t>
            </w:r>
          </w:p>
        </w:tc>
      </w:tr>
      <w:tr w:rsidR="00B02C6E" w14:paraId="73B10541" w14:textId="77777777" w:rsidTr="00453BF8">
        <w:tc>
          <w:tcPr>
            <w:tcW w:w="554" w:type="dxa"/>
            <w:vAlign w:val="center"/>
          </w:tcPr>
          <w:p w14:paraId="204F3DC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80</w:t>
            </w:r>
          </w:p>
        </w:tc>
        <w:tc>
          <w:tcPr>
            <w:tcW w:w="381" w:type="dxa"/>
            <w:vMerge/>
            <w:vAlign w:val="center"/>
          </w:tcPr>
          <w:p w14:paraId="1B02E8DF"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59AC6F1A"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472F2C36"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77BFDF7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风险案件地域分布</w:t>
            </w:r>
          </w:p>
        </w:tc>
        <w:tc>
          <w:tcPr>
            <w:tcW w:w="5381" w:type="dxa"/>
            <w:vAlign w:val="center"/>
          </w:tcPr>
          <w:p w14:paraId="16EBEB5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根据风险案件总数，以地域为测量度，结合风险案件数量和风险案件占本地总案件的比例，绘制地域的风险案件发展趋势图。</w:t>
            </w:r>
          </w:p>
        </w:tc>
      </w:tr>
      <w:tr w:rsidR="00B02C6E" w14:paraId="1EE794A4" w14:textId="77777777" w:rsidTr="00453BF8">
        <w:tc>
          <w:tcPr>
            <w:tcW w:w="554" w:type="dxa"/>
            <w:vAlign w:val="center"/>
          </w:tcPr>
          <w:p w14:paraId="692390D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81</w:t>
            </w:r>
          </w:p>
        </w:tc>
        <w:tc>
          <w:tcPr>
            <w:tcW w:w="381" w:type="dxa"/>
            <w:vMerge/>
            <w:vAlign w:val="center"/>
          </w:tcPr>
          <w:p w14:paraId="14785642"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6791E6C2"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634E96F0"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590155B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风险案件趋势分析</w:t>
            </w:r>
          </w:p>
        </w:tc>
        <w:tc>
          <w:tcPr>
            <w:tcW w:w="5381" w:type="dxa"/>
            <w:vAlign w:val="center"/>
          </w:tcPr>
          <w:p w14:paraId="234165B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根据风险案件和案件总数，以月份为测量度，结合数量和比例，绘制年度内每个月份的风险案件发展趋势图。</w:t>
            </w:r>
          </w:p>
        </w:tc>
      </w:tr>
      <w:tr w:rsidR="00B02C6E" w14:paraId="1BA52968" w14:textId="77777777" w:rsidTr="00453BF8">
        <w:tc>
          <w:tcPr>
            <w:tcW w:w="554" w:type="dxa"/>
            <w:vAlign w:val="center"/>
          </w:tcPr>
          <w:p w14:paraId="353E20C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82</w:t>
            </w:r>
          </w:p>
        </w:tc>
        <w:tc>
          <w:tcPr>
            <w:tcW w:w="381" w:type="dxa"/>
            <w:vMerge/>
            <w:vAlign w:val="center"/>
          </w:tcPr>
          <w:p w14:paraId="2B7C8441"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62EA8528"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5A033DAD"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4961F02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风险案件案由和数量排名</w:t>
            </w:r>
          </w:p>
        </w:tc>
        <w:tc>
          <w:tcPr>
            <w:tcW w:w="5381" w:type="dxa"/>
            <w:vAlign w:val="center"/>
          </w:tcPr>
          <w:p w14:paraId="4D4643D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提供风险案件案由的TOP10排名和风险案件数量TOP的单位排名，形成直观简洁的可视化图表。</w:t>
            </w:r>
          </w:p>
        </w:tc>
      </w:tr>
      <w:tr w:rsidR="00B02C6E" w14:paraId="40F7A877" w14:textId="77777777" w:rsidTr="00453BF8">
        <w:tc>
          <w:tcPr>
            <w:tcW w:w="554" w:type="dxa"/>
            <w:vAlign w:val="center"/>
          </w:tcPr>
          <w:p w14:paraId="2A324B4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83</w:t>
            </w:r>
          </w:p>
        </w:tc>
        <w:tc>
          <w:tcPr>
            <w:tcW w:w="381" w:type="dxa"/>
            <w:vMerge/>
            <w:vAlign w:val="center"/>
          </w:tcPr>
          <w:p w14:paraId="667DD999"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0511AC62" w14:textId="77777777" w:rsidR="00B02C6E" w:rsidRDefault="00B02C6E" w:rsidP="00453BF8">
            <w:pPr>
              <w:spacing w:line="560" w:lineRule="exact"/>
              <w:rPr>
                <w:rFonts w:ascii="仿宋_GB2312" w:eastAsia="仿宋_GB2312" w:hAnsi="仿宋_GB2312" w:cs="仿宋_GB2312"/>
              </w:rPr>
            </w:pPr>
          </w:p>
        </w:tc>
        <w:tc>
          <w:tcPr>
            <w:tcW w:w="763" w:type="dxa"/>
            <w:vMerge w:val="restart"/>
            <w:vAlign w:val="center"/>
          </w:tcPr>
          <w:p w14:paraId="120EF15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风险线索管理（政法委端）</w:t>
            </w:r>
          </w:p>
        </w:tc>
        <w:tc>
          <w:tcPr>
            <w:tcW w:w="1320" w:type="dxa"/>
            <w:vAlign w:val="center"/>
          </w:tcPr>
          <w:p w14:paraId="624E346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风险线索总</w:t>
            </w:r>
            <w:proofErr w:type="gramStart"/>
            <w:r>
              <w:rPr>
                <w:rFonts w:ascii="仿宋_GB2312" w:eastAsia="仿宋_GB2312" w:hAnsi="仿宋_GB2312" w:cs="仿宋_GB2312" w:hint="eastAsia"/>
                <w:sz w:val="24"/>
              </w:rPr>
              <w:t>览</w:t>
            </w:r>
            <w:proofErr w:type="gramEnd"/>
          </w:p>
        </w:tc>
        <w:tc>
          <w:tcPr>
            <w:tcW w:w="5381" w:type="dxa"/>
            <w:vAlign w:val="center"/>
          </w:tcPr>
          <w:p w14:paraId="6D3C64E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汇聚执法监督等环节发现的风险线索，提供风险线索列表、图表等多种展现方式，综合呈现当前风险态势。</w:t>
            </w:r>
          </w:p>
        </w:tc>
      </w:tr>
      <w:tr w:rsidR="00B02C6E" w14:paraId="0C8F4A48" w14:textId="77777777" w:rsidTr="00453BF8">
        <w:tc>
          <w:tcPr>
            <w:tcW w:w="554" w:type="dxa"/>
            <w:vAlign w:val="center"/>
          </w:tcPr>
          <w:p w14:paraId="7806C00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84</w:t>
            </w:r>
          </w:p>
        </w:tc>
        <w:tc>
          <w:tcPr>
            <w:tcW w:w="381" w:type="dxa"/>
            <w:vMerge/>
            <w:vAlign w:val="center"/>
          </w:tcPr>
          <w:p w14:paraId="3602EFB1"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29B2370A"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34F63707"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64A9CA7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风险线索接收</w:t>
            </w:r>
          </w:p>
        </w:tc>
        <w:tc>
          <w:tcPr>
            <w:tcW w:w="5381" w:type="dxa"/>
            <w:vAlign w:val="center"/>
          </w:tcPr>
          <w:p w14:paraId="60C8A5D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接收执法监督等环节发现的问题线索，支持手工录入登记问题线索。支持风险线索查询、详情查看等功能。</w:t>
            </w:r>
          </w:p>
        </w:tc>
      </w:tr>
      <w:tr w:rsidR="00B02C6E" w14:paraId="677FFF6B" w14:textId="77777777" w:rsidTr="00453BF8">
        <w:tc>
          <w:tcPr>
            <w:tcW w:w="554" w:type="dxa"/>
            <w:vAlign w:val="center"/>
          </w:tcPr>
          <w:p w14:paraId="7021547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85</w:t>
            </w:r>
          </w:p>
        </w:tc>
        <w:tc>
          <w:tcPr>
            <w:tcW w:w="381" w:type="dxa"/>
            <w:vMerge/>
            <w:vAlign w:val="center"/>
          </w:tcPr>
          <w:p w14:paraId="49B24ECB"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58859B6F"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18A8DB6D"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20F69FD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风险线索转办</w:t>
            </w:r>
          </w:p>
        </w:tc>
        <w:tc>
          <w:tcPr>
            <w:tcW w:w="5381" w:type="dxa"/>
            <w:vAlign w:val="center"/>
          </w:tcPr>
          <w:p w14:paraId="305FD52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辨识风险线索实际情况，支持对风险线索进行初步核实，对需要法检公司办理的风险线索进行分发管理；对不需要法检公司办理的风险线索可直接进行关闭。</w:t>
            </w:r>
          </w:p>
        </w:tc>
      </w:tr>
      <w:tr w:rsidR="00B02C6E" w14:paraId="142DEF66" w14:textId="77777777" w:rsidTr="00453BF8">
        <w:tc>
          <w:tcPr>
            <w:tcW w:w="554" w:type="dxa"/>
            <w:vAlign w:val="center"/>
          </w:tcPr>
          <w:p w14:paraId="3476A10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86</w:t>
            </w:r>
          </w:p>
        </w:tc>
        <w:tc>
          <w:tcPr>
            <w:tcW w:w="381" w:type="dxa"/>
            <w:vMerge/>
            <w:vAlign w:val="center"/>
          </w:tcPr>
          <w:p w14:paraId="460D9996"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12C9E0DE"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65C4622A"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39F6C3F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风险线索办结</w:t>
            </w:r>
          </w:p>
        </w:tc>
        <w:tc>
          <w:tcPr>
            <w:tcW w:w="5381" w:type="dxa"/>
            <w:vAlign w:val="center"/>
          </w:tcPr>
          <w:p w14:paraId="4AC8CB5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支持对法检公司反馈办理结果的问题线索进行审理，审理通过后可结束案件。如果审理不通过可转发给其他部门进行办理或转给案件评查系统。</w:t>
            </w:r>
          </w:p>
        </w:tc>
      </w:tr>
      <w:tr w:rsidR="00B02C6E" w14:paraId="31B266C9" w14:textId="77777777" w:rsidTr="00453BF8">
        <w:tc>
          <w:tcPr>
            <w:tcW w:w="554" w:type="dxa"/>
            <w:shd w:val="clear" w:color="auto" w:fill="auto"/>
            <w:vAlign w:val="center"/>
          </w:tcPr>
          <w:p w14:paraId="4145DC4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87</w:t>
            </w:r>
          </w:p>
        </w:tc>
        <w:tc>
          <w:tcPr>
            <w:tcW w:w="381" w:type="dxa"/>
            <w:vMerge/>
            <w:shd w:val="clear" w:color="auto" w:fill="auto"/>
            <w:vAlign w:val="center"/>
          </w:tcPr>
          <w:p w14:paraId="30201018"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59163811" w14:textId="77777777" w:rsidR="00B02C6E" w:rsidRDefault="00B02C6E" w:rsidP="00453BF8">
            <w:pPr>
              <w:spacing w:line="560" w:lineRule="exact"/>
              <w:rPr>
                <w:rFonts w:ascii="仿宋_GB2312" w:eastAsia="仿宋_GB2312" w:hAnsi="仿宋_GB2312" w:cs="仿宋_GB2312"/>
              </w:rPr>
            </w:pPr>
          </w:p>
        </w:tc>
        <w:tc>
          <w:tcPr>
            <w:tcW w:w="763" w:type="dxa"/>
            <w:shd w:val="clear" w:color="000000" w:fill="FFFFFF"/>
            <w:vAlign w:val="center"/>
          </w:tcPr>
          <w:p w14:paraId="4471CBB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风险线索管理（数据交换子系统对</w:t>
            </w:r>
            <w:r>
              <w:rPr>
                <w:rFonts w:ascii="仿宋_GB2312" w:eastAsia="仿宋_GB2312" w:hAnsi="仿宋_GB2312" w:cs="仿宋_GB2312" w:hint="eastAsia"/>
                <w:sz w:val="24"/>
              </w:rPr>
              <w:lastRenderedPageBreak/>
              <w:t>接）</w:t>
            </w:r>
          </w:p>
        </w:tc>
        <w:tc>
          <w:tcPr>
            <w:tcW w:w="1320" w:type="dxa"/>
            <w:shd w:val="clear" w:color="000000" w:fill="FFFFFF"/>
            <w:vAlign w:val="center"/>
          </w:tcPr>
          <w:p w14:paraId="5CA1797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基于数据交换子系统进行数据交换对接联调</w:t>
            </w:r>
          </w:p>
        </w:tc>
        <w:tc>
          <w:tcPr>
            <w:tcW w:w="5381" w:type="dxa"/>
            <w:shd w:val="clear" w:color="000000" w:fill="FFFFFF"/>
            <w:vAlign w:val="center"/>
          </w:tcPr>
          <w:p w14:paraId="39BD640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通过数据交换子系统与法检公司进行数据交换对接联调，与法检公司对接联调，用于问题线索收集，支撑线索接收、退回及办理反馈功能。</w:t>
            </w:r>
          </w:p>
        </w:tc>
      </w:tr>
      <w:tr w:rsidR="00B02C6E" w14:paraId="1ABCA69B" w14:textId="77777777" w:rsidTr="00453BF8">
        <w:tc>
          <w:tcPr>
            <w:tcW w:w="554" w:type="dxa"/>
            <w:vAlign w:val="center"/>
          </w:tcPr>
          <w:p w14:paraId="241E007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88</w:t>
            </w:r>
          </w:p>
        </w:tc>
        <w:tc>
          <w:tcPr>
            <w:tcW w:w="381" w:type="dxa"/>
            <w:vMerge/>
            <w:vAlign w:val="center"/>
          </w:tcPr>
          <w:p w14:paraId="2E05A296" w14:textId="77777777" w:rsidR="00B02C6E" w:rsidRDefault="00B02C6E" w:rsidP="00453BF8">
            <w:pPr>
              <w:spacing w:line="560" w:lineRule="exact"/>
              <w:rPr>
                <w:rFonts w:ascii="仿宋_GB2312" w:eastAsia="仿宋_GB2312" w:hAnsi="仿宋_GB2312" w:cs="仿宋_GB2312"/>
              </w:rPr>
            </w:pPr>
          </w:p>
        </w:tc>
        <w:tc>
          <w:tcPr>
            <w:tcW w:w="547" w:type="dxa"/>
            <w:vMerge w:val="restart"/>
            <w:vAlign w:val="center"/>
          </w:tcPr>
          <w:p w14:paraId="293B32E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案件评查系统</w:t>
            </w:r>
          </w:p>
        </w:tc>
        <w:tc>
          <w:tcPr>
            <w:tcW w:w="763" w:type="dxa"/>
            <w:vMerge w:val="restart"/>
            <w:vAlign w:val="center"/>
          </w:tcPr>
          <w:p w14:paraId="5F1C9CA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案件评查系统（政法委端）</w:t>
            </w:r>
          </w:p>
        </w:tc>
        <w:tc>
          <w:tcPr>
            <w:tcW w:w="1320" w:type="dxa"/>
            <w:vAlign w:val="center"/>
          </w:tcPr>
          <w:p w14:paraId="67B2E9F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创建评查活动</w:t>
            </w:r>
          </w:p>
        </w:tc>
        <w:tc>
          <w:tcPr>
            <w:tcW w:w="5381" w:type="dxa"/>
            <w:vAlign w:val="center"/>
          </w:tcPr>
          <w:p w14:paraId="55C5A7A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针对业务协同平台已经办结的审查逮捕、移送审查起诉、一审公诉刑事案件，评查系统自动获取相关案件信息、文书、卷宗。政法委执法监督员从案件库中抽取对应的案件，选择案件进行评查。</w:t>
            </w:r>
          </w:p>
        </w:tc>
      </w:tr>
      <w:tr w:rsidR="00B02C6E" w14:paraId="5C7932A0" w14:textId="77777777" w:rsidTr="00453BF8">
        <w:tc>
          <w:tcPr>
            <w:tcW w:w="554" w:type="dxa"/>
            <w:vMerge w:val="restart"/>
            <w:vAlign w:val="center"/>
          </w:tcPr>
          <w:p w14:paraId="525036F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89</w:t>
            </w:r>
          </w:p>
        </w:tc>
        <w:tc>
          <w:tcPr>
            <w:tcW w:w="381" w:type="dxa"/>
            <w:vMerge/>
            <w:vAlign w:val="center"/>
          </w:tcPr>
          <w:p w14:paraId="6A5A67F7"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295369B1"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000A618E" w14:textId="77777777" w:rsidR="00B02C6E" w:rsidRDefault="00B02C6E" w:rsidP="00453BF8">
            <w:pPr>
              <w:spacing w:line="560" w:lineRule="exact"/>
              <w:rPr>
                <w:rFonts w:ascii="仿宋_GB2312" w:eastAsia="仿宋_GB2312" w:hAnsi="仿宋_GB2312" w:cs="仿宋_GB2312"/>
              </w:rPr>
            </w:pPr>
          </w:p>
        </w:tc>
        <w:tc>
          <w:tcPr>
            <w:tcW w:w="1320" w:type="dxa"/>
            <w:vMerge w:val="restart"/>
            <w:vAlign w:val="center"/>
          </w:tcPr>
          <w:p w14:paraId="294D252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评查案件筛选</w:t>
            </w:r>
          </w:p>
        </w:tc>
        <w:tc>
          <w:tcPr>
            <w:tcW w:w="5381" w:type="dxa"/>
            <w:vAlign w:val="center"/>
          </w:tcPr>
          <w:p w14:paraId="0F98301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针对业务协同平台已经办结的刑事案件，系统支持推送问题</w:t>
            </w:r>
            <w:proofErr w:type="gramStart"/>
            <w:r>
              <w:rPr>
                <w:rFonts w:ascii="仿宋_GB2312" w:eastAsia="仿宋_GB2312" w:hAnsi="仿宋_GB2312" w:cs="仿宋_GB2312" w:hint="eastAsia"/>
                <w:sz w:val="24"/>
              </w:rPr>
              <w:t>案件案</w:t>
            </w:r>
            <w:proofErr w:type="gramEnd"/>
            <w:r>
              <w:rPr>
                <w:rFonts w:ascii="仿宋_GB2312" w:eastAsia="仿宋_GB2312" w:hAnsi="仿宋_GB2312" w:cs="仿宋_GB2312" w:hint="eastAsia"/>
                <w:sz w:val="24"/>
              </w:rPr>
              <w:t>号和检索结果展示（非案件全部信息）。</w:t>
            </w:r>
          </w:p>
        </w:tc>
      </w:tr>
      <w:tr w:rsidR="00B02C6E" w14:paraId="4793DCB1" w14:textId="77777777" w:rsidTr="00453BF8">
        <w:tc>
          <w:tcPr>
            <w:tcW w:w="554" w:type="dxa"/>
            <w:vMerge/>
            <w:vAlign w:val="center"/>
          </w:tcPr>
          <w:p w14:paraId="30980948"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53A8CAE0"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0D7BC44D"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6026780A"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3ED80F12"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01C6ED8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1、系统自动识别和智能化分析筛选问题案件并自动将问题案件表单推送给政法委执法监督人员。</w:t>
            </w:r>
          </w:p>
        </w:tc>
      </w:tr>
      <w:tr w:rsidR="00B02C6E" w14:paraId="27A8D0D3" w14:textId="77777777" w:rsidTr="00453BF8">
        <w:tc>
          <w:tcPr>
            <w:tcW w:w="554" w:type="dxa"/>
            <w:vMerge/>
            <w:vAlign w:val="center"/>
          </w:tcPr>
          <w:p w14:paraId="0E863B10"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4E94873D"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3315125E"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4A6E6681"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085F5236"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4BE191F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2、政法委执法监督人员根据领导指示针对特定案件开展执法监督程序，在线查看确认案件问题。</w:t>
            </w:r>
          </w:p>
        </w:tc>
      </w:tr>
      <w:tr w:rsidR="00B02C6E" w14:paraId="3AD01503" w14:textId="77777777" w:rsidTr="00453BF8">
        <w:tc>
          <w:tcPr>
            <w:tcW w:w="554" w:type="dxa"/>
            <w:vMerge/>
            <w:vAlign w:val="center"/>
          </w:tcPr>
          <w:p w14:paraId="125FF550" w14:textId="77777777" w:rsidR="00B02C6E" w:rsidRDefault="00B02C6E" w:rsidP="00453BF8">
            <w:pPr>
              <w:spacing w:line="560" w:lineRule="exact"/>
              <w:rPr>
                <w:rFonts w:ascii="仿宋_GB2312" w:eastAsia="仿宋_GB2312" w:hAnsi="仿宋_GB2312" w:cs="仿宋_GB2312"/>
              </w:rPr>
            </w:pPr>
          </w:p>
        </w:tc>
        <w:tc>
          <w:tcPr>
            <w:tcW w:w="381" w:type="dxa"/>
            <w:vMerge/>
            <w:vAlign w:val="center"/>
          </w:tcPr>
          <w:p w14:paraId="0652BC8E"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2F1859CC"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5439A227" w14:textId="77777777" w:rsidR="00B02C6E" w:rsidRDefault="00B02C6E" w:rsidP="00453BF8">
            <w:pPr>
              <w:spacing w:line="560" w:lineRule="exact"/>
              <w:rPr>
                <w:rFonts w:ascii="仿宋_GB2312" w:eastAsia="仿宋_GB2312" w:hAnsi="仿宋_GB2312" w:cs="仿宋_GB2312"/>
              </w:rPr>
            </w:pPr>
          </w:p>
        </w:tc>
        <w:tc>
          <w:tcPr>
            <w:tcW w:w="1320" w:type="dxa"/>
            <w:vMerge/>
            <w:vAlign w:val="center"/>
          </w:tcPr>
          <w:p w14:paraId="420E911A" w14:textId="77777777" w:rsidR="00B02C6E" w:rsidRDefault="00B02C6E" w:rsidP="00453BF8">
            <w:pPr>
              <w:spacing w:line="560" w:lineRule="exact"/>
              <w:rPr>
                <w:rFonts w:ascii="仿宋_GB2312" w:eastAsia="仿宋_GB2312" w:hAnsi="仿宋_GB2312" w:cs="仿宋_GB2312"/>
              </w:rPr>
            </w:pPr>
          </w:p>
        </w:tc>
        <w:tc>
          <w:tcPr>
            <w:tcW w:w="5381" w:type="dxa"/>
            <w:vAlign w:val="center"/>
          </w:tcPr>
          <w:p w14:paraId="43E1719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3、政法委执法监督员从案件库中抽取对应的案件，选择案件进行评查。</w:t>
            </w:r>
          </w:p>
        </w:tc>
      </w:tr>
      <w:tr w:rsidR="00B02C6E" w14:paraId="105231FC" w14:textId="77777777" w:rsidTr="00453BF8">
        <w:tc>
          <w:tcPr>
            <w:tcW w:w="554" w:type="dxa"/>
            <w:vAlign w:val="center"/>
          </w:tcPr>
          <w:p w14:paraId="5BC2D56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90</w:t>
            </w:r>
          </w:p>
        </w:tc>
        <w:tc>
          <w:tcPr>
            <w:tcW w:w="381" w:type="dxa"/>
            <w:vMerge/>
            <w:vAlign w:val="center"/>
          </w:tcPr>
          <w:p w14:paraId="5C829F6C"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1A2AD07F"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778D5EF1"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0580365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评查活动管理</w:t>
            </w:r>
          </w:p>
        </w:tc>
        <w:tc>
          <w:tcPr>
            <w:tcW w:w="5381" w:type="dxa"/>
            <w:vAlign w:val="center"/>
          </w:tcPr>
          <w:p w14:paraId="22B18BF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执法监督员对评查活动情况进行跟踪，系统支持修改编辑已创建的评查活动信息。</w:t>
            </w:r>
          </w:p>
        </w:tc>
      </w:tr>
      <w:tr w:rsidR="00B02C6E" w14:paraId="265508D1" w14:textId="77777777" w:rsidTr="00453BF8">
        <w:tc>
          <w:tcPr>
            <w:tcW w:w="554" w:type="dxa"/>
            <w:vAlign w:val="center"/>
          </w:tcPr>
          <w:p w14:paraId="3C54421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91</w:t>
            </w:r>
          </w:p>
        </w:tc>
        <w:tc>
          <w:tcPr>
            <w:tcW w:w="381" w:type="dxa"/>
            <w:vMerge/>
            <w:vAlign w:val="center"/>
          </w:tcPr>
          <w:p w14:paraId="0777AF38"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1589A26E"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5C291A72"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2FE8620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案件评查</w:t>
            </w:r>
          </w:p>
        </w:tc>
        <w:tc>
          <w:tcPr>
            <w:tcW w:w="5381" w:type="dxa"/>
            <w:vAlign w:val="center"/>
          </w:tcPr>
          <w:p w14:paraId="01048AF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评查专家进入“案件评查”模块，查看需要评查案件的卷宗，在案件材料中进行问题标注，完成对本案的评查工作，最终形成个案评查报告。</w:t>
            </w:r>
          </w:p>
        </w:tc>
      </w:tr>
      <w:tr w:rsidR="00B02C6E" w14:paraId="32205C35" w14:textId="77777777" w:rsidTr="00453BF8">
        <w:tc>
          <w:tcPr>
            <w:tcW w:w="554" w:type="dxa"/>
            <w:vAlign w:val="center"/>
          </w:tcPr>
          <w:p w14:paraId="27400BE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92</w:t>
            </w:r>
          </w:p>
        </w:tc>
        <w:tc>
          <w:tcPr>
            <w:tcW w:w="381" w:type="dxa"/>
            <w:vMerge/>
            <w:vAlign w:val="center"/>
          </w:tcPr>
          <w:p w14:paraId="5F1550F4"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4FCF9365"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69565751"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30609F2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评查报告列表</w:t>
            </w:r>
          </w:p>
        </w:tc>
        <w:tc>
          <w:tcPr>
            <w:tcW w:w="5381" w:type="dxa"/>
            <w:vAlign w:val="center"/>
          </w:tcPr>
          <w:p w14:paraId="05C6AE7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工作人员可查看权限范围内的评查报告并以列表方式展示，呈现评查活动名称、案号、案件名称、被评查单位等报告关键信息。</w:t>
            </w:r>
          </w:p>
        </w:tc>
      </w:tr>
      <w:tr w:rsidR="00B02C6E" w14:paraId="6C9A899D" w14:textId="77777777" w:rsidTr="00453BF8">
        <w:tc>
          <w:tcPr>
            <w:tcW w:w="554" w:type="dxa"/>
            <w:vAlign w:val="center"/>
          </w:tcPr>
          <w:p w14:paraId="1E7E279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93</w:t>
            </w:r>
          </w:p>
        </w:tc>
        <w:tc>
          <w:tcPr>
            <w:tcW w:w="381" w:type="dxa"/>
            <w:vMerge/>
            <w:vAlign w:val="center"/>
          </w:tcPr>
          <w:p w14:paraId="68C16029"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5D92E759"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67C23518"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207BCBE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个案报告生成</w:t>
            </w:r>
          </w:p>
        </w:tc>
        <w:tc>
          <w:tcPr>
            <w:tcW w:w="5381" w:type="dxa"/>
            <w:vAlign w:val="center"/>
          </w:tcPr>
          <w:p w14:paraId="484A7C9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评查完成后，系统根据自动与人工的评查结果自动生成评查个案报告，并支持编辑。保存后，可以发</w:t>
            </w:r>
            <w:r>
              <w:rPr>
                <w:rFonts w:ascii="仿宋_GB2312" w:eastAsia="仿宋_GB2312" w:hAnsi="仿宋_GB2312" w:cs="仿宋_GB2312" w:hint="eastAsia"/>
                <w:sz w:val="24"/>
              </w:rPr>
              <w:lastRenderedPageBreak/>
              <w:t>送</w:t>
            </w:r>
            <w:proofErr w:type="gramStart"/>
            <w:r>
              <w:rPr>
                <w:rFonts w:ascii="仿宋_GB2312" w:eastAsia="仿宋_GB2312" w:hAnsi="仿宋_GB2312" w:cs="仿宋_GB2312" w:hint="eastAsia"/>
                <w:sz w:val="24"/>
              </w:rPr>
              <w:t>至执法</w:t>
            </w:r>
            <w:proofErr w:type="gramEnd"/>
            <w:r>
              <w:rPr>
                <w:rFonts w:ascii="仿宋_GB2312" w:eastAsia="仿宋_GB2312" w:hAnsi="仿宋_GB2312" w:cs="仿宋_GB2312" w:hint="eastAsia"/>
                <w:sz w:val="24"/>
              </w:rPr>
              <w:t>监督员角色，报告支持下载成word形式。</w:t>
            </w:r>
          </w:p>
        </w:tc>
      </w:tr>
      <w:tr w:rsidR="00B02C6E" w14:paraId="0EE4EA7D" w14:textId="77777777" w:rsidTr="00453BF8">
        <w:tc>
          <w:tcPr>
            <w:tcW w:w="554" w:type="dxa"/>
            <w:vAlign w:val="center"/>
          </w:tcPr>
          <w:p w14:paraId="7F9E474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94</w:t>
            </w:r>
          </w:p>
        </w:tc>
        <w:tc>
          <w:tcPr>
            <w:tcW w:w="381" w:type="dxa"/>
            <w:vMerge/>
            <w:vAlign w:val="center"/>
          </w:tcPr>
          <w:p w14:paraId="7621DA71"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0BC604EF"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46B7FD3F"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1B7B2B1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综合报告生成</w:t>
            </w:r>
          </w:p>
        </w:tc>
        <w:tc>
          <w:tcPr>
            <w:tcW w:w="5381" w:type="dxa"/>
            <w:vAlign w:val="center"/>
          </w:tcPr>
          <w:p w14:paraId="5F31A71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集中评查结束后，系统可以生成综合分析报告并支持编辑，从宏观层面分析案件质量情况，并给予改进措施建议，报告支持下载成word形式。</w:t>
            </w:r>
          </w:p>
        </w:tc>
      </w:tr>
      <w:tr w:rsidR="00B02C6E" w14:paraId="160A7C08" w14:textId="77777777" w:rsidTr="00453BF8">
        <w:tc>
          <w:tcPr>
            <w:tcW w:w="554" w:type="dxa"/>
            <w:vAlign w:val="center"/>
          </w:tcPr>
          <w:p w14:paraId="7F0486E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95</w:t>
            </w:r>
          </w:p>
        </w:tc>
        <w:tc>
          <w:tcPr>
            <w:tcW w:w="381" w:type="dxa"/>
            <w:vMerge/>
            <w:vAlign w:val="center"/>
          </w:tcPr>
          <w:p w14:paraId="6BB8A01D"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24E361F6"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4231E3B9"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0EFA036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评查报告查询</w:t>
            </w:r>
          </w:p>
        </w:tc>
        <w:tc>
          <w:tcPr>
            <w:tcW w:w="5381" w:type="dxa"/>
            <w:vAlign w:val="center"/>
          </w:tcPr>
          <w:p w14:paraId="28606B8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提供案件评查报告列表，支持对已经生成的评查报告进行查询。</w:t>
            </w:r>
          </w:p>
        </w:tc>
      </w:tr>
      <w:tr w:rsidR="00B02C6E" w14:paraId="2046463A" w14:textId="77777777" w:rsidTr="00453BF8">
        <w:tc>
          <w:tcPr>
            <w:tcW w:w="554" w:type="dxa"/>
            <w:vAlign w:val="center"/>
          </w:tcPr>
          <w:p w14:paraId="2B44EBC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96</w:t>
            </w:r>
          </w:p>
        </w:tc>
        <w:tc>
          <w:tcPr>
            <w:tcW w:w="381" w:type="dxa"/>
            <w:vMerge/>
            <w:vAlign w:val="center"/>
          </w:tcPr>
          <w:p w14:paraId="0E1676A8"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0ED2CF72"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486CF5AC"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1719963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评查报告模板管理</w:t>
            </w:r>
          </w:p>
        </w:tc>
        <w:tc>
          <w:tcPr>
            <w:tcW w:w="5381" w:type="dxa"/>
            <w:vAlign w:val="center"/>
          </w:tcPr>
          <w:p w14:paraId="4BA551F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支持对评查报告模板进行管理，包括新建模板、模板编辑、模板状态管理等。</w:t>
            </w:r>
          </w:p>
        </w:tc>
      </w:tr>
      <w:tr w:rsidR="00B02C6E" w14:paraId="487095BC" w14:textId="77777777" w:rsidTr="00453BF8">
        <w:tc>
          <w:tcPr>
            <w:tcW w:w="554" w:type="dxa"/>
            <w:vAlign w:val="center"/>
          </w:tcPr>
          <w:p w14:paraId="4300DC36"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97</w:t>
            </w:r>
          </w:p>
        </w:tc>
        <w:tc>
          <w:tcPr>
            <w:tcW w:w="381" w:type="dxa"/>
            <w:vMerge/>
            <w:vAlign w:val="center"/>
          </w:tcPr>
          <w:p w14:paraId="130CE5DA"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70DA94B0"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0C87227F"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37430DA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评查结果下载</w:t>
            </w:r>
          </w:p>
        </w:tc>
        <w:tc>
          <w:tcPr>
            <w:tcW w:w="5381" w:type="dxa"/>
            <w:vAlign w:val="center"/>
          </w:tcPr>
          <w:p w14:paraId="2270476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评查完成后，执法监督员可以通过系统下载对应的个案或综合分析报告，并通过政法内部系统套红、盖章进行下发。</w:t>
            </w:r>
          </w:p>
        </w:tc>
      </w:tr>
      <w:tr w:rsidR="00B02C6E" w14:paraId="3E372FC2" w14:textId="77777777" w:rsidTr="00453BF8">
        <w:tc>
          <w:tcPr>
            <w:tcW w:w="554" w:type="dxa"/>
            <w:vAlign w:val="center"/>
          </w:tcPr>
          <w:p w14:paraId="222D1A2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98</w:t>
            </w:r>
          </w:p>
        </w:tc>
        <w:tc>
          <w:tcPr>
            <w:tcW w:w="381" w:type="dxa"/>
            <w:vMerge/>
            <w:vAlign w:val="center"/>
          </w:tcPr>
          <w:p w14:paraId="3751F1C3"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5DB48F45"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72E92434"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751ECC6F"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评查专家库管理</w:t>
            </w:r>
          </w:p>
        </w:tc>
        <w:tc>
          <w:tcPr>
            <w:tcW w:w="5381" w:type="dxa"/>
            <w:vAlign w:val="center"/>
          </w:tcPr>
          <w:p w14:paraId="3995ADB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政法单位相关评查专家，组建评查专家库，为每位专家简历相关评查档案，详细记载评查专家的相关具体情况，为评查专家管理、评查专家抽取、开展评查工作等提供辅助支持。一般案件评查工作的主要评查员是通过发文或抽调的形式来选取公检法各家业务骨干人员，需要通过建立评查人员库来统一管理所有评查员的信息，方便评审工作的活动组织。</w:t>
            </w:r>
          </w:p>
        </w:tc>
      </w:tr>
      <w:tr w:rsidR="00B02C6E" w14:paraId="0DAF198A" w14:textId="77777777" w:rsidTr="00453BF8">
        <w:tc>
          <w:tcPr>
            <w:tcW w:w="554" w:type="dxa"/>
            <w:vAlign w:val="center"/>
          </w:tcPr>
          <w:p w14:paraId="6630083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99</w:t>
            </w:r>
          </w:p>
        </w:tc>
        <w:tc>
          <w:tcPr>
            <w:tcW w:w="381" w:type="dxa"/>
            <w:vMerge/>
            <w:vAlign w:val="center"/>
          </w:tcPr>
          <w:p w14:paraId="5BB8A8B5"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562D0976" w14:textId="77777777" w:rsidR="00B02C6E" w:rsidRDefault="00B02C6E" w:rsidP="00453BF8">
            <w:pPr>
              <w:spacing w:line="560" w:lineRule="exact"/>
              <w:rPr>
                <w:rFonts w:ascii="仿宋_GB2312" w:eastAsia="仿宋_GB2312" w:hAnsi="仿宋_GB2312" w:cs="仿宋_GB2312"/>
              </w:rPr>
            </w:pPr>
          </w:p>
        </w:tc>
        <w:tc>
          <w:tcPr>
            <w:tcW w:w="763" w:type="dxa"/>
            <w:vAlign w:val="center"/>
          </w:tcPr>
          <w:p w14:paraId="18D0C85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通过数据交换子系统与</w:t>
            </w:r>
            <w:r>
              <w:rPr>
                <w:rFonts w:ascii="仿宋_GB2312" w:eastAsia="仿宋_GB2312" w:hAnsi="仿宋_GB2312" w:cs="仿宋_GB2312" w:hint="eastAsia"/>
                <w:sz w:val="24"/>
              </w:rPr>
              <w:lastRenderedPageBreak/>
              <w:t>各家对接联调</w:t>
            </w:r>
          </w:p>
        </w:tc>
        <w:tc>
          <w:tcPr>
            <w:tcW w:w="1320" w:type="dxa"/>
            <w:vAlign w:val="center"/>
          </w:tcPr>
          <w:p w14:paraId="1CA173B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基于数据交换子系统进行数据交换对接联调</w:t>
            </w:r>
          </w:p>
        </w:tc>
        <w:tc>
          <w:tcPr>
            <w:tcW w:w="5381" w:type="dxa"/>
            <w:vAlign w:val="center"/>
          </w:tcPr>
          <w:p w14:paraId="78E1E8D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基于数据交换子系统进行数据交换对接，与法检公司对接联调，用于问题线索收集，支撑线索接收、退回及办理反馈功能</w:t>
            </w:r>
          </w:p>
        </w:tc>
      </w:tr>
      <w:tr w:rsidR="00B02C6E" w14:paraId="3D9170A2" w14:textId="77777777" w:rsidTr="00453BF8">
        <w:tc>
          <w:tcPr>
            <w:tcW w:w="554" w:type="dxa"/>
            <w:shd w:val="clear" w:color="auto" w:fill="auto"/>
            <w:vAlign w:val="center"/>
          </w:tcPr>
          <w:p w14:paraId="11737FE7"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100</w:t>
            </w:r>
          </w:p>
        </w:tc>
        <w:tc>
          <w:tcPr>
            <w:tcW w:w="381" w:type="dxa"/>
            <w:vMerge/>
            <w:shd w:val="clear" w:color="auto" w:fill="auto"/>
            <w:vAlign w:val="center"/>
          </w:tcPr>
          <w:p w14:paraId="16FE804F" w14:textId="77777777" w:rsidR="00B02C6E" w:rsidRDefault="00B02C6E" w:rsidP="00453BF8">
            <w:pPr>
              <w:spacing w:line="560" w:lineRule="exact"/>
              <w:rPr>
                <w:rFonts w:ascii="仿宋_GB2312" w:eastAsia="仿宋_GB2312" w:hAnsi="仿宋_GB2312" w:cs="仿宋_GB2312"/>
              </w:rPr>
            </w:pPr>
          </w:p>
        </w:tc>
        <w:tc>
          <w:tcPr>
            <w:tcW w:w="547" w:type="dxa"/>
            <w:vMerge w:val="restart"/>
            <w:shd w:val="clear" w:color="auto" w:fill="auto"/>
            <w:vAlign w:val="center"/>
          </w:tcPr>
          <w:p w14:paraId="3C8D23C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 xml:space="preserve">　</w:t>
            </w:r>
          </w:p>
        </w:tc>
        <w:tc>
          <w:tcPr>
            <w:tcW w:w="763" w:type="dxa"/>
            <w:vMerge w:val="restart"/>
            <w:shd w:val="clear" w:color="000000" w:fill="FFFFFF"/>
            <w:vAlign w:val="center"/>
          </w:tcPr>
          <w:p w14:paraId="0DA345C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服务监督需要的刑事案件结构化数据抽取</w:t>
            </w:r>
          </w:p>
        </w:tc>
        <w:tc>
          <w:tcPr>
            <w:tcW w:w="1320" w:type="dxa"/>
            <w:shd w:val="clear" w:color="000000" w:fill="FFFFFF"/>
            <w:vAlign w:val="center"/>
          </w:tcPr>
          <w:p w14:paraId="4BB939D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文字及材料识别</w:t>
            </w:r>
          </w:p>
        </w:tc>
        <w:tc>
          <w:tcPr>
            <w:tcW w:w="5381" w:type="dxa"/>
            <w:shd w:val="clear" w:color="000000" w:fill="FFFFFF"/>
            <w:vAlign w:val="center"/>
          </w:tcPr>
          <w:p w14:paraId="1BEBBBD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文字识别，分析提取材料文本内容，识别印刷字体识别、手写字体识别、表格识别、</w:t>
            </w:r>
            <w:proofErr w:type="gramStart"/>
            <w:r>
              <w:rPr>
                <w:rFonts w:ascii="仿宋_GB2312" w:eastAsia="仿宋_GB2312" w:hAnsi="仿宋_GB2312" w:cs="仿宋_GB2312" w:hint="eastAsia"/>
                <w:sz w:val="24"/>
              </w:rPr>
              <w:t>卡证识别</w:t>
            </w:r>
            <w:proofErr w:type="gramEnd"/>
            <w:r>
              <w:rPr>
                <w:rFonts w:ascii="仿宋_GB2312" w:eastAsia="仿宋_GB2312" w:hAnsi="仿宋_GB2312" w:cs="仿宋_GB2312" w:hint="eastAsia"/>
                <w:sz w:val="24"/>
              </w:rPr>
              <w:t>，尤其对刑事案件经常涉及的表格、</w:t>
            </w:r>
            <w:proofErr w:type="gramStart"/>
            <w:r>
              <w:rPr>
                <w:rFonts w:ascii="仿宋_GB2312" w:eastAsia="仿宋_GB2312" w:hAnsi="仿宋_GB2312" w:cs="仿宋_GB2312" w:hint="eastAsia"/>
                <w:sz w:val="24"/>
              </w:rPr>
              <w:t>卡证识别</w:t>
            </w:r>
            <w:proofErr w:type="gramEnd"/>
          </w:p>
        </w:tc>
      </w:tr>
      <w:tr w:rsidR="00B02C6E" w14:paraId="7845F56F" w14:textId="77777777" w:rsidTr="00453BF8">
        <w:tc>
          <w:tcPr>
            <w:tcW w:w="554" w:type="dxa"/>
            <w:shd w:val="clear" w:color="auto" w:fill="auto"/>
            <w:vAlign w:val="center"/>
          </w:tcPr>
          <w:p w14:paraId="0F9ACEA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101</w:t>
            </w:r>
          </w:p>
        </w:tc>
        <w:tc>
          <w:tcPr>
            <w:tcW w:w="381" w:type="dxa"/>
            <w:vMerge/>
            <w:shd w:val="clear" w:color="auto" w:fill="auto"/>
            <w:vAlign w:val="center"/>
          </w:tcPr>
          <w:p w14:paraId="40F74B77"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6A16E9CC"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0C142196" w14:textId="77777777" w:rsidR="00B02C6E" w:rsidRDefault="00B02C6E" w:rsidP="00453BF8">
            <w:pPr>
              <w:spacing w:line="560" w:lineRule="exact"/>
              <w:rPr>
                <w:rFonts w:ascii="仿宋_GB2312" w:eastAsia="仿宋_GB2312" w:hAnsi="仿宋_GB2312" w:cs="仿宋_GB2312"/>
              </w:rPr>
            </w:pPr>
          </w:p>
        </w:tc>
        <w:tc>
          <w:tcPr>
            <w:tcW w:w="1320" w:type="dxa"/>
            <w:shd w:val="clear" w:color="000000" w:fill="FFFFFF"/>
            <w:vAlign w:val="center"/>
          </w:tcPr>
          <w:p w14:paraId="7B592F3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刑事案件法律文书解析</w:t>
            </w:r>
          </w:p>
        </w:tc>
        <w:tc>
          <w:tcPr>
            <w:tcW w:w="5381" w:type="dxa"/>
            <w:shd w:val="clear" w:color="000000" w:fill="FFFFFF"/>
            <w:vAlign w:val="center"/>
          </w:tcPr>
          <w:p w14:paraId="2776166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以法律知识图谱为基础，通过人工智能的自然语言理解技术，实现了从半结构化的文书中抽取、解析、识别法律专业术语和法律要素信息的业务需求，并基于法律体系的逻辑分析建立了个案的法律事实、构成要件与法律法规之间的动态关联。</w:t>
            </w:r>
          </w:p>
        </w:tc>
      </w:tr>
      <w:tr w:rsidR="00B02C6E" w14:paraId="7CA0499A" w14:textId="77777777" w:rsidTr="00453BF8">
        <w:tc>
          <w:tcPr>
            <w:tcW w:w="554" w:type="dxa"/>
            <w:shd w:val="clear" w:color="auto" w:fill="auto"/>
            <w:vAlign w:val="center"/>
          </w:tcPr>
          <w:p w14:paraId="2EE58DE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102</w:t>
            </w:r>
          </w:p>
        </w:tc>
        <w:tc>
          <w:tcPr>
            <w:tcW w:w="381" w:type="dxa"/>
            <w:vMerge/>
            <w:shd w:val="clear" w:color="auto" w:fill="auto"/>
            <w:vAlign w:val="center"/>
          </w:tcPr>
          <w:p w14:paraId="3780893E"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591DD235"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68162E6B" w14:textId="77777777" w:rsidR="00B02C6E" w:rsidRDefault="00B02C6E" w:rsidP="00453BF8">
            <w:pPr>
              <w:spacing w:line="560" w:lineRule="exact"/>
              <w:rPr>
                <w:rFonts w:ascii="仿宋_GB2312" w:eastAsia="仿宋_GB2312" w:hAnsi="仿宋_GB2312" w:cs="仿宋_GB2312"/>
              </w:rPr>
            </w:pPr>
          </w:p>
        </w:tc>
        <w:tc>
          <w:tcPr>
            <w:tcW w:w="1320" w:type="dxa"/>
            <w:shd w:val="clear" w:color="000000" w:fill="FFFFFF"/>
            <w:vAlign w:val="center"/>
          </w:tcPr>
          <w:p w14:paraId="35FF9FAE"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刑事案件案情信息提取</w:t>
            </w:r>
          </w:p>
        </w:tc>
        <w:tc>
          <w:tcPr>
            <w:tcW w:w="5381" w:type="dxa"/>
            <w:shd w:val="clear" w:color="000000" w:fill="FFFFFF"/>
            <w:vAlign w:val="center"/>
          </w:tcPr>
          <w:p w14:paraId="2A9DA3C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刑事案件智能信息获取：基于自然语言处理技术和机器学习模型，实现从半结构化的法律文书数据中抽取、解析、识别案情信息，包括人名、地名、机构名、地址信息、金额、金额类型等，并进一步支持构建实体关联关系。对不超过20种文书进行信息提取</w:t>
            </w:r>
          </w:p>
        </w:tc>
      </w:tr>
      <w:tr w:rsidR="00B02C6E" w14:paraId="3C2980BD" w14:textId="77777777" w:rsidTr="00453BF8">
        <w:tc>
          <w:tcPr>
            <w:tcW w:w="554" w:type="dxa"/>
            <w:shd w:val="clear" w:color="auto" w:fill="auto"/>
            <w:vAlign w:val="center"/>
          </w:tcPr>
          <w:p w14:paraId="2C348A0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103</w:t>
            </w:r>
          </w:p>
        </w:tc>
        <w:tc>
          <w:tcPr>
            <w:tcW w:w="381" w:type="dxa"/>
            <w:vMerge/>
            <w:shd w:val="clear" w:color="auto" w:fill="auto"/>
            <w:vAlign w:val="center"/>
          </w:tcPr>
          <w:p w14:paraId="769F72AC" w14:textId="77777777" w:rsidR="00B02C6E" w:rsidRDefault="00B02C6E" w:rsidP="00453BF8">
            <w:pPr>
              <w:spacing w:line="560" w:lineRule="exact"/>
              <w:rPr>
                <w:rFonts w:ascii="仿宋_GB2312" w:eastAsia="仿宋_GB2312" w:hAnsi="仿宋_GB2312" w:cs="仿宋_GB2312"/>
              </w:rPr>
            </w:pPr>
          </w:p>
        </w:tc>
        <w:tc>
          <w:tcPr>
            <w:tcW w:w="547" w:type="dxa"/>
            <w:vMerge/>
            <w:shd w:val="clear" w:color="auto" w:fill="auto"/>
            <w:vAlign w:val="center"/>
          </w:tcPr>
          <w:p w14:paraId="5DFF2BAA" w14:textId="77777777" w:rsidR="00B02C6E" w:rsidRDefault="00B02C6E" w:rsidP="00453BF8">
            <w:pPr>
              <w:spacing w:line="560" w:lineRule="exact"/>
              <w:rPr>
                <w:rFonts w:ascii="仿宋_GB2312" w:eastAsia="仿宋_GB2312" w:hAnsi="仿宋_GB2312" w:cs="仿宋_GB2312"/>
              </w:rPr>
            </w:pPr>
          </w:p>
        </w:tc>
        <w:tc>
          <w:tcPr>
            <w:tcW w:w="763" w:type="dxa"/>
            <w:vMerge/>
            <w:shd w:val="clear" w:color="auto" w:fill="auto"/>
            <w:vAlign w:val="center"/>
          </w:tcPr>
          <w:p w14:paraId="213B0A47" w14:textId="77777777" w:rsidR="00B02C6E" w:rsidRDefault="00B02C6E" w:rsidP="00453BF8">
            <w:pPr>
              <w:spacing w:line="560" w:lineRule="exact"/>
              <w:rPr>
                <w:rFonts w:ascii="仿宋_GB2312" w:eastAsia="仿宋_GB2312" w:hAnsi="仿宋_GB2312" w:cs="仿宋_GB2312"/>
              </w:rPr>
            </w:pPr>
          </w:p>
        </w:tc>
        <w:tc>
          <w:tcPr>
            <w:tcW w:w="1320" w:type="dxa"/>
            <w:shd w:val="clear" w:color="000000" w:fill="FFFFFF"/>
            <w:vAlign w:val="center"/>
          </w:tcPr>
          <w:p w14:paraId="7106006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刑事法律文书文本特征分析</w:t>
            </w:r>
          </w:p>
        </w:tc>
        <w:tc>
          <w:tcPr>
            <w:tcW w:w="5381" w:type="dxa"/>
            <w:shd w:val="clear" w:color="000000" w:fill="FFFFFF"/>
            <w:vAlign w:val="center"/>
          </w:tcPr>
          <w:p w14:paraId="0E49B17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文本特征分析是基于特征</w:t>
            </w:r>
            <w:proofErr w:type="gramStart"/>
            <w:r>
              <w:rPr>
                <w:rFonts w:ascii="仿宋_GB2312" w:eastAsia="仿宋_GB2312" w:hAnsi="仿宋_GB2312" w:cs="仿宋_GB2312" w:hint="eastAsia"/>
                <w:sz w:val="24"/>
              </w:rPr>
              <w:t>词发现</w:t>
            </w:r>
            <w:proofErr w:type="gramEnd"/>
            <w:r>
              <w:rPr>
                <w:rFonts w:ascii="仿宋_GB2312" w:eastAsia="仿宋_GB2312" w:hAnsi="仿宋_GB2312" w:cs="仿宋_GB2312" w:hint="eastAsia"/>
                <w:sz w:val="24"/>
              </w:rPr>
              <w:t>技术和语义相关性分析，对整篇文书、长文本或短语进行分析，实现文本关键词提取、关联关键词提示等，可进一步支持文本相似匹配、相关搜索推荐等应用需求。用于校验提取的内容是否符合案件事实。</w:t>
            </w:r>
          </w:p>
        </w:tc>
      </w:tr>
      <w:tr w:rsidR="00B02C6E" w14:paraId="10FA31DD" w14:textId="77777777" w:rsidTr="00453BF8">
        <w:tc>
          <w:tcPr>
            <w:tcW w:w="554" w:type="dxa"/>
            <w:vAlign w:val="center"/>
          </w:tcPr>
          <w:p w14:paraId="1F3CA515"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104</w:t>
            </w:r>
          </w:p>
        </w:tc>
        <w:tc>
          <w:tcPr>
            <w:tcW w:w="381" w:type="dxa"/>
            <w:vMerge/>
            <w:vAlign w:val="center"/>
          </w:tcPr>
          <w:p w14:paraId="7495E8F9"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36178A33" w14:textId="77777777" w:rsidR="00B02C6E" w:rsidRDefault="00B02C6E" w:rsidP="00453BF8">
            <w:pPr>
              <w:spacing w:line="560" w:lineRule="exact"/>
              <w:rPr>
                <w:rFonts w:ascii="仿宋_GB2312" w:eastAsia="仿宋_GB2312" w:hAnsi="仿宋_GB2312" w:cs="仿宋_GB2312"/>
              </w:rPr>
            </w:pPr>
          </w:p>
        </w:tc>
        <w:tc>
          <w:tcPr>
            <w:tcW w:w="763" w:type="dxa"/>
            <w:vMerge w:val="restart"/>
            <w:vAlign w:val="center"/>
          </w:tcPr>
          <w:p w14:paraId="401D962D"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政法跨部</w:t>
            </w:r>
            <w:r>
              <w:rPr>
                <w:rFonts w:ascii="仿宋_GB2312" w:eastAsia="仿宋_GB2312" w:hAnsi="仿宋_GB2312" w:cs="仿宋_GB2312" w:hint="eastAsia"/>
                <w:sz w:val="24"/>
              </w:rPr>
              <w:lastRenderedPageBreak/>
              <w:t>门数据交换共享</w:t>
            </w:r>
          </w:p>
        </w:tc>
        <w:tc>
          <w:tcPr>
            <w:tcW w:w="1320" w:type="dxa"/>
            <w:vAlign w:val="center"/>
          </w:tcPr>
          <w:p w14:paraId="4A17196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政法跨部门数据交</w:t>
            </w:r>
            <w:r>
              <w:rPr>
                <w:rFonts w:ascii="仿宋_GB2312" w:eastAsia="仿宋_GB2312" w:hAnsi="仿宋_GB2312" w:cs="仿宋_GB2312" w:hint="eastAsia"/>
                <w:sz w:val="24"/>
              </w:rPr>
              <w:lastRenderedPageBreak/>
              <w:t>换共享基础通道开发</w:t>
            </w:r>
          </w:p>
        </w:tc>
        <w:tc>
          <w:tcPr>
            <w:tcW w:w="5381" w:type="dxa"/>
            <w:vAlign w:val="center"/>
          </w:tcPr>
          <w:p w14:paraId="73369B8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搭建政法跨部门的数据交换共享通道，用于各政法单位间通过该通道交换本项目建设中所需要的非</w:t>
            </w:r>
            <w:r>
              <w:rPr>
                <w:rFonts w:ascii="仿宋_GB2312" w:eastAsia="仿宋_GB2312" w:hAnsi="仿宋_GB2312" w:cs="仿宋_GB2312" w:hint="eastAsia"/>
                <w:sz w:val="24"/>
              </w:rPr>
              <w:lastRenderedPageBreak/>
              <w:t>协同案件数据。</w:t>
            </w:r>
          </w:p>
        </w:tc>
      </w:tr>
      <w:tr w:rsidR="00B02C6E" w14:paraId="5E8C02B4" w14:textId="77777777" w:rsidTr="00453BF8">
        <w:tc>
          <w:tcPr>
            <w:tcW w:w="554" w:type="dxa"/>
            <w:vAlign w:val="center"/>
          </w:tcPr>
          <w:p w14:paraId="6957A341"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lastRenderedPageBreak/>
              <w:t>105</w:t>
            </w:r>
          </w:p>
        </w:tc>
        <w:tc>
          <w:tcPr>
            <w:tcW w:w="381" w:type="dxa"/>
            <w:vMerge/>
            <w:vAlign w:val="center"/>
          </w:tcPr>
          <w:p w14:paraId="621EE8C0"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56D3FC6B"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1D877994"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714FDB09"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执法监督需要的非案件协同数据交换共享开发</w:t>
            </w:r>
          </w:p>
        </w:tc>
        <w:tc>
          <w:tcPr>
            <w:tcW w:w="5381" w:type="dxa"/>
            <w:vAlign w:val="center"/>
          </w:tcPr>
          <w:p w14:paraId="1F92D1E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政法委执法监督及各</w:t>
            </w:r>
            <w:proofErr w:type="gramStart"/>
            <w:r>
              <w:rPr>
                <w:rFonts w:ascii="仿宋_GB2312" w:eastAsia="仿宋_GB2312" w:hAnsi="仿宋_GB2312" w:cs="仿宋_GB2312" w:hint="eastAsia"/>
                <w:sz w:val="24"/>
              </w:rPr>
              <w:t>政法委本项目</w:t>
            </w:r>
            <w:proofErr w:type="gramEnd"/>
            <w:r>
              <w:rPr>
                <w:rFonts w:ascii="仿宋_GB2312" w:eastAsia="仿宋_GB2312" w:hAnsi="仿宋_GB2312" w:cs="仿宋_GB2312" w:hint="eastAsia"/>
                <w:sz w:val="24"/>
              </w:rPr>
              <w:t>建设中所需非案件协同数据的交换共享</w:t>
            </w:r>
          </w:p>
        </w:tc>
      </w:tr>
      <w:tr w:rsidR="00B02C6E" w14:paraId="278B3939" w14:textId="77777777" w:rsidTr="00453BF8">
        <w:tc>
          <w:tcPr>
            <w:tcW w:w="554" w:type="dxa"/>
            <w:vAlign w:val="center"/>
          </w:tcPr>
          <w:p w14:paraId="3C50A788"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106</w:t>
            </w:r>
          </w:p>
        </w:tc>
        <w:tc>
          <w:tcPr>
            <w:tcW w:w="381" w:type="dxa"/>
            <w:vMerge/>
            <w:vAlign w:val="center"/>
          </w:tcPr>
          <w:p w14:paraId="7D37D4B5" w14:textId="77777777" w:rsidR="00B02C6E" w:rsidRDefault="00B02C6E" w:rsidP="00453BF8">
            <w:pPr>
              <w:spacing w:line="560" w:lineRule="exact"/>
              <w:rPr>
                <w:rFonts w:ascii="仿宋_GB2312" w:eastAsia="仿宋_GB2312" w:hAnsi="仿宋_GB2312" w:cs="仿宋_GB2312"/>
              </w:rPr>
            </w:pPr>
          </w:p>
        </w:tc>
        <w:tc>
          <w:tcPr>
            <w:tcW w:w="547" w:type="dxa"/>
            <w:vMerge/>
            <w:vAlign w:val="center"/>
          </w:tcPr>
          <w:p w14:paraId="61E82ED2" w14:textId="77777777" w:rsidR="00B02C6E" w:rsidRDefault="00B02C6E" w:rsidP="00453BF8">
            <w:pPr>
              <w:spacing w:line="560" w:lineRule="exact"/>
              <w:rPr>
                <w:rFonts w:ascii="仿宋_GB2312" w:eastAsia="仿宋_GB2312" w:hAnsi="仿宋_GB2312" w:cs="仿宋_GB2312"/>
              </w:rPr>
            </w:pPr>
          </w:p>
        </w:tc>
        <w:tc>
          <w:tcPr>
            <w:tcW w:w="763" w:type="dxa"/>
            <w:vMerge/>
            <w:vAlign w:val="center"/>
          </w:tcPr>
          <w:p w14:paraId="23590CED" w14:textId="77777777" w:rsidR="00B02C6E" w:rsidRDefault="00B02C6E" w:rsidP="00453BF8">
            <w:pPr>
              <w:spacing w:line="560" w:lineRule="exact"/>
              <w:rPr>
                <w:rFonts w:ascii="仿宋_GB2312" w:eastAsia="仿宋_GB2312" w:hAnsi="仿宋_GB2312" w:cs="仿宋_GB2312"/>
              </w:rPr>
            </w:pPr>
          </w:p>
        </w:tc>
        <w:tc>
          <w:tcPr>
            <w:tcW w:w="1320" w:type="dxa"/>
            <w:vAlign w:val="center"/>
          </w:tcPr>
          <w:p w14:paraId="2A51A363"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政法跨部门数据资源共享目录开发</w:t>
            </w:r>
          </w:p>
        </w:tc>
        <w:tc>
          <w:tcPr>
            <w:tcW w:w="5381" w:type="dxa"/>
            <w:vAlign w:val="center"/>
          </w:tcPr>
          <w:p w14:paraId="18F5C4C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基于案件协同数据、本项目建设中</w:t>
            </w:r>
            <w:proofErr w:type="gramStart"/>
            <w:r>
              <w:rPr>
                <w:rFonts w:ascii="仿宋_GB2312" w:eastAsia="仿宋_GB2312" w:hAnsi="仿宋_GB2312" w:cs="仿宋_GB2312" w:hint="eastAsia"/>
                <w:sz w:val="24"/>
              </w:rPr>
              <w:t>各家可</w:t>
            </w:r>
            <w:proofErr w:type="gramEnd"/>
            <w:r>
              <w:rPr>
                <w:rFonts w:ascii="仿宋_GB2312" w:eastAsia="仿宋_GB2312" w:hAnsi="仿宋_GB2312" w:cs="仿宋_GB2312" w:hint="eastAsia"/>
                <w:sz w:val="24"/>
              </w:rPr>
              <w:t>共享的数据资源情况，按照统一的信息资源目录体系标准，对相关信息资源进行编目，形成政法各单位共享信息资源目录，记录信息资源结构和信息资源属性。</w:t>
            </w:r>
          </w:p>
        </w:tc>
      </w:tr>
      <w:tr w:rsidR="00B02C6E" w14:paraId="199983F8" w14:textId="77777777" w:rsidTr="00453BF8">
        <w:tc>
          <w:tcPr>
            <w:tcW w:w="554" w:type="dxa"/>
            <w:vAlign w:val="center"/>
          </w:tcPr>
          <w:p w14:paraId="231F1042"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107</w:t>
            </w:r>
          </w:p>
        </w:tc>
        <w:tc>
          <w:tcPr>
            <w:tcW w:w="381" w:type="dxa"/>
            <w:vAlign w:val="center"/>
          </w:tcPr>
          <w:p w14:paraId="79BF7190"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 xml:space="preserve">信息化基础设施建设　</w:t>
            </w:r>
          </w:p>
        </w:tc>
        <w:tc>
          <w:tcPr>
            <w:tcW w:w="547" w:type="dxa"/>
            <w:vAlign w:val="center"/>
          </w:tcPr>
          <w:p w14:paraId="4074AD5B"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基础设施建设</w:t>
            </w:r>
          </w:p>
        </w:tc>
        <w:tc>
          <w:tcPr>
            <w:tcW w:w="763" w:type="dxa"/>
            <w:vAlign w:val="center"/>
          </w:tcPr>
          <w:p w14:paraId="572B4244"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安全设备</w:t>
            </w:r>
          </w:p>
        </w:tc>
        <w:tc>
          <w:tcPr>
            <w:tcW w:w="1320" w:type="dxa"/>
            <w:vAlign w:val="center"/>
          </w:tcPr>
          <w:p w14:paraId="319A0C1C"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 xml:space="preserve">　</w:t>
            </w:r>
          </w:p>
        </w:tc>
        <w:tc>
          <w:tcPr>
            <w:tcW w:w="5381" w:type="dxa"/>
            <w:vAlign w:val="center"/>
          </w:tcPr>
          <w:p w14:paraId="7DCF6D1A" w14:textId="77777777" w:rsidR="00B02C6E" w:rsidRDefault="00B02C6E" w:rsidP="00453BF8">
            <w:pPr>
              <w:spacing w:line="560" w:lineRule="exact"/>
              <w:rPr>
                <w:rFonts w:ascii="仿宋_GB2312" w:eastAsia="仿宋_GB2312" w:hAnsi="仿宋_GB2312" w:cs="仿宋_GB2312"/>
              </w:rPr>
            </w:pPr>
            <w:r>
              <w:rPr>
                <w:rFonts w:ascii="仿宋_GB2312" w:eastAsia="仿宋_GB2312" w:hAnsi="仿宋_GB2312" w:cs="仿宋_GB2312" w:hint="eastAsia"/>
                <w:sz w:val="24"/>
              </w:rPr>
              <w:t>防火墙（万兆）1套、入侵防御系统IPS（万兆）2套、漏洞扫描系统1套、WEB应用安全防护系统 1套、安全审计系统1套、入侵检测系统IDS 1套、可信边界安全网关（万兆）1套、入侵防御系统IPS（万兆）1套、交换机2台、万兆路由器1台、集控探针1套。</w:t>
            </w:r>
          </w:p>
        </w:tc>
      </w:tr>
    </w:tbl>
    <w:p w14:paraId="31688EF2" w14:textId="77777777" w:rsidR="00B02C6E" w:rsidRDefault="00B02C6E" w:rsidP="00B02C6E">
      <w:pPr>
        <w:ind w:firstLine="482"/>
        <w:rPr>
          <w:b/>
        </w:rPr>
      </w:pPr>
      <w:bookmarkStart w:id="0" w:name="_Toc53170621"/>
      <w:r>
        <w:rPr>
          <w:rFonts w:hint="eastAsia"/>
          <w:b/>
        </w:rPr>
        <w:br w:type="page"/>
      </w:r>
    </w:p>
    <w:p w14:paraId="1340A931" w14:textId="77777777" w:rsidR="00B02C6E" w:rsidRDefault="00B02C6E" w:rsidP="00B02C6E">
      <w:pPr>
        <w:pStyle w:val="1"/>
        <w:numPr>
          <w:ilvl w:val="0"/>
          <w:numId w:val="0"/>
        </w:numPr>
        <w:spacing w:line="560" w:lineRule="exact"/>
        <w:jc w:val="center"/>
        <w:rPr>
          <w:b/>
          <w:bCs w:val="0"/>
        </w:rPr>
      </w:pPr>
      <w:r>
        <w:rPr>
          <w:rFonts w:hint="eastAsia"/>
          <w:b/>
          <w:bCs w:val="0"/>
        </w:rPr>
        <w:lastRenderedPageBreak/>
        <w:t>第二部分 项目建设需求</w:t>
      </w:r>
      <w:bookmarkEnd w:id="0"/>
    </w:p>
    <w:p w14:paraId="32A77705" w14:textId="77777777" w:rsidR="00B02C6E" w:rsidRDefault="00B02C6E" w:rsidP="00B02C6E">
      <w:pPr>
        <w:pStyle w:val="2"/>
        <w:numPr>
          <w:ilvl w:val="1"/>
          <w:numId w:val="0"/>
        </w:numPr>
        <w:spacing w:before="0" w:after="0" w:line="560" w:lineRule="exact"/>
        <w:rPr>
          <w:b/>
          <w:bCs w:val="0"/>
          <w:sz w:val="32"/>
          <w:szCs w:val="36"/>
        </w:rPr>
      </w:pPr>
      <w:bookmarkStart w:id="1" w:name="_Toc53170624"/>
      <w:r>
        <w:rPr>
          <w:rFonts w:hint="eastAsia"/>
          <w:b/>
          <w:bCs w:val="0"/>
          <w:sz w:val="32"/>
          <w:szCs w:val="36"/>
        </w:rPr>
        <w:t>一、业务需求</w:t>
      </w:r>
      <w:bookmarkEnd w:id="1"/>
    </w:p>
    <w:p w14:paraId="5D8DD9D3" w14:textId="77777777" w:rsidR="00B02C6E" w:rsidRDefault="00B02C6E" w:rsidP="00B02C6E">
      <w:pPr>
        <w:pStyle w:val="3"/>
        <w:numPr>
          <w:ilvl w:val="2"/>
          <w:numId w:val="0"/>
        </w:numPr>
        <w:adjustRightInd/>
        <w:spacing w:before="0" w:after="0" w:line="560" w:lineRule="exact"/>
        <w:jc w:val="both"/>
        <w:rPr>
          <w:rFonts w:ascii="楷体" w:eastAsia="楷体" w:hAnsi="楷体" w:cs="楷体"/>
          <w:b/>
          <w:sz w:val="32"/>
        </w:rPr>
      </w:pPr>
      <w:bookmarkStart w:id="2" w:name="_Toc22337"/>
      <w:bookmarkStart w:id="3" w:name="_Toc152937428"/>
      <w:r>
        <w:rPr>
          <w:rFonts w:ascii="楷体" w:eastAsia="楷体" w:hAnsi="楷体" w:cs="楷体" w:hint="eastAsia"/>
          <w:b/>
          <w:sz w:val="32"/>
        </w:rPr>
        <w:t>（一）涉案财物深化应用分析</w:t>
      </w:r>
      <w:bookmarkEnd w:id="2"/>
      <w:bookmarkEnd w:id="3"/>
    </w:p>
    <w:p w14:paraId="25EA59C8"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1.涉案财物信息流转</w:t>
      </w:r>
    </w:p>
    <w:p w14:paraId="2A83173D" w14:textId="77777777" w:rsidR="00B02C6E" w:rsidRDefault="00B02C6E" w:rsidP="00B02C6E">
      <w:pPr>
        <w:pStyle w:val="afff5"/>
        <w:spacing w:line="560" w:lineRule="exact"/>
        <w:ind w:firstLine="640"/>
        <w:rPr>
          <w:rFonts w:eastAsia="仿宋_GB2312" w:cs="仿宋_GB2312"/>
          <w:sz w:val="32"/>
          <w:szCs w:val="28"/>
        </w:rPr>
      </w:pPr>
      <w:r>
        <w:rPr>
          <w:rFonts w:eastAsia="仿宋_GB2312" w:cs="仿宋_GB2312" w:hint="eastAsia"/>
          <w:sz w:val="32"/>
          <w:szCs w:val="28"/>
        </w:rPr>
        <w:t>涉案财物信息随案流转后，从公、检、法查扣冻后随案线上移送，公安完成侦查移送检察院审查起诉时将公安处置意见附带移送至检察院，检察院审查起</w:t>
      </w:r>
      <w:proofErr w:type="gramStart"/>
      <w:r>
        <w:rPr>
          <w:rFonts w:eastAsia="仿宋_GB2312" w:cs="仿宋_GB2312" w:hint="eastAsia"/>
          <w:sz w:val="32"/>
          <w:szCs w:val="28"/>
        </w:rPr>
        <w:t>诉若</w:t>
      </w:r>
      <w:proofErr w:type="gramEnd"/>
      <w:r>
        <w:rPr>
          <w:rFonts w:eastAsia="仿宋_GB2312" w:cs="仿宋_GB2312" w:hint="eastAsia"/>
          <w:sz w:val="32"/>
          <w:szCs w:val="28"/>
        </w:rPr>
        <w:t>决定不起诉需将各项涉案财物处置意见要求返回公安，公安将最后处置结果通过【涉案财物处置结果反馈】将结果告知检察院；若检察院决定起诉，则需将涉案财物处置意见随案移送给法院，法院判决后在原流程【一审审理】、【二审上诉】、【二审抗诉】、【审判监督抗诉】、【法院再审程序】节点明确各项涉案财产判决处置意见，返回公安、检察院、法院（执行）；公安与法院在完成相关财物处置后，通过【涉案财物处置结果反馈】流程通知公检法相关单位，若检察院在案件办理过程中需对涉案财物进行处置的，也应当通过【涉案财物处置结果反馈】流程通知公检法相关单位，完成涉案财物从查扣</w:t>
      </w:r>
      <w:proofErr w:type="gramStart"/>
      <w:r>
        <w:rPr>
          <w:rFonts w:eastAsia="仿宋_GB2312" w:cs="仿宋_GB2312" w:hint="eastAsia"/>
          <w:sz w:val="32"/>
          <w:szCs w:val="28"/>
        </w:rPr>
        <w:t>冻到及结案</w:t>
      </w:r>
      <w:proofErr w:type="gramEnd"/>
      <w:r>
        <w:rPr>
          <w:rFonts w:eastAsia="仿宋_GB2312" w:cs="仿宋_GB2312" w:hint="eastAsia"/>
          <w:sz w:val="32"/>
          <w:szCs w:val="28"/>
        </w:rPr>
        <w:t>处置闭环流转。</w:t>
      </w:r>
    </w:p>
    <w:p w14:paraId="021F40E0"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2.涉案财物信息流转监督</w:t>
      </w:r>
    </w:p>
    <w:p w14:paraId="04089052" w14:textId="77777777" w:rsidR="00B02C6E" w:rsidRDefault="00B02C6E" w:rsidP="00B02C6E">
      <w:pPr>
        <w:pStyle w:val="afff5"/>
        <w:spacing w:line="560" w:lineRule="exact"/>
        <w:ind w:firstLine="640"/>
        <w:rPr>
          <w:rFonts w:eastAsia="仿宋_GB2312" w:cs="仿宋_GB2312"/>
          <w:sz w:val="32"/>
          <w:szCs w:val="28"/>
        </w:rPr>
      </w:pPr>
      <w:r>
        <w:rPr>
          <w:rFonts w:eastAsia="仿宋_GB2312" w:cs="仿宋_GB2312" w:hint="eastAsia"/>
          <w:sz w:val="32"/>
          <w:szCs w:val="28"/>
        </w:rPr>
        <w:t>涉案财物信息流转监督主要包含总体情况监管、涉案财物案件台账和风险预警。</w:t>
      </w:r>
    </w:p>
    <w:p w14:paraId="57953D15" w14:textId="77777777" w:rsidR="00B02C6E" w:rsidRDefault="00B02C6E" w:rsidP="00B02C6E">
      <w:pPr>
        <w:pStyle w:val="afff5"/>
        <w:spacing w:line="560" w:lineRule="exact"/>
        <w:ind w:firstLine="640"/>
        <w:rPr>
          <w:rFonts w:eastAsia="仿宋_GB2312" w:cs="仿宋_GB2312"/>
          <w:sz w:val="32"/>
          <w:szCs w:val="28"/>
        </w:rPr>
      </w:pPr>
      <w:r>
        <w:rPr>
          <w:rFonts w:eastAsia="仿宋_GB2312" w:cs="仿宋_GB2312" w:hint="eastAsia"/>
          <w:sz w:val="32"/>
          <w:szCs w:val="28"/>
        </w:rPr>
        <w:t>总体情况模块包括涉案财物保管情况、涉案财物信息随案移送情况、涉案财物处置情况几部分，向市、区两级政法</w:t>
      </w:r>
      <w:proofErr w:type="gramStart"/>
      <w:r>
        <w:rPr>
          <w:rFonts w:eastAsia="仿宋_GB2312" w:cs="仿宋_GB2312" w:hint="eastAsia"/>
          <w:sz w:val="32"/>
          <w:szCs w:val="28"/>
        </w:rPr>
        <w:t>委用户</w:t>
      </w:r>
      <w:proofErr w:type="gramEnd"/>
      <w:r>
        <w:rPr>
          <w:rFonts w:eastAsia="仿宋_GB2312" w:cs="仿宋_GB2312" w:hint="eastAsia"/>
          <w:sz w:val="32"/>
          <w:szCs w:val="28"/>
        </w:rPr>
        <w:t>提供可视化界面，从涉案财物的查扣冻、移交、处置</w:t>
      </w:r>
      <w:r>
        <w:rPr>
          <w:rFonts w:eastAsia="仿宋_GB2312" w:cs="仿宋_GB2312" w:hint="eastAsia"/>
          <w:sz w:val="32"/>
          <w:szCs w:val="28"/>
        </w:rPr>
        <w:lastRenderedPageBreak/>
        <w:t>等业务流程进行统计分析。</w:t>
      </w:r>
    </w:p>
    <w:p w14:paraId="13552E4E" w14:textId="77777777" w:rsidR="00B02C6E" w:rsidRDefault="00B02C6E" w:rsidP="00B02C6E">
      <w:pPr>
        <w:pStyle w:val="afff5"/>
        <w:spacing w:line="560" w:lineRule="exact"/>
        <w:ind w:firstLine="640"/>
        <w:rPr>
          <w:rFonts w:eastAsia="仿宋_GB2312" w:cs="仿宋_GB2312"/>
          <w:sz w:val="32"/>
          <w:szCs w:val="28"/>
        </w:rPr>
      </w:pPr>
      <w:r>
        <w:rPr>
          <w:rFonts w:eastAsia="仿宋_GB2312" w:cs="仿宋_GB2312" w:hint="eastAsia"/>
          <w:sz w:val="32"/>
          <w:szCs w:val="28"/>
        </w:rPr>
        <w:t>涉案财物案件台账包含所有对涉案财物采取了措施的案件，即该案件在办理过程中对涉案财物采取了查封、扣押、冻结的案件均在台账中展示。涉案财物案件台</w:t>
      </w:r>
      <w:proofErr w:type="gramStart"/>
      <w:r>
        <w:rPr>
          <w:rFonts w:eastAsia="仿宋_GB2312" w:cs="仿宋_GB2312" w:hint="eastAsia"/>
          <w:sz w:val="32"/>
          <w:szCs w:val="28"/>
        </w:rPr>
        <w:t>账主要</w:t>
      </w:r>
      <w:proofErr w:type="gramEnd"/>
      <w:r>
        <w:rPr>
          <w:rFonts w:eastAsia="仿宋_GB2312" w:cs="仿宋_GB2312" w:hint="eastAsia"/>
          <w:sz w:val="32"/>
          <w:szCs w:val="28"/>
        </w:rPr>
        <w:t>包括基本情况、处置情况、侦查阶段、起诉阶段、审判阶段几个模块，即以案件为维度掌握该案件从侦查阶段开始、到起诉阶段、审判阶段涉案财物的入库、随案移交、判决、处置情况，实现涉案财物从案件办理阶段进行查扣冻、移交、处置的全流程闭环监管，形成总账，掌握财物变化。</w:t>
      </w:r>
    </w:p>
    <w:p w14:paraId="45DE2F2B" w14:textId="77777777" w:rsidR="00B02C6E" w:rsidRDefault="00B02C6E" w:rsidP="00B02C6E">
      <w:pPr>
        <w:pStyle w:val="afff5"/>
        <w:spacing w:line="560" w:lineRule="exact"/>
        <w:ind w:firstLine="640"/>
        <w:rPr>
          <w:rFonts w:eastAsia="仿宋_GB2312" w:cs="仿宋_GB2312"/>
          <w:sz w:val="32"/>
          <w:szCs w:val="28"/>
        </w:rPr>
      </w:pPr>
      <w:r>
        <w:rPr>
          <w:rFonts w:eastAsia="仿宋_GB2312" w:cs="仿宋_GB2312" w:hint="eastAsia"/>
          <w:sz w:val="32"/>
          <w:szCs w:val="28"/>
        </w:rPr>
        <w:t>涉案</w:t>
      </w:r>
      <w:proofErr w:type="gramStart"/>
      <w:r>
        <w:rPr>
          <w:rFonts w:eastAsia="仿宋_GB2312" w:cs="仿宋_GB2312" w:hint="eastAsia"/>
          <w:sz w:val="32"/>
          <w:szCs w:val="28"/>
        </w:rPr>
        <w:t>财物台账统计</w:t>
      </w:r>
      <w:proofErr w:type="gramEnd"/>
      <w:r>
        <w:rPr>
          <w:rFonts w:eastAsia="仿宋_GB2312" w:cs="仿宋_GB2312" w:hint="eastAsia"/>
          <w:sz w:val="32"/>
          <w:szCs w:val="28"/>
        </w:rPr>
        <w:t>显示线上协同案件下所有已提取措施的涉案财物，可掌握涉案财物采取措施情况、最新状态、处置情况等基本信息，并可按照侦查、起诉、审判、执行阶段掌握该涉案财物的全流程线上闭环情况。</w:t>
      </w:r>
    </w:p>
    <w:p w14:paraId="77C44D60" w14:textId="77777777" w:rsidR="00B02C6E" w:rsidRDefault="00B02C6E" w:rsidP="00B02C6E">
      <w:pPr>
        <w:pStyle w:val="afff5"/>
        <w:spacing w:line="560" w:lineRule="exact"/>
        <w:ind w:firstLine="640"/>
        <w:rPr>
          <w:rFonts w:eastAsia="仿宋_GB2312" w:cs="仿宋_GB2312"/>
          <w:sz w:val="32"/>
          <w:szCs w:val="28"/>
        </w:rPr>
      </w:pPr>
      <w:r>
        <w:rPr>
          <w:rFonts w:eastAsia="仿宋_GB2312" w:cs="仿宋_GB2312" w:hint="eastAsia"/>
          <w:sz w:val="32"/>
          <w:szCs w:val="28"/>
        </w:rPr>
        <w:t>风险预警模块对涉案财物的查扣冻风险、随案移送风险、处置决定风险、处置超期风险进行统计展示分析。可选择不同年份或</w:t>
      </w:r>
      <w:proofErr w:type="gramStart"/>
      <w:r>
        <w:rPr>
          <w:rFonts w:eastAsia="仿宋_GB2312" w:cs="仿宋_GB2312" w:hint="eastAsia"/>
          <w:sz w:val="32"/>
          <w:szCs w:val="28"/>
        </w:rPr>
        <w:t>不</w:t>
      </w:r>
      <w:proofErr w:type="gramEnd"/>
      <w:r>
        <w:rPr>
          <w:rFonts w:eastAsia="仿宋_GB2312" w:cs="仿宋_GB2312" w:hint="eastAsia"/>
          <w:sz w:val="32"/>
          <w:szCs w:val="28"/>
        </w:rPr>
        <w:t>通透年份时间段的风险进行查看，包括涉案财物</w:t>
      </w:r>
      <w:proofErr w:type="gramStart"/>
      <w:r>
        <w:rPr>
          <w:rFonts w:eastAsia="仿宋_GB2312" w:cs="仿宋_GB2312" w:hint="eastAsia"/>
          <w:sz w:val="32"/>
          <w:szCs w:val="28"/>
        </w:rPr>
        <w:t>查冻扣</w:t>
      </w:r>
      <w:proofErr w:type="gramEnd"/>
      <w:r>
        <w:rPr>
          <w:rFonts w:eastAsia="仿宋_GB2312" w:cs="仿宋_GB2312" w:hint="eastAsia"/>
          <w:sz w:val="32"/>
          <w:szCs w:val="28"/>
        </w:rPr>
        <w:t>风险、涉案财物移送风险、涉案财物处置决定风险、涉案财物处置超期风险。</w:t>
      </w:r>
    </w:p>
    <w:p w14:paraId="40D94407" w14:textId="77777777" w:rsidR="00B02C6E" w:rsidRDefault="00B02C6E" w:rsidP="00B02C6E">
      <w:pPr>
        <w:pStyle w:val="3"/>
        <w:numPr>
          <w:ilvl w:val="2"/>
          <w:numId w:val="0"/>
        </w:numPr>
        <w:adjustRightInd/>
        <w:spacing w:before="0" w:after="0" w:line="560" w:lineRule="exact"/>
        <w:jc w:val="both"/>
        <w:rPr>
          <w:rFonts w:ascii="楷体" w:eastAsia="楷体" w:hAnsi="楷体" w:cs="楷体"/>
          <w:b/>
          <w:sz w:val="32"/>
        </w:rPr>
      </w:pPr>
      <w:bookmarkStart w:id="4" w:name="_Toc566"/>
      <w:bookmarkStart w:id="5" w:name="_Toc152937429"/>
      <w:r>
        <w:rPr>
          <w:rFonts w:ascii="楷体" w:eastAsia="楷体" w:hAnsi="楷体" w:cs="楷体" w:hint="eastAsia"/>
          <w:b/>
          <w:sz w:val="32"/>
        </w:rPr>
        <w:t>（二）协同业务流程分析</w:t>
      </w:r>
      <w:bookmarkEnd w:id="4"/>
      <w:bookmarkEnd w:id="5"/>
    </w:p>
    <w:p w14:paraId="6A138699"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1.新增刑事案件协同流程</w:t>
      </w:r>
    </w:p>
    <w:p w14:paraId="0A1F956B"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（1）未成年的诉讼程序</w:t>
      </w:r>
    </w:p>
    <w:p w14:paraId="78B3EAAE" w14:textId="77777777" w:rsidR="00B02C6E" w:rsidRDefault="00B02C6E" w:rsidP="00B02C6E">
      <w:pPr>
        <w:pStyle w:val="afff5"/>
        <w:spacing w:line="560" w:lineRule="exact"/>
        <w:ind w:firstLine="640"/>
        <w:rPr>
          <w:rFonts w:eastAsia="仿宋_GB2312" w:cs="仿宋_GB2312"/>
          <w:sz w:val="32"/>
          <w:szCs w:val="32"/>
        </w:rPr>
      </w:pPr>
      <w:r>
        <w:rPr>
          <w:rFonts w:eastAsia="仿宋_GB2312" w:cs="仿宋_GB2312" w:hint="eastAsia"/>
          <w:sz w:val="32"/>
          <w:szCs w:val="32"/>
        </w:rPr>
        <w:t>公安机关办理未成年人刑事案件，根据情况可以对未成年犯罪嫌疑人的成长经历、犯罪原因、监护教育等情况进行调查并制作调查报告。</w:t>
      </w:r>
      <w:proofErr w:type="gramStart"/>
      <w:r>
        <w:rPr>
          <w:rFonts w:eastAsia="仿宋_GB2312" w:cs="仿宋_GB2312" w:hint="eastAsia"/>
          <w:sz w:val="32"/>
          <w:szCs w:val="32"/>
        </w:rPr>
        <w:t>作出</w:t>
      </w:r>
      <w:proofErr w:type="gramEnd"/>
      <w:r>
        <w:rPr>
          <w:rFonts w:eastAsia="仿宋_GB2312" w:cs="仿宋_GB2312" w:hint="eastAsia"/>
          <w:sz w:val="32"/>
          <w:szCs w:val="32"/>
        </w:rPr>
        <w:t>调查报告的，在提请批准逮捕、</w:t>
      </w:r>
      <w:r>
        <w:rPr>
          <w:rFonts w:eastAsia="仿宋_GB2312" w:cs="仿宋_GB2312" w:hint="eastAsia"/>
          <w:sz w:val="32"/>
          <w:szCs w:val="32"/>
        </w:rPr>
        <w:lastRenderedPageBreak/>
        <w:t>移送审查起诉时，应当结合案情综合考虑，并将调查报告与案卷材料一并移送人民检察院。</w:t>
      </w:r>
    </w:p>
    <w:p w14:paraId="293F19FC"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（2）法律帮助</w:t>
      </w:r>
    </w:p>
    <w:p w14:paraId="74D4AD4A" w14:textId="77777777" w:rsidR="00B02C6E" w:rsidRDefault="00B02C6E" w:rsidP="00B02C6E">
      <w:pPr>
        <w:pStyle w:val="afff5"/>
        <w:spacing w:line="560" w:lineRule="exact"/>
        <w:ind w:firstLine="640"/>
        <w:rPr>
          <w:rFonts w:eastAsia="仿宋_GB2312" w:cs="仿宋_GB2312"/>
          <w:sz w:val="32"/>
          <w:szCs w:val="32"/>
        </w:rPr>
      </w:pPr>
      <w:r>
        <w:rPr>
          <w:rFonts w:eastAsia="仿宋_GB2312" w:cs="仿宋_GB2312" w:hint="eastAsia"/>
          <w:sz w:val="32"/>
          <w:szCs w:val="32"/>
        </w:rPr>
        <w:t>最高人民法院、最高人民检察院、公安部、国家安全部、司法部联合印发《法律援助值班律师工作办法》(以下简称《办法》)。</w:t>
      </w:r>
    </w:p>
    <w:p w14:paraId="1E08DA6F" w14:textId="77777777" w:rsidR="00B02C6E" w:rsidRDefault="00B02C6E" w:rsidP="00B02C6E">
      <w:pPr>
        <w:pStyle w:val="afff5"/>
        <w:spacing w:line="560" w:lineRule="exact"/>
        <w:ind w:firstLine="640"/>
        <w:rPr>
          <w:rFonts w:eastAsia="仿宋_GB2312" w:cs="仿宋_GB2312"/>
          <w:sz w:val="32"/>
          <w:szCs w:val="32"/>
        </w:rPr>
      </w:pPr>
      <w:r>
        <w:rPr>
          <w:rFonts w:eastAsia="仿宋_GB2312" w:cs="仿宋_GB2312" w:hint="eastAsia"/>
          <w:sz w:val="32"/>
          <w:szCs w:val="32"/>
        </w:rPr>
        <w:t>根据《办法》，值班律师是指法律援助机构在看守所、人民检察院、人民法院等场所设立法律援助工作站,通过派驻或安排的方式，为没有辩护人的犯罪嫌疑人、被告人提供法律帮助的律师。</w:t>
      </w:r>
    </w:p>
    <w:p w14:paraId="54B09330" w14:textId="77777777" w:rsidR="00B02C6E" w:rsidRDefault="00B02C6E" w:rsidP="00B02C6E">
      <w:pPr>
        <w:pStyle w:val="afff5"/>
        <w:spacing w:line="560" w:lineRule="exact"/>
        <w:ind w:firstLine="640"/>
        <w:rPr>
          <w:rFonts w:eastAsia="仿宋_GB2312" w:cs="仿宋_GB2312"/>
          <w:sz w:val="32"/>
          <w:szCs w:val="32"/>
        </w:rPr>
      </w:pPr>
      <w:r>
        <w:rPr>
          <w:rFonts w:eastAsia="仿宋_GB2312" w:cs="仿宋_GB2312" w:hint="eastAsia"/>
          <w:sz w:val="32"/>
          <w:szCs w:val="32"/>
        </w:rPr>
        <w:t>根据刑事诉讼法及《办法》，值班律师法定职责包括：提供法律咨询、提供程序选择建议、帮助犯罪嫌疑人、被告人申请变更强制措施、对案件处理提出意见、帮助犯罪嫌疑人、被告人及其近亲属申请法律援助，以及法律法规规定的其他事项。据此,值班律师提供法律帮助,与法律咨询、刑事辩护、刑事代理共同成为刑事法律援助的服务方式。</w:t>
      </w:r>
    </w:p>
    <w:p w14:paraId="150B817D" w14:textId="77777777" w:rsidR="00B02C6E" w:rsidRDefault="00B02C6E" w:rsidP="00B02C6E">
      <w:pPr>
        <w:pStyle w:val="afff5"/>
        <w:spacing w:line="560" w:lineRule="exact"/>
        <w:ind w:firstLine="640"/>
        <w:rPr>
          <w:rFonts w:eastAsia="仿宋_GB2312" w:cs="仿宋_GB2312"/>
          <w:sz w:val="32"/>
          <w:szCs w:val="32"/>
        </w:rPr>
      </w:pPr>
      <w:r>
        <w:rPr>
          <w:rFonts w:eastAsia="仿宋_GB2312" w:cs="仿宋_GB2312" w:hint="eastAsia"/>
          <w:sz w:val="32"/>
          <w:szCs w:val="32"/>
        </w:rPr>
        <w:t>根据我市实际情况，法律帮助分为两种方式，一种是安排值班律师，另一种是按照案件办理过程中当事人需求对案申请帮助。</w:t>
      </w:r>
    </w:p>
    <w:p w14:paraId="75736535" w14:textId="77777777" w:rsidR="00B02C6E" w:rsidRDefault="00B02C6E" w:rsidP="00B02C6E">
      <w:pPr>
        <w:pStyle w:val="afff5"/>
        <w:spacing w:line="560" w:lineRule="exact"/>
        <w:ind w:firstLine="640"/>
        <w:rPr>
          <w:rFonts w:eastAsia="仿宋_GB2312" w:cs="仿宋_GB2312"/>
          <w:sz w:val="32"/>
          <w:szCs w:val="32"/>
        </w:rPr>
      </w:pPr>
      <w:r>
        <w:rPr>
          <w:rFonts w:eastAsia="仿宋_GB2312" w:cs="仿宋_GB2312" w:hint="eastAsia"/>
          <w:sz w:val="32"/>
          <w:szCs w:val="32"/>
        </w:rPr>
        <w:t>本期考虑案件办理过程中当事人需求对案申请帮助。基于单一案件申请法律帮助，将在原法律援助流程申请业务协同基础上添加法律帮助节点。</w:t>
      </w:r>
    </w:p>
    <w:p w14:paraId="66FEA96C"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（3）补充材料</w:t>
      </w:r>
    </w:p>
    <w:p w14:paraId="52B68826" w14:textId="77777777" w:rsidR="00B02C6E" w:rsidRDefault="00B02C6E" w:rsidP="00B02C6E">
      <w:pPr>
        <w:pStyle w:val="afff5"/>
        <w:spacing w:line="560" w:lineRule="exact"/>
        <w:ind w:firstLine="640"/>
        <w:rPr>
          <w:rFonts w:eastAsia="仿宋_GB2312" w:cs="仿宋_GB2312"/>
          <w:sz w:val="32"/>
          <w:szCs w:val="32"/>
        </w:rPr>
      </w:pPr>
      <w:r>
        <w:rPr>
          <w:rFonts w:eastAsia="仿宋_GB2312" w:cs="仿宋_GB2312" w:hint="eastAsia"/>
          <w:sz w:val="32"/>
          <w:szCs w:val="32"/>
        </w:rPr>
        <w:t>可补充材料的流程：审查逮捕、移送审查起诉、审理期</w:t>
      </w:r>
      <w:r>
        <w:rPr>
          <w:rFonts w:eastAsia="仿宋_GB2312" w:cs="仿宋_GB2312" w:hint="eastAsia"/>
          <w:sz w:val="32"/>
          <w:szCs w:val="32"/>
        </w:rPr>
        <w:lastRenderedPageBreak/>
        <w:t>间交互-延期审理、一审公诉、二审上诉、二审抗诉、审判监督抗诉、法院决定再审、罪犯收押、减刑假释、社区矫正-入</w:t>
      </w:r>
      <w:proofErr w:type="gramStart"/>
      <w:r>
        <w:rPr>
          <w:rFonts w:eastAsia="仿宋_GB2312" w:cs="仿宋_GB2312" w:hint="eastAsia"/>
          <w:sz w:val="32"/>
          <w:szCs w:val="32"/>
        </w:rPr>
        <w:t>矫</w:t>
      </w:r>
      <w:proofErr w:type="gramEnd"/>
      <w:r>
        <w:rPr>
          <w:rFonts w:eastAsia="仿宋_GB2312" w:cs="仿宋_GB2312" w:hint="eastAsia"/>
          <w:sz w:val="32"/>
          <w:szCs w:val="32"/>
        </w:rPr>
        <w:t>、社区矫正-撤销缓刑/撤销假释/暂予监外执行罪犯的收监执行、强制医疗等。</w:t>
      </w:r>
    </w:p>
    <w:p w14:paraId="3F91F392" w14:textId="77777777" w:rsidR="00B02C6E" w:rsidRDefault="00B02C6E" w:rsidP="00B02C6E">
      <w:pPr>
        <w:pStyle w:val="afff5"/>
        <w:spacing w:line="560" w:lineRule="exact"/>
        <w:ind w:firstLine="640"/>
        <w:rPr>
          <w:rFonts w:eastAsia="仿宋_GB2312" w:cs="仿宋_GB2312"/>
          <w:sz w:val="32"/>
          <w:szCs w:val="32"/>
        </w:rPr>
      </w:pPr>
      <w:r>
        <w:rPr>
          <w:rFonts w:eastAsia="仿宋_GB2312" w:cs="仿宋_GB2312" w:hint="eastAsia"/>
          <w:sz w:val="32"/>
          <w:szCs w:val="32"/>
        </w:rPr>
        <w:t>以上可补充材料的流程可在数据标准中增加补充材料环节/类型的字典项，便于后续补充材料与全流程案件的绑定。</w:t>
      </w:r>
    </w:p>
    <w:p w14:paraId="5D39F2BE"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sz w:val="32"/>
          <w:szCs w:val="32"/>
        </w:rPr>
      </w:pPr>
      <w:bookmarkStart w:id="6" w:name="_Toc152937430"/>
      <w:bookmarkStart w:id="7" w:name="_Toc15930"/>
      <w:r>
        <w:rPr>
          <w:rFonts w:ascii="仿宋_GB2312" w:eastAsia="仿宋_GB2312" w:hAnsi="仿宋_GB2312" w:cs="仿宋_GB2312" w:hint="eastAsia"/>
          <w:sz w:val="32"/>
          <w:szCs w:val="32"/>
        </w:rPr>
        <w:t>2.智能执法监督分析</w:t>
      </w:r>
      <w:bookmarkEnd w:id="6"/>
      <w:bookmarkEnd w:id="7"/>
    </w:p>
    <w:p w14:paraId="13224089" w14:textId="77777777" w:rsidR="00B02C6E" w:rsidRDefault="00B02C6E" w:rsidP="00B02C6E">
      <w:pPr>
        <w:pStyle w:val="afff5"/>
        <w:spacing w:line="560" w:lineRule="exact"/>
        <w:ind w:firstLine="640"/>
        <w:rPr>
          <w:rFonts w:eastAsia="仿宋_GB2312" w:cs="仿宋_GB2312"/>
          <w:sz w:val="32"/>
          <w:szCs w:val="32"/>
        </w:rPr>
      </w:pPr>
      <w:r>
        <w:rPr>
          <w:rFonts w:eastAsia="仿宋_GB2312" w:cs="仿宋_GB2312" w:hint="eastAsia"/>
          <w:sz w:val="32"/>
          <w:szCs w:val="32"/>
        </w:rPr>
        <w:t>通过在线跟踪刑事诉讼案件信息，实现执法监督从事后监督、书面</w:t>
      </w:r>
      <w:proofErr w:type="gramStart"/>
      <w:r>
        <w:rPr>
          <w:rFonts w:eastAsia="仿宋_GB2312" w:cs="仿宋_GB2312" w:hint="eastAsia"/>
          <w:sz w:val="32"/>
          <w:szCs w:val="32"/>
        </w:rPr>
        <w:t>监督向事中</w:t>
      </w:r>
      <w:proofErr w:type="gramEnd"/>
      <w:r>
        <w:rPr>
          <w:rFonts w:eastAsia="仿宋_GB2312" w:cs="仿宋_GB2312" w:hint="eastAsia"/>
          <w:sz w:val="32"/>
          <w:szCs w:val="32"/>
        </w:rPr>
        <w:t>事前监督、网上监督转变，推进传统汇总抽样检查向全样本检查转变、传统关键案件信息审核向案件全息审核转变，提高政法委对全市刑事诉讼案件的精准监督能力和水平。通过实现检察院退</w:t>
      </w:r>
      <w:proofErr w:type="gramStart"/>
      <w:r>
        <w:rPr>
          <w:rFonts w:eastAsia="仿宋_GB2312" w:cs="仿宋_GB2312" w:hint="eastAsia"/>
          <w:sz w:val="32"/>
          <w:szCs w:val="32"/>
        </w:rPr>
        <w:t>侦</w:t>
      </w:r>
      <w:proofErr w:type="gramEnd"/>
      <w:r>
        <w:rPr>
          <w:rFonts w:eastAsia="仿宋_GB2312" w:cs="仿宋_GB2312" w:hint="eastAsia"/>
          <w:sz w:val="32"/>
          <w:szCs w:val="32"/>
        </w:rPr>
        <w:t>不再报后监督未跟进风险预警、检察建议无反馈后无跟进风险预警、重大案事件转交督办业务系统和案件评查系统的建设，进一步深化数字法治监督能力和</w:t>
      </w:r>
      <w:proofErr w:type="gramStart"/>
      <w:r>
        <w:rPr>
          <w:rFonts w:eastAsia="仿宋_GB2312" w:cs="仿宋_GB2312" w:hint="eastAsia"/>
          <w:sz w:val="32"/>
          <w:szCs w:val="32"/>
        </w:rPr>
        <w:t>夯实党</w:t>
      </w:r>
      <w:proofErr w:type="gramEnd"/>
      <w:r>
        <w:rPr>
          <w:rFonts w:eastAsia="仿宋_GB2312" w:cs="仿宋_GB2312" w:hint="eastAsia"/>
          <w:sz w:val="32"/>
          <w:szCs w:val="32"/>
        </w:rPr>
        <w:t>的执法监督效力，倒</w:t>
      </w:r>
      <w:proofErr w:type="gramStart"/>
      <w:r>
        <w:rPr>
          <w:rFonts w:eastAsia="仿宋_GB2312" w:cs="仿宋_GB2312" w:hint="eastAsia"/>
          <w:sz w:val="32"/>
          <w:szCs w:val="32"/>
        </w:rPr>
        <w:t>逼司法</w:t>
      </w:r>
      <w:proofErr w:type="gramEnd"/>
      <w:r>
        <w:rPr>
          <w:rFonts w:eastAsia="仿宋_GB2312" w:cs="仿宋_GB2312" w:hint="eastAsia"/>
          <w:sz w:val="32"/>
          <w:szCs w:val="32"/>
        </w:rPr>
        <w:t>执法公公平、规范。</w:t>
      </w:r>
    </w:p>
    <w:p w14:paraId="2412959F"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（1）程序性监督</w:t>
      </w:r>
    </w:p>
    <w:p w14:paraId="7802C408" w14:textId="77777777" w:rsidR="00B02C6E" w:rsidRDefault="00B02C6E" w:rsidP="00B02C6E">
      <w:pPr>
        <w:pStyle w:val="afff5"/>
        <w:spacing w:line="560" w:lineRule="exact"/>
        <w:ind w:firstLine="640"/>
        <w:rPr>
          <w:rFonts w:eastAsia="仿宋_GB2312" w:cs="仿宋_GB2312"/>
          <w:sz w:val="32"/>
          <w:szCs w:val="32"/>
        </w:rPr>
      </w:pPr>
      <w:r>
        <w:rPr>
          <w:rFonts w:eastAsia="仿宋_GB2312" w:cs="仿宋_GB2312" w:hint="eastAsia"/>
          <w:sz w:val="32"/>
          <w:szCs w:val="32"/>
        </w:rPr>
        <w:t>针对政法委执法监督工作中对政法单位办案程序性风险问题的监督需求，设立一定的监督筛选模型算法并进行模型训练优化，根据模型支持自动筛选出存在程序性风险的案件，实现监督预警并为案件风险分析提供数据支撑。</w:t>
      </w:r>
    </w:p>
    <w:p w14:paraId="1D276DDB" w14:textId="77777777" w:rsidR="00B02C6E" w:rsidRDefault="00B02C6E" w:rsidP="00B02C6E">
      <w:pPr>
        <w:pStyle w:val="afff5"/>
        <w:spacing w:line="560" w:lineRule="exact"/>
        <w:ind w:firstLine="640"/>
        <w:rPr>
          <w:rFonts w:eastAsia="仿宋_GB2312" w:cs="仿宋_GB2312"/>
          <w:sz w:val="32"/>
          <w:szCs w:val="32"/>
        </w:rPr>
      </w:pPr>
      <w:r>
        <w:rPr>
          <w:rFonts w:eastAsia="仿宋_GB2312" w:cs="仿宋_GB2312" w:hint="eastAsia"/>
          <w:sz w:val="32"/>
          <w:szCs w:val="32"/>
        </w:rPr>
        <w:t>本方案预期实现的程序性风险问题审查内容包括：公安所涉及的变更强制措施、延长羁押期限、移送起诉后撤案；</w:t>
      </w:r>
      <w:r>
        <w:rPr>
          <w:rFonts w:eastAsia="仿宋_GB2312" w:cs="仿宋_GB2312" w:hint="eastAsia"/>
          <w:sz w:val="32"/>
          <w:szCs w:val="32"/>
        </w:rPr>
        <w:lastRenderedPageBreak/>
        <w:t>检察院所涉及的不批准逮捕案件、捕后不起诉案件、一次退</w:t>
      </w:r>
      <w:proofErr w:type="gramStart"/>
      <w:r>
        <w:rPr>
          <w:rFonts w:eastAsia="仿宋_GB2312" w:cs="仿宋_GB2312" w:hint="eastAsia"/>
          <w:sz w:val="32"/>
          <w:szCs w:val="32"/>
        </w:rPr>
        <w:t>侦</w:t>
      </w:r>
      <w:proofErr w:type="gramEnd"/>
      <w:r>
        <w:rPr>
          <w:rFonts w:eastAsia="仿宋_GB2312" w:cs="仿宋_GB2312" w:hint="eastAsia"/>
          <w:sz w:val="32"/>
          <w:szCs w:val="32"/>
        </w:rPr>
        <w:t>案件、二次退</w:t>
      </w:r>
      <w:proofErr w:type="gramStart"/>
      <w:r>
        <w:rPr>
          <w:rFonts w:eastAsia="仿宋_GB2312" w:cs="仿宋_GB2312" w:hint="eastAsia"/>
          <w:sz w:val="32"/>
          <w:szCs w:val="32"/>
        </w:rPr>
        <w:t>侦</w:t>
      </w:r>
      <w:proofErr w:type="gramEnd"/>
      <w:r>
        <w:rPr>
          <w:rFonts w:eastAsia="仿宋_GB2312" w:cs="仿宋_GB2312" w:hint="eastAsia"/>
          <w:sz w:val="32"/>
          <w:szCs w:val="32"/>
        </w:rPr>
        <w:t>案件、决定不起诉案件、公诉</w:t>
      </w:r>
      <w:proofErr w:type="gramStart"/>
      <w:r>
        <w:rPr>
          <w:rFonts w:eastAsia="仿宋_GB2312" w:cs="仿宋_GB2312" w:hint="eastAsia"/>
          <w:sz w:val="32"/>
          <w:szCs w:val="32"/>
        </w:rPr>
        <w:t>后撤案</w:t>
      </w:r>
      <w:proofErr w:type="gramEnd"/>
      <w:r>
        <w:rPr>
          <w:rFonts w:eastAsia="仿宋_GB2312" w:cs="仿宋_GB2312" w:hint="eastAsia"/>
          <w:sz w:val="32"/>
          <w:szCs w:val="32"/>
        </w:rPr>
        <w:t>案件、起诉后改变定性；法院所涉及的抗诉案件、上诉改判案件、判处无罪案件、定罪免刑案件等。</w:t>
      </w:r>
    </w:p>
    <w:p w14:paraId="0CAE2348"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（2）案件评查</w:t>
      </w:r>
    </w:p>
    <w:p w14:paraId="0F8C47E4" w14:textId="77777777" w:rsidR="00B02C6E" w:rsidRDefault="00B02C6E" w:rsidP="00B02C6E">
      <w:pPr>
        <w:pStyle w:val="afff5"/>
        <w:spacing w:line="560" w:lineRule="exact"/>
        <w:ind w:firstLine="640"/>
        <w:rPr>
          <w:rFonts w:eastAsia="仿宋_GB2312" w:cs="仿宋_GB2312"/>
          <w:sz w:val="32"/>
          <w:szCs w:val="32"/>
        </w:rPr>
      </w:pPr>
      <w:r>
        <w:rPr>
          <w:rFonts w:eastAsia="仿宋_GB2312" w:cs="仿宋_GB2312" w:hint="eastAsia"/>
          <w:sz w:val="32"/>
          <w:szCs w:val="32"/>
        </w:rPr>
        <w:t>本着规范评查流程，提高各部门协同办案质量、提高案件评查效率、减少政法委评查工作量的原则，案件评查以协同办案中心平台的刑事案件数据为基础，能够实时对协同办案的已结案件的提捕、移诉、公诉环节进行评查，辅助执法监督处提高执法监督的案件评查效率。</w:t>
      </w:r>
    </w:p>
    <w:p w14:paraId="13AEBB4A" w14:textId="77777777" w:rsidR="00B02C6E" w:rsidRDefault="00B02C6E" w:rsidP="00B02C6E">
      <w:pPr>
        <w:pStyle w:val="afff5"/>
        <w:spacing w:line="560" w:lineRule="exact"/>
        <w:ind w:firstLine="640"/>
        <w:rPr>
          <w:rFonts w:eastAsia="仿宋_GB2312" w:cs="仿宋_GB2312"/>
          <w:sz w:val="32"/>
          <w:szCs w:val="32"/>
        </w:rPr>
      </w:pPr>
      <w:r>
        <w:rPr>
          <w:rFonts w:eastAsia="仿宋_GB2312" w:cs="仿宋_GB2312" w:hint="eastAsia"/>
          <w:sz w:val="32"/>
          <w:szCs w:val="32"/>
        </w:rPr>
        <w:t>系统主要功能包括评查活动组织、评查活动开展、辅助评查、评查问题整改、评查报告生成、评查绩效考核、重点案件预览、评查态势查看、评查专家库管理等功能。</w:t>
      </w:r>
    </w:p>
    <w:p w14:paraId="3153C7F9" w14:textId="77777777" w:rsidR="00B02C6E" w:rsidRDefault="00B02C6E" w:rsidP="00B02C6E">
      <w:pPr>
        <w:spacing w:line="560" w:lineRule="exact"/>
        <w:ind w:firstLine="643"/>
        <w:rPr>
          <w:rFonts w:ascii="仿宋_GB2312" w:eastAsia="仿宋_GB2312" w:hAnsi="仿宋_GB2312" w:cs="仿宋_GB2312"/>
          <w:b/>
          <w:bCs/>
          <w:sz w:val="32"/>
          <w:szCs w:val="28"/>
        </w:rPr>
      </w:pPr>
      <w:r>
        <w:rPr>
          <w:rFonts w:ascii="仿宋_GB2312" w:eastAsia="仿宋_GB2312" w:hAnsi="仿宋_GB2312" w:cs="仿宋_GB2312" w:hint="eastAsia"/>
          <w:b/>
          <w:bCs/>
          <w:sz w:val="32"/>
          <w:szCs w:val="28"/>
        </w:rPr>
        <w:t>详细功能需求见《软件开发服务功能要求》章节。</w:t>
      </w:r>
    </w:p>
    <w:p w14:paraId="762B56DF" w14:textId="77777777" w:rsidR="00B02C6E" w:rsidRDefault="00B02C6E" w:rsidP="00B02C6E">
      <w:pPr>
        <w:pStyle w:val="2"/>
        <w:numPr>
          <w:ilvl w:val="1"/>
          <w:numId w:val="0"/>
        </w:numPr>
        <w:spacing w:before="0" w:after="0" w:line="560" w:lineRule="exact"/>
        <w:rPr>
          <w:b/>
          <w:bCs w:val="0"/>
          <w:sz w:val="32"/>
          <w:szCs w:val="36"/>
        </w:rPr>
      </w:pPr>
      <w:bookmarkStart w:id="8" w:name="_Toc53170625"/>
      <w:bookmarkStart w:id="9" w:name="_Toc52117270"/>
      <w:r>
        <w:rPr>
          <w:rFonts w:hint="eastAsia"/>
          <w:b/>
          <w:bCs w:val="0"/>
          <w:sz w:val="32"/>
          <w:szCs w:val="36"/>
        </w:rPr>
        <w:t>二、软件性能需求</w:t>
      </w:r>
      <w:bookmarkEnd w:id="8"/>
      <w:bookmarkEnd w:id="9"/>
    </w:p>
    <w:p w14:paraId="77B0AAC9" w14:textId="77777777" w:rsidR="00B02C6E" w:rsidRDefault="00B02C6E" w:rsidP="00B02C6E">
      <w:pPr>
        <w:pStyle w:val="3"/>
        <w:numPr>
          <w:ilvl w:val="2"/>
          <w:numId w:val="0"/>
        </w:numPr>
        <w:adjustRightInd/>
        <w:spacing w:before="0" w:after="0" w:line="560" w:lineRule="exact"/>
        <w:jc w:val="both"/>
        <w:rPr>
          <w:rFonts w:ascii="楷体" w:eastAsia="楷体" w:hAnsi="楷体" w:cs="楷体"/>
          <w:b/>
          <w:sz w:val="32"/>
        </w:rPr>
      </w:pPr>
      <w:r>
        <w:rPr>
          <w:rFonts w:ascii="楷体" w:eastAsia="楷体" w:hAnsi="楷体" w:cs="楷体" w:hint="eastAsia"/>
          <w:b/>
          <w:sz w:val="32"/>
        </w:rPr>
        <w:t>（一）系统性能分析</w:t>
      </w:r>
    </w:p>
    <w:p w14:paraId="4F94D1F0"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1.系统对用户操作的正常响应时间小于等于5秒；</w:t>
      </w:r>
    </w:p>
    <w:p w14:paraId="1B46B3D7"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2.数据报表查询速度，单一条件查询小于等于5秒，关联查询小于等于5秒；</w:t>
      </w:r>
    </w:p>
    <w:p w14:paraId="026DF5CF"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3.系统吞吐量≥100个/秒；</w:t>
      </w:r>
    </w:p>
    <w:p w14:paraId="4F7BAA3D"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4.系统支持最大的用户并发数200个。</w:t>
      </w:r>
    </w:p>
    <w:p w14:paraId="563ECE29" w14:textId="77777777" w:rsidR="00B02C6E" w:rsidRDefault="00B02C6E" w:rsidP="00B02C6E">
      <w:pPr>
        <w:pStyle w:val="3"/>
        <w:numPr>
          <w:ilvl w:val="2"/>
          <w:numId w:val="0"/>
        </w:numPr>
        <w:adjustRightInd/>
        <w:spacing w:before="0" w:after="0" w:line="560" w:lineRule="exact"/>
        <w:jc w:val="both"/>
        <w:rPr>
          <w:rFonts w:ascii="楷体" w:eastAsia="楷体" w:hAnsi="楷体" w:cs="楷体"/>
          <w:b/>
          <w:sz w:val="32"/>
        </w:rPr>
      </w:pPr>
      <w:r>
        <w:rPr>
          <w:rFonts w:ascii="楷体" w:eastAsia="楷体" w:hAnsi="楷体" w:cs="楷体" w:hint="eastAsia"/>
          <w:b/>
          <w:sz w:val="32"/>
        </w:rPr>
        <w:t>（二）系统可靠性需求</w:t>
      </w:r>
    </w:p>
    <w:p w14:paraId="4277F03B"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平台满足7×24小时不间断的运行要求，确保广东省政法跨部门大数据办案平台广州分中心（市委政法委中心平台）</w:t>
      </w:r>
      <w:r>
        <w:rPr>
          <w:rFonts w:ascii="仿宋_GB2312" w:eastAsia="仿宋_GB2312" w:hAnsi="仿宋_GB2312" w:cs="仿宋_GB2312" w:hint="eastAsia"/>
          <w:color w:val="auto"/>
          <w:sz w:val="32"/>
          <w:szCs w:val="32"/>
        </w:rPr>
        <w:lastRenderedPageBreak/>
        <w:t>具有良好的安全性和可靠性。另外，同时通过日常维护使系统具备一定的容错性，避免由于误操作或其他原因导致的系统错误。</w:t>
      </w:r>
    </w:p>
    <w:p w14:paraId="0E47F282" w14:textId="77777777" w:rsidR="00B02C6E" w:rsidRDefault="00B02C6E" w:rsidP="00B02C6E">
      <w:pPr>
        <w:pStyle w:val="3"/>
        <w:numPr>
          <w:ilvl w:val="2"/>
          <w:numId w:val="0"/>
        </w:numPr>
        <w:adjustRightInd/>
        <w:spacing w:before="0" w:after="0" w:line="560" w:lineRule="exact"/>
        <w:jc w:val="both"/>
        <w:rPr>
          <w:rFonts w:ascii="楷体" w:eastAsia="楷体" w:hAnsi="楷体" w:cs="楷体"/>
          <w:b/>
          <w:sz w:val="32"/>
        </w:rPr>
      </w:pPr>
      <w:r>
        <w:rPr>
          <w:rFonts w:ascii="楷体" w:eastAsia="楷体" w:hAnsi="楷体" w:cs="楷体" w:hint="eastAsia"/>
          <w:b/>
          <w:sz w:val="32"/>
        </w:rPr>
        <w:t>（三）系统易用性需求</w:t>
      </w:r>
    </w:p>
    <w:p w14:paraId="792F2E5A" w14:textId="77777777" w:rsidR="00B02C6E" w:rsidRDefault="00B02C6E" w:rsidP="00B02C6E">
      <w:pPr>
        <w:pStyle w:val="aff4"/>
        <w:keepLines/>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针对协同平台流转的流程，应基于智能、高效的协作目标，实现部分通知节点数据的自动统计，降低承办人员的人工操作成本，对自动化处理失败情况进行自动提醒功能，保证平台的健壮性。</w:t>
      </w:r>
    </w:p>
    <w:p w14:paraId="22123DB0" w14:textId="77777777" w:rsidR="00B02C6E" w:rsidRDefault="00B02C6E" w:rsidP="00B02C6E">
      <w:pPr>
        <w:pStyle w:val="3"/>
        <w:numPr>
          <w:ilvl w:val="2"/>
          <w:numId w:val="0"/>
        </w:numPr>
        <w:adjustRightInd/>
        <w:spacing w:before="0" w:after="0" w:line="560" w:lineRule="exact"/>
        <w:jc w:val="both"/>
        <w:rPr>
          <w:rFonts w:ascii="楷体" w:eastAsia="楷体" w:hAnsi="楷体" w:cs="楷体"/>
          <w:b/>
          <w:sz w:val="32"/>
        </w:rPr>
      </w:pPr>
      <w:r>
        <w:rPr>
          <w:rFonts w:ascii="楷体" w:eastAsia="楷体" w:hAnsi="楷体" w:cs="楷体" w:hint="eastAsia"/>
          <w:b/>
          <w:sz w:val="32"/>
        </w:rPr>
        <w:t>（四）系统数据权限需求</w:t>
      </w:r>
    </w:p>
    <w:p w14:paraId="30D560AE" w14:textId="77777777" w:rsidR="00B02C6E" w:rsidRDefault="00B02C6E" w:rsidP="00B02C6E">
      <w:pPr>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针对法、检、公、司流转及同步的文书，各单位系统按照平台统一提供的接口标准，对文书类型进行分类标识，后续针对不同类型的文书，设置不同的查看权限，控制案件全流程数据共享的范围。</w:t>
      </w:r>
    </w:p>
    <w:p w14:paraId="04EAC197" w14:textId="77777777" w:rsidR="00B02C6E" w:rsidRDefault="00B02C6E" w:rsidP="00B02C6E">
      <w:pPr>
        <w:pStyle w:val="3"/>
        <w:numPr>
          <w:ilvl w:val="2"/>
          <w:numId w:val="0"/>
        </w:numPr>
        <w:adjustRightInd/>
        <w:spacing w:before="0" w:after="0" w:line="560" w:lineRule="exact"/>
        <w:jc w:val="both"/>
        <w:rPr>
          <w:rFonts w:ascii="楷体" w:eastAsia="楷体" w:hAnsi="楷体" w:cs="楷体"/>
          <w:b/>
          <w:sz w:val="32"/>
        </w:rPr>
      </w:pPr>
      <w:r>
        <w:rPr>
          <w:rFonts w:ascii="楷体" w:eastAsia="楷体" w:hAnsi="楷体" w:cs="楷体" w:hint="eastAsia"/>
          <w:b/>
          <w:sz w:val="32"/>
        </w:rPr>
        <w:t>（五）相关配套标准规范文件需求</w:t>
      </w:r>
    </w:p>
    <w:p w14:paraId="3D11712F"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相关配套标准规范文</w:t>
      </w:r>
      <w:proofErr w:type="gramStart"/>
      <w:r>
        <w:rPr>
          <w:rFonts w:ascii="仿宋_GB2312" w:eastAsia="仿宋_GB2312" w:hAnsi="仿宋_GB2312" w:cs="仿宋_GB2312" w:hint="eastAsia"/>
          <w:color w:val="auto"/>
          <w:sz w:val="32"/>
          <w:szCs w:val="32"/>
        </w:rPr>
        <w:t>件涉及</w:t>
      </w:r>
      <w:proofErr w:type="gramEnd"/>
      <w:r>
        <w:rPr>
          <w:rFonts w:ascii="仿宋_GB2312" w:eastAsia="仿宋_GB2312" w:hAnsi="仿宋_GB2312" w:cs="仿宋_GB2312" w:hint="eastAsia"/>
          <w:color w:val="auto"/>
          <w:sz w:val="32"/>
          <w:szCs w:val="32"/>
        </w:rPr>
        <w:t>业务、数据、技术、安全等4类。</w:t>
      </w:r>
    </w:p>
    <w:p w14:paraId="612FDBCF" w14:textId="77777777" w:rsidR="00B02C6E" w:rsidRDefault="00B02C6E" w:rsidP="00B02C6E">
      <w:pPr>
        <w:pStyle w:val="2"/>
        <w:numPr>
          <w:ilvl w:val="1"/>
          <w:numId w:val="0"/>
        </w:numPr>
        <w:spacing w:before="0" w:after="0" w:line="560" w:lineRule="exact"/>
        <w:rPr>
          <w:b/>
          <w:bCs w:val="0"/>
          <w:sz w:val="32"/>
          <w:szCs w:val="36"/>
        </w:rPr>
      </w:pPr>
      <w:bookmarkStart w:id="10" w:name="_Toc52219976"/>
      <w:bookmarkStart w:id="11" w:name="_Toc37883655"/>
      <w:bookmarkStart w:id="12" w:name="_Toc53170626"/>
      <w:r>
        <w:rPr>
          <w:rFonts w:hint="eastAsia"/>
          <w:b/>
          <w:bCs w:val="0"/>
          <w:sz w:val="32"/>
          <w:szCs w:val="36"/>
        </w:rPr>
        <w:t>三、信息系统安全要求</w:t>
      </w:r>
      <w:bookmarkEnd w:id="10"/>
      <w:bookmarkEnd w:id="11"/>
    </w:p>
    <w:p w14:paraId="041075D6"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本项目将按照国家标准《网络安全等级保护定级指南》（GB/T22240-2020）等相关政策开展信息系统安全等级保护定级的相关内容参考，参考依据内容如下：</w:t>
      </w:r>
    </w:p>
    <w:p w14:paraId="068539DC"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参考依据内容如下：</w:t>
      </w:r>
    </w:p>
    <w:p w14:paraId="4009595B"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1、安全保护等级分析</w:t>
      </w:r>
    </w:p>
    <w:p w14:paraId="41B5C6E2"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据等级保护相关文件要求，等级保护对象受到破坏后，会对公民、法人和其他组织的合法权益产生严重损害，或者对社会秩序和公共利益造成损害，但不损害国家安全；</w:t>
      </w:r>
    </w:p>
    <w:p w14:paraId="759BA93C"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主要从系统服务层面和业务连续性面层考虑：</w:t>
      </w:r>
    </w:p>
    <w:p w14:paraId="6FB85A88"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当信息系统遭受网络攻击或相关故障后，可能造成服务停止运行，无法上网等情况。对法人及单位造成严重损害。</w:t>
      </w:r>
    </w:p>
    <w:p w14:paraId="0E75F770"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当信息系统遭受网络攻击或相关故障后，可能对单位业务的连续性及工作职能产生影响，也可能产生严重的法律责任。</w:t>
      </w:r>
    </w:p>
    <w:p w14:paraId="5EA24A0B"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2、定级要素与安全保护等级的关系</w:t>
      </w:r>
    </w:p>
    <w:p w14:paraId="12FF7758" w14:textId="77777777" w:rsidR="00B02C6E" w:rsidRDefault="00B02C6E" w:rsidP="00B02C6E">
      <w:pPr>
        <w:pStyle w:val="afff5"/>
        <w:spacing w:line="560" w:lineRule="exact"/>
        <w:ind w:firstLine="640"/>
        <w:jc w:val="center"/>
        <w:rPr>
          <w:rFonts w:eastAsia="仿宋_GB2312" w:cs="仿宋_GB2312"/>
          <w:sz w:val="32"/>
          <w:szCs w:val="32"/>
        </w:rPr>
      </w:pPr>
      <w:r>
        <w:rPr>
          <w:rFonts w:eastAsia="仿宋_GB2312" w:cs="仿宋_GB2312" w:hint="eastAsia"/>
          <w:sz w:val="32"/>
          <w:szCs w:val="32"/>
        </w:rPr>
        <w:t>表2.7 定级要素与安全保护等级关系表</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2244"/>
        <w:gridCol w:w="2244"/>
        <w:gridCol w:w="2232"/>
      </w:tblGrid>
      <w:tr w:rsidR="00B02C6E" w14:paraId="17893EFA" w14:textId="77777777" w:rsidTr="00453BF8">
        <w:tc>
          <w:tcPr>
            <w:tcW w:w="2487" w:type="dxa"/>
            <w:vMerge w:val="restart"/>
            <w:vAlign w:val="center"/>
          </w:tcPr>
          <w:p w14:paraId="6D921B4C" w14:textId="77777777" w:rsidR="00B02C6E" w:rsidRDefault="00B02C6E" w:rsidP="00453BF8">
            <w:pPr>
              <w:pStyle w:val="01"/>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受侵害的客体</w:t>
            </w:r>
          </w:p>
        </w:tc>
        <w:tc>
          <w:tcPr>
            <w:tcW w:w="6720" w:type="dxa"/>
            <w:gridSpan w:val="3"/>
            <w:vAlign w:val="center"/>
          </w:tcPr>
          <w:p w14:paraId="192E1285" w14:textId="77777777" w:rsidR="00B02C6E" w:rsidRDefault="00B02C6E" w:rsidP="00453BF8">
            <w:pPr>
              <w:pStyle w:val="01"/>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对客体的侵害程度</w:t>
            </w:r>
          </w:p>
        </w:tc>
      </w:tr>
      <w:tr w:rsidR="00B02C6E" w14:paraId="18BF7BFD" w14:textId="77777777" w:rsidTr="00453BF8">
        <w:tc>
          <w:tcPr>
            <w:tcW w:w="2487" w:type="dxa"/>
            <w:vMerge/>
            <w:vAlign w:val="center"/>
          </w:tcPr>
          <w:p w14:paraId="0741BB50" w14:textId="77777777" w:rsidR="00B02C6E" w:rsidRDefault="00B02C6E" w:rsidP="00453BF8">
            <w:pPr>
              <w:pStyle w:val="01"/>
              <w:spacing w:line="560" w:lineRule="exact"/>
              <w:rPr>
                <w:rFonts w:ascii="仿宋_GB2312" w:eastAsia="仿宋_GB2312" w:hAnsi="仿宋_GB2312" w:cs="仿宋_GB2312"/>
                <w:color w:val="000000"/>
                <w:sz w:val="32"/>
                <w:szCs w:val="32"/>
              </w:rPr>
            </w:pPr>
          </w:p>
        </w:tc>
        <w:tc>
          <w:tcPr>
            <w:tcW w:w="2244" w:type="dxa"/>
            <w:vAlign w:val="center"/>
          </w:tcPr>
          <w:p w14:paraId="7FBBB244" w14:textId="77777777" w:rsidR="00B02C6E" w:rsidRDefault="00B02C6E" w:rsidP="00453BF8">
            <w:pPr>
              <w:pStyle w:val="01"/>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一般损害</w:t>
            </w:r>
          </w:p>
        </w:tc>
        <w:tc>
          <w:tcPr>
            <w:tcW w:w="2244" w:type="dxa"/>
            <w:vAlign w:val="center"/>
          </w:tcPr>
          <w:p w14:paraId="5EB2E279" w14:textId="77777777" w:rsidR="00B02C6E" w:rsidRDefault="00B02C6E" w:rsidP="00453BF8">
            <w:pPr>
              <w:pStyle w:val="01"/>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严重损害</w:t>
            </w:r>
          </w:p>
        </w:tc>
        <w:tc>
          <w:tcPr>
            <w:tcW w:w="2232" w:type="dxa"/>
            <w:vAlign w:val="center"/>
          </w:tcPr>
          <w:p w14:paraId="0FA71AE5" w14:textId="77777777" w:rsidR="00B02C6E" w:rsidRDefault="00B02C6E" w:rsidP="00453BF8">
            <w:pPr>
              <w:pStyle w:val="01"/>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特别严重损害</w:t>
            </w:r>
          </w:p>
        </w:tc>
      </w:tr>
      <w:tr w:rsidR="00B02C6E" w14:paraId="0958F3AD" w14:textId="77777777" w:rsidTr="00453BF8">
        <w:tc>
          <w:tcPr>
            <w:tcW w:w="2487" w:type="dxa"/>
            <w:vAlign w:val="center"/>
          </w:tcPr>
          <w:p w14:paraId="0504669D" w14:textId="77777777" w:rsidR="00B02C6E" w:rsidRDefault="00B02C6E" w:rsidP="00453BF8">
            <w:pPr>
              <w:pStyle w:val="01"/>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公民、法人和其他组织的合权益</w:t>
            </w:r>
          </w:p>
        </w:tc>
        <w:tc>
          <w:tcPr>
            <w:tcW w:w="2244" w:type="dxa"/>
            <w:vAlign w:val="center"/>
          </w:tcPr>
          <w:p w14:paraId="14E15660" w14:textId="77777777" w:rsidR="00B02C6E" w:rsidRDefault="00B02C6E" w:rsidP="00453BF8">
            <w:pPr>
              <w:pStyle w:val="01"/>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第一级</w:t>
            </w:r>
          </w:p>
        </w:tc>
        <w:tc>
          <w:tcPr>
            <w:tcW w:w="2244" w:type="dxa"/>
            <w:vAlign w:val="center"/>
          </w:tcPr>
          <w:p w14:paraId="23BB6357" w14:textId="77777777" w:rsidR="00B02C6E" w:rsidRDefault="00B02C6E" w:rsidP="00453BF8">
            <w:pPr>
              <w:pStyle w:val="01"/>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第二级</w:t>
            </w:r>
          </w:p>
        </w:tc>
        <w:tc>
          <w:tcPr>
            <w:tcW w:w="2232" w:type="dxa"/>
            <w:vAlign w:val="center"/>
          </w:tcPr>
          <w:p w14:paraId="66DEB880" w14:textId="77777777" w:rsidR="00B02C6E" w:rsidRDefault="00B02C6E" w:rsidP="00453BF8">
            <w:pPr>
              <w:pStyle w:val="01"/>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第三级</w:t>
            </w:r>
          </w:p>
        </w:tc>
      </w:tr>
      <w:tr w:rsidR="00B02C6E" w14:paraId="529502DF" w14:textId="77777777" w:rsidTr="00453BF8">
        <w:tc>
          <w:tcPr>
            <w:tcW w:w="2487" w:type="dxa"/>
            <w:vAlign w:val="center"/>
          </w:tcPr>
          <w:p w14:paraId="3488D9EA" w14:textId="77777777" w:rsidR="00B02C6E" w:rsidRDefault="00B02C6E" w:rsidP="00453BF8">
            <w:pPr>
              <w:pStyle w:val="01"/>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社会秩序、公共利益</w:t>
            </w:r>
          </w:p>
        </w:tc>
        <w:tc>
          <w:tcPr>
            <w:tcW w:w="2244" w:type="dxa"/>
            <w:vAlign w:val="center"/>
          </w:tcPr>
          <w:p w14:paraId="011CA3FA" w14:textId="77777777" w:rsidR="00B02C6E" w:rsidRDefault="00B02C6E" w:rsidP="00453BF8">
            <w:pPr>
              <w:pStyle w:val="01"/>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第二级</w:t>
            </w:r>
          </w:p>
        </w:tc>
        <w:tc>
          <w:tcPr>
            <w:tcW w:w="2244" w:type="dxa"/>
            <w:vAlign w:val="center"/>
          </w:tcPr>
          <w:p w14:paraId="42CB699D" w14:textId="77777777" w:rsidR="00B02C6E" w:rsidRDefault="00B02C6E" w:rsidP="00453BF8">
            <w:pPr>
              <w:pStyle w:val="01"/>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第三级</w:t>
            </w:r>
          </w:p>
        </w:tc>
        <w:tc>
          <w:tcPr>
            <w:tcW w:w="2232" w:type="dxa"/>
            <w:vAlign w:val="center"/>
          </w:tcPr>
          <w:p w14:paraId="109F83EE" w14:textId="77777777" w:rsidR="00B02C6E" w:rsidRDefault="00B02C6E" w:rsidP="00453BF8">
            <w:pPr>
              <w:pStyle w:val="01"/>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第四级</w:t>
            </w:r>
          </w:p>
        </w:tc>
      </w:tr>
      <w:tr w:rsidR="00B02C6E" w14:paraId="3A8F93CA" w14:textId="77777777" w:rsidTr="00453BF8">
        <w:tc>
          <w:tcPr>
            <w:tcW w:w="2487" w:type="dxa"/>
            <w:vAlign w:val="center"/>
          </w:tcPr>
          <w:p w14:paraId="399C14CE" w14:textId="77777777" w:rsidR="00B02C6E" w:rsidRDefault="00B02C6E" w:rsidP="00453BF8">
            <w:pPr>
              <w:pStyle w:val="01"/>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国家安全</w:t>
            </w:r>
          </w:p>
        </w:tc>
        <w:tc>
          <w:tcPr>
            <w:tcW w:w="2244" w:type="dxa"/>
            <w:vAlign w:val="center"/>
          </w:tcPr>
          <w:p w14:paraId="33D6FCFA" w14:textId="77777777" w:rsidR="00B02C6E" w:rsidRDefault="00B02C6E" w:rsidP="00453BF8">
            <w:pPr>
              <w:pStyle w:val="01"/>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第三级</w:t>
            </w:r>
          </w:p>
        </w:tc>
        <w:tc>
          <w:tcPr>
            <w:tcW w:w="2244" w:type="dxa"/>
            <w:vAlign w:val="center"/>
          </w:tcPr>
          <w:p w14:paraId="59B3CA00" w14:textId="77777777" w:rsidR="00B02C6E" w:rsidRDefault="00B02C6E" w:rsidP="00453BF8">
            <w:pPr>
              <w:pStyle w:val="01"/>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第四级</w:t>
            </w:r>
          </w:p>
        </w:tc>
        <w:tc>
          <w:tcPr>
            <w:tcW w:w="2232" w:type="dxa"/>
            <w:vAlign w:val="center"/>
          </w:tcPr>
          <w:p w14:paraId="61595144" w14:textId="77777777" w:rsidR="00B02C6E" w:rsidRDefault="00B02C6E" w:rsidP="00453BF8">
            <w:pPr>
              <w:pStyle w:val="01"/>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第五级</w:t>
            </w:r>
          </w:p>
        </w:tc>
      </w:tr>
    </w:tbl>
    <w:p w14:paraId="3125906A" w14:textId="77777777" w:rsidR="00B02C6E" w:rsidRDefault="00B02C6E" w:rsidP="00B02C6E">
      <w:pPr>
        <w:pStyle w:val="aff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auto"/>
          <w:sz w:val="32"/>
          <w:szCs w:val="32"/>
        </w:rPr>
        <w:t>3、综合以上考虑，涉案财物深化应用需新建的信息系统及数据一旦造成严重损害，社会秩序、公共利益会受到侵害，拟定安全保护级为：三级</w:t>
      </w:r>
    </w:p>
    <w:p w14:paraId="0921F8CB" w14:textId="77777777" w:rsidR="00B02C6E" w:rsidRDefault="00B02C6E" w:rsidP="00B02C6E">
      <w:pPr>
        <w:pStyle w:val="3"/>
        <w:numPr>
          <w:ilvl w:val="2"/>
          <w:numId w:val="0"/>
        </w:numPr>
        <w:adjustRightInd/>
        <w:spacing w:before="0" w:after="0" w:line="560" w:lineRule="exact"/>
        <w:jc w:val="both"/>
        <w:rPr>
          <w:rFonts w:ascii="楷体" w:eastAsia="楷体" w:hAnsi="楷体" w:cs="楷体"/>
          <w:b/>
          <w:sz w:val="32"/>
        </w:rPr>
      </w:pPr>
      <w:bookmarkStart w:id="13" w:name="_Toc136352810"/>
      <w:bookmarkStart w:id="14" w:name="_Toc152937433"/>
      <w:r>
        <w:rPr>
          <w:rFonts w:ascii="楷体" w:eastAsia="楷体" w:hAnsi="楷体" w:cs="楷体" w:hint="eastAsia"/>
          <w:b/>
          <w:sz w:val="32"/>
        </w:rPr>
        <w:lastRenderedPageBreak/>
        <w:t>（一）安全区域边界分析</w:t>
      </w:r>
      <w:bookmarkEnd w:id="13"/>
      <w:bookmarkEnd w:id="14"/>
    </w:p>
    <w:p w14:paraId="775245C1"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color w:val="000000"/>
          <w:sz w:val="32"/>
          <w:szCs w:val="32"/>
        </w:rPr>
      </w:pPr>
      <w:bookmarkStart w:id="15" w:name="_Toc136352811"/>
      <w:r>
        <w:rPr>
          <w:rFonts w:ascii="仿宋_GB2312" w:eastAsia="仿宋_GB2312" w:hAnsi="仿宋_GB2312" w:cs="仿宋_GB2312" w:hint="eastAsia"/>
          <w:color w:val="000000"/>
          <w:sz w:val="32"/>
          <w:szCs w:val="32"/>
        </w:rPr>
        <w:t>1.边界防护</w:t>
      </w:r>
      <w:bookmarkEnd w:id="15"/>
    </w:p>
    <w:p w14:paraId="2A4AFE4B"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根据GB/T 22239-2019 《信息安全技术 网络安全等级保护基本要求》8.1.3.1边界防护中安全要求，将设备直连到链路中，并增加配备对应冗余设备，落实关键设备热备份要求，配置相应的</w:t>
      </w:r>
      <w:proofErr w:type="gramStart"/>
      <w:r>
        <w:rPr>
          <w:rFonts w:ascii="仿宋_GB2312" w:eastAsia="仿宋_GB2312" w:hAnsi="仿宋_GB2312" w:cs="仿宋_GB2312" w:hint="eastAsia"/>
          <w:color w:val="auto"/>
          <w:sz w:val="32"/>
          <w:szCs w:val="32"/>
        </w:rPr>
        <w:t>端口级访问</w:t>
      </w:r>
      <w:proofErr w:type="gramEnd"/>
      <w:r>
        <w:rPr>
          <w:rFonts w:ascii="仿宋_GB2312" w:eastAsia="仿宋_GB2312" w:hAnsi="仿宋_GB2312" w:cs="仿宋_GB2312" w:hint="eastAsia"/>
          <w:color w:val="auto"/>
          <w:sz w:val="32"/>
          <w:szCs w:val="32"/>
        </w:rPr>
        <w:t>控制策略。</w:t>
      </w:r>
    </w:p>
    <w:p w14:paraId="1A0A3C6B"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color w:val="000000"/>
          <w:sz w:val="32"/>
          <w:szCs w:val="32"/>
        </w:rPr>
      </w:pPr>
      <w:bookmarkStart w:id="16" w:name="_Toc136352812"/>
      <w:r>
        <w:rPr>
          <w:rFonts w:ascii="仿宋_GB2312" w:eastAsia="仿宋_GB2312" w:hAnsi="仿宋_GB2312" w:cs="仿宋_GB2312" w:hint="eastAsia"/>
          <w:color w:val="000000"/>
          <w:sz w:val="32"/>
          <w:szCs w:val="32"/>
        </w:rPr>
        <w:t>2.入侵防范</w:t>
      </w:r>
      <w:bookmarkEnd w:id="16"/>
    </w:p>
    <w:p w14:paraId="15BC9F0E"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根据GB/T 22239-2019 《信息安全技术 网络安全等级保护基本要求》8.1.3.3入侵防范中安全要求，在数据交互区、</w:t>
      </w:r>
      <w:proofErr w:type="gramStart"/>
      <w:r>
        <w:rPr>
          <w:rFonts w:ascii="仿宋_GB2312" w:eastAsia="仿宋_GB2312" w:hAnsi="仿宋_GB2312" w:cs="仿宋_GB2312" w:hint="eastAsia"/>
          <w:color w:val="auto"/>
          <w:sz w:val="32"/>
          <w:szCs w:val="32"/>
        </w:rPr>
        <w:t>政法区</w:t>
      </w:r>
      <w:proofErr w:type="gramEnd"/>
      <w:r>
        <w:rPr>
          <w:rFonts w:ascii="仿宋_GB2312" w:eastAsia="仿宋_GB2312" w:hAnsi="仿宋_GB2312" w:cs="仿宋_GB2312" w:hint="eastAsia"/>
          <w:color w:val="auto"/>
          <w:sz w:val="32"/>
          <w:szCs w:val="32"/>
        </w:rPr>
        <w:t>部署入侵检测设备，起到内部攻击行为的检测作用，提高信息安全基础结构的完整性。</w:t>
      </w:r>
    </w:p>
    <w:p w14:paraId="002E88D3" w14:textId="77777777" w:rsidR="00B02C6E" w:rsidRDefault="00B02C6E" w:rsidP="00B02C6E">
      <w:pPr>
        <w:pStyle w:val="3"/>
        <w:numPr>
          <w:ilvl w:val="2"/>
          <w:numId w:val="0"/>
        </w:numPr>
        <w:adjustRightInd/>
        <w:spacing w:before="0" w:after="0" w:line="560" w:lineRule="exact"/>
        <w:jc w:val="both"/>
        <w:rPr>
          <w:rFonts w:ascii="楷体" w:eastAsia="楷体" w:hAnsi="楷体" w:cs="楷体"/>
          <w:b/>
          <w:sz w:val="32"/>
        </w:rPr>
      </w:pPr>
      <w:bookmarkStart w:id="17" w:name="_Toc136352813"/>
      <w:bookmarkStart w:id="18" w:name="_Toc152937434"/>
      <w:r>
        <w:rPr>
          <w:rFonts w:ascii="楷体" w:eastAsia="楷体" w:hAnsi="楷体" w:cs="楷体" w:hint="eastAsia"/>
          <w:b/>
          <w:sz w:val="32"/>
        </w:rPr>
        <w:t>（二）安全通信网络分析</w:t>
      </w:r>
      <w:bookmarkEnd w:id="17"/>
      <w:bookmarkEnd w:id="18"/>
    </w:p>
    <w:p w14:paraId="1443A4A0"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根据GB/T 22239-2019 《信息安全技术 网络安全等级保护基本要求》8.1.2.1网络架构中要求，采用性能、配置相当的硬件冗余方式部署，在发生安全事件时能够保证网络的畅通。</w:t>
      </w:r>
    </w:p>
    <w:p w14:paraId="020F5AC8" w14:textId="77777777" w:rsidR="00B02C6E" w:rsidRDefault="00B02C6E" w:rsidP="00B02C6E">
      <w:pPr>
        <w:pStyle w:val="3"/>
        <w:numPr>
          <w:ilvl w:val="2"/>
          <w:numId w:val="0"/>
        </w:numPr>
        <w:adjustRightInd/>
        <w:spacing w:before="0" w:after="0" w:line="560" w:lineRule="exact"/>
        <w:jc w:val="both"/>
        <w:rPr>
          <w:rFonts w:ascii="楷体" w:eastAsia="楷体" w:hAnsi="楷体" w:cs="楷体"/>
          <w:b/>
          <w:sz w:val="32"/>
        </w:rPr>
      </w:pPr>
      <w:bookmarkStart w:id="19" w:name="_Toc136352814"/>
      <w:bookmarkStart w:id="20" w:name="_Toc152937435"/>
      <w:r>
        <w:rPr>
          <w:rFonts w:ascii="楷体" w:eastAsia="楷体" w:hAnsi="楷体" w:cs="楷体" w:hint="eastAsia"/>
          <w:b/>
          <w:sz w:val="32"/>
        </w:rPr>
        <w:t>（三）安全计算环境分析</w:t>
      </w:r>
      <w:bookmarkEnd w:id="19"/>
      <w:bookmarkEnd w:id="20"/>
    </w:p>
    <w:p w14:paraId="221A6589"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根据GB/T 22239-2019 《信息安全技术 网络安全等级保护基本要求》8.1.4安全计算环境中要求，强化密码策略，加密敏感数据，建立访问控制，实施网络安全监控，定期备份数据等，确保满足等级保护三级要求。</w:t>
      </w:r>
    </w:p>
    <w:p w14:paraId="69B5EB41" w14:textId="77777777" w:rsidR="00B02C6E" w:rsidRDefault="00B02C6E" w:rsidP="00B02C6E">
      <w:pPr>
        <w:pStyle w:val="3"/>
        <w:numPr>
          <w:ilvl w:val="2"/>
          <w:numId w:val="0"/>
        </w:numPr>
        <w:adjustRightInd/>
        <w:spacing w:before="0" w:after="0" w:line="560" w:lineRule="exact"/>
        <w:jc w:val="both"/>
        <w:rPr>
          <w:rFonts w:ascii="楷体" w:eastAsia="楷体" w:hAnsi="楷体" w:cs="楷体"/>
          <w:b/>
          <w:sz w:val="32"/>
        </w:rPr>
      </w:pPr>
      <w:bookmarkStart w:id="21" w:name="_Toc136352815"/>
      <w:bookmarkStart w:id="22" w:name="_Toc152937436"/>
      <w:r>
        <w:rPr>
          <w:rFonts w:ascii="楷体" w:eastAsia="楷体" w:hAnsi="楷体" w:cs="楷体" w:hint="eastAsia"/>
          <w:b/>
          <w:sz w:val="32"/>
        </w:rPr>
        <w:t>（四）安全管理分析</w:t>
      </w:r>
      <w:bookmarkEnd w:id="21"/>
      <w:bookmarkEnd w:id="22"/>
    </w:p>
    <w:p w14:paraId="030EFF43" w14:textId="77777777" w:rsidR="00B02C6E" w:rsidRDefault="00B02C6E" w:rsidP="00B02C6E">
      <w:pPr>
        <w:pStyle w:val="aff4"/>
        <w:spacing w:line="560" w:lineRule="exac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根据GB/T 22239-2019 《信息安全技术 网络安全等级保护基本要求》8.1.10.5漏洞和风险管理中要求，加强开展</w:t>
      </w:r>
      <w:r>
        <w:rPr>
          <w:rFonts w:ascii="仿宋_GB2312" w:eastAsia="仿宋_GB2312" w:hAnsi="仿宋_GB2312" w:cs="仿宋_GB2312" w:hint="eastAsia"/>
          <w:color w:val="auto"/>
          <w:sz w:val="32"/>
          <w:szCs w:val="32"/>
        </w:rPr>
        <w:lastRenderedPageBreak/>
        <w:t>漏洞扫描，并对发现的安全漏洞和隐患及时修补或评估可能的影响后进行修补。</w:t>
      </w:r>
    </w:p>
    <w:bookmarkEnd w:id="12"/>
    <w:p w14:paraId="716352A7" w14:textId="77777777" w:rsidR="00B02C6E" w:rsidRDefault="00B02C6E" w:rsidP="00B02C6E">
      <w:pPr>
        <w:pStyle w:val="2"/>
        <w:numPr>
          <w:ilvl w:val="1"/>
          <w:numId w:val="0"/>
        </w:numPr>
        <w:spacing w:before="0" w:after="0" w:line="560" w:lineRule="exact"/>
        <w:rPr>
          <w:b/>
          <w:bCs w:val="0"/>
          <w:sz w:val="32"/>
          <w:szCs w:val="36"/>
        </w:rPr>
      </w:pPr>
      <w:r>
        <w:rPr>
          <w:rFonts w:hint="eastAsia"/>
          <w:b/>
          <w:bCs w:val="0"/>
          <w:sz w:val="32"/>
          <w:szCs w:val="36"/>
        </w:rPr>
        <w:t>四、软件开发服务功能要求</w:t>
      </w:r>
    </w:p>
    <w:p w14:paraId="0A66BC0C" w14:textId="77777777" w:rsidR="00B02C6E" w:rsidRDefault="00B02C6E" w:rsidP="00B02C6E">
      <w:pPr>
        <w:pStyle w:val="3"/>
        <w:numPr>
          <w:ilvl w:val="2"/>
          <w:numId w:val="0"/>
        </w:numPr>
        <w:adjustRightInd/>
        <w:spacing w:before="0" w:after="0" w:line="560" w:lineRule="exact"/>
        <w:jc w:val="both"/>
        <w:rPr>
          <w:rFonts w:ascii="楷体" w:eastAsia="楷体" w:hAnsi="楷体" w:cs="楷体"/>
          <w:b/>
          <w:sz w:val="32"/>
        </w:rPr>
      </w:pPr>
      <w:bookmarkStart w:id="23" w:name="_Toc152937464"/>
      <w:bookmarkStart w:id="24" w:name="_Toc22620"/>
      <w:r>
        <w:rPr>
          <w:rFonts w:ascii="楷体" w:eastAsia="楷体" w:hAnsi="楷体" w:cs="楷体" w:hint="eastAsia"/>
          <w:b/>
          <w:sz w:val="32"/>
        </w:rPr>
        <w:t>（一）涉案财物信息流转处置深化应用</w:t>
      </w:r>
      <w:bookmarkEnd w:id="23"/>
      <w:bookmarkEnd w:id="24"/>
      <w:r>
        <w:rPr>
          <w:rFonts w:ascii="楷体" w:eastAsia="楷体" w:hAnsi="楷体" w:cs="楷体" w:hint="eastAsia"/>
          <w:b/>
          <w:sz w:val="32"/>
        </w:rPr>
        <w:t>需求</w:t>
      </w:r>
    </w:p>
    <w:p w14:paraId="2248C7A4"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color w:val="000000"/>
          <w:sz w:val="32"/>
          <w:szCs w:val="32"/>
        </w:rPr>
      </w:pPr>
      <w:bookmarkStart w:id="25" w:name="_Toc14164"/>
      <w:bookmarkStart w:id="26" w:name="_Toc152937466"/>
      <w:r>
        <w:rPr>
          <w:rFonts w:ascii="仿宋_GB2312" w:eastAsia="仿宋_GB2312" w:hAnsi="仿宋_GB2312" w:cs="仿宋_GB2312" w:hint="eastAsia"/>
          <w:color w:val="000000"/>
          <w:sz w:val="32"/>
          <w:szCs w:val="32"/>
        </w:rPr>
        <w:t>1.涉案财物信息随案流转</w:t>
      </w:r>
      <w:bookmarkEnd w:id="25"/>
      <w:bookmarkEnd w:id="26"/>
      <w:r>
        <w:rPr>
          <w:rFonts w:ascii="仿宋_GB2312" w:eastAsia="仿宋_GB2312" w:hAnsi="仿宋_GB2312" w:cs="仿宋_GB2312" w:hint="eastAsia"/>
          <w:color w:val="000000"/>
          <w:sz w:val="32"/>
          <w:szCs w:val="32"/>
        </w:rPr>
        <w:t>需求</w:t>
      </w:r>
    </w:p>
    <w:p w14:paraId="5D1FA9A8"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（1）需求概述</w:t>
      </w:r>
    </w:p>
    <w:p w14:paraId="22BC6C06"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涉案财物信息随案流转后，从公、检、法查扣冻后随案线上移送，公安完成侦查移送检察院审查起诉时将公安处置意见附带移送至检察院，检察院审查起</w:t>
      </w:r>
      <w:proofErr w:type="gramStart"/>
      <w:r>
        <w:rPr>
          <w:rFonts w:ascii="仿宋_GB2312" w:eastAsia="仿宋_GB2312" w:hAnsi="仿宋_GB2312" w:cs="仿宋_GB2312" w:hint="eastAsia"/>
          <w:sz w:val="32"/>
          <w:szCs w:val="28"/>
        </w:rPr>
        <w:t>诉若</w:t>
      </w:r>
      <w:proofErr w:type="gramEnd"/>
      <w:r>
        <w:rPr>
          <w:rFonts w:ascii="仿宋_GB2312" w:eastAsia="仿宋_GB2312" w:hAnsi="仿宋_GB2312" w:cs="仿宋_GB2312" w:hint="eastAsia"/>
          <w:sz w:val="32"/>
          <w:szCs w:val="28"/>
        </w:rPr>
        <w:t>决定不起诉需将各项涉案财物处置意见要求返回公安，公安将最后处置结果通过【涉案财物处置结果反馈】将结果告知检察院；若检察院决定起诉，则需将涉案财物处置意见随案移送给法院，法院判决后在原流程【一审审理】、【二审上诉】、【二审抗诉】、【审判监督抗诉】、【法院再审程序】节点明确各项涉案财产判决处置意见，返回公安、检察院、法院（执行）；公安与法院在完成相关财物处置后，通过【涉案财物处置结果反馈】流程通知公检法相关单位，若检察院在案件办理过程中需对涉案财物进行处置的，也应当通过【涉案财物处置结果反馈】流程通知公检法相关单位，完成涉案财物从查扣</w:t>
      </w:r>
      <w:proofErr w:type="gramStart"/>
      <w:r>
        <w:rPr>
          <w:rFonts w:ascii="仿宋_GB2312" w:eastAsia="仿宋_GB2312" w:hAnsi="仿宋_GB2312" w:cs="仿宋_GB2312" w:hint="eastAsia"/>
          <w:sz w:val="32"/>
          <w:szCs w:val="28"/>
        </w:rPr>
        <w:t>冻到及结案</w:t>
      </w:r>
      <w:proofErr w:type="gramEnd"/>
      <w:r>
        <w:rPr>
          <w:rFonts w:ascii="仿宋_GB2312" w:eastAsia="仿宋_GB2312" w:hAnsi="仿宋_GB2312" w:cs="仿宋_GB2312" w:hint="eastAsia"/>
          <w:sz w:val="32"/>
          <w:szCs w:val="28"/>
        </w:rPr>
        <w:t>处置闭环流转。</w:t>
      </w:r>
    </w:p>
    <w:p w14:paraId="3188DB6D"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（2）涉案财物管理系统对接联调需求</w:t>
      </w:r>
    </w:p>
    <w:p w14:paraId="6A56B5BE"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1）与公安系统对接并联调测试</w:t>
      </w:r>
    </w:p>
    <w:p w14:paraId="1B872F5D"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对接公安端系统，实现相关信息对接到中心平台。</w:t>
      </w:r>
    </w:p>
    <w:p w14:paraId="2C30C77F"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lastRenderedPageBreak/>
        <w:t>2）与检察院系统对接并联调测试</w:t>
      </w:r>
    </w:p>
    <w:p w14:paraId="66621C44"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对接检察院端系统，实现相关信息对接到中心平台。</w:t>
      </w:r>
    </w:p>
    <w:p w14:paraId="5CE34155"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3）与法院系统对接并联调测试</w:t>
      </w:r>
    </w:p>
    <w:p w14:paraId="154E318C"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对接法院端系统，实现相关信息对接到中心平台。</w:t>
      </w:r>
    </w:p>
    <w:p w14:paraId="73CF8F43"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color w:val="000000"/>
          <w:sz w:val="32"/>
          <w:szCs w:val="32"/>
        </w:rPr>
      </w:pPr>
      <w:bookmarkStart w:id="27" w:name="_Toc17044"/>
      <w:bookmarkStart w:id="28" w:name="_Toc152937467"/>
      <w:r>
        <w:rPr>
          <w:rFonts w:ascii="仿宋_GB2312" w:eastAsia="仿宋_GB2312" w:hAnsi="仿宋_GB2312" w:cs="仿宋_GB2312" w:hint="eastAsia"/>
          <w:color w:val="000000"/>
          <w:sz w:val="32"/>
          <w:szCs w:val="32"/>
        </w:rPr>
        <w:t>2.涉案财物总体情况概览</w:t>
      </w:r>
      <w:bookmarkEnd w:id="27"/>
      <w:bookmarkEnd w:id="28"/>
      <w:r>
        <w:rPr>
          <w:rFonts w:ascii="仿宋_GB2312" w:eastAsia="仿宋_GB2312" w:hAnsi="仿宋_GB2312" w:cs="仿宋_GB2312" w:hint="eastAsia"/>
          <w:color w:val="000000"/>
          <w:sz w:val="32"/>
          <w:szCs w:val="32"/>
        </w:rPr>
        <w:t>需求</w:t>
      </w:r>
    </w:p>
    <w:p w14:paraId="7CB80183"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（1）总体情况</w:t>
      </w:r>
    </w:p>
    <w:p w14:paraId="3A1EE850"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总体情况需提供给市级政法委和区级政法委两级用户使用，具备不同的数据权限。</w:t>
      </w:r>
    </w:p>
    <w:p w14:paraId="4EC32A4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1）对全市（本区）涉案财物案件总数统计分析展示，下钻显示全市（本区）涉案财物案件台账。</w:t>
      </w:r>
    </w:p>
    <w:p w14:paraId="303A41E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2）对全市（本区）涉案财物总数统计分析展示，可下钻显示全市涉案</w:t>
      </w:r>
      <w:proofErr w:type="gramStart"/>
      <w:r>
        <w:rPr>
          <w:rFonts w:ascii="仿宋_GB2312" w:eastAsia="仿宋_GB2312" w:hAnsi="仿宋_GB2312" w:cs="仿宋_GB2312" w:hint="eastAsia"/>
          <w:sz w:val="32"/>
          <w:szCs w:val="32"/>
        </w:rPr>
        <w:t>财物台</w:t>
      </w:r>
      <w:proofErr w:type="gramEnd"/>
      <w:r>
        <w:rPr>
          <w:rFonts w:ascii="仿宋_GB2312" w:eastAsia="仿宋_GB2312" w:hAnsi="仿宋_GB2312" w:cs="仿宋_GB2312" w:hint="eastAsia"/>
          <w:sz w:val="32"/>
          <w:szCs w:val="32"/>
        </w:rPr>
        <w:t>账。</w:t>
      </w:r>
    </w:p>
    <w:p w14:paraId="46003AA0"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3）对全市（本区）查封、扣押、冻结涉案财物进行统计展示。（可下钻）。</w:t>
      </w:r>
    </w:p>
    <w:p w14:paraId="11D5ECE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4）涉案财物排名：对全市11区采取措施的涉案财物总量进行排名，可下钻展示某区涉案</w:t>
      </w:r>
      <w:proofErr w:type="gramStart"/>
      <w:r>
        <w:rPr>
          <w:rFonts w:ascii="仿宋_GB2312" w:eastAsia="仿宋_GB2312" w:hAnsi="仿宋_GB2312" w:cs="仿宋_GB2312" w:hint="eastAsia"/>
          <w:sz w:val="32"/>
          <w:szCs w:val="32"/>
        </w:rPr>
        <w:t>财物台</w:t>
      </w:r>
      <w:proofErr w:type="gramEnd"/>
      <w:r>
        <w:rPr>
          <w:rFonts w:ascii="仿宋_GB2312" w:eastAsia="仿宋_GB2312" w:hAnsi="仿宋_GB2312" w:cs="仿宋_GB2312" w:hint="eastAsia"/>
          <w:sz w:val="32"/>
          <w:szCs w:val="32"/>
        </w:rPr>
        <w:t>账列表，区级政法</w:t>
      </w:r>
      <w:proofErr w:type="gramStart"/>
      <w:r>
        <w:rPr>
          <w:rFonts w:ascii="仿宋_GB2312" w:eastAsia="仿宋_GB2312" w:hAnsi="仿宋_GB2312" w:cs="仿宋_GB2312" w:hint="eastAsia"/>
          <w:sz w:val="32"/>
          <w:szCs w:val="32"/>
        </w:rPr>
        <w:t>委用户</w:t>
      </w:r>
      <w:proofErr w:type="gramEnd"/>
      <w:r>
        <w:rPr>
          <w:rFonts w:ascii="仿宋_GB2312" w:eastAsia="仿宋_GB2312" w:hAnsi="仿宋_GB2312" w:cs="仿宋_GB2312" w:hint="eastAsia"/>
          <w:sz w:val="32"/>
          <w:szCs w:val="32"/>
        </w:rPr>
        <w:t>不用查看排名情况。</w:t>
      </w:r>
    </w:p>
    <w:p w14:paraId="56EF5A60"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5）涉案财物分类：对全市（本区）采取措施的涉案财物进行分类统计展示。</w:t>
      </w:r>
    </w:p>
    <w:p w14:paraId="376AEEA4"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（2）涉案财物查扣冻情况</w:t>
      </w:r>
    </w:p>
    <w:p w14:paraId="1C51D44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1）对全市（本区）查扣冻的涉案物品总量、已入账涉案款项总额进行统计展示。</w:t>
      </w:r>
    </w:p>
    <w:p w14:paraId="0A49ABAC"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2）对全市（本区）查扣冻的涉案财物（含物品、款项）按照法院、检察院、公安统计展示涉案财物总数及占比，点</w:t>
      </w:r>
      <w:r>
        <w:rPr>
          <w:rFonts w:ascii="仿宋_GB2312" w:eastAsia="仿宋_GB2312" w:hAnsi="仿宋_GB2312" w:cs="仿宋_GB2312" w:hint="eastAsia"/>
          <w:sz w:val="32"/>
          <w:szCs w:val="32"/>
        </w:rPr>
        <w:lastRenderedPageBreak/>
        <w:t>击具体单位可下钻显示该</w:t>
      </w:r>
      <w:proofErr w:type="gramStart"/>
      <w:r>
        <w:rPr>
          <w:rFonts w:ascii="仿宋_GB2312" w:eastAsia="仿宋_GB2312" w:hAnsi="仿宋_GB2312" w:cs="仿宋_GB2312" w:hint="eastAsia"/>
          <w:sz w:val="32"/>
          <w:szCs w:val="32"/>
        </w:rPr>
        <w:t>单位案财物台</w:t>
      </w:r>
      <w:proofErr w:type="gramEnd"/>
      <w:r>
        <w:rPr>
          <w:rFonts w:ascii="仿宋_GB2312" w:eastAsia="仿宋_GB2312" w:hAnsi="仿宋_GB2312" w:cs="仿宋_GB2312" w:hint="eastAsia"/>
          <w:sz w:val="32"/>
          <w:szCs w:val="32"/>
        </w:rPr>
        <w:t>账。</w:t>
      </w:r>
    </w:p>
    <w:p w14:paraId="474B8CF9"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（3）公安端涉案财物信息随案移送情况</w:t>
      </w:r>
    </w:p>
    <w:p w14:paraId="386BFBBB"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1）统计全市（本区）已随案流转涉案财物总数。</w:t>
      </w:r>
    </w:p>
    <w:p w14:paraId="21A51585"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2）可下钻显示全市（本区）已随案流转涉案财物、未随案移送涉案</w:t>
      </w:r>
      <w:proofErr w:type="gramStart"/>
      <w:r>
        <w:rPr>
          <w:rFonts w:ascii="仿宋_GB2312" w:eastAsia="仿宋_GB2312" w:hAnsi="仿宋_GB2312" w:cs="仿宋_GB2312" w:hint="eastAsia"/>
          <w:sz w:val="32"/>
          <w:szCs w:val="32"/>
        </w:rPr>
        <w:t>财物台</w:t>
      </w:r>
      <w:proofErr w:type="gramEnd"/>
      <w:r>
        <w:rPr>
          <w:rFonts w:ascii="仿宋_GB2312" w:eastAsia="仿宋_GB2312" w:hAnsi="仿宋_GB2312" w:cs="仿宋_GB2312" w:hint="eastAsia"/>
          <w:sz w:val="32"/>
          <w:szCs w:val="32"/>
        </w:rPr>
        <w:t>账列表。</w:t>
      </w:r>
    </w:p>
    <w:p w14:paraId="553747F6"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（4）检察院端涉案财物信息随案移送的案件情况</w:t>
      </w:r>
    </w:p>
    <w:p w14:paraId="44D08E7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检察院作为检察机关，需对案件、涉案财物进行审查，因此存在检察院公诉时将涉案财物信息随案移送法院或检察院</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不起诉决定时随案对涉案财物</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处置意见或检察院将涉案财物退回公安的情况，前述三种情况均为检察院端涉案财物信息随案移送。</w:t>
      </w:r>
    </w:p>
    <w:p w14:paraId="0FF767B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1）统计全市（本区）随案移送全量涉案财物信息的案件的总数及占比，即案件下所有涉案财物要么随案移送法院、要么随案</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处置意见、要么退回公安；</w:t>
      </w:r>
    </w:p>
    <w:p w14:paraId="2152BF8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2）统计全市（本区）随案移送部分涉案财物的案件总数及占比，即案件下可能部分涉案财物信息随案移送法院、随案</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处置意见、退回公安，部分涉案财物既未随案移送法院、又未</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处置意见、又未退回公安；</w:t>
      </w:r>
    </w:p>
    <w:p w14:paraId="7E8B8FE3"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3）统计全市（本区）未随案移送涉案财物的案件的总数及占比，即案件下所有财物都未财物随案移送法院、都未随案</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处置意见、都未退回公安。</w:t>
      </w:r>
    </w:p>
    <w:p w14:paraId="4B1BE77B"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4）可下钻显示全市（本区）随案移送全量财物案件、随案移送部分财物案件、未随案移送财物案件的案件台账列表。</w:t>
      </w:r>
    </w:p>
    <w:p w14:paraId="088C48CE"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（5）检察院端涉案财物信息随案移送情况</w:t>
      </w:r>
    </w:p>
    <w:p w14:paraId="08D1C8A0"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1）统计全市（本区）随案移送法院涉案财物总数及占比，即检察院在向法院提起公诉时随案移送法院的涉案财物。</w:t>
      </w:r>
    </w:p>
    <w:p w14:paraId="730A680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2）统计全市（本区）随案退回公安涉案财物总数及占比，即检察院向公安退回的涉案财物。</w:t>
      </w:r>
    </w:p>
    <w:p w14:paraId="7145E6CD"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3）统计全市（本区）随案</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处置意见涉案财物总数及占比，即检察院向公安反馈处置</w:t>
      </w:r>
    </w:p>
    <w:p w14:paraId="21B435E5"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4）统计全市（本区）未随案移送涉案财物总数及占比，即提起公诉时随案移送法院涉案财物、又未退回公安、又未随案</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涉案财物处置意见。</w:t>
      </w:r>
    </w:p>
    <w:p w14:paraId="19844991"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5）可下钻显示全市（本区）随案移送法院涉案财物总数、随案退回公安涉案财物、随案</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处置意见涉案财物、未随案移送涉案</w:t>
      </w:r>
      <w:proofErr w:type="gramStart"/>
      <w:r>
        <w:rPr>
          <w:rFonts w:ascii="仿宋_GB2312" w:eastAsia="仿宋_GB2312" w:hAnsi="仿宋_GB2312" w:cs="仿宋_GB2312" w:hint="eastAsia"/>
          <w:sz w:val="32"/>
          <w:szCs w:val="32"/>
        </w:rPr>
        <w:t>财物台</w:t>
      </w:r>
      <w:proofErr w:type="gramEnd"/>
      <w:r>
        <w:rPr>
          <w:rFonts w:ascii="仿宋_GB2312" w:eastAsia="仿宋_GB2312" w:hAnsi="仿宋_GB2312" w:cs="仿宋_GB2312" w:hint="eastAsia"/>
          <w:sz w:val="32"/>
          <w:szCs w:val="32"/>
        </w:rPr>
        <w:t>账列表。</w:t>
      </w:r>
    </w:p>
    <w:p w14:paraId="0306FC12"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（6）法院端涉案财物信息随案移送的案件情况</w:t>
      </w:r>
    </w:p>
    <w:p w14:paraId="3E010173"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法院作为审判机关，受案前需对案件、涉案财物进行审查，判决时需对案件、涉案财物进行判，因此存在法院将涉案财物退回检察院和法院判决时随案判决涉案财物处置方式，前述两种情况均为随案移送。</w:t>
      </w:r>
    </w:p>
    <w:p w14:paraId="47A17A7C"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1）统计全市（本区）随案移送全量涉案财物信息的案件的总数及占比，即案件下所有涉案财物要么退回检察院、要么随案判决涉案财物处置方式；</w:t>
      </w:r>
    </w:p>
    <w:p w14:paraId="18E4D27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2）统计全市（本区）随案移送部分涉案财物的案件总数及占比，即案件下可能部分涉案财物退回检察院或随案判决涉案财物处置方式，部分涉案财物既未退回检察院、又未随</w:t>
      </w:r>
      <w:r>
        <w:rPr>
          <w:rFonts w:ascii="仿宋_GB2312" w:eastAsia="仿宋_GB2312" w:hAnsi="仿宋_GB2312" w:cs="仿宋_GB2312" w:hint="eastAsia"/>
          <w:sz w:val="32"/>
          <w:szCs w:val="32"/>
        </w:rPr>
        <w:lastRenderedPageBreak/>
        <w:t>案判决涉案财物处置方式；</w:t>
      </w:r>
    </w:p>
    <w:p w14:paraId="1D6C17B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3）统计全市（本区）未随案移送涉案财物的案件的总数及占比，即案件下所有财物都未退回检察院、或都未随案判决涉案财物处置方式。</w:t>
      </w:r>
    </w:p>
    <w:p w14:paraId="56D7CA6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4）可下钻显示全市（本区）随案移送全量财物案件、随案移送部分财物案件、未随案移送财物案件的案件台账列表。</w:t>
      </w:r>
    </w:p>
    <w:p w14:paraId="2F7CF7AF"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（7）法院端涉案财物信息随案移送情况</w:t>
      </w:r>
    </w:p>
    <w:p w14:paraId="6836D0BC"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1）统计全市（本区）随案判决处置方式涉案财物总数及占比，即法院随案移送涉案财物判决的处置方式。</w:t>
      </w:r>
    </w:p>
    <w:p w14:paraId="19F2A62C"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2）统计全市（本区）随案退回检察院涉案财物总数及占比，即法院向检察院退回的涉案财物。</w:t>
      </w:r>
    </w:p>
    <w:p w14:paraId="0CDDB2B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3）统计全市（本区）未随案移送涉案财物总数及占比，即法院既未随案移送涉案财物判决的处置方式，又未退回检察院。</w:t>
      </w:r>
    </w:p>
    <w:p w14:paraId="301DC9F5"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可下钻显示全市（本区）随案判决处置方式涉案财物总数、随案退回检察院涉案财物、未随案移送涉案</w:t>
      </w:r>
      <w:proofErr w:type="gramStart"/>
      <w:r>
        <w:rPr>
          <w:rFonts w:ascii="仿宋_GB2312" w:eastAsia="仿宋_GB2312" w:hAnsi="仿宋_GB2312" w:cs="仿宋_GB2312" w:hint="eastAsia"/>
          <w:sz w:val="32"/>
          <w:szCs w:val="32"/>
        </w:rPr>
        <w:t>财物台</w:t>
      </w:r>
      <w:proofErr w:type="gramEnd"/>
      <w:r>
        <w:rPr>
          <w:rFonts w:ascii="仿宋_GB2312" w:eastAsia="仿宋_GB2312" w:hAnsi="仿宋_GB2312" w:cs="仿宋_GB2312" w:hint="eastAsia"/>
          <w:sz w:val="32"/>
          <w:szCs w:val="32"/>
        </w:rPr>
        <w:t>账列表。</w:t>
      </w:r>
    </w:p>
    <w:p w14:paraId="01D98DAE"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（8）政法委维度涉案财物处置情况</w:t>
      </w:r>
    </w:p>
    <w:p w14:paraId="121CFF3E"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1）统计全市（本区）已处置涉案物品情况，并按照法检</w:t>
      </w:r>
      <w:proofErr w:type="gramStart"/>
      <w:r>
        <w:rPr>
          <w:rFonts w:ascii="仿宋_GB2312" w:eastAsia="仿宋_GB2312" w:hAnsi="仿宋_GB2312" w:cs="仿宋_GB2312" w:hint="eastAsia"/>
          <w:sz w:val="32"/>
          <w:szCs w:val="32"/>
        </w:rPr>
        <w:t>公统计</w:t>
      </w:r>
      <w:proofErr w:type="gramEnd"/>
      <w:r>
        <w:rPr>
          <w:rFonts w:ascii="仿宋_GB2312" w:eastAsia="仿宋_GB2312" w:hAnsi="仿宋_GB2312" w:cs="仿宋_GB2312" w:hint="eastAsia"/>
          <w:sz w:val="32"/>
          <w:szCs w:val="32"/>
        </w:rPr>
        <w:t>展示；</w:t>
      </w:r>
    </w:p>
    <w:p w14:paraId="7D789562"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2）统计全市（本区）已处置涉案款项情况，并按照法检</w:t>
      </w:r>
      <w:proofErr w:type="gramStart"/>
      <w:r>
        <w:rPr>
          <w:rFonts w:ascii="仿宋_GB2312" w:eastAsia="仿宋_GB2312" w:hAnsi="仿宋_GB2312" w:cs="仿宋_GB2312" w:hint="eastAsia"/>
          <w:sz w:val="32"/>
          <w:szCs w:val="32"/>
        </w:rPr>
        <w:t>公统计</w:t>
      </w:r>
      <w:proofErr w:type="gramEnd"/>
      <w:r>
        <w:rPr>
          <w:rFonts w:ascii="仿宋_GB2312" w:eastAsia="仿宋_GB2312" w:hAnsi="仿宋_GB2312" w:cs="仿宋_GB2312" w:hint="eastAsia"/>
          <w:sz w:val="32"/>
          <w:szCs w:val="32"/>
        </w:rPr>
        <w:t>展示；</w:t>
      </w:r>
    </w:p>
    <w:p w14:paraId="1607D9B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3）选择具体单位下钻显示已处置涉案财物（包括物品和款项）台账。</w:t>
      </w:r>
    </w:p>
    <w:p w14:paraId="46385145"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（9）地区维度涉案财物处置情况</w:t>
      </w:r>
    </w:p>
    <w:p w14:paraId="79928D5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1）统计全市11区涉案物品处置情况，仅市级</w:t>
      </w:r>
      <w:proofErr w:type="gramStart"/>
      <w:r>
        <w:rPr>
          <w:rFonts w:ascii="仿宋_GB2312" w:eastAsia="仿宋_GB2312" w:hAnsi="仿宋_GB2312" w:cs="仿宋_GB2312" w:hint="eastAsia"/>
          <w:sz w:val="32"/>
          <w:szCs w:val="32"/>
        </w:rPr>
        <w:t>政法委可查看</w:t>
      </w:r>
      <w:proofErr w:type="gramEnd"/>
      <w:r>
        <w:rPr>
          <w:rFonts w:ascii="仿宋_GB2312" w:eastAsia="仿宋_GB2312" w:hAnsi="仿宋_GB2312" w:cs="仿宋_GB2312" w:hint="eastAsia"/>
          <w:sz w:val="32"/>
          <w:szCs w:val="32"/>
        </w:rPr>
        <w:t>；</w:t>
      </w:r>
    </w:p>
    <w:p w14:paraId="06455B8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2）统计全市11区涉案款项处置情况，仅市级</w:t>
      </w:r>
      <w:proofErr w:type="gramStart"/>
      <w:r>
        <w:rPr>
          <w:rFonts w:ascii="仿宋_GB2312" w:eastAsia="仿宋_GB2312" w:hAnsi="仿宋_GB2312" w:cs="仿宋_GB2312" w:hint="eastAsia"/>
          <w:sz w:val="32"/>
          <w:szCs w:val="32"/>
        </w:rPr>
        <w:t>政法委可查看</w:t>
      </w:r>
      <w:proofErr w:type="gramEnd"/>
      <w:r>
        <w:rPr>
          <w:rFonts w:ascii="仿宋_GB2312" w:eastAsia="仿宋_GB2312" w:hAnsi="仿宋_GB2312" w:cs="仿宋_GB2312" w:hint="eastAsia"/>
          <w:sz w:val="32"/>
          <w:szCs w:val="32"/>
        </w:rPr>
        <w:t>；</w:t>
      </w:r>
    </w:p>
    <w:p w14:paraId="2DD56645"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3）选择具体区下钻显示该区涉案财物（物品和款项）台账。</w:t>
      </w:r>
    </w:p>
    <w:p w14:paraId="6EC13430"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color w:val="000000"/>
          <w:sz w:val="32"/>
          <w:szCs w:val="32"/>
        </w:rPr>
      </w:pPr>
      <w:bookmarkStart w:id="29" w:name="_Toc6461"/>
      <w:bookmarkStart w:id="30" w:name="_Toc152937468"/>
      <w:r>
        <w:rPr>
          <w:rFonts w:ascii="仿宋_GB2312" w:eastAsia="仿宋_GB2312" w:hAnsi="仿宋_GB2312" w:cs="仿宋_GB2312" w:hint="eastAsia"/>
          <w:color w:val="000000"/>
          <w:sz w:val="32"/>
          <w:szCs w:val="32"/>
        </w:rPr>
        <w:t>3.涉案财物案件</w:t>
      </w:r>
      <w:bookmarkEnd w:id="29"/>
      <w:bookmarkEnd w:id="30"/>
      <w:r>
        <w:rPr>
          <w:rFonts w:ascii="仿宋_GB2312" w:eastAsia="仿宋_GB2312" w:hAnsi="仿宋_GB2312" w:cs="仿宋_GB2312" w:hint="eastAsia"/>
          <w:color w:val="000000"/>
          <w:sz w:val="32"/>
          <w:szCs w:val="32"/>
        </w:rPr>
        <w:t>需求</w:t>
      </w:r>
    </w:p>
    <w:p w14:paraId="04FC0E73"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（1）总体情况</w:t>
      </w:r>
    </w:p>
    <w:p w14:paraId="54C312BD"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统计展示该案件所属行政区划、最新协同阶段以及该案件下采取措施的涉案财物总数；</w:t>
      </w:r>
    </w:p>
    <w:p w14:paraId="5AB2C901"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（2）处置情况</w:t>
      </w:r>
    </w:p>
    <w:p w14:paraId="17D61E3B"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统计该案件下法院、检察院、公安分别应该处置的涉案财物总数和已经完成总数；</w:t>
      </w:r>
    </w:p>
    <w:p w14:paraId="0C52825F"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（3）侦查阶段案件</w:t>
      </w:r>
    </w:p>
    <w:p w14:paraId="54602E2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统计该案件下在侦查阶段的侦查单位、查扣冻的涉案财物总数、调用及归还的涉案财物数、未随案移交检察院的涉案财物数以及移诉日期；</w:t>
      </w:r>
    </w:p>
    <w:p w14:paraId="08D89958"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（4）起诉阶段案件</w:t>
      </w:r>
    </w:p>
    <w:p w14:paraId="787F7764"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计显示该案件在起诉阶段的审查单位、在起诉阶段公安向检察院随案移交的涉案财物数、检察院随案接收的涉案财物数、检察院退回公安的涉案财物数、在起诉阶段检察院调用及归还的涉案财物数、未随案移交的涉案财物数、随案</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处置意见的涉案财物数以及审结日期；</w:t>
      </w:r>
    </w:p>
    <w:p w14:paraId="4D1440E5"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（5）审判阶段案件</w:t>
      </w:r>
    </w:p>
    <w:p w14:paraId="1D0A7DE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计显示该案件在审判阶段的审判单位、公诉日期、法院在审判阶段检察院向法院随案移交的涉案财物数、法院随案接收的涉案财物数、法院退回检察院的涉案财物数、在审判阶段调用及归还的涉案财物数、随案判决的涉案财物数、判决日期以及生效日期。</w:t>
      </w:r>
    </w:p>
    <w:p w14:paraId="368D42FD"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（6）风险案件标识</w:t>
      </w:r>
    </w:p>
    <w:p w14:paraId="644FBA9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对涉案财物存在未随案移送超期、处置超期等风险的案件进行标识。</w:t>
      </w:r>
    </w:p>
    <w:p w14:paraId="61B685D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点击风险标识，可按照风险分类查看该案件下部分风险类型的涉案财物情况以及产生风险的责任单位。</w:t>
      </w:r>
    </w:p>
    <w:p w14:paraId="3239E938"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（7）案件下钻</w:t>
      </w:r>
    </w:p>
    <w:p w14:paraId="72B4C7D5"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点击案件下的涉案财物总数时可下钻查看该案件下所有涉案财物情况，包括</w:t>
      </w:r>
      <w:proofErr w:type="gramStart"/>
      <w:r>
        <w:rPr>
          <w:rFonts w:ascii="仿宋_GB2312" w:eastAsia="仿宋_GB2312" w:hAnsi="仿宋_GB2312" w:cs="仿宋_GB2312" w:hint="eastAsia"/>
          <w:sz w:val="32"/>
          <w:szCs w:val="32"/>
        </w:rPr>
        <w:t>取措施</w:t>
      </w:r>
      <w:proofErr w:type="gramEnd"/>
      <w:r>
        <w:rPr>
          <w:rFonts w:ascii="仿宋_GB2312" w:eastAsia="仿宋_GB2312" w:hAnsi="仿宋_GB2312" w:cs="仿宋_GB2312" w:hint="eastAsia"/>
          <w:sz w:val="32"/>
          <w:szCs w:val="32"/>
        </w:rPr>
        <w:t>情况、财物状态、处置情况以及流转跟踪情况分内容。</w:t>
      </w:r>
    </w:p>
    <w:p w14:paraId="1C6322F4"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（8）涉案财物案件台账查看权限</w:t>
      </w:r>
    </w:p>
    <w:p w14:paraId="2240A5C3"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市级政法</w:t>
      </w:r>
      <w:proofErr w:type="gramStart"/>
      <w:r>
        <w:rPr>
          <w:rFonts w:ascii="仿宋_GB2312" w:eastAsia="仿宋_GB2312" w:hAnsi="仿宋_GB2312" w:cs="仿宋_GB2312" w:hint="eastAsia"/>
          <w:sz w:val="32"/>
          <w:szCs w:val="32"/>
        </w:rPr>
        <w:t>委用户</w:t>
      </w:r>
      <w:proofErr w:type="gramEnd"/>
      <w:r>
        <w:rPr>
          <w:rFonts w:ascii="仿宋_GB2312" w:eastAsia="仿宋_GB2312" w:hAnsi="仿宋_GB2312" w:cs="仿宋_GB2312" w:hint="eastAsia"/>
          <w:sz w:val="32"/>
          <w:szCs w:val="32"/>
        </w:rPr>
        <w:t>可对全市涉案财物案件台</w:t>
      </w:r>
      <w:proofErr w:type="gramStart"/>
      <w:r>
        <w:rPr>
          <w:rFonts w:ascii="仿宋_GB2312" w:eastAsia="仿宋_GB2312" w:hAnsi="仿宋_GB2312" w:cs="仿宋_GB2312" w:hint="eastAsia"/>
          <w:sz w:val="32"/>
          <w:szCs w:val="32"/>
        </w:rPr>
        <w:t>账进行</w:t>
      </w:r>
      <w:proofErr w:type="gramEnd"/>
      <w:r>
        <w:rPr>
          <w:rFonts w:ascii="仿宋_GB2312" w:eastAsia="仿宋_GB2312" w:hAnsi="仿宋_GB2312" w:cs="仿宋_GB2312" w:hint="eastAsia"/>
          <w:sz w:val="32"/>
          <w:szCs w:val="32"/>
        </w:rPr>
        <w:t>查看，区级政法</w:t>
      </w:r>
      <w:proofErr w:type="gramStart"/>
      <w:r>
        <w:rPr>
          <w:rFonts w:ascii="仿宋_GB2312" w:eastAsia="仿宋_GB2312" w:hAnsi="仿宋_GB2312" w:cs="仿宋_GB2312" w:hint="eastAsia"/>
          <w:sz w:val="32"/>
          <w:szCs w:val="32"/>
        </w:rPr>
        <w:t>委用户</w:t>
      </w:r>
      <w:proofErr w:type="gramEnd"/>
      <w:r>
        <w:rPr>
          <w:rFonts w:ascii="仿宋_GB2312" w:eastAsia="仿宋_GB2312" w:hAnsi="仿宋_GB2312" w:cs="仿宋_GB2312" w:hint="eastAsia"/>
          <w:sz w:val="32"/>
          <w:szCs w:val="32"/>
        </w:rPr>
        <w:t>可对本区涉案财物案件台</w:t>
      </w:r>
      <w:proofErr w:type="gramStart"/>
      <w:r>
        <w:rPr>
          <w:rFonts w:ascii="仿宋_GB2312" w:eastAsia="仿宋_GB2312" w:hAnsi="仿宋_GB2312" w:cs="仿宋_GB2312" w:hint="eastAsia"/>
          <w:sz w:val="32"/>
          <w:szCs w:val="32"/>
        </w:rPr>
        <w:t>账进行</w:t>
      </w:r>
      <w:proofErr w:type="gramEnd"/>
      <w:r>
        <w:rPr>
          <w:rFonts w:ascii="仿宋_GB2312" w:eastAsia="仿宋_GB2312" w:hAnsi="仿宋_GB2312" w:cs="仿宋_GB2312" w:hint="eastAsia"/>
          <w:sz w:val="32"/>
          <w:szCs w:val="32"/>
        </w:rPr>
        <w:t>查看。</w:t>
      </w:r>
    </w:p>
    <w:p w14:paraId="2523E962"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color w:val="000000"/>
          <w:sz w:val="32"/>
          <w:szCs w:val="32"/>
        </w:rPr>
      </w:pPr>
      <w:bookmarkStart w:id="31" w:name="_Toc152937469"/>
      <w:bookmarkStart w:id="32" w:name="_Toc10162"/>
      <w:r>
        <w:rPr>
          <w:rFonts w:ascii="仿宋_GB2312" w:eastAsia="仿宋_GB2312" w:hAnsi="仿宋_GB2312" w:cs="仿宋_GB2312" w:hint="eastAsia"/>
          <w:color w:val="000000"/>
          <w:sz w:val="32"/>
          <w:szCs w:val="32"/>
        </w:rPr>
        <w:t>4.涉案财物风险预警模型</w:t>
      </w:r>
      <w:bookmarkEnd w:id="31"/>
      <w:bookmarkEnd w:id="32"/>
      <w:r>
        <w:rPr>
          <w:rFonts w:ascii="仿宋_GB2312" w:eastAsia="仿宋_GB2312" w:hAnsi="仿宋_GB2312" w:cs="仿宋_GB2312" w:hint="eastAsia"/>
          <w:color w:val="000000"/>
          <w:sz w:val="32"/>
          <w:szCs w:val="32"/>
        </w:rPr>
        <w:t>需求</w:t>
      </w:r>
    </w:p>
    <w:p w14:paraId="6DBD0946"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（1）查扣</w:t>
      </w:r>
      <w:proofErr w:type="gramStart"/>
      <w:r>
        <w:rPr>
          <w:rFonts w:ascii="仿宋_GB2312" w:eastAsia="仿宋_GB2312" w:hAnsi="仿宋_GB2312" w:cs="仿宋_GB2312" w:hint="eastAsia"/>
          <w:color w:val="000000"/>
          <w:sz w:val="32"/>
          <w:szCs w:val="32"/>
        </w:rPr>
        <w:t>冻风险</w:t>
      </w:r>
      <w:proofErr w:type="gramEnd"/>
      <w:r>
        <w:rPr>
          <w:rFonts w:ascii="仿宋_GB2312" w:eastAsia="仿宋_GB2312" w:hAnsi="仿宋_GB2312" w:cs="仿宋_GB2312" w:hint="eastAsia"/>
          <w:color w:val="000000"/>
          <w:sz w:val="32"/>
          <w:szCs w:val="32"/>
        </w:rPr>
        <w:t>规则</w:t>
      </w:r>
    </w:p>
    <w:p w14:paraId="0819B6D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根据公安查扣冻涉案财物情况结合后续检察院、法院提供的处置意见进行组合分析，对疑似无需扣押但实际扣押的情况进行分析：</w:t>
      </w:r>
    </w:p>
    <w:p w14:paraId="5D8946F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1）无需扣押但实际采取扣押措施：采取措施后，移送检</w:t>
      </w:r>
      <w:r>
        <w:rPr>
          <w:rFonts w:ascii="仿宋_GB2312" w:eastAsia="仿宋_GB2312" w:hAnsi="仿宋_GB2312" w:cs="仿宋_GB2312" w:hint="eastAsia"/>
          <w:sz w:val="32"/>
          <w:szCs w:val="32"/>
        </w:rPr>
        <w:lastRenderedPageBreak/>
        <w:t>察院，检察院反馈处置意见为返还当事人，且超过案件涉案财物总量的20%以上的。</w:t>
      </w:r>
    </w:p>
    <w:p w14:paraId="7674C6F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2）对财物性质不定，且最后法院裁决结果无法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准确执行处置要求的财物进行查扣冻合理性分析。</w:t>
      </w:r>
    </w:p>
    <w:p w14:paraId="79023CB5"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（2）随案移送风险规则</w:t>
      </w:r>
    </w:p>
    <w:p w14:paraId="65DFEE80"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1）检察院已登记系统或已接收公安随案移送但既未公诉时随案移送法院，又未退回公安，又在向公安反馈是否起诉时随案反馈处置决定。</w:t>
      </w:r>
    </w:p>
    <w:p w14:paraId="5ACDA35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2）法院已登记系统或已接收检察院随案移送的但既未退回检察院，又未在结案时随案移送涉案财物处置方式</w:t>
      </w:r>
    </w:p>
    <w:p w14:paraId="1E00A165"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（3）处置决定风险</w:t>
      </w:r>
    </w:p>
    <w:p w14:paraId="193C502C"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1）检察院已登记系统或已确认接收公安随案移送涉案财物但</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撤销案件决定或不起诉决定时未随案反馈处置意见的涉案财物。</w:t>
      </w:r>
    </w:p>
    <w:p w14:paraId="39DC6F7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2）法院已登记系统或已确认接收检察院随案移送涉案财物但结案时未随案移送处置方式。</w:t>
      </w:r>
    </w:p>
    <w:p w14:paraId="58AD0D02"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（4）处置风险规则</w:t>
      </w:r>
    </w:p>
    <w:p w14:paraId="01D8EB55"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1）公安未随案移交且在规定期限未完成处置的涉案财物，处置期限从公安移送审查起诉之日起算或检察院统一公安撤诉之日起算。</w:t>
      </w:r>
    </w:p>
    <w:p w14:paraId="79C8DB0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2）检察院随案</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处置意见且在1个月内未完成处置的涉案财物,处置期限从检察院</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撤销案件决定或不起诉决定之日起算。</w:t>
      </w:r>
    </w:p>
    <w:p w14:paraId="2988138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3）法院已判决生效且未在6个月内完成处置的涉案财</w:t>
      </w:r>
      <w:r>
        <w:rPr>
          <w:rFonts w:ascii="仿宋_GB2312" w:eastAsia="仿宋_GB2312" w:hAnsi="仿宋_GB2312" w:cs="仿宋_GB2312" w:hint="eastAsia"/>
          <w:sz w:val="32"/>
          <w:szCs w:val="32"/>
        </w:rPr>
        <w:lastRenderedPageBreak/>
        <w:t>物，处置日期从法院判决生效之日起算。</w:t>
      </w:r>
    </w:p>
    <w:p w14:paraId="64632858"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color w:val="000000"/>
          <w:sz w:val="32"/>
          <w:szCs w:val="32"/>
        </w:rPr>
      </w:pPr>
      <w:bookmarkStart w:id="33" w:name="_Toc152937470"/>
      <w:bookmarkStart w:id="34" w:name="_Toc4599"/>
      <w:r>
        <w:rPr>
          <w:rFonts w:ascii="仿宋_GB2312" w:eastAsia="仿宋_GB2312" w:hAnsi="仿宋_GB2312" w:cs="仿宋_GB2312" w:hint="eastAsia"/>
          <w:color w:val="000000"/>
          <w:sz w:val="32"/>
          <w:szCs w:val="32"/>
        </w:rPr>
        <w:t>5.涉案财物风险预警模型展示</w:t>
      </w:r>
      <w:bookmarkEnd w:id="33"/>
      <w:bookmarkEnd w:id="34"/>
      <w:r>
        <w:rPr>
          <w:rFonts w:ascii="仿宋_GB2312" w:eastAsia="仿宋_GB2312" w:hAnsi="仿宋_GB2312" w:cs="仿宋_GB2312" w:hint="eastAsia"/>
          <w:color w:val="000000"/>
          <w:sz w:val="32"/>
          <w:szCs w:val="32"/>
        </w:rPr>
        <w:t>需求</w:t>
      </w:r>
    </w:p>
    <w:p w14:paraId="4B0F982D"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（1）风险排名TOP5</w:t>
      </w:r>
    </w:p>
    <w:p w14:paraId="304DD8E1"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1）对全市11区的所有风险类型总数，包括查扣冻、随案移送、处置决定、处置超期的风险总数进行排名，并显示top5情况。</w:t>
      </w:r>
    </w:p>
    <w:p w14:paraId="3586041C"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2）对排名top5可下钻，以列表统计5区各个风险类型的数据量。</w:t>
      </w:r>
    </w:p>
    <w:p w14:paraId="71586DE0"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3）对各区的数据量可下钻显示详情。</w:t>
      </w:r>
    </w:p>
    <w:p w14:paraId="687C240E"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（2）涉案财物查扣冻风险</w:t>
      </w:r>
    </w:p>
    <w:p w14:paraId="7D802CA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1）统计全市/本区公安查扣冻疑似异常的涉案财物；，</w:t>
      </w:r>
    </w:p>
    <w:p w14:paraId="393F429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2）可下钻显示具体案件、涉案财物数据详情。</w:t>
      </w:r>
    </w:p>
    <w:p w14:paraId="4AEA6F00"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（3）涉案财物信息随案移送风险</w:t>
      </w:r>
    </w:p>
    <w:p w14:paraId="1EB12C2B"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1）统计全市/本区公安、检察院、法院未做处置决定的涉案财物数；</w:t>
      </w:r>
    </w:p>
    <w:p w14:paraId="0DF826F2"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2）可下钻显示法院、检察院、公安未做处置决定的涉案财物详情。</w:t>
      </w:r>
    </w:p>
    <w:p w14:paraId="03FAC3AC"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（4）涉案财物处置超期风险</w:t>
      </w:r>
    </w:p>
    <w:p w14:paraId="463141F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1）统计全市/本区公安、检察院、法院超期处置、超期未处置的涉案财物数，即截止到统计期已完成处置但未按照期限处置的涉案财物数和截止到统计期已经</w:t>
      </w:r>
      <w:proofErr w:type="gramStart"/>
      <w:r>
        <w:rPr>
          <w:rFonts w:ascii="仿宋_GB2312" w:eastAsia="仿宋_GB2312" w:hAnsi="仿宋_GB2312" w:cs="仿宋_GB2312" w:hint="eastAsia"/>
          <w:sz w:val="32"/>
          <w:szCs w:val="32"/>
        </w:rPr>
        <w:t>超期且未完</w:t>
      </w:r>
      <w:proofErr w:type="gramEnd"/>
      <w:r>
        <w:rPr>
          <w:rFonts w:ascii="仿宋_GB2312" w:eastAsia="仿宋_GB2312" w:hAnsi="仿宋_GB2312" w:cs="仿宋_GB2312" w:hint="eastAsia"/>
          <w:sz w:val="32"/>
          <w:szCs w:val="32"/>
        </w:rPr>
        <w:t>成处置的涉案财物数；</w:t>
      </w:r>
    </w:p>
    <w:p w14:paraId="6ABCD8E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2）可下钻显示法院、检察院、公安超期处置、超期未处置的涉案财物详情。</w:t>
      </w:r>
    </w:p>
    <w:p w14:paraId="69DA01E3"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（5）涉案财物处置决定风险</w:t>
      </w:r>
    </w:p>
    <w:p w14:paraId="6B8757D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1）统计全市/本区公安、检察院、法院未做处置决定的涉案财物数；</w:t>
      </w:r>
    </w:p>
    <w:p w14:paraId="42421FBC"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2）可下钻显示法院、检察院、公安未做处置决定的涉案财物详情。</w:t>
      </w:r>
    </w:p>
    <w:p w14:paraId="7DC84B88" w14:textId="77777777" w:rsidR="00B02C6E" w:rsidRDefault="00B02C6E" w:rsidP="00B02C6E">
      <w:pPr>
        <w:pStyle w:val="3"/>
        <w:numPr>
          <w:ilvl w:val="2"/>
          <w:numId w:val="0"/>
        </w:numPr>
        <w:adjustRightInd/>
        <w:spacing w:before="0" w:after="0" w:line="560" w:lineRule="exact"/>
        <w:jc w:val="both"/>
        <w:rPr>
          <w:rFonts w:ascii="楷体" w:eastAsia="楷体" w:hAnsi="楷体" w:cs="楷体"/>
          <w:b/>
          <w:sz w:val="32"/>
        </w:rPr>
      </w:pPr>
      <w:bookmarkStart w:id="35" w:name="_Toc27498"/>
      <w:bookmarkStart w:id="36" w:name="_Toc152937471"/>
      <w:r>
        <w:rPr>
          <w:rFonts w:ascii="楷体" w:eastAsia="楷体" w:hAnsi="楷体" w:cs="楷体" w:hint="eastAsia"/>
          <w:b/>
          <w:sz w:val="32"/>
        </w:rPr>
        <w:t>（二）协同业务流程完善升级</w:t>
      </w:r>
      <w:bookmarkEnd w:id="35"/>
      <w:bookmarkEnd w:id="36"/>
    </w:p>
    <w:p w14:paraId="08069141"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color w:val="000000"/>
          <w:sz w:val="32"/>
          <w:szCs w:val="32"/>
        </w:rPr>
      </w:pPr>
      <w:bookmarkStart w:id="37" w:name="_Toc19130"/>
      <w:bookmarkStart w:id="38" w:name="_Toc152937472"/>
      <w:r>
        <w:rPr>
          <w:rFonts w:ascii="仿宋_GB2312" w:eastAsia="仿宋_GB2312" w:hAnsi="仿宋_GB2312" w:cs="仿宋_GB2312" w:hint="eastAsia"/>
          <w:color w:val="000000"/>
          <w:sz w:val="32"/>
          <w:szCs w:val="32"/>
        </w:rPr>
        <w:t>1.新增刑事案件协同流程</w:t>
      </w:r>
      <w:bookmarkEnd w:id="37"/>
      <w:bookmarkEnd w:id="38"/>
    </w:p>
    <w:p w14:paraId="7EFF0D00"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（1）未成年的诉讼程序</w:t>
      </w:r>
    </w:p>
    <w:p w14:paraId="19A2C784"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1）附条件不起诉流程</w:t>
      </w:r>
    </w:p>
    <w:p w14:paraId="14CCD904"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人民检察院在对未成年人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附条件不起诉的决定前，听取公安机关意见时，公安机关应当提出书面意见，经县级以上公安机关负责人批准，移送同级人民检察院。</w:t>
      </w:r>
    </w:p>
    <w:p w14:paraId="11AE1B90"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2）未成年犯罪记录封存流程</w:t>
      </w:r>
    </w:p>
    <w:p w14:paraId="5F642420"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未成年人犯罪的时候不满十八周岁，被判处五年有期徒刑以下刑罚的，公安机关应当依据人民法院已经生效的判决书，将该未成年人的犯罪记录予以封存</w:t>
      </w:r>
    </w:p>
    <w:p w14:paraId="1FCABE0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封存案件信息、卷宗、文书等全部信息并出具封存记录相关证明</w:t>
      </w:r>
    </w:p>
    <w:p w14:paraId="3FE93404"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3）原有协同流程涉未成年人案件条件必填逻辑深化</w:t>
      </w:r>
    </w:p>
    <w:p w14:paraId="707D41A3"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深化原有适用未成年人案件办理的条件必</w:t>
      </w:r>
      <w:proofErr w:type="gramStart"/>
      <w:r>
        <w:rPr>
          <w:rFonts w:ascii="仿宋_GB2312" w:eastAsia="仿宋_GB2312" w:hAnsi="仿宋_GB2312" w:cs="仿宋_GB2312" w:hint="eastAsia"/>
          <w:sz w:val="32"/>
          <w:szCs w:val="32"/>
        </w:rPr>
        <w:t>填内容</w:t>
      </w:r>
      <w:proofErr w:type="gramEnd"/>
      <w:r>
        <w:rPr>
          <w:rFonts w:ascii="仿宋_GB2312" w:eastAsia="仿宋_GB2312" w:hAnsi="仿宋_GB2312" w:cs="仿宋_GB2312" w:hint="eastAsia"/>
          <w:sz w:val="32"/>
          <w:szCs w:val="32"/>
        </w:rPr>
        <w:t>与文书必填限制。</w:t>
      </w:r>
    </w:p>
    <w:p w14:paraId="104BEF4C"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公安机关办理未成年人刑事案件，根据情况可以对未成年犯罪嫌疑人的成长经历、犯罪原因、监护教育等情况进行调查并制作调查报告。</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调查报告的，在提请批准逮捕、</w:t>
      </w:r>
      <w:r>
        <w:rPr>
          <w:rFonts w:ascii="仿宋_GB2312" w:eastAsia="仿宋_GB2312" w:hAnsi="仿宋_GB2312" w:cs="仿宋_GB2312" w:hint="eastAsia"/>
          <w:sz w:val="32"/>
          <w:szCs w:val="32"/>
        </w:rPr>
        <w:lastRenderedPageBreak/>
        <w:t>移送审查起诉时，应当结合案情综合考虑，并将调查报告与案卷材料一并移送人民检察院。</w:t>
      </w:r>
    </w:p>
    <w:p w14:paraId="4C27EB6F"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4）公安</w:t>
      </w:r>
      <w:proofErr w:type="gramStart"/>
      <w:r>
        <w:rPr>
          <w:rFonts w:ascii="仿宋_GB2312" w:eastAsia="仿宋_GB2312" w:hAnsi="仿宋_GB2312" w:cs="仿宋_GB2312" w:hint="eastAsia"/>
          <w:color w:val="000000"/>
          <w:sz w:val="32"/>
          <w:szCs w:val="36"/>
        </w:rPr>
        <w:t>端实施</w:t>
      </w:r>
      <w:proofErr w:type="gramEnd"/>
      <w:r>
        <w:rPr>
          <w:rFonts w:ascii="仿宋_GB2312" w:eastAsia="仿宋_GB2312" w:hAnsi="仿宋_GB2312" w:cs="仿宋_GB2312" w:hint="eastAsia"/>
          <w:color w:val="000000"/>
          <w:sz w:val="32"/>
          <w:szCs w:val="36"/>
        </w:rPr>
        <w:t>部署及质检规则配置</w:t>
      </w:r>
    </w:p>
    <w:p w14:paraId="327FDD56"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包括公安关联的流程案件信息质检规则配置、公安关联的系统流程系统联调。</w:t>
      </w:r>
    </w:p>
    <w:p w14:paraId="6E5B082D"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5）检察院</w:t>
      </w:r>
      <w:proofErr w:type="gramStart"/>
      <w:r>
        <w:rPr>
          <w:rFonts w:ascii="仿宋_GB2312" w:eastAsia="仿宋_GB2312" w:hAnsi="仿宋_GB2312" w:cs="仿宋_GB2312" w:hint="eastAsia"/>
          <w:color w:val="000000"/>
          <w:sz w:val="32"/>
          <w:szCs w:val="36"/>
        </w:rPr>
        <w:t>端实施</w:t>
      </w:r>
      <w:proofErr w:type="gramEnd"/>
      <w:r>
        <w:rPr>
          <w:rFonts w:ascii="仿宋_GB2312" w:eastAsia="仿宋_GB2312" w:hAnsi="仿宋_GB2312" w:cs="仿宋_GB2312" w:hint="eastAsia"/>
          <w:color w:val="000000"/>
          <w:sz w:val="32"/>
          <w:szCs w:val="36"/>
        </w:rPr>
        <w:t>部署及质检规则配置</w:t>
      </w:r>
    </w:p>
    <w:p w14:paraId="3555A1AE"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包括检察院关联的系统流程案件信息质检规则配置、检察院关联的系统流程系统联调。</w:t>
      </w:r>
    </w:p>
    <w:p w14:paraId="31286974"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6）法院</w:t>
      </w:r>
      <w:proofErr w:type="gramStart"/>
      <w:r>
        <w:rPr>
          <w:rFonts w:ascii="仿宋_GB2312" w:eastAsia="仿宋_GB2312" w:hAnsi="仿宋_GB2312" w:cs="仿宋_GB2312" w:hint="eastAsia"/>
          <w:color w:val="000000"/>
          <w:sz w:val="32"/>
          <w:szCs w:val="36"/>
        </w:rPr>
        <w:t>端实施</w:t>
      </w:r>
      <w:proofErr w:type="gramEnd"/>
      <w:r>
        <w:rPr>
          <w:rFonts w:ascii="仿宋_GB2312" w:eastAsia="仿宋_GB2312" w:hAnsi="仿宋_GB2312" w:cs="仿宋_GB2312" w:hint="eastAsia"/>
          <w:color w:val="000000"/>
          <w:sz w:val="32"/>
          <w:szCs w:val="36"/>
        </w:rPr>
        <w:t>部署及质检规则配置</w:t>
      </w:r>
    </w:p>
    <w:p w14:paraId="7662476D"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包括法院关联的系统流程案件信息质检规则配置、法院关联的系统流程系统联调。</w:t>
      </w:r>
    </w:p>
    <w:p w14:paraId="335B1AF5"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（2）法律帮助</w:t>
      </w:r>
    </w:p>
    <w:p w14:paraId="4925F44E"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1）法律帮助流程</w:t>
      </w:r>
    </w:p>
    <w:p w14:paraId="501A433B"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基于单一案件申请法律帮助，将在原法律援助流程申请业务协同基础上添加法律帮助节点。</w:t>
      </w:r>
    </w:p>
    <w:p w14:paraId="1A9201AE"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2）公安</w:t>
      </w:r>
      <w:proofErr w:type="gramStart"/>
      <w:r>
        <w:rPr>
          <w:rFonts w:ascii="仿宋_GB2312" w:eastAsia="仿宋_GB2312" w:hAnsi="仿宋_GB2312" w:cs="仿宋_GB2312" w:hint="eastAsia"/>
          <w:color w:val="000000"/>
          <w:sz w:val="32"/>
          <w:szCs w:val="36"/>
        </w:rPr>
        <w:t>端实施</w:t>
      </w:r>
      <w:proofErr w:type="gramEnd"/>
      <w:r>
        <w:rPr>
          <w:rFonts w:ascii="仿宋_GB2312" w:eastAsia="仿宋_GB2312" w:hAnsi="仿宋_GB2312" w:cs="仿宋_GB2312" w:hint="eastAsia"/>
          <w:color w:val="000000"/>
          <w:sz w:val="32"/>
          <w:szCs w:val="36"/>
        </w:rPr>
        <w:t>部署及质检规则配置</w:t>
      </w:r>
    </w:p>
    <w:p w14:paraId="6E57427B"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包括公安关联的流程案件信息质检规则配置、公安关联的系统流程系统联调。</w:t>
      </w:r>
    </w:p>
    <w:p w14:paraId="249E5375"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3）检察院</w:t>
      </w:r>
      <w:proofErr w:type="gramStart"/>
      <w:r>
        <w:rPr>
          <w:rFonts w:ascii="仿宋_GB2312" w:eastAsia="仿宋_GB2312" w:hAnsi="仿宋_GB2312" w:cs="仿宋_GB2312" w:hint="eastAsia"/>
          <w:color w:val="000000"/>
          <w:sz w:val="32"/>
          <w:szCs w:val="36"/>
        </w:rPr>
        <w:t>端实施</w:t>
      </w:r>
      <w:proofErr w:type="gramEnd"/>
      <w:r>
        <w:rPr>
          <w:rFonts w:ascii="仿宋_GB2312" w:eastAsia="仿宋_GB2312" w:hAnsi="仿宋_GB2312" w:cs="仿宋_GB2312" w:hint="eastAsia"/>
          <w:color w:val="000000"/>
          <w:sz w:val="32"/>
          <w:szCs w:val="36"/>
        </w:rPr>
        <w:t>部署及质检规则配置</w:t>
      </w:r>
    </w:p>
    <w:p w14:paraId="68F48332"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包括检察院关联的系统流程案件信息质检规则配置、检察院关联的系统流程系统联调。</w:t>
      </w:r>
    </w:p>
    <w:p w14:paraId="075A1140"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4）法院</w:t>
      </w:r>
      <w:proofErr w:type="gramStart"/>
      <w:r>
        <w:rPr>
          <w:rFonts w:ascii="仿宋_GB2312" w:eastAsia="仿宋_GB2312" w:hAnsi="仿宋_GB2312" w:cs="仿宋_GB2312" w:hint="eastAsia"/>
          <w:color w:val="000000"/>
          <w:sz w:val="32"/>
          <w:szCs w:val="36"/>
        </w:rPr>
        <w:t>端实施</w:t>
      </w:r>
      <w:proofErr w:type="gramEnd"/>
      <w:r>
        <w:rPr>
          <w:rFonts w:ascii="仿宋_GB2312" w:eastAsia="仿宋_GB2312" w:hAnsi="仿宋_GB2312" w:cs="仿宋_GB2312" w:hint="eastAsia"/>
          <w:color w:val="000000"/>
          <w:sz w:val="32"/>
          <w:szCs w:val="36"/>
        </w:rPr>
        <w:t>部署及质检规则配置</w:t>
      </w:r>
    </w:p>
    <w:p w14:paraId="25546FE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包括法院关联的系统流程案件信息质检规则配置、法院关联的系统流程系统联调。</w:t>
      </w:r>
    </w:p>
    <w:p w14:paraId="3356F9B1"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lastRenderedPageBreak/>
        <w:t>5）司法</w:t>
      </w:r>
      <w:proofErr w:type="gramStart"/>
      <w:r>
        <w:rPr>
          <w:rFonts w:ascii="仿宋_GB2312" w:eastAsia="仿宋_GB2312" w:hAnsi="仿宋_GB2312" w:cs="仿宋_GB2312" w:hint="eastAsia"/>
          <w:color w:val="000000"/>
          <w:sz w:val="32"/>
          <w:szCs w:val="36"/>
        </w:rPr>
        <w:t>端实施</w:t>
      </w:r>
      <w:proofErr w:type="gramEnd"/>
      <w:r>
        <w:rPr>
          <w:rFonts w:ascii="仿宋_GB2312" w:eastAsia="仿宋_GB2312" w:hAnsi="仿宋_GB2312" w:cs="仿宋_GB2312" w:hint="eastAsia"/>
          <w:color w:val="000000"/>
          <w:sz w:val="32"/>
          <w:szCs w:val="36"/>
        </w:rPr>
        <w:t>部署及质检规则配置</w:t>
      </w:r>
    </w:p>
    <w:p w14:paraId="2AB5DB4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包括司法关联的系统流程案件信息质检规则配置、司法关联的系统流程系统联调。</w:t>
      </w:r>
    </w:p>
    <w:p w14:paraId="1DAA4D26"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（3）补充材料业务流程</w:t>
      </w:r>
    </w:p>
    <w:p w14:paraId="295E652D"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1）补充材料流程</w:t>
      </w:r>
    </w:p>
    <w:p w14:paraId="255C35E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可补充材料的流程：审查逮捕、移送审查起诉、审理期间交互-延期审理、一审公诉、二审上诉、二审抗诉、审判监督抗诉、法院决定再审、罪犯收押、减刑假释、社区矫正-入</w:t>
      </w:r>
      <w:proofErr w:type="gramStart"/>
      <w:r>
        <w:rPr>
          <w:rFonts w:ascii="仿宋_GB2312" w:eastAsia="仿宋_GB2312" w:hAnsi="仿宋_GB2312" w:cs="仿宋_GB2312" w:hint="eastAsia"/>
          <w:sz w:val="32"/>
          <w:szCs w:val="32"/>
        </w:rPr>
        <w:t>矫</w:t>
      </w:r>
      <w:proofErr w:type="gramEnd"/>
      <w:r>
        <w:rPr>
          <w:rFonts w:ascii="仿宋_GB2312" w:eastAsia="仿宋_GB2312" w:hAnsi="仿宋_GB2312" w:cs="仿宋_GB2312" w:hint="eastAsia"/>
          <w:sz w:val="32"/>
          <w:szCs w:val="32"/>
        </w:rPr>
        <w:t>、社区矫正-撤销缓刑/撤销假释/暂予监外执行罪犯的收监执行、强制医疗等。</w:t>
      </w:r>
    </w:p>
    <w:p w14:paraId="5D8DC95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以上可补充材料的流程可在数据标准中增加补充材料环节/类型的字典项，便于后续补充材料与全流程案件的绑定。</w:t>
      </w:r>
    </w:p>
    <w:p w14:paraId="237225AA"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2）公安</w:t>
      </w:r>
      <w:proofErr w:type="gramStart"/>
      <w:r>
        <w:rPr>
          <w:rFonts w:ascii="仿宋_GB2312" w:eastAsia="仿宋_GB2312" w:hAnsi="仿宋_GB2312" w:cs="仿宋_GB2312" w:hint="eastAsia"/>
          <w:color w:val="000000"/>
          <w:sz w:val="32"/>
          <w:szCs w:val="36"/>
        </w:rPr>
        <w:t>端实施</w:t>
      </w:r>
      <w:proofErr w:type="gramEnd"/>
      <w:r>
        <w:rPr>
          <w:rFonts w:ascii="仿宋_GB2312" w:eastAsia="仿宋_GB2312" w:hAnsi="仿宋_GB2312" w:cs="仿宋_GB2312" w:hint="eastAsia"/>
          <w:color w:val="000000"/>
          <w:sz w:val="32"/>
          <w:szCs w:val="36"/>
        </w:rPr>
        <w:t>部署及质检规则配置</w:t>
      </w:r>
    </w:p>
    <w:p w14:paraId="6D1BA56D"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包括公安关联的流程案件信息质检规则配置、公安关联的系统流程系统联调。</w:t>
      </w:r>
    </w:p>
    <w:p w14:paraId="58A6290D"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3）检察院</w:t>
      </w:r>
      <w:proofErr w:type="gramStart"/>
      <w:r>
        <w:rPr>
          <w:rFonts w:ascii="仿宋_GB2312" w:eastAsia="仿宋_GB2312" w:hAnsi="仿宋_GB2312" w:cs="仿宋_GB2312" w:hint="eastAsia"/>
          <w:color w:val="000000"/>
          <w:sz w:val="32"/>
          <w:szCs w:val="36"/>
        </w:rPr>
        <w:t>端实施</w:t>
      </w:r>
      <w:proofErr w:type="gramEnd"/>
      <w:r>
        <w:rPr>
          <w:rFonts w:ascii="仿宋_GB2312" w:eastAsia="仿宋_GB2312" w:hAnsi="仿宋_GB2312" w:cs="仿宋_GB2312" w:hint="eastAsia"/>
          <w:color w:val="000000"/>
          <w:sz w:val="32"/>
          <w:szCs w:val="36"/>
        </w:rPr>
        <w:t>部署及质检规则配置</w:t>
      </w:r>
    </w:p>
    <w:p w14:paraId="7981CBA2"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包括检察院关联的系统流程案件信息质检规则配置、检察院关联的系统流程系统联调。</w:t>
      </w:r>
    </w:p>
    <w:p w14:paraId="036E05FC"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4）法院</w:t>
      </w:r>
      <w:proofErr w:type="gramStart"/>
      <w:r>
        <w:rPr>
          <w:rFonts w:ascii="仿宋_GB2312" w:eastAsia="仿宋_GB2312" w:hAnsi="仿宋_GB2312" w:cs="仿宋_GB2312" w:hint="eastAsia"/>
          <w:color w:val="000000"/>
          <w:sz w:val="32"/>
          <w:szCs w:val="36"/>
        </w:rPr>
        <w:t>端实施</w:t>
      </w:r>
      <w:proofErr w:type="gramEnd"/>
      <w:r>
        <w:rPr>
          <w:rFonts w:ascii="仿宋_GB2312" w:eastAsia="仿宋_GB2312" w:hAnsi="仿宋_GB2312" w:cs="仿宋_GB2312" w:hint="eastAsia"/>
          <w:color w:val="000000"/>
          <w:sz w:val="32"/>
          <w:szCs w:val="36"/>
        </w:rPr>
        <w:t>部署及质检规则配置</w:t>
      </w:r>
    </w:p>
    <w:p w14:paraId="2EE8390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包括法院关联的系统流程案件信息质检规则配置、法院关联的系统流程系统联调。</w:t>
      </w:r>
    </w:p>
    <w:p w14:paraId="1DE0F9B8"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5）司法</w:t>
      </w:r>
      <w:proofErr w:type="gramStart"/>
      <w:r>
        <w:rPr>
          <w:rFonts w:ascii="仿宋_GB2312" w:eastAsia="仿宋_GB2312" w:hAnsi="仿宋_GB2312" w:cs="仿宋_GB2312" w:hint="eastAsia"/>
          <w:color w:val="000000"/>
          <w:sz w:val="32"/>
          <w:szCs w:val="36"/>
        </w:rPr>
        <w:t>端实施</w:t>
      </w:r>
      <w:proofErr w:type="gramEnd"/>
      <w:r>
        <w:rPr>
          <w:rFonts w:ascii="仿宋_GB2312" w:eastAsia="仿宋_GB2312" w:hAnsi="仿宋_GB2312" w:cs="仿宋_GB2312" w:hint="eastAsia"/>
          <w:color w:val="000000"/>
          <w:sz w:val="32"/>
          <w:szCs w:val="36"/>
        </w:rPr>
        <w:t>部署及质检规则配置</w:t>
      </w:r>
    </w:p>
    <w:p w14:paraId="5AD8CD73"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包括司法关联的系统流程案件信息质检规则配置、司法</w:t>
      </w:r>
      <w:r>
        <w:rPr>
          <w:rFonts w:ascii="仿宋_GB2312" w:eastAsia="仿宋_GB2312" w:hAnsi="仿宋_GB2312" w:cs="仿宋_GB2312" w:hint="eastAsia"/>
          <w:sz w:val="32"/>
          <w:szCs w:val="32"/>
        </w:rPr>
        <w:lastRenderedPageBreak/>
        <w:t>关联的系统流程系统联调。</w:t>
      </w:r>
    </w:p>
    <w:p w14:paraId="4A4EAB2A"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color w:val="000000"/>
          <w:sz w:val="32"/>
          <w:szCs w:val="32"/>
        </w:rPr>
      </w:pPr>
      <w:bookmarkStart w:id="39" w:name="_Toc3200"/>
      <w:bookmarkStart w:id="40" w:name="_Toc152937473"/>
      <w:r>
        <w:rPr>
          <w:rFonts w:ascii="仿宋_GB2312" w:eastAsia="仿宋_GB2312" w:hAnsi="仿宋_GB2312" w:cs="仿宋_GB2312" w:hint="eastAsia"/>
          <w:color w:val="000000"/>
          <w:sz w:val="32"/>
          <w:szCs w:val="32"/>
        </w:rPr>
        <w:t>2.现有流程的数据项完善</w:t>
      </w:r>
      <w:bookmarkEnd w:id="39"/>
      <w:bookmarkEnd w:id="40"/>
    </w:p>
    <w:p w14:paraId="470943CC"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政法</w:t>
      </w:r>
      <w:proofErr w:type="gramStart"/>
      <w:r>
        <w:rPr>
          <w:rFonts w:ascii="仿宋_GB2312" w:eastAsia="仿宋_GB2312" w:hAnsi="仿宋_GB2312" w:cs="仿宋_GB2312" w:hint="eastAsia"/>
          <w:sz w:val="32"/>
          <w:szCs w:val="32"/>
        </w:rPr>
        <w:t>委中心端</w:t>
      </w:r>
      <w:proofErr w:type="gramEnd"/>
      <w:r>
        <w:rPr>
          <w:rFonts w:ascii="仿宋_GB2312" w:eastAsia="仿宋_GB2312" w:hAnsi="仿宋_GB2312" w:cs="仿宋_GB2312" w:hint="eastAsia"/>
          <w:sz w:val="32"/>
          <w:szCs w:val="32"/>
        </w:rPr>
        <w:t>对法检公司间的流程字段项增加配合开发及联调测试</w:t>
      </w:r>
    </w:p>
    <w:p w14:paraId="497AC545" w14:textId="77777777" w:rsidR="00B02C6E" w:rsidRDefault="00B02C6E" w:rsidP="00B02C6E">
      <w:pPr>
        <w:pStyle w:val="3"/>
        <w:numPr>
          <w:ilvl w:val="2"/>
          <w:numId w:val="0"/>
        </w:numPr>
        <w:adjustRightInd/>
        <w:spacing w:before="0" w:after="0" w:line="560" w:lineRule="exact"/>
        <w:jc w:val="both"/>
        <w:rPr>
          <w:rFonts w:ascii="楷体" w:eastAsia="楷体" w:hAnsi="楷体" w:cs="楷体"/>
          <w:b/>
          <w:sz w:val="32"/>
        </w:rPr>
      </w:pPr>
      <w:bookmarkStart w:id="41" w:name="_Toc32765"/>
      <w:bookmarkStart w:id="42" w:name="_Toc152937474"/>
      <w:r>
        <w:rPr>
          <w:rFonts w:ascii="楷体" w:eastAsia="楷体" w:hAnsi="楷体" w:cs="楷体" w:hint="eastAsia"/>
          <w:b/>
          <w:sz w:val="32"/>
        </w:rPr>
        <w:t>（三）智能执法监督</w:t>
      </w:r>
      <w:bookmarkEnd w:id="41"/>
      <w:bookmarkEnd w:id="42"/>
      <w:r>
        <w:rPr>
          <w:rFonts w:ascii="楷体" w:eastAsia="楷体" w:hAnsi="楷体" w:cs="楷体" w:hint="eastAsia"/>
          <w:b/>
          <w:sz w:val="32"/>
        </w:rPr>
        <w:t>需求</w:t>
      </w:r>
    </w:p>
    <w:p w14:paraId="05EED1F2"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color w:val="000000"/>
          <w:sz w:val="32"/>
          <w:szCs w:val="32"/>
        </w:rPr>
      </w:pPr>
      <w:bookmarkStart w:id="43" w:name="_Toc152937475"/>
      <w:bookmarkStart w:id="44" w:name="_Toc13126"/>
      <w:r>
        <w:rPr>
          <w:rFonts w:ascii="仿宋_GB2312" w:eastAsia="仿宋_GB2312" w:hAnsi="仿宋_GB2312" w:cs="仿宋_GB2312" w:hint="eastAsia"/>
          <w:color w:val="000000"/>
          <w:sz w:val="32"/>
          <w:szCs w:val="32"/>
        </w:rPr>
        <w:t>1.程序性风险专题案件审查</w:t>
      </w:r>
      <w:bookmarkEnd w:id="43"/>
      <w:bookmarkEnd w:id="44"/>
      <w:r>
        <w:rPr>
          <w:rFonts w:ascii="仿宋_GB2312" w:eastAsia="仿宋_GB2312" w:hAnsi="仿宋_GB2312" w:cs="仿宋_GB2312" w:hint="eastAsia"/>
          <w:color w:val="000000"/>
          <w:sz w:val="32"/>
          <w:szCs w:val="32"/>
        </w:rPr>
        <w:t>需求</w:t>
      </w:r>
    </w:p>
    <w:p w14:paraId="35F8D74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政法委执法监督工作中对政法单位办案程序性风险问题的监督需求，设立一定的监督筛选模型算法并进行模型训练优化，根据模型支持自动筛选出存在程序性风险的案件，实现监督预警并为案件风险分析提供数据支撑。本方案预期实现的程序性风险问题审查内容包括：公安所涉及的变更强制措施、延长羁押期限、移送起诉后撤案；检察院所涉及的不批准逮捕案件、捕后不起诉案件、一次退</w:t>
      </w:r>
      <w:proofErr w:type="gramStart"/>
      <w:r>
        <w:rPr>
          <w:rFonts w:ascii="仿宋_GB2312" w:eastAsia="仿宋_GB2312" w:hAnsi="仿宋_GB2312" w:cs="仿宋_GB2312" w:hint="eastAsia"/>
          <w:sz w:val="32"/>
          <w:szCs w:val="32"/>
        </w:rPr>
        <w:t>侦</w:t>
      </w:r>
      <w:proofErr w:type="gramEnd"/>
      <w:r>
        <w:rPr>
          <w:rFonts w:ascii="仿宋_GB2312" w:eastAsia="仿宋_GB2312" w:hAnsi="仿宋_GB2312" w:cs="仿宋_GB2312" w:hint="eastAsia"/>
          <w:sz w:val="32"/>
          <w:szCs w:val="32"/>
        </w:rPr>
        <w:t>案件、二次退</w:t>
      </w:r>
      <w:proofErr w:type="gramStart"/>
      <w:r>
        <w:rPr>
          <w:rFonts w:ascii="仿宋_GB2312" w:eastAsia="仿宋_GB2312" w:hAnsi="仿宋_GB2312" w:cs="仿宋_GB2312" w:hint="eastAsia"/>
          <w:sz w:val="32"/>
          <w:szCs w:val="32"/>
        </w:rPr>
        <w:t>侦</w:t>
      </w:r>
      <w:proofErr w:type="gramEnd"/>
      <w:r>
        <w:rPr>
          <w:rFonts w:ascii="仿宋_GB2312" w:eastAsia="仿宋_GB2312" w:hAnsi="仿宋_GB2312" w:cs="仿宋_GB2312" w:hint="eastAsia"/>
          <w:sz w:val="32"/>
          <w:szCs w:val="32"/>
        </w:rPr>
        <w:t>案件、决定不起诉案件、公诉</w:t>
      </w:r>
      <w:proofErr w:type="gramStart"/>
      <w:r>
        <w:rPr>
          <w:rFonts w:ascii="仿宋_GB2312" w:eastAsia="仿宋_GB2312" w:hAnsi="仿宋_GB2312" w:cs="仿宋_GB2312" w:hint="eastAsia"/>
          <w:sz w:val="32"/>
          <w:szCs w:val="32"/>
        </w:rPr>
        <w:t>后撤案</w:t>
      </w:r>
      <w:proofErr w:type="gramEnd"/>
      <w:r>
        <w:rPr>
          <w:rFonts w:ascii="仿宋_GB2312" w:eastAsia="仿宋_GB2312" w:hAnsi="仿宋_GB2312" w:cs="仿宋_GB2312" w:hint="eastAsia"/>
          <w:sz w:val="32"/>
          <w:szCs w:val="32"/>
        </w:rPr>
        <w:t>案件、起诉后改变定性；法院所涉及的抗诉案件、上诉改判案件、判处无罪案件、定罪免刑案件。</w:t>
      </w:r>
    </w:p>
    <w:p w14:paraId="266798A2"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（1）程序性风险监督模型需求</w:t>
      </w:r>
    </w:p>
    <w:p w14:paraId="6F575085"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1）移诉后撤案</w:t>
      </w:r>
    </w:p>
    <w:p w14:paraId="03B8FE13"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监督点：公安移送审查起诉后又撤回的案件</w:t>
      </w:r>
    </w:p>
    <w:p w14:paraId="6AF7C6D6"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案件筛选：检察院刑事审查逮捕案件中移诉</w:t>
      </w:r>
      <w:proofErr w:type="gramStart"/>
      <w:r>
        <w:rPr>
          <w:rFonts w:ascii="仿宋_GB2312" w:eastAsia="仿宋_GB2312" w:hAnsi="仿宋_GB2312" w:cs="仿宋_GB2312" w:hint="eastAsia"/>
          <w:sz w:val="32"/>
          <w:szCs w:val="32"/>
        </w:rPr>
        <w:t>后撤案</w:t>
      </w:r>
      <w:proofErr w:type="gramEnd"/>
      <w:r>
        <w:rPr>
          <w:rFonts w:ascii="仿宋_GB2312" w:eastAsia="仿宋_GB2312" w:hAnsi="仿宋_GB2312" w:cs="仿宋_GB2312" w:hint="eastAsia"/>
          <w:sz w:val="32"/>
          <w:szCs w:val="32"/>
        </w:rPr>
        <w:t>的案件</w:t>
      </w:r>
    </w:p>
    <w:p w14:paraId="3E93F8D4"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数据信息项：案件编号，案件名称，案件详细案由，案件办理单位，案件具体承办单位</w:t>
      </w:r>
    </w:p>
    <w:p w14:paraId="4DBDA4D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模型设计：识别各程序性案件的风险，按预设规则计算</w:t>
      </w:r>
      <w:r>
        <w:rPr>
          <w:rFonts w:ascii="仿宋_GB2312" w:eastAsia="仿宋_GB2312" w:hAnsi="仿宋_GB2312" w:cs="仿宋_GB2312" w:hint="eastAsia"/>
          <w:sz w:val="32"/>
          <w:szCs w:val="32"/>
        </w:rPr>
        <w:lastRenderedPageBreak/>
        <w:t>风险值，找出异常的指标，</w:t>
      </w:r>
    </w:p>
    <w:p w14:paraId="7F6AE044"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2）不批准逮捕案件</w:t>
      </w:r>
    </w:p>
    <w:p w14:paraId="422A8810"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监督点：不批准逮捕案件</w:t>
      </w:r>
    </w:p>
    <w:p w14:paraId="74B2B54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案件筛选：检察院刑事审查逮捕案件中审查逮捕结果=不逮捕、不批准逮捕的案件</w:t>
      </w:r>
    </w:p>
    <w:p w14:paraId="06E1ABCE"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数据信息项：案件编号，案件名称，案件详细案由，案件办理单位，案件具体承办单位</w:t>
      </w:r>
    </w:p>
    <w:p w14:paraId="1A88C21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模型设计：识别各程序性案件的风险，按预设规则计算风险值，找出异常的指标，</w:t>
      </w:r>
    </w:p>
    <w:p w14:paraId="0B8AFEC5"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3）一次退补</w:t>
      </w:r>
    </w:p>
    <w:p w14:paraId="6E5C7C31"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监督点：检察院审查起诉阶段第一次退</w:t>
      </w:r>
      <w:proofErr w:type="gramStart"/>
      <w:r>
        <w:rPr>
          <w:rFonts w:ascii="仿宋_GB2312" w:eastAsia="仿宋_GB2312" w:hAnsi="仿宋_GB2312" w:cs="仿宋_GB2312" w:hint="eastAsia"/>
          <w:sz w:val="32"/>
          <w:szCs w:val="32"/>
        </w:rPr>
        <w:t>侦</w:t>
      </w:r>
      <w:proofErr w:type="gramEnd"/>
      <w:r>
        <w:rPr>
          <w:rFonts w:ascii="仿宋_GB2312" w:eastAsia="仿宋_GB2312" w:hAnsi="仿宋_GB2312" w:cs="仿宋_GB2312" w:hint="eastAsia"/>
          <w:sz w:val="32"/>
          <w:szCs w:val="32"/>
        </w:rPr>
        <w:t>的案件</w:t>
      </w:r>
    </w:p>
    <w:p w14:paraId="6D155F94"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案件筛选：筛选检察院刑事审查起诉案件中，一次退查日期或一次退查理由不为空 且 二次退查日期或二次退查理由为空的案件</w:t>
      </w:r>
    </w:p>
    <w:p w14:paraId="6800B3A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数据信息项：案件编号，案件名称，案件详细案由，案件办理单位，案件具体承办单位</w:t>
      </w:r>
    </w:p>
    <w:p w14:paraId="7DF9672E"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模型设计：识别各程序性案件的风险，按预设规则计算风险值，找出异常的指标，</w:t>
      </w:r>
    </w:p>
    <w:p w14:paraId="63F85B86"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4）二次退补</w:t>
      </w:r>
    </w:p>
    <w:p w14:paraId="49DC21C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监督点：检察院审查起诉阶段两次退</w:t>
      </w:r>
      <w:proofErr w:type="gramStart"/>
      <w:r>
        <w:rPr>
          <w:rFonts w:ascii="仿宋_GB2312" w:eastAsia="仿宋_GB2312" w:hAnsi="仿宋_GB2312" w:cs="仿宋_GB2312" w:hint="eastAsia"/>
          <w:sz w:val="32"/>
          <w:szCs w:val="32"/>
        </w:rPr>
        <w:t>侦</w:t>
      </w:r>
      <w:proofErr w:type="gramEnd"/>
      <w:r>
        <w:rPr>
          <w:rFonts w:ascii="仿宋_GB2312" w:eastAsia="仿宋_GB2312" w:hAnsi="仿宋_GB2312" w:cs="仿宋_GB2312" w:hint="eastAsia"/>
          <w:sz w:val="32"/>
          <w:szCs w:val="32"/>
        </w:rPr>
        <w:t>的案件</w:t>
      </w:r>
    </w:p>
    <w:p w14:paraId="1D08EA66"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案件筛选：筛选检察院刑事审查起诉案件中，二次退查日期或二次退查理由不为空的案件</w:t>
      </w:r>
    </w:p>
    <w:p w14:paraId="7A14FE61"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数据信息项：案件编号，案件名称，案件详细案由，案件办理单位，案件具体承办单位</w:t>
      </w:r>
    </w:p>
    <w:p w14:paraId="126FB95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模型设计：识别各程序性案件的风险，按预设规则计算风险值，找出异常的指标，</w:t>
      </w:r>
    </w:p>
    <w:p w14:paraId="6325F9DF"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5）捕后不起诉</w:t>
      </w:r>
    </w:p>
    <w:p w14:paraId="42EFD3D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监督点：捕后不起诉案件</w:t>
      </w:r>
    </w:p>
    <w:p w14:paraId="059F24F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案件筛选：通过统一受案号关联检察院刑事审查逮捕案件和刑事审查起诉案件，筛选审查逮捕结果=（逮捕、批准逮捕或决定逮捕）且 审查起诉结果=不起诉 的案件</w:t>
      </w:r>
    </w:p>
    <w:p w14:paraId="455AF31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数据信息项：案件编号，案件名称，案件详细案由，案件办理单位，案件具体承办单位</w:t>
      </w:r>
    </w:p>
    <w:p w14:paraId="4D2CE33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模型设计：识别各程序性案件的风险，按预设规则计算风险值，找出异常的指标，</w:t>
      </w:r>
    </w:p>
    <w:p w14:paraId="4E15ACB7"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6）公诉后撤案</w:t>
      </w:r>
    </w:p>
    <w:p w14:paraId="308FCC5C"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监督点：检察院公诉到法院后又撤回起诉的案件</w:t>
      </w:r>
    </w:p>
    <w:p w14:paraId="179FC422"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案件筛选：筛选法院刑事案件基础信息中，审判程序=刑事一审 且 结案方式=准予撤诉的案件。</w:t>
      </w:r>
    </w:p>
    <w:p w14:paraId="6734169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数据信息项：案件编号，案件名称，案件详细案由，案件办理单位，案件具体承办单位</w:t>
      </w:r>
    </w:p>
    <w:p w14:paraId="5454125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模型设计：识别各程序性案件的风险，按预设规则计算风险值，找出异常的指标，</w:t>
      </w:r>
    </w:p>
    <w:p w14:paraId="3851AD17"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7）上诉改判</w:t>
      </w:r>
    </w:p>
    <w:p w14:paraId="306A1862"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监督点：二审改判的案件</w:t>
      </w:r>
    </w:p>
    <w:p w14:paraId="713636F3"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案件筛选：筛选法院刑事案件基础信息中，审判程序=刑事二审 且 结案方式=改判的案件。</w:t>
      </w:r>
    </w:p>
    <w:p w14:paraId="47E6EFD4"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数据信息项：案件编号，案件名称，案件详细案由，案</w:t>
      </w:r>
      <w:r>
        <w:rPr>
          <w:rFonts w:ascii="仿宋_GB2312" w:eastAsia="仿宋_GB2312" w:hAnsi="仿宋_GB2312" w:cs="仿宋_GB2312" w:hint="eastAsia"/>
          <w:sz w:val="32"/>
          <w:szCs w:val="32"/>
        </w:rPr>
        <w:lastRenderedPageBreak/>
        <w:t>件办理单位，案件具体承办单位</w:t>
      </w:r>
    </w:p>
    <w:p w14:paraId="018B730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模型设计：识别各程序性案件的风险，按预设规则计算风险值，找出异常的指标，</w:t>
      </w:r>
    </w:p>
    <w:p w14:paraId="5DC9AE29"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8）抗诉案件</w:t>
      </w:r>
    </w:p>
    <w:p w14:paraId="1D2B3F14"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监督点：检察院提出抗诉的案件</w:t>
      </w:r>
    </w:p>
    <w:p w14:paraId="1F1F9B9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案件筛选：筛选法院刑事案件基础信息中，（审判程序=刑事二审 且 案件来源=（仅检察院抗诉 或 当事人及其法定代理人上诉并检察院抗诉））或（审判程序=刑事再审 且 案件来源=（仅抗诉 或 上诉并抗诉））的案件</w:t>
      </w:r>
    </w:p>
    <w:p w14:paraId="1AA0A19C"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数据信息项：案件编号，案件名称，案件详细案由，案件办理单位，案件具体承办单位</w:t>
      </w:r>
    </w:p>
    <w:p w14:paraId="1F64A88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模型设计：识别各程序性案件的风险，按预设规则计算风险值，找出异常的指标，</w:t>
      </w:r>
    </w:p>
    <w:p w14:paraId="73A20820"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9）判处无罪</w:t>
      </w:r>
    </w:p>
    <w:p w14:paraId="2A1E9F9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监督点：法院判决宣告无罪的案件</w:t>
      </w:r>
    </w:p>
    <w:p w14:paraId="73DD80AD"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案件筛选：筛选法院刑事案件当事人量刑信息中判处情况=宣告无罪 的刑事案件</w:t>
      </w:r>
    </w:p>
    <w:p w14:paraId="139E73B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数据信息项：案件编号，案件名称，案件详细案由，案件办理单位，案件具体承办单位</w:t>
      </w:r>
    </w:p>
    <w:p w14:paraId="40CA31E3"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模型设计：识别各程序性案件的风险，按预设规则计算风险值，找出异常的指标，</w:t>
      </w:r>
    </w:p>
    <w:p w14:paraId="27E8955A"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10）定罪免刑案件</w:t>
      </w:r>
    </w:p>
    <w:p w14:paraId="20B666E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监督点：法院判决免予刑事处罚的案件</w:t>
      </w:r>
    </w:p>
    <w:p w14:paraId="1096712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案件筛选：筛选法院刑事案件当事人量刑信息中判处情</w:t>
      </w:r>
      <w:r>
        <w:rPr>
          <w:rFonts w:ascii="仿宋_GB2312" w:eastAsia="仿宋_GB2312" w:hAnsi="仿宋_GB2312" w:cs="仿宋_GB2312" w:hint="eastAsia"/>
          <w:sz w:val="32"/>
          <w:szCs w:val="32"/>
        </w:rPr>
        <w:lastRenderedPageBreak/>
        <w:t>况=免予刑事处罚 的刑事案件</w:t>
      </w:r>
    </w:p>
    <w:p w14:paraId="767FB8B6"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数据信息项：案件编号，案件名称，案件详细案由，案件办理单位，案件具体承办单位</w:t>
      </w:r>
    </w:p>
    <w:p w14:paraId="1CDE0C44"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模型设计：识别各程序性案件的风险，按预设规则计算风险值，找出异常的指标，</w:t>
      </w:r>
    </w:p>
    <w:p w14:paraId="0D8940C8"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11）起诉后改变定性</w:t>
      </w:r>
    </w:p>
    <w:p w14:paraId="6586F55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监督点：法院起诉后改变定性</w:t>
      </w:r>
    </w:p>
    <w:p w14:paraId="057F361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案件筛选：一审公诉案件</w:t>
      </w:r>
    </w:p>
    <w:p w14:paraId="7C4BEE1E"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数据信息项：起诉后法院改变定性案件清单</w:t>
      </w:r>
    </w:p>
    <w:p w14:paraId="07FAF135"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模型设计：识别各程序性案件的风险，按预设规则计算风险值，找出异常的指标，</w:t>
      </w:r>
    </w:p>
    <w:p w14:paraId="41043EEB"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12）延长侦查羁押</w:t>
      </w:r>
    </w:p>
    <w:p w14:paraId="5AEE8DD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监督点：公安申请延长羁押期限的案件</w:t>
      </w:r>
    </w:p>
    <w:p w14:paraId="0CC47475"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案件筛选：公安逮捕后未变更强制措施或移送起诉案件，具有（提请批准延长侦查羁押期限意见书）</w:t>
      </w:r>
    </w:p>
    <w:p w14:paraId="67B46FF0"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数据信息项：案件名称、立案时间、立案单位、提请批捕时间、审查逮捕结果、是否移送审查起诉、移送审查起诉日期、最新强制措施类型、最新强制措施决定日期，是否出具提请批准延长侦查羁押期限意见书。</w:t>
      </w:r>
    </w:p>
    <w:p w14:paraId="10373650"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模型设计：识别各程序性案件的风险，按预设规则计算风险值，找出异常的指标，</w:t>
      </w:r>
    </w:p>
    <w:p w14:paraId="312B52A9"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（2）程序性风险专题功能需求</w:t>
      </w:r>
    </w:p>
    <w:p w14:paraId="660EEEB1"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1）</w:t>
      </w:r>
      <w:proofErr w:type="gramStart"/>
      <w:r>
        <w:rPr>
          <w:rFonts w:ascii="仿宋_GB2312" w:eastAsia="仿宋_GB2312" w:hAnsi="仿宋_GB2312" w:cs="仿宋_GB2312" w:hint="eastAsia"/>
          <w:color w:val="000000"/>
          <w:sz w:val="32"/>
          <w:szCs w:val="36"/>
        </w:rPr>
        <w:t>各风险</w:t>
      </w:r>
      <w:proofErr w:type="gramEnd"/>
      <w:r>
        <w:rPr>
          <w:rFonts w:ascii="仿宋_GB2312" w:eastAsia="仿宋_GB2312" w:hAnsi="仿宋_GB2312" w:cs="仿宋_GB2312" w:hint="eastAsia"/>
          <w:color w:val="000000"/>
          <w:sz w:val="32"/>
          <w:szCs w:val="36"/>
        </w:rPr>
        <w:t>点的风险预警</w:t>
      </w:r>
    </w:p>
    <w:p w14:paraId="65E7D936" w14:textId="77777777" w:rsidR="00B02C6E" w:rsidRDefault="00B02C6E" w:rsidP="00B02C6E">
      <w:pPr>
        <w:pStyle w:val="afff5"/>
        <w:spacing w:line="560" w:lineRule="exact"/>
        <w:ind w:firstLine="560"/>
        <w:rPr>
          <w:rFonts w:eastAsia="仿宋_GB2312" w:cs="仿宋_GB2312"/>
          <w:sz w:val="28"/>
          <w:szCs w:val="28"/>
        </w:rPr>
      </w:pPr>
      <w:r>
        <w:rPr>
          <w:rFonts w:eastAsia="仿宋_GB2312" w:cs="仿宋_GB2312" w:hint="eastAsia"/>
          <w:sz w:val="28"/>
          <w:szCs w:val="28"/>
        </w:rPr>
        <w:t>（1）识别风险</w:t>
      </w:r>
    </w:p>
    <w:p w14:paraId="0A84CF74" w14:textId="77777777" w:rsidR="00B02C6E" w:rsidRDefault="00B02C6E" w:rsidP="00B02C6E">
      <w:pPr>
        <w:pStyle w:val="afff5"/>
        <w:spacing w:line="560" w:lineRule="exact"/>
        <w:ind w:firstLine="640"/>
        <w:rPr>
          <w:rFonts w:eastAsia="仿宋_GB2312" w:cs="仿宋_GB2312"/>
          <w:sz w:val="32"/>
          <w:szCs w:val="32"/>
        </w:rPr>
      </w:pPr>
      <w:r>
        <w:rPr>
          <w:rFonts w:eastAsia="仿宋_GB2312" w:cs="仿宋_GB2312" w:hint="eastAsia"/>
          <w:sz w:val="32"/>
          <w:szCs w:val="32"/>
        </w:rPr>
        <w:lastRenderedPageBreak/>
        <w:t>程序性风险专题案件审查中，共设置12个监督模型，这12个模型中的业务指标，可扩展为多种形式，主要包括绝对值数据项，数据占比数据项，同比/环比数据项，历年平均值数据项等多种形式。其中绝对值数据项主要是指一次退补案件数等实际发生的案件数量；数据占比数据项主要是指不捕率，即不批准逮捕案件数占总案件数量的占比；同比/环比数据项主要是本期数据与上期数据之差占上期数据的比率；历年平均值指用多年数据计算出平均值，作为对比的基准数据进行对比。</w:t>
      </w:r>
    </w:p>
    <w:p w14:paraId="241738A9" w14:textId="77777777" w:rsidR="00B02C6E" w:rsidRDefault="00B02C6E" w:rsidP="00B02C6E">
      <w:pPr>
        <w:pStyle w:val="afff5"/>
        <w:spacing w:line="560" w:lineRule="exact"/>
        <w:ind w:firstLine="640"/>
        <w:rPr>
          <w:rFonts w:eastAsia="仿宋_GB2312" w:cs="仿宋_GB2312"/>
          <w:sz w:val="32"/>
          <w:szCs w:val="32"/>
        </w:rPr>
      </w:pPr>
      <w:r>
        <w:rPr>
          <w:rFonts w:eastAsia="仿宋_GB2312" w:cs="仿宋_GB2312" w:hint="eastAsia"/>
          <w:sz w:val="32"/>
          <w:szCs w:val="32"/>
        </w:rPr>
        <w:t>风险预警规则：</w:t>
      </w:r>
    </w:p>
    <w:p w14:paraId="29E5629E" w14:textId="77777777" w:rsidR="00B02C6E" w:rsidRDefault="00B02C6E" w:rsidP="00B02C6E">
      <w:pPr>
        <w:pStyle w:val="11"/>
        <w:numPr>
          <w:ilvl w:val="0"/>
          <w:numId w:val="4"/>
        </w:numPr>
        <w:spacing w:line="560" w:lineRule="exact"/>
        <w:ind w:left="660" w:right="24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指标数量或占比数据项同比/环比变化超过阈值；</w:t>
      </w:r>
    </w:p>
    <w:p w14:paraId="60051C37" w14:textId="77777777" w:rsidR="00B02C6E" w:rsidRDefault="00B02C6E" w:rsidP="00B02C6E">
      <w:pPr>
        <w:pStyle w:val="11"/>
        <w:numPr>
          <w:ilvl w:val="0"/>
          <w:numId w:val="4"/>
        </w:numPr>
        <w:spacing w:line="560" w:lineRule="exact"/>
        <w:ind w:left="660" w:right="24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指标数量或占比数量与历年平均值对比，高/低于平均值的X</w:t>
      </w:r>
      <w:proofErr w:type="gramStart"/>
      <w:r>
        <w:rPr>
          <w:rFonts w:ascii="仿宋_GB2312" w:eastAsia="仿宋_GB2312" w:hAnsi="仿宋_GB2312" w:cs="仿宋_GB2312" w:hint="eastAsia"/>
          <w:color w:val="000000"/>
          <w:sz w:val="32"/>
          <w:szCs w:val="32"/>
        </w:rPr>
        <w:t>倍</w:t>
      </w:r>
      <w:proofErr w:type="gramEnd"/>
      <w:r>
        <w:rPr>
          <w:rFonts w:ascii="仿宋_GB2312" w:eastAsia="仿宋_GB2312" w:hAnsi="仿宋_GB2312" w:cs="仿宋_GB2312" w:hint="eastAsia"/>
          <w:color w:val="000000"/>
          <w:sz w:val="32"/>
          <w:szCs w:val="32"/>
        </w:rPr>
        <w:t>；</w:t>
      </w:r>
    </w:p>
    <w:p w14:paraId="3F185B7F" w14:textId="77777777" w:rsidR="00B02C6E" w:rsidRDefault="00B02C6E" w:rsidP="00B02C6E">
      <w:pPr>
        <w:pStyle w:val="11"/>
        <w:numPr>
          <w:ilvl w:val="0"/>
          <w:numId w:val="4"/>
        </w:numPr>
        <w:spacing w:line="560" w:lineRule="exact"/>
        <w:ind w:left="660" w:right="24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指标数量或占比数量与指标通报值进行对比，只要符合通报值则不进行预警。</w:t>
      </w:r>
    </w:p>
    <w:p w14:paraId="247AF81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按照上述规则找出异常的指标，对发现风险模型计算出来的数量或占比通过统一的归一化算法，然后结合监督模型风险权重进行综合计算，最终找出风险较高的监督模型，进行预警。</w:t>
      </w:r>
    </w:p>
    <w:p w14:paraId="1C8C8C35"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执法监督工作人员可通过预警信息直接点击进入预警处理界面，具体处理过程在风险线索管理系统中完成。</w:t>
      </w:r>
    </w:p>
    <w:p w14:paraId="56EB9EC6" w14:textId="77777777" w:rsidR="00B02C6E" w:rsidRDefault="00B02C6E" w:rsidP="00B02C6E">
      <w:pPr>
        <w:pStyle w:val="afff5"/>
        <w:spacing w:line="560" w:lineRule="exact"/>
        <w:ind w:firstLine="560"/>
        <w:rPr>
          <w:rFonts w:eastAsia="仿宋_GB2312" w:cs="仿宋_GB2312"/>
          <w:sz w:val="28"/>
          <w:szCs w:val="28"/>
        </w:rPr>
      </w:pPr>
      <w:r>
        <w:rPr>
          <w:rFonts w:eastAsia="仿宋_GB2312" w:cs="仿宋_GB2312" w:hint="eastAsia"/>
          <w:sz w:val="28"/>
          <w:szCs w:val="28"/>
        </w:rPr>
        <w:t>（2）风险得分权重配置</w:t>
      </w:r>
    </w:p>
    <w:p w14:paraId="283703B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用于完成对所有的监督模型设置得分权重和通报值，其</w:t>
      </w:r>
      <w:r>
        <w:rPr>
          <w:rFonts w:ascii="仿宋_GB2312" w:eastAsia="仿宋_GB2312" w:hAnsi="仿宋_GB2312" w:cs="仿宋_GB2312" w:hint="eastAsia"/>
          <w:sz w:val="32"/>
          <w:szCs w:val="32"/>
        </w:rPr>
        <w:lastRenderedPageBreak/>
        <w:t>中得分权重主要是对各监督点之间的风险进行区分，通报</w:t>
      </w:r>
      <w:proofErr w:type="gramStart"/>
      <w:r>
        <w:rPr>
          <w:rFonts w:ascii="仿宋_GB2312" w:eastAsia="仿宋_GB2312" w:hAnsi="仿宋_GB2312" w:cs="仿宋_GB2312" w:hint="eastAsia"/>
          <w:sz w:val="32"/>
          <w:szCs w:val="32"/>
        </w:rPr>
        <w:t>值主要</w:t>
      </w:r>
      <w:proofErr w:type="gramEnd"/>
      <w:r>
        <w:rPr>
          <w:rFonts w:ascii="仿宋_GB2312" w:eastAsia="仿宋_GB2312" w:hAnsi="仿宋_GB2312" w:cs="仿宋_GB2312" w:hint="eastAsia"/>
          <w:sz w:val="32"/>
          <w:szCs w:val="32"/>
        </w:rPr>
        <w:t>是用于判定某个模型是否达到某个</w:t>
      </w:r>
      <w:proofErr w:type="gramStart"/>
      <w:r>
        <w:rPr>
          <w:rFonts w:ascii="仿宋_GB2312" w:eastAsia="仿宋_GB2312" w:hAnsi="仿宋_GB2312" w:cs="仿宋_GB2312" w:hint="eastAsia"/>
          <w:sz w:val="32"/>
          <w:szCs w:val="32"/>
        </w:rPr>
        <w:t>值之后</w:t>
      </w:r>
      <w:proofErr w:type="gramEnd"/>
      <w:r>
        <w:rPr>
          <w:rFonts w:ascii="仿宋_GB2312" w:eastAsia="仿宋_GB2312" w:hAnsi="仿宋_GB2312" w:cs="仿宋_GB2312" w:hint="eastAsia"/>
          <w:sz w:val="32"/>
          <w:szCs w:val="32"/>
        </w:rPr>
        <w:t>则说明不再预警。</w:t>
      </w:r>
    </w:p>
    <w:p w14:paraId="61978CDA"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2）风险案件及预警情况</w:t>
      </w:r>
    </w:p>
    <w:p w14:paraId="0E037891"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监督模型为维度，按照模型的实际数据和风险预警指数及风险预警标识，按风险高低进行排序。通过点击监督模型名称，页面右侧的分析内容跟着进行变化；通过点击模型数据，可直接查看案件列表；通过点击风险预警标识，可直接跳转至风险预警线索处理界面。</w:t>
      </w:r>
    </w:p>
    <w:p w14:paraId="3634FF55"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3）风险案件地域分布</w:t>
      </w:r>
    </w:p>
    <w:p w14:paraId="2A34439C"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以风险案件量作为热力地图的数据源，默认展示全省各地区风险案件的案件量热力图。地图可以点击，点击后可完成地域筛选，页面的所有数据范围随之变化，展示所选市州的数据情况。</w:t>
      </w:r>
    </w:p>
    <w:p w14:paraId="32128872"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4）办案单位预警排名</w:t>
      </w:r>
    </w:p>
    <w:p w14:paraId="0C094FE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从风险案件中，以办案单位为维度进行分析，找出涉及风险案件最多的五家办案单位。点击办案单位对应的数量可查看对应的案件列表。</w:t>
      </w:r>
    </w:p>
    <w:p w14:paraId="5C4B76F5"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6"/>
        </w:rPr>
        <w:t>5）风险案由排名</w:t>
      </w:r>
    </w:p>
    <w:p w14:paraId="561F829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以案由为维度进行分析，展示当前维度中涉及各案由的风险案件量最多十家单位。</w:t>
      </w:r>
    </w:p>
    <w:p w14:paraId="11E30400"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6"/>
        </w:rPr>
      </w:pPr>
      <w:r>
        <w:rPr>
          <w:rFonts w:ascii="仿宋_GB2312" w:eastAsia="仿宋_GB2312" w:hAnsi="仿宋_GB2312" w:cs="仿宋_GB2312" w:hint="eastAsia"/>
          <w:color w:val="000000"/>
          <w:sz w:val="32"/>
          <w:szCs w:val="32"/>
        </w:rPr>
        <w:t>6）风险趋势预警</w:t>
      </w:r>
    </w:p>
    <w:p w14:paraId="4D1D3F9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以指标数量、同比/环比与平均值的对比趋势，进行对比查看，分析可能出现风险的时间段，然后再行查看详细这个</w:t>
      </w:r>
      <w:r>
        <w:rPr>
          <w:rFonts w:ascii="仿宋_GB2312" w:eastAsia="仿宋_GB2312" w:hAnsi="仿宋_GB2312" w:cs="仿宋_GB2312" w:hint="eastAsia"/>
          <w:sz w:val="32"/>
          <w:szCs w:val="32"/>
        </w:rPr>
        <w:lastRenderedPageBreak/>
        <w:t>时间范围的具体案件列表。</w:t>
      </w:r>
    </w:p>
    <w:p w14:paraId="761DDB59"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7）风险案件列表</w:t>
      </w:r>
    </w:p>
    <w:p w14:paraId="7274CE74"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案件为单位，主要展示案件名称、承办单位、案由、风险类型、风险值，且支持通过案件名称、承办单位和风险类型进行查询。</w:t>
      </w:r>
    </w:p>
    <w:p w14:paraId="0621325A"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（3）检察院退</w:t>
      </w:r>
      <w:proofErr w:type="gramStart"/>
      <w:r>
        <w:rPr>
          <w:rFonts w:ascii="仿宋_GB2312" w:eastAsia="仿宋_GB2312" w:hAnsi="仿宋_GB2312" w:cs="仿宋_GB2312" w:hint="eastAsia"/>
          <w:color w:val="000000"/>
          <w:sz w:val="32"/>
          <w:szCs w:val="32"/>
        </w:rPr>
        <w:t>侦</w:t>
      </w:r>
      <w:proofErr w:type="gramEnd"/>
      <w:r>
        <w:rPr>
          <w:rFonts w:ascii="仿宋_GB2312" w:eastAsia="仿宋_GB2312" w:hAnsi="仿宋_GB2312" w:cs="仿宋_GB2312" w:hint="eastAsia"/>
          <w:color w:val="000000"/>
          <w:sz w:val="32"/>
          <w:szCs w:val="32"/>
        </w:rPr>
        <w:t>不再报后监督未跟进风险预警需求</w:t>
      </w:r>
    </w:p>
    <w:p w14:paraId="42956410"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1）检察院退</w:t>
      </w:r>
      <w:proofErr w:type="gramStart"/>
      <w:r>
        <w:rPr>
          <w:rFonts w:ascii="仿宋_GB2312" w:eastAsia="仿宋_GB2312" w:hAnsi="仿宋_GB2312" w:cs="仿宋_GB2312" w:hint="eastAsia"/>
          <w:color w:val="000000"/>
          <w:sz w:val="32"/>
          <w:szCs w:val="32"/>
        </w:rPr>
        <w:t>侦</w:t>
      </w:r>
      <w:proofErr w:type="gramEnd"/>
      <w:r>
        <w:rPr>
          <w:rFonts w:ascii="仿宋_GB2312" w:eastAsia="仿宋_GB2312" w:hAnsi="仿宋_GB2312" w:cs="仿宋_GB2312" w:hint="eastAsia"/>
          <w:color w:val="000000"/>
          <w:sz w:val="32"/>
          <w:szCs w:val="32"/>
        </w:rPr>
        <w:t>不再报后监督未跟进监督模型</w:t>
      </w:r>
    </w:p>
    <w:p w14:paraId="782C8A95"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针对检察院退</w:t>
      </w:r>
      <w:proofErr w:type="gramStart"/>
      <w:r>
        <w:rPr>
          <w:rFonts w:ascii="仿宋_GB2312" w:eastAsia="仿宋_GB2312" w:hAnsi="仿宋_GB2312" w:cs="仿宋_GB2312" w:hint="eastAsia"/>
          <w:sz w:val="32"/>
          <w:szCs w:val="32"/>
        </w:rPr>
        <w:t>侦</w:t>
      </w:r>
      <w:proofErr w:type="gramEnd"/>
      <w:r>
        <w:rPr>
          <w:rFonts w:ascii="仿宋_GB2312" w:eastAsia="仿宋_GB2312" w:hAnsi="仿宋_GB2312" w:cs="仿宋_GB2312" w:hint="eastAsia"/>
          <w:sz w:val="32"/>
          <w:szCs w:val="32"/>
        </w:rPr>
        <w:t>后，公安未补充侦查的案件，检察院未进一步跟进的案件，进行监督预警。</w:t>
      </w:r>
    </w:p>
    <w:p w14:paraId="5FCD6EFD"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2）案件监督情况</w:t>
      </w:r>
    </w:p>
    <w:p w14:paraId="6727B94C"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针对监督案件数量、发现风险案件数、风险案件占比、涉及责任单位数进行统计分析。根据地域风险案件数、风险案件/本地案件总数指标，绘制风险案件地域分布图形，直观展现风险案件的地域分布。</w:t>
      </w:r>
    </w:p>
    <w:p w14:paraId="79FC8D32"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3）风险案件地域分布</w:t>
      </w:r>
    </w:p>
    <w:p w14:paraId="68C1A94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根据风险案件总数，以地域为测量度，结合风险案件数量和风险案件占本地总案件的比例，绘制地域的风险案件发展趋势图。</w:t>
      </w:r>
    </w:p>
    <w:p w14:paraId="6887FB35"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4）风险案件趋势分析</w:t>
      </w:r>
    </w:p>
    <w:p w14:paraId="43BD081B"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根据风险案件总数，以月份为测量度，结合数量和比例，绘制年度内每个月份的风险案件发展趋势图。</w:t>
      </w:r>
    </w:p>
    <w:p w14:paraId="45ECC435"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5）风险案件案由和数量排名</w:t>
      </w:r>
    </w:p>
    <w:p w14:paraId="272FFB46"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提供风险案件案由的TOP10排名和风险案件数量TOP的单位排名，形成直观简洁的可视化图表。</w:t>
      </w:r>
    </w:p>
    <w:p w14:paraId="76C773FC"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（4）检察建议无反馈后无跟进风险预警需求</w:t>
      </w:r>
    </w:p>
    <w:p w14:paraId="5CB9764B"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1）检察建议无反馈后无跟进监督模型</w:t>
      </w:r>
    </w:p>
    <w:p w14:paraId="51FBFCE0"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针对检察机关提出的检察建议，被建议单位未处理反馈，检察院未进一步跟进的案件，进行监督预警。</w:t>
      </w:r>
    </w:p>
    <w:p w14:paraId="4B211137"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2）案件监督情况</w:t>
      </w:r>
    </w:p>
    <w:p w14:paraId="4E9E3DC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针对监督案件数量、发现风险案件数、风险案件占比、涉及责任单位数进行统计分析。根据地域风险案件数、风险案件/本地案件总数指标，绘制风险案件地域分布图形，直观展现风险案件的地域分布。</w:t>
      </w:r>
    </w:p>
    <w:p w14:paraId="27B4CA1F"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3）风险案件地域分布</w:t>
      </w:r>
    </w:p>
    <w:p w14:paraId="5DBABE0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根据风险案件总数，以地域为测量度，结合风险案件数量和风险案件占本地总案件的比例，绘制地域的风险案件发展趋势图。</w:t>
      </w:r>
    </w:p>
    <w:p w14:paraId="601930A4"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4）风险案件趋势分析</w:t>
      </w:r>
    </w:p>
    <w:p w14:paraId="416BE775"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根据风险案件和案件总数，以月份为测量度，结合数量和比例，绘制年度内每个月份的风险案件发展趋势图。</w:t>
      </w:r>
    </w:p>
    <w:p w14:paraId="639B5236"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5）风险案件案由和数量排名</w:t>
      </w:r>
    </w:p>
    <w:p w14:paraId="58ADD23C"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提供风险案件案由的TOP10排名和风险案件数量TOP的单位排名，形成直观简洁的可视化图表。</w:t>
      </w:r>
    </w:p>
    <w:p w14:paraId="1F6721DD"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（5）风险线索管理（政法委）需求</w:t>
      </w:r>
    </w:p>
    <w:p w14:paraId="528ADB7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风险线索管理模块接收从监测预警子系统中推送过来的风险线索，并支持对风险线索进行转办、反馈、审理、统计等操作。风险线索管理模块分为政法委和政法单位两端。</w:t>
      </w:r>
    </w:p>
    <w:p w14:paraId="34138A87"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1）风险线索总</w:t>
      </w:r>
      <w:proofErr w:type="gramStart"/>
      <w:r>
        <w:rPr>
          <w:rFonts w:ascii="仿宋_GB2312" w:eastAsia="仿宋_GB2312" w:hAnsi="仿宋_GB2312" w:cs="仿宋_GB2312" w:hint="eastAsia"/>
          <w:color w:val="000000"/>
          <w:sz w:val="32"/>
          <w:szCs w:val="32"/>
        </w:rPr>
        <w:t>览</w:t>
      </w:r>
      <w:proofErr w:type="gramEnd"/>
    </w:p>
    <w:p w14:paraId="6CB62C64"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帮助用户掌握本单位以及管辖地区范围内的风险线索办理情况，包括不同办理阶段的风险线索数量，当前状态分布和风险线索涉及责任单位的情况。</w:t>
      </w:r>
    </w:p>
    <w:p w14:paraId="23D1DFE2"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（1）风险线索办理情况：</w:t>
      </w:r>
    </w:p>
    <w:p w14:paraId="458695C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按照时间范围、数据范围进行事项统计，提供重大事项办理概况统计及图表可视化。</w:t>
      </w:r>
    </w:p>
    <w:p w14:paraId="572CC15E"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（2）当前办理状态分布：</w:t>
      </w:r>
    </w:p>
    <w:p w14:paraId="6B031753"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提供当前办理状态分布统计及图表可视化。</w:t>
      </w:r>
    </w:p>
    <w:p w14:paraId="70A2C5BB"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（3）风险线索类型分布：、</w:t>
      </w:r>
    </w:p>
    <w:p w14:paraId="2F889D6E"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提供事项类型分布统计及图表可视化。</w:t>
      </w:r>
    </w:p>
    <w:p w14:paraId="270C609A"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（4）发现风险线索涉法检公司单位分布：</w:t>
      </w:r>
    </w:p>
    <w:p w14:paraId="20E2AD0B"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按照风险线索所涉单位，按照法检公司的维度进行分类统计。</w:t>
      </w:r>
    </w:p>
    <w:p w14:paraId="33154235"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（5）风险线索落实后涉及责任单位分布：</w:t>
      </w:r>
    </w:p>
    <w:p w14:paraId="5199C27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按照落实后风险线索所涉及的承办单位，从法检公司维度进行分类，并将具体单位进行排名。</w:t>
      </w:r>
    </w:p>
    <w:p w14:paraId="12C65FEC"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2）风险线索接收</w:t>
      </w:r>
    </w:p>
    <w:p w14:paraId="5F5A8A8B"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政法</w:t>
      </w:r>
      <w:proofErr w:type="gramStart"/>
      <w:r>
        <w:rPr>
          <w:rFonts w:ascii="仿宋_GB2312" w:eastAsia="仿宋_GB2312" w:hAnsi="仿宋_GB2312" w:cs="仿宋_GB2312" w:hint="eastAsia"/>
          <w:sz w:val="32"/>
          <w:szCs w:val="32"/>
        </w:rPr>
        <w:t>委用户</w:t>
      </w:r>
      <w:proofErr w:type="gramEnd"/>
      <w:r>
        <w:rPr>
          <w:rFonts w:ascii="仿宋_GB2312" w:eastAsia="仿宋_GB2312" w:hAnsi="仿宋_GB2312" w:cs="仿宋_GB2312" w:hint="eastAsia"/>
          <w:sz w:val="32"/>
          <w:szCs w:val="32"/>
        </w:rPr>
        <w:t>进入风险线索管理模块的两种方式：一是通过监测预警子系统的风险预警标识点击下钻跳转到模块中；二是通过风险线索管理功能跳转到模块中，其二级模块为风险线索办理、风险线索转办。</w:t>
      </w:r>
    </w:p>
    <w:p w14:paraId="2F81DDF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点击风险线索办理二级模块进入页面，从监测预警子系统推送过来的风险线索数据展现在列表中，列表展示风险线</w:t>
      </w:r>
      <w:r>
        <w:rPr>
          <w:rFonts w:ascii="仿宋_GB2312" w:eastAsia="仿宋_GB2312" w:hAnsi="仿宋_GB2312" w:cs="仿宋_GB2312" w:hint="eastAsia"/>
          <w:sz w:val="32"/>
          <w:szCs w:val="32"/>
        </w:rPr>
        <w:lastRenderedPageBreak/>
        <w:t>索的来源、所属单位、风险类型、风险线索状态以及生成时间，并支持风险线索查询、详情查看等功能。</w:t>
      </w:r>
    </w:p>
    <w:p w14:paraId="242D6D61"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3）风险线索转办</w:t>
      </w:r>
    </w:p>
    <w:p w14:paraId="7DC9E67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支持执法监督</w:t>
      </w:r>
      <w:proofErr w:type="gramStart"/>
      <w:r>
        <w:rPr>
          <w:rFonts w:ascii="仿宋_GB2312" w:eastAsia="仿宋_GB2312" w:hAnsi="仿宋_GB2312" w:cs="仿宋_GB2312" w:hint="eastAsia"/>
          <w:sz w:val="32"/>
          <w:szCs w:val="32"/>
        </w:rPr>
        <w:t>处相关</w:t>
      </w:r>
      <w:proofErr w:type="gramEnd"/>
      <w:r>
        <w:rPr>
          <w:rFonts w:ascii="仿宋_GB2312" w:eastAsia="仿宋_GB2312" w:hAnsi="仿宋_GB2312" w:cs="仿宋_GB2312" w:hint="eastAsia"/>
          <w:sz w:val="32"/>
          <w:szCs w:val="32"/>
        </w:rPr>
        <w:t>人员对风险线索进行初步核实，对需要法检公司办理的风险线索进行分发管理；对不需要法检公司办理的风险线索可直接进行关闭。</w:t>
      </w:r>
    </w:p>
    <w:p w14:paraId="459C822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政法</w:t>
      </w:r>
      <w:proofErr w:type="gramStart"/>
      <w:r>
        <w:rPr>
          <w:rFonts w:ascii="仿宋_GB2312" w:eastAsia="仿宋_GB2312" w:hAnsi="仿宋_GB2312" w:cs="仿宋_GB2312" w:hint="eastAsia"/>
          <w:sz w:val="32"/>
          <w:szCs w:val="32"/>
        </w:rPr>
        <w:t>委用户</w:t>
      </w:r>
      <w:proofErr w:type="gramEnd"/>
      <w:r>
        <w:rPr>
          <w:rFonts w:ascii="仿宋_GB2312" w:eastAsia="仿宋_GB2312" w:hAnsi="仿宋_GB2312" w:cs="仿宋_GB2312" w:hint="eastAsia"/>
          <w:sz w:val="32"/>
          <w:szCs w:val="32"/>
        </w:rPr>
        <w:t>可以查看风险线索详情，线索详情主要包括风险线索基本信息、风险线索对象信息包括风险线索人信息和风险线索单位信息、风险线索事项信息、附件材料。</w:t>
      </w:r>
    </w:p>
    <w:p w14:paraId="203B1C3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对确认无风险的线索进行关闭，对需要评查的风险线索发起评查，系统自动生成一条评查活动。</w:t>
      </w:r>
    </w:p>
    <w:p w14:paraId="16B64D5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对可直接确认为风险线索的案件(未发起评查或者已评查完毕，或者未评查完毕但是有必要转办的风险线索)，转办下级政法</w:t>
      </w:r>
      <w:proofErr w:type="gramStart"/>
      <w:r>
        <w:rPr>
          <w:rFonts w:ascii="仿宋_GB2312" w:eastAsia="仿宋_GB2312" w:hAnsi="仿宋_GB2312" w:cs="仿宋_GB2312" w:hint="eastAsia"/>
          <w:sz w:val="32"/>
          <w:szCs w:val="32"/>
        </w:rPr>
        <w:t>委或者</w:t>
      </w:r>
      <w:proofErr w:type="gramEnd"/>
      <w:r>
        <w:rPr>
          <w:rFonts w:ascii="仿宋_GB2312" w:eastAsia="仿宋_GB2312" w:hAnsi="仿宋_GB2312" w:cs="仿宋_GB2312" w:hint="eastAsia"/>
          <w:sz w:val="32"/>
          <w:szCs w:val="32"/>
        </w:rPr>
        <w:t>法检公司进行办理、反馈。</w:t>
      </w:r>
    </w:p>
    <w:p w14:paraId="6AC1B08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对已初步核实完的线索进行转办管理，政法委执法监督工作人员能够查看风险线索详情，填写转办信息，包括转办方式、转办单位、转办内容，点击确认后将本次的风险线索转办任务信息推给相关接收单位。转办的对象包括下级政法委和平级法检公司。</w:t>
      </w:r>
    </w:p>
    <w:p w14:paraId="239E5EDF"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4）风险线索办结</w:t>
      </w:r>
    </w:p>
    <w:p w14:paraId="0DAA6875"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政法</w:t>
      </w:r>
      <w:proofErr w:type="gramStart"/>
      <w:r>
        <w:rPr>
          <w:rFonts w:ascii="仿宋_GB2312" w:eastAsia="仿宋_GB2312" w:hAnsi="仿宋_GB2312" w:cs="仿宋_GB2312" w:hint="eastAsia"/>
          <w:sz w:val="32"/>
          <w:szCs w:val="32"/>
        </w:rPr>
        <w:t>委用户</w:t>
      </w:r>
      <w:proofErr w:type="gramEnd"/>
      <w:r>
        <w:rPr>
          <w:rFonts w:ascii="仿宋_GB2312" w:eastAsia="仿宋_GB2312" w:hAnsi="仿宋_GB2312" w:cs="仿宋_GB2312" w:hint="eastAsia"/>
          <w:sz w:val="32"/>
          <w:szCs w:val="32"/>
        </w:rPr>
        <w:t>在风险线索管理的风险线索转办二级模块可查看政法单位已反馈的风险线索并对其反馈的内容进行审核，可进行审核通过、退查或关闭线索的操作，若政法</w:t>
      </w:r>
      <w:proofErr w:type="gramStart"/>
      <w:r>
        <w:rPr>
          <w:rFonts w:ascii="仿宋_GB2312" w:eastAsia="仿宋_GB2312" w:hAnsi="仿宋_GB2312" w:cs="仿宋_GB2312" w:hint="eastAsia"/>
          <w:sz w:val="32"/>
          <w:szCs w:val="32"/>
        </w:rPr>
        <w:t>委用户</w:t>
      </w:r>
      <w:proofErr w:type="gramEnd"/>
      <w:r>
        <w:rPr>
          <w:rFonts w:ascii="仿宋_GB2312" w:eastAsia="仿宋_GB2312" w:hAnsi="仿宋_GB2312" w:cs="仿宋_GB2312" w:hint="eastAsia"/>
          <w:sz w:val="32"/>
          <w:szCs w:val="32"/>
        </w:rPr>
        <w:t>认为反馈风险线索相关内容不完整或者需要继续补充</w:t>
      </w:r>
      <w:r>
        <w:rPr>
          <w:rFonts w:ascii="仿宋_GB2312" w:eastAsia="仿宋_GB2312" w:hAnsi="仿宋_GB2312" w:cs="仿宋_GB2312" w:hint="eastAsia"/>
          <w:sz w:val="32"/>
          <w:szCs w:val="32"/>
        </w:rPr>
        <w:lastRenderedPageBreak/>
        <w:t>相关反馈则进行退查。</w:t>
      </w:r>
    </w:p>
    <w:p w14:paraId="5D760301"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政法单位用户在风险线索处理二级模块可对风险线索状态为“退查待补充反馈”风险线索进行补充反馈。</w:t>
      </w:r>
    </w:p>
    <w:p w14:paraId="135E278A"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（6）风险线索管理（数据交换子系统对接）需求</w:t>
      </w:r>
    </w:p>
    <w:p w14:paraId="1E1F9B5F"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1）基于数据交换子系统进行数据交换对接联调</w:t>
      </w:r>
    </w:p>
    <w:p w14:paraId="3D9854DE"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通过数据交换子系统与法检公司进行数据交换对接联调，用于问题线索收集，支撑线索接收、退回及办理反馈功能。</w:t>
      </w:r>
    </w:p>
    <w:p w14:paraId="17FC9BD2"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color w:val="000000"/>
          <w:sz w:val="32"/>
          <w:szCs w:val="32"/>
        </w:rPr>
      </w:pPr>
      <w:bookmarkStart w:id="45" w:name="_Toc152937476"/>
      <w:bookmarkStart w:id="46" w:name="_Toc1950"/>
      <w:r>
        <w:rPr>
          <w:rFonts w:ascii="仿宋_GB2312" w:eastAsia="仿宋_GB2312" w:hAnsi="仿宋_GB2312" w:cs="仿宋_GB2312" w:hint="eastAsia"/>
          <w:color w:val="000000"/>
          <w:sz w:val="32"/>
          <w:szCs w:val="32"/>
        </w:rPr>
        <w:t>2.案件评查系统</w:t>
      </w:r>
      <w:bookmarkEnd w:id="45"/>
      <w:bookmarkEnd w:id="46"/>
      <w:r>
        <w:rPr>
          <w:rFonts w:ascii="仿宋_GB2312" w:eastAsia="仿宋_GB2312" w:hAnsi="仿宋_GB2312" w:cs="仿宋_GB2312" w:hint="eastAsia"/>
          <w:color w:val="000000"/>
          <w:sz w:val="32"/>
          <w:szCs w:val="32"/>
        </w:rPr>
        <w:t>需求</w:t>
      </w:r>
    </w:p>
    <w:p w14:paraId="50F29297"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（1）案件评查系统（政法委端）需求</w:t>
      </w:r>
    </w:p>
    <w:p w14:paraId="04EE99C1"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着规范评查流程，提高各部门协同办案质量、提高案件评查效率、减少政法委评查工作量的原则，案件评查以协同办案中心平台的刑事案件数据为基础，能够实时对协同办案的已结案件的提捕、移诉、公诉环节进行评查，辅助执法监督处提高执法监督的案件评查效率。系统主要功能包括评查活动组织、评查活动开展、辅助评查、评查问题整改、评查报告生成、评查绩效考核、重点案件预览、评查态势查看、评查专家库管理等功能。</w:t>
      </w:r>
    </w:p>
    <w:p w14:paraId="508D2DFF"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1）创建评查活动</w:t>
      </w:r>
    </w:p>
    <w:p w14:paraId="532A61E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针对业务协同平台已经办结的审查逮捕、移送审查起诉、一审公诉刑事案件，评查系统自动获取相关案件信息、文书、卷宗。</w:t>
      </w:r>
    </w:p>
    <w:p w14:paraId="1BFAEC0E"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政法委执法监督人员根据领导指示针对特定案件开展执法监督程序，在线查看确认案件问题。</w:t>
      </w:r>
    </w:p>
    <w:p w14:paraId="043EA8B6"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评查案件列表可查看协同平台抽取的全部已办结审查逮捕、移送审查起诉、一审公诉刑事案件且经过评查系统风险识别功能识别出有问题的案件；</w:t>
      </w:r>
    </w:p>
    <w:p w14:paraId="72DAF680"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查询显示条件：立案开始日期、立案截止日期、问题类别、筛选数量、案号、案件名称、主承办单位、主承办人、当事人、案由、行政区划、阶段 </w:t>
      </w:r>
    </w:p>
    <w:p w14:paraId="552F890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案件详情，通过评查案件列表跳转到查看详情页面，调用协同办案系统的案件当前阶段的阶段详情页面，可以</w:t>
      </w:r>
      <w:proofErr w:type="gramStart"/>
      <w:r>
        <w:rPr>
          <w:rFonts w:ascii="仿宋_GB2312" w:eastAsia="仿宋_GB2312" w:hAnsi="仿宋_GB2312" w:cs="仿宋_GB2312" w:hint="eastAsia"/>
          <w:sz w:val="32"/>
          <w:szCs w:val="32"/>
        </w:rPr>
        <w:t>查看此</w:t>
      </w:r>
      <w:proofErr w:type="gramEnd"/>
      <w:r>
        <w:rPr>
          <w:rFonts w:ascii="仿宋_GB2312" w:eastAsia="仿宋_GB2312" w:hAnsi="仿宋_GB2312" w:cs="仿宋_GB2312" w:hint="eastAsia"/>
          <w:sz w:val="32"/>
          <w:szCs w:val="32"/>
        </w:rPr>
        <w:t>阶段相关的案件信息、文书信息、卷宗信息，以及支持查看卷宗巡查结果、证据审查结果。</w:t>
      </w:r>
    </w:p>
    <w:p w14:paraId="1BA8CD8D"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创建评查活动，选择一条及以上评查案件创建评查活动，评查案件可以被重新选择，添加到不同的案件评查活动中。支持跨页选择案件。创建评查活动包括三部分：评查活动基本信息、审批记录、评查专家。</w:t>
      </w:r>
    </w:p>
    <w:p w14:paraId="35E2654D"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评查活动基本信息：评查结束日期应该大于等于当前系统日期。</w:t>
      </w:r>
    </w:p>
    <w:p w14:paraId="495514F6" w14:textId="77777777" w:rsidR="00B02C6E" w:rsidRDefault="00B02C6E" w:rsidP="00B02C6E">
      <w:pPr>
        <w:pStyle w:val="a4"/>
        <w:spacing w:line="560" w:lineRule="exact"/>
        <w:ind w:firstLine="640"/>
        <w:rPr>
          <w:rFonts w:ascii="仿宋_GB2312" w:hAnsi="仿宋_GB2312" w:cs="仿宋_GB2312"/>
          <w:sz w:val="32"/>
          <w:szCs w:val="32"/>
        </w:rPr>
      </w:pPr>
      <w:r>
        <w:rPr>
          <w:rFonts w:ascii="仿宋_GB2312" w:hAnsi="仿宋_GB2312" w:cs="仿宋_GB2312" w:hint="eastAsia"/>
          <w:kern w:val="2"/>
          <w:sz w:val="32"/>
          <w:szCs w:val="32"/>
        </w:rPr>
        <w:t>审批记录：增加审批记录的信息登记。已登记审批记录列表显示当前活动已登记的审批记录。</w:t>
      </w:r>
    </w:p>
    <w:p w14:paraId="601200F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选择评查专家：支持对评查专家的【姓名、业务方向、所属单位、所属地区】四项信息进行模糊查询（评查专家的增删改在评查专家</w:t>
      </w:r>
      <w:proofErr w:type="gramStart"/>
      <w:r>
        <w:rPr>
          <w:rFonts w:ascii="仿宋_GB2312" w:eastAsia="仿宋_GB2312" w:hAnsi="仿宋_GB2312" w:cs="仿宋_GB2312" w:hint="eastAsia"/>
          <w:sz w:val="32"/>
          <w:szCs w:val="32"/>
        </w:rPr>
        <w:t>库功能</w:t>
      </w:r>
      <w:proofErr w:type="gramEnd"/>
      <w:r>
        <w:rPr>
          <w:rFonts w:ascii="仿宋_GB2312" w:eastAsia="仿宋_GB2312" w:hAnsi="仿宋_GB2312" w:cs="仿宋_GB2312" w:hint="eastAsia"/>
          <w:sz w:val="32"/>
          <w:szCs w:val="32"/>
        </w:rPr>
        <w:t>模块完成），</w:t>
      </w:r>
      <w:proofErr w:type="gramStart"/>
      <w:r>
        <w:rPr>
          <w:rFonts w:ascii="仿宋_GB2312" w:eastAsia="仿宋_GB2312" w:hAnsi="仿宋_GB2312" w:cs="仿宋_GB2312" w:hint="eastAsia"/>
          <w:sz w:val="32"/>
          <w:szCs w:val="32"/>
        </w:rPr>
        <w:t>勾选专家</w:t>
      </w:r>
      <w:proofErr w:type="gramEnd"/>
      <w:r>
        <w:rPr>
          <w:rFonts w:ascii="仿宋_GB2312" w:eastAsia="仿宋_GB2312" w:hAnsi="仿宋_GB2312" w:cs="仿宋_GB2312" w:hint="eastAsia"/>
          <w:sz w:val="32"/>
          <w:szCs w:val="32"/>
        </w:rPr>
        <w:t>则将所选专家添加至“已添加评查专家”列表中，对于已被添加过的专家，不重复添加。</w:t>
      </w:r>
    </w:p>
    <w:p w14:paraId="2DBC47F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已有活动追加案件，选择已有评查活动，显示进行中的</w:t>
      </w:r>
      <w:r>
        <w:rPr>
          <w:rFonts w:ascii="仿宋_GB2312" w:eastAsia="仿宋_GB2312" w:hAnsi="仿宋_GB2312" w:cs="仿宋_GB2312" w:hint="eastAsia"/>
          <w:sz w:val="32"/>
          <w:szCs w:val="32"/>
        </w:rPr>
        <w:lastRenderedPageBreak/>
        <w:t>评查活动名称，单击选中任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已有活动后，过滤所选评查活动中已包含的评查案件，选择一条及以上案件追加案件。</w:t>
      </w:r>
    </w:p>
    <w:p w14:paraId="2B21C412"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2）评查案件筛选</w:t>
      </w:r>
    </w:p>
    <w:p w14:paraId="496BAB40"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针对业务协同平台已经办结的刑事案件，系统支持推送问题</w:t>
      </w:r>
      <w:proofErr w:type="gramStart"/>
      <w:r>
        <w:rPr>
          <w:rFonts w:ascii="仿宋_GB2312" w:eastAsia="仿宋_GB2312" w:hAnsi="仿宋_GB2312" w:cs="仿宋_GB2312" w:hint="eastAsia"/>
          <w:sz w:val="32"/>
          <w:szCs w:val="32"/>
        </w:rPr>
        <w:t>案件案</w:t>
      </w:r>
      <w:proofErr w:type="gramEnd"/>
      <w:r>
        <w:rPr>
          <w:rFonts w:ascii="仿宋_GB2312" w:eastAsia="仿宋_GB2312" w:hAnsi="仿宋_GB2312" w:cs="仿宋_GB2312" w:hint="eastAsia"/>
          <w:sz w:val="32"/>
          <w:szCs w:val="32"/>
        </w:rPr>
        <w:t>号和检索结果展示（非案件全部信息）。</w:t>
      </w:r>
    </w:p>
    <w:p w14:paraId="42957F61"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（1）系统自动识别和智能化分析筛选问题案件并自动将问题案件表单推送给政法委执法监督人员。</w:t>
      </w:r>
    </w:p>
    <w:p w14:paraId="7C4490DD"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（2）政法委执法监督人员根据领导指示针对特定案件开展执法监督程序，在线查看确认案件问题。</w:t>
      </w:r>
    </w:p>
    <w:p w14:paraId="6D766C50"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3）评查活动管理</w:t>
      </w:r>
    </w:p>
    <w:p w14:paraId="732626FB"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执法监督员对评查活动情况进行跟踪，并支持修改编辑已创建的评查活动信息。</w:t>
      </w:r>
    </w:p>
    <w:p w14:paraId="19B25702"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4）案件评查</w:t>
      </w:r>
    </w:p>
    <w:p w14:paraId="69C0A9E3"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（1）案件评查列表</w:t>
      </w:r>
    </w:p>
    <w:p w14:paraId="1F42523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评查专家查看选择了自己的评查活动中所有评查案件，案件详情及评查页面查看评查时所对应的案件阶段的案件信息、文书信息、卷宗信息。 </w:t>
      </w:r>
    </w:p>
    <w:p w14:paraId="4E58DF45"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（2）案件材料转换</w:t>
      </w:r>
    </w:p>
    <w:p w14:paraId="427A4B5C"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当执法监督员创建评查活动后，对应的被评查案件，系统会自动将文书、卷宗等材料获取解析，转换为可批注html材料。</w:t>
      </w:r>
    </w:p>
    <w:p w14:paraId="68A9D479"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（3）案件评查操作</w:t>
      </w:r>
    </w:p>
    <w:p w14:paraId="56490DCE"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同一个评查活动中的同一个案件，由多人进行评查时，个人案件评查页面互不干扰，各自评查各的。</w:t>
      </w:r>
    </w:p>
    <w:p w14:paraId="4BA38E9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评查页面标题：【案件名称】+“--”+【当前阶段】，例如张某某故意伤人罪—审判，标题后显示此评查案件总问题数。</w:t>
      </w:r>
    </w:p>
    <w:p w14:paraId="5CA2599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评查页面内容布局分为三部分：左侧文书/卷宗目录结构、中间展示对应左侧文书的内容，右侧显示自动评查、手动评查的问题列表。</w:t>
      </w:r>
    </w:p>
    <w:p w14:paraId="5B543080"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左侧目录结构显示规则：文书和卷宗区分开来，文书显示在前；卷宗显示在后，卷宗的目录层级、顺序和电子卷宗保持一致。评查页面初始化进入，默认选中第一个文书/卷宗。识别引擎是否识别出材料，需要在材料后面标识。</w:t>
      </w:r>
    </w:p>
    <w:p w14:paraId="47D58A3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间查看页面展示左侧选中文书内容，支持手动批注，单击选中批注内容高亮显示，弹出“问题标注”框，分为五类问题类型：事实认定、证据采信、办案程序、法律适用、文书形式，选中对应的问题类型，弹出对应的描述框，填写具体问题批注内容。对已经有批注的内容区域，不允许创建其他批注，只允许在已有批注上修改或删除。</w:t>
      </w:r>
    </w:p>
    <w:p w14:paraId="6625745E"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右侧“问题列表”，标题后显示认定问题数，无问题时则显示0。系统初始化进入评查页面，问题列表默认显示全部问题，按照事实认定、证据采信、办案程序、文书形式顺序，分类展示，每个小类下按照批注内容创建时间正序显示。每个批注内容最多展示14个汉字，多余则以省略号显示，鼠标悬浮可查看对应批注全部内容。</w:t>
      </w:r>
    </w:p>
    <w:p w14:paraId="45EE200D"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点击对应问题批注，左侧和中间定位联动，左侧定位到问题批注所在文件，中间区域显示左侧定位文件内容，并默</w:t>
      </w:r>
      <w:r>
        <w:rPr>
          <w:rFonts w:ascii="仿宋_GB2312" w:eastAsia="仿宋_GB2312" w:hAnsi="仿宋_GB2312" w:cs="仿宋_GB2312" w:hint="eastAsia"/>
          <w:sz w:val="32"/>
          <w:szCs w:val="32"/>
        </w:rPr>
        <w:lastRenderedPageBreak/>
        <w:t>认定位至批注所在问题并弹出批注内容。</w:t>
      </w:r>
    </w:p>
    <w:p w14:paraId="5B506DC2"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（4）评查预览报告</w:t>
      </w:r>
    </w:p>
    <w:p w14:paraId="378F9FE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系统根据固定模板，自动生成个案的评查报告，支持在线编辑、保存、下载、重新生成、提交、关闭。</w:t>
      </w:r>
    </w:p>
    <w:p w14:paraId="1BF6B831"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（5）评查发送</w:t>
      </w:r>
    </w:p>
    <w:p w14:paraId="6304DDA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可在线发送评查报告，发送后不能编辑。</w:t>
      </w:r>
    </w:p>
    <w:p w14:paraId="4CB8562A"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5）申请补充材料</w:t>
      </w:r>
    </w:p>
    <w:p w14:paraId="56CE64D2"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查专家线上开展案件评查过程中，对于缺少的文书或卷宗等材料，支持多次向政法委执法监督人员发起补充材料申请，由政法委将补充材料申请通知发送至相关案件的政法单位，要求相关单位反馈。业务单位反馈后，评查专家在案件评查界面可以查看历次反馈的补充材料详情，在线阅览批注。</w:t>
      </w:r>
    </w:p>
    <w:p w14:paraId="46FEA4C7"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6）评查报告列表</w:t>
      </w:r>
    </w:p>
    <w:p w14:paraId="320453FD"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列表显示范围：查看当前账号所提交发送的个案案件报告； </w:t>
      </w:r>
    </w:p>
    <w:p w14:paraId="6B16E7C0"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列表显示字段：序号、评查活动名称、案号、案件名称、评查环节、问题类型、被评查单位、获取材料日期、操作。</w:t>
      </w:r>
    </w:p>
    <w:p w14:paraId="68C59E9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操作列：评查详情、个案报告；</w:t>
      </w:r>
    </w:p>
    <w:p w14:paraId="0062122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列表排序：按照获取材料日期倒序展示；</w:t>
      </w:r>
    </w:p>
    <w:p w14:paraId="4D5F08FB"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进入详情的方式：单击【案件名称】列跳转至协同平台对应案件的对应阶段的案件详情页面；</w:t>
      </w:r>
    </w:p>
    <w:p w14:paraId="51E8627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查询显示条件：获取材料日期、行政区划。获取材料日期，默认显示系统当前年份1月1日至系统当前日期；查询</w:t>
      </w:r>
      <w:r>
        <w:rPr>
          <w:rFonts w:ascii="仿宋_GB2312" w:eastAsia="仿宋_GB2312" w:hAnsi="仿宋_GB2312" w:cs="仿宋_GB2312" w:hint="eastAsia"/>
          <w:sz w:val="32"/>
          <w:szCs w:val="32"/>
        </w:rPr>
        <w:lastRenderedPageBreak/>
        <w:t>条件说明：行政区划，对应案件承办单位的所属行政区划。</w:t>
      </w:r>
    </w:p>
    <w:p w14:paraId="5B16834A"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7）个案报告生成</w:t>
      </w:r>
    </w:p>
    <w:p w14:paraId="09B784B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评查完成后，系统根据自动与人工的评查结果自动生成评查个案报告，并支持编辑。保存后，可以发送</w:t>
      </w:r>
      <w:proofErr w:type="gramStart"/>
      <w:r>
        <w:rPr>
          <w:rFonts w:ascii="仿宋_GB2312" w:eastAsia="仿宋_GB2312" w:hAnsi="仿宋_GB2312" w:cs="仿宋_GB2312" w:hint="eastAsia"/>
          <w:sz w:val="32"/>
          <w:szCs w:val="32"/>
        </w:rPr>
        <w:t>至执法</w:t>
      </w:r>
      <w:proofErr w:type="gramEnd"/>
      <w:r>
        <w:rPr>
          <w:rFonts w:ascii="仿宋_GB2312" w:eastAsia="仿宋_GB2312" w:hAnsi="仿宋_GB2312" w:cs="仿宋_GB2312" w:hint="eastAsia"/>
          <w:sz w:val="32"/>
          <w:szCs w:val="32"/>
        </w:rPr>
        <w:t>监督员角色，报告支持下载成word形式。政法委执法监督员对需整改的评查报告，分发到对应的业务单位要求整改反馈。</w:t>
      </w:r>
    </w:p>
    <w:p w14:paraId="606B9B0D"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8）综合报告生成</w:t>
      </w:r>
    </w:p>
    <w:p w14:paraId="1B282681"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在每次评查活动涉及的案件都评查完毕以后，执法监督员可以通过选择评查结束的个案</w:t>
      </w:r>
      <w:proofErr w:type="gramStart"/>
      <w:r>
        <w:rPr>
          <w:rFonts w:ascii="仿宋_GB2312" w:eastAsia="仿宋_GB2312" w:hAnsi="仿宋_GB2312" w:cs="仿宋_GB2312" w:hint="eastAsia"/>
          <w:sz w:val="32"/>
          <w:szCs w:val="32"/>
        </w:rPr>
        <w:t>生成本次</w:t>
      </w:r>
      <w:proofErr w:type="gramEnd"/>
      <w:r>
        <w:rPr>
          <w:rFonts w:ascii="仿宋_GB2312" w:eastAsia="仿宋_GB2312" w:hAnsi="仿宋_GB2312" w:cs="仿宋_GB2312" w:hint="eastAsia"/>
          <w:sz w:val="32"/>
          <w:szCs w:val="32"/>
        </w:rPr>
        <w:t>评查活动的综合报告。综合报告包括评查案件涉及的公检法各单位问题评查案件量、问题案件量，各类问题的占比、整改措施等。</w:t>
      </w:r>
    </w:p>
    <w:p w14:paraId="6E59E21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集中评查结束后，系统可以生成综合分析报告并支持编辑，从宏观层面分析案件质量情况，并给予改进措施建议，报告支持下载成word形式。</w:t>
      </w:r>
    </w:p>
    <w:p w14:paraId="0943E4FA"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9）评查报告查询</w:t>
      </w:r>
    </w:p>
    <w:p w14:paraId="0CB40318"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提供案件评查报告列表，支持对已经生成的评查报告进行查询。</w:t>
      </w:r>
    </w:p>
    <w:p w14:paraId="70E77300"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10)评查报告模板管理</w:t>
      </w:r>
    </w:p>
    <w:p w14:paraId="7A33CB8C"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支持对评查报告模板进行管理，包括新建模板、模板编辑、模板状态管理等。</w:t>
      </w:r>
    </w:p>
    <w:p w14:paraId="3014A023"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11)评查结果下载</w:t>
      </w:r>
    </w:p>
    <w:p w14:paraId="2250364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评查完成后，执法监督员可以通过系统下载对应的个案或综合分析报告，并通过政法内部系统套红、盖章进行下发。</w:t>
      </w:r>
    </w:p>
    <w:p w14:paraId="7A403522"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12)评查专家库管理</w:t>
      </w:r>
    </w:p>
    <w:p w14:paraId="0C4361A6"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法单位相关评查专家，组建评查专家库，为每位专家简历相关评查档案，详细记载评查专家的相关具体情况，为评查专家管理、评查专家抽取、开展评查工作等提供辅助支持。一般案件评查工作的主要评查员是通过发文或抽调的形式来选取公检法各家业务骨干人员，需要通过建立评查人员库来统一管理所有评查员的信息，方便评审工作的活动组织。</w:t>
      </w:r>
    </w:p>
    <w:p w14:paraId="1005E05E"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（2）通过数据交换子系统与各家对接需求</w:t>
      </w:r>
    </w:p>
    <w:p w14:paraId="4C7D3F6E"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1）基于数据交换子系统进行数据交换对接联调</w:t>
      </w:r>
    </w:p>
    <w:p w14:paraId="7BF72B29"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基于数据交换子系统进行数据交换对接，与法检公司对接联调，用于问题线索收集，支撑线索接收、退回及办理反馈功能。</w:t>
      </w:r>
    </w:p>
    <w:p w14:paraId="543FB9AE" w14:textId="77777777" w:rsidR="00B02C6E" w:rsidRDefault="00B02C6E" w:rsidP="00B02C6E">
      <w:pPr>
        <w:pStyle w:val="4"/>
        <w:numPr>
          <w:ilvl w:val="3"/>
          <w:numId w:val="0"/>
        </w:numPr>
        <w:spacing w:before="0" w:after="0" w:line="560" w:lineRule="exact"/>
        <w:ind w:firstLineChars="200" w:firstLine="640"/>
        <w:rPr>
          <w:rFonts w:ascii="仿宋_GB2312" w:eastAsia="仿宋_GB2312" w:hAnsi="仿宋_GB2312" w:cs="仿宋_GB2312"/>
          <w:color w:val="000000"/>
          <w:sz w:val="32"/>
          <w:szCs w:val="32"/>
        </w:rPr>
      </w:pPr>
      <w:bookmarkStart w:id="47" w:name="_Toc152937477"/>
      <w:bookmarkStart w:id="48" w:name="_Toc14765"/>
      <w:r>
        <w:rPr>
          <w:rFonts w:ascii="仿宋_GB2312" w:eastAsia="仿宋_GB2312" w:hAnsi="仿宋_GB2312" w:cs="仿宋_GB2312" w:hint="eastAsia"/>
          <w:color w:val="000000"/>
          <w:sz w:val="32"/>
          <w:szCs w:val="32"/>
        </w:rPr>
        <w:t>3.数据支撑开发</w:t>
      </w:r>
      <w:bookmarkEnd w:id="47"/>
      <w:bookmarkEnd w:id="48"/>
      <w:r>
        <w:rPr>
          <w:rFonts w:ascii="仿宋_GB2312" w:eastAsia="仿宋_GB2312" w:hAnsi="仿宋_GB2312" w:cs="仿宋_GB2312" w:hint="eastAsia"/>
          <w:color w:val="000000"/>
          <w:sz w:val="32"/>
          <w:szCs w:val="32"/>
        </w:rPr>
        <w:t>需求</w:t>
      </w:r>
    </w:p>
    <w:p w14:paraId="2BC336BB"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（1）刑事案件文书中抽取的案件结构化数据需求</w:t>
      </w:r>
    </w:p>
    <w:p w14:paraId="7B177AB3"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color w:val="000000"/>
          <w:sz w:val="32"/>
          <w:szCs w:val="32"/>
        </w:rPr>
        <w:t>文字</w:t>
      </w:r>
      <w:r>
        <w:rPr>
          <w:rFonts w:ascii="仿宋_GB2312" w:eastAsia="仿宋_GB2312" w:hAnsi="仿宋_GB2312" w:cs="仿宋_GB2312" w:hint="eastAsia"/>
          <w:sz w:val="32"/>
          <w:szCs w:val="32"/>
        </w:rPr>
        <w:t>识别和材料识别</w:t>
      </w:r>
    </w:p>
    <w:p w14:paraId="4ECB0BE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基于AI深度学习算法，利用图像分析，字符识别等技术，对材料文件实现推理分析，提供材料文字识别能力。</w:t>
      </w:r>
    </w:p>
    <w:p w14:paraId="5E9485E4"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系统基于AI深度学习算法，利用图像处理、字符识别等技术，对卷宗材料进行处理并提供文字识别能力，系统支持中文简体，繁体，英文，数字，手写字体的混合识别。可将卷宗材料转化为可以复制引用的电子文本数据，文本数据可满足在阅卷、编写文书等场景中便捷的检索、复制引用。同时支撑上层应用发挥材料的深度应用价值。 </w:t>
      </w:r>
    </w:p>
    <w:p w14:paraId="02E1680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输入格式支持识别JPG、PNG、TIFF、BMP、PDF多种格式</w:t>
      </w:r>
      <w:r>
        <w:rPr>
          <w:rFonts w:ascii="仿宋_GB2312" w:eastAsia="仿宋_GB2312" w:hAnsi="仿宋_GB2312" w:cs="仿宋_GB2312" w:hint="eastAsia"/>
          <w:sz w:val="32"/>
          <w:szCs w:val="32"/>
        </w:rPr>
        <w:lastRenderedPageBreak/>
        <w:t>的图片文件；</w:t>
      </w:r>
    </w:p>
    <w:p w14:paraId="1C60931C"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输出格式支持输出TXT、PDF、OFD等多种格式文件，PDF和OFD支持对原始图片进行格式还原。</w:t>
      </w:r>
    </w:p>
    <w:p w14:paraId="3FF8665A"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2）刑事案件法律文书解析</w:t>
      </w:r>
    </w:p>
    <w:p w14:paraId="377B589F"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刑事案件法律文本解析：以法律知识图谱为基础，通过人工智能的自然语言理解技术，实现了从半结构化的文书中抽取、解析、识别法律专业术语和法律要素信息的业务需求，并基于法律体系的逻辑分析建立了个案的法律事实、构成要件与法律法规之间的动态关联。</w:t>
      </w:r>
    </w:p>
    <w:p w14:paraId="1203A202"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3）刑事案件</w:t>
      </w:r>
      <w:r>
        <w:rPr>
          <w:rFonts w:ascii="仿宋_GB2312" w:eastAsia="仿宋_GB2312" w:hAnsi="仿宋_GB2312" w:cs="仿宋_GB2312" w:hint="eastAsia"/>
          <w:color w:val="000000"/>
          <w:sz w:val="32"/>
          <w:szCs w:val="32"/>
        </w:rPr>
        <w:t>案情</w:t>
      </w:r>
      <w:r>
        <w:rPr>
          <w:rFonts w:ascii="仿宋_GB2312" w:eastAsia="仿宋_GB2312" w:hAnsi="仿宋_GB2312" w:cs="仿宋_GB2312" w:hint="eastAsia"/>
          <w:sz w:val="32"/>
          <w:szCs w:val="32"/>
        </w:rPr>
        <w:t>信息提取</w:t>
      </w:r>
    </w:p>
    <w:p w14:paraId="306ADCD3"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刑事案件智能信息获取：基于自然语言处理技术和机器学习模型，实现从半结构化的法律文书数据中抽取、解析、识别案情信息，包括人名、地名、机构名、地址信息、金额、金额类型等，并进一步支持构建实体关联关系。</w:t>
      </w:r>
    </w:p>
    <w:p w14:paraId="0EA66A0A"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针对本项目法制监督所需要的从文书卷宗中获得信息，进行提取。对不多于20种刑事法律文书进行信息提取。</w:t>
      </w:r>
    </w:p>
    <w:p w14:paraId="213EBDE1"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4）刑事法律文书文本特征分析</w:t>
      </w:r>
    </w:p>
    <w:p w14:paraId="7F0715B6"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文本特征分析是基于特征</w:t>
      </w:r>
      <w:proofErr w:type="gramStart"/>
      <w:r>
        <w:rPr>
          <w:rFonts w:ascii="仿宋_GB2312" w:eastAsia="仿宋_GB2312" w:hAnsi="仿宋_GB2312" w:cs="仿宋_GB2312" w:hint="eastAsia"/>
          <w:sz w:val="32"/>
          <w:szCs w:val="32"/>
        </w:rPr>
        <w:t>词发现</w:t>
      </w:r>
      <w:proofErr w:type="gramEnd"/>
      <w:r>
        <w:rPr>
          <w:rFonts w:ascii="仿宋_GB2312" w:eastAsia="仿宋_GB2312" w:hAnsi="仿宋_GB2312" w:cs="仿宋_GB2312" w:hint="eastAsia"/>
          <w:sz w:val="32"/>
          <w:szCs w:val="32"/>
        </w:rPr>
        <w:t>技术和语义相关性分析，对整篇文书、长文本或短语进行分析，实现文本关键词提取、关联关键词提示等，可进一步支持文本相似匹配、相关搜索推荐等应用需求。</w:t>
      </w:r>
    </w:p>
    <w:p w14:paraId="4DD8D111"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用于校验提取的内容是否符合案件事实.</w:t>
      </w:r>
    </w:p>
    <w:p w14:paraId="11D94D06" w14:textId="77777777" w:rsidR="00B02C6E" w:rsidRDefault="00B02C6E" w:rsidP="00B02C6E">
      <w:pPr>
        <w:pStyle w:val="5"/>
        <w:numPr>
          <w:ilvl w:val="4"/>
          <w:numId w:val="0"/>
        </w:num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（2）政法跨部门数据交换共享需求</w:t>
      </w:r>
    </w:p>
    <w:p w14:paraId="586C9C78"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1）政法跨部门数据交换共享基础通道开发</w:t>
      </w:r>
    </w:p>
    <w:p w14:paraId="59BB97C3"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搭建政法跨部门的数据交换共享通道，用于各政法单位间通过该通道交换本项目建设中所需要的非协同案件数据</w:t>
      </w:r>
    </w:p>
    <w:p w14:paraId="0CB9EA76"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2）执法监督需要的非案件协同数据交换共享</w:t>
      </w:r>
    </w:p>
    <w:p w14:paraId="53646371"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政法委执法监督及各</w:t>
      </w:r>
      <w:proofErr w:type="gramStart"/>
      <w:r>
        <w:rPr>
          <w:rFonts w:ascii="仿宋_GB2312" w:eastAsia="仿宋_GB2312" w:hAnsi="仿宋_GB2312" w:cs="仿宋_GB2312" w:hint="eastAsia"/>
          <w:sz w:val="32"/>
          <w:szCs w:val="32"/>
        </w:rPr>
        <w:t>政法委本项目</w:t>
      </w:r>
      <w:proofErr w:type="gramEnd"/>
      <w:r>
        <w:rPr>
          <w:rFonts w:ascii="仿宋_GB2312" w:eastAsia="仿宋_GB2312" w:hAnsi="仿宋_GB2312" w:cs="仿宋_GB2312" w:hint="eastAsia"/>
          <w:sz w:val="32"/>
          <w:szCs w:val="32"/>
        </w:rPr>
        <w:t>建设中所需非案件协同数据的交换共享</w:t>
      </w:r>
    </w:p>
    <w:p w14:paraId="4D47D731" w14:textId="77777777" w:rsidR="00B02C6E" w:rsidRDefault="00B02C6E" w:rsidP="00B02C6E">
      <w:pPr>
        <w:pStyle w:val="6"/>
        <w:numPr>
          <w:ilvl w:val="5"/>
          <w:numId w:val="0"/>
        </w:num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3）政法跨部门数据资源共享目录</w:t>
      </w:r>
    </w:p>
    <w:p w14:paraId="5817574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基于案件协同数据、本项目建设中</w:t>
      </w:r>
      <w:proofErr w:type="gramStart"/>
      <w:r>
        <w:rPr>
          <w:rFonts w:ascii="仿宋_GB2312" w:eastAsia="仿宋_GB2312" w:hAnsi="仿宋_GB2312" w:cs="仿宋_GB2312" w:hint="eastAsia"/>
          <w:sz w:val="32"/>
          <w:szCs w:val="32"/>
        </w:rPr>
        <w:t>各家可</w:t>
      </w:r>
      <w:proofErr w:type="gramEnd"/>
      <w:r>
        <w:rPr>
          <w:rFonts w:ascii="仿宋_GB2312" w:eastAsia="仿宋_GB2312" w:hAnsi="仿宋_GB2312" w:cs="仿宋_GB2312" w:hint="eastAsia"/>
          <w:sz w:val="32"/>
          <w:szCs w:val="32"/>
        </w:rPr>
        <w:t>共享的数据资源情况，按照统一的信息资源目录体系标准，对相关信息资源进行编目，形成政法各单位共享信息资源目录，记录信息资源结构和信息资源属性。</w:t>
      </w:r>
    </w:p>
    <w:p w14:paraId="127C2EE4"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针对政法跨部门平台沉淀的刑事案件数据按照政法单位实际需求定期实现数据采集、数据转换、数据同步等数据处理工作。具体包括：</w:t>
      </w:r>
    </w:p>
    <w:p w14:paraId="411F8A1D"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（1）明确收集的案件协同数据类型和范围。</w:t>
      </w:r>
    </w:p>
    <w:p w14:paraId="72025798"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（2）根据案件协同数据采集、存储、管理的需要，选择合适的采集方法、存储方式和工具、并确定案件协同数据仓库的规范和标准。</w:t>
      </w:r>
    </w:p>
    <w:p w14:paraId="5EE752FC"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（3）开发数据采集程序，从刑事跨部门平台生产库中采集所需的案件协同数据。</w:t>
      </w:r>
    </w:p>
    <w:p w14:paraId="6B67759F"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（4）开发数据存储程序，将采集的数据存储在跨部门平台的数据仓库中，以便进行下一步的分析和处理。</w:t>
      </w:r>
    </w:p>
    <w:p w14:paraId="7B183A10"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（5）开发数据清洗和处理程序，读取数据仓库的数据并对案件协同数据进行相应的清洗和处理，再存储到文件中。</w:t>
      </w:r>
    </w:p>
    <w:p w14:paraId="6B7867D4"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（6）为整合利用案件协同信息资源，根据业务需求，按照制定的协同信息资源目录体系标准，对跨部门平台数据仓库中的数据进行编目，生成政法各单位共享信息资源目录。</w:t>
      </w:r>
    </w:p>
    <w:p w14:paraId="05341F23" w14:textId="77777777" w:rsidR="00B02C6E" w:rsidRDefault="00B02C6E" w:rsidP="00B02C6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（7）对于获取到的新数据资产可通过记录资产基本属性信息和信息数据项，进行分类登记后进行发布，成为数据资产目录的一部分。</w:t>
      </w:r>
    </w:p>
    <w:p w14:paraId="3B9B4394"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根据一期项目建设成果及本期项目计划建设内容，政法跨部门数据资产目录预计包括原始库、主题库、专题库等内容：</w:t>
      </w:r>
    </w:p>
    <w:p w14:paraId="4E7C51A4"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（1）建设58个原始库：一期55个协同流程、二期的三个新增流程（未成年人附条件不起诉、未成年人犯罪记录封存/解除通知、法律帮助（随案））</w:t>
      </w:r>
    </w:p>
    <w:p w14:paraId="1254E85B"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（2）建设4个刑事</w:t>
      </w:r>
      <w:proofErr w:type="gramStart"/>
      <w:r>
        <w:rPr>
          <w:rFonts w:ascii="仿宋_GB2312" w:eastAsia="仿宋_GB2312" w:hAnsi="仿宋_GB2312" w:cs="仿宋_GB2312" w:hint="eastAsia"/>
          <w:sz w:val="32"/>
          <w:szCs w:val="32"/>
        </w:rPr>
        <w:t>案件政法主</w:t>
      </w:r>
      <w:proofErr w:type="gramEnd"/>
      <w:r>
        <w:rPr>
          <w:rFonts w:ascii="仿宋_GB2312" w:eastAsia="仿宋_GB2312" w:hAnsi="仿宋_GB2312" w:cs="仿宋_GB2312" w:hint="eastAsia"/>
          <w:sz w:val="32"/>
          <w:szCs w:val="32"/>
        </w:rPr>
        <w:t>题库：案件信息主题库、嫌疑人/罪犯主题库，未成年人刑事犯罪主题库、高频案由违法主题库</w:t>
      </w:r>
    </w:p>
    <w:p w14:paraId="5E62B47D"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（3）建设2个专题库：案件办理超期案件专题库、涉案财物风险预警专题库。</w:t>
      </w:r>
    </w:p>
    <w:p w14:paraId="0BB2F98D" w14:textId="77777777" w:rsidR="00B02C6E" w:rsidRDefault="00B02C6E" w:rsidP="00B02C6E">
      <w:pPr>
        <w:pStyle w:val="2"/>
        <w:numPr>
          <w:ilvl w:val="1"/>
          <w:numId w:val="0"/>
        </w:numPr>
        <w:spacing w:before="0" w:after="0" w:line="560" w:lineRule="exact"/>
        <w:rPr>
          <w:b/>
          <w:bCs w:val="0"/>
          <w:sz w:val="32"/>
          <w:szCs w:val="36"/>
        </w:rPr>
      </w:pPr>
      <w:r>
        <w:rPr>
          <w:rFonts w:hint="eastAsia"/>
          <w:b/>
          <w:bCs w:val="0"/>
          <w:sz w:val="32"/>
          <w:szCs w:val="36"/>
        </w:rPr>
        <w:t>五、信息化基础设施建设要求</w:t>
      </w:r>
    </w:p>
    <w:p w14:paraId="6C1C5D67" w14:textId="77777777" w:rsidR="00B02C6E" w:rsidRDefault="00B02C6E" w:rsidP="00B02C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新增采购防火墙、入侵防御系统、漏洞扫描系统、WEB应用安全防护系统、安全审计系统、入侵检测系统、可信边界安全网关、交换机、集控探针、路由器等13台设备，用于提高关键节点冗余备份，增强网络安全的保护能力。对应的设备参数要求如下。</w:t>
      </w:r>
    </w:p>
    <w:p w14:paraId="173827B0" w14:textId="77777777" w:rsidR="00B02C6E" w:rsidRDefault="00B02C6E" w:rsidP="00B02C6E">
      <w:pPr>
        <w:pStyle w:val="3"/>
        <w:numPr>
          <w:ilvl w:val="2"/>
          <w:numId w:val="0"/>
        </w:numPr>
        <w:spacing w:before="0" w:after="0" w:line="560" w:lineRule="exact"/>
        <w:rPr>
          <w:rFonts w:ascii="仿宋_GB2312" w:eastAsia="仿宋_GB2312" w:hAnsi="仿宋_GB2312" w:cs="仿宋_GB2312"/>
          <w:sz w:val="32"/>
        </w:rPr>
      </w:pPr>
      <w:r>
        <w:rPr>
          <w:rFonts w:ascii="仿宋_GB2312" w:eastAsia="仿宋_GB2312" w:hAnsi="仿宋_GB2312" w:cs="仿宋_GB2312" w:hint="eastAsia"/>
          <w:sz w:val="32"/>
        </w:rPr>
        <w:t>（一）防火墙（万兆）1套</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7262"/>
      </w:tblGrid>
      <w:tr w:rsidR="00B02C6E" w14:paraId="5A772AC5" w14:textId="77777777" w:rsidTr="00453BF8">
        <w:trPr>
          <w:trHeight w:val="20"/>
          <w:jc w:val="center"/>
        </w:trPr>
        <w:tc>
          <w:tcPr>
            <w:tcW w:w="1594" w:type="dxa"/>
            <w:vAlign w:val="center"/>
          </w:tcPr>
          <w:p w14:paraId="60575ABC" w14:textId="77777777" w:rsidR="00B02C6E" w:rsidRDefault="00B02C6E" w:rsidP="00453BF8">
            <w:pPr>
              <w:spacing w:line="560" w:lineRule="exact"/>
              <w:jc w:val="center"/>
              <w:rPr>
                <w:rFonts w:ascii="仿宋_GB2312" w:eastAsia="仿宋_GB2312" w:hAnsi="仿宋_GB2312" w:cs="仿宋_GB2312"/>
                <w:b/>
                <w:bCs/>
                <w:kern w:val="0"/>
                <w:sz w:val="32"/>
                <w:szCs w:val="32"/>
              </w:rPr>
            </w:pPr>
            <w:bookmarkStart w:id="49" w:name="_Hlk65573301"/>
            <w:r>
              <w:rPr>
                <w:rFonts w:ascii="仿宋_GB2312" w:eastAsia="仿宋_GB2312" w:hAnsi="仿宋_GB2312" w:cs="仿宋_GB2312" w:hint="eastAsia"/>
                <w:b/>
                <w:bCs/>
                <w:kern w:val="0"/>
                <w:sz w:val="32"/>
                <w:szCs w:val="32"/>
              </w:rPr>
              <w:t>指标项</w:t>
            </w:r>
          </w:p>
        </w:tc>
        <w:tc>
          <w:tcPr>
            <w:tcW w:w="7262" w:type="dxa"/>
            <w:vAlign w:val="center"/>
          </w:tcPr>
          <w:p w14:paraId="1240C94C" w14:textId="77777777" w:rsidR="00B02C6E" w:rsidRDefault="00B02C6E" w:rsidP="00453BF8">
            <w:pPr>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参数要求</w:t>
            </w:r>
          </w:p>
        </w:tc>
      </w:tr>
      <w:tr w:rsidR="00B02C6E" w14:paraId="5D015FC5" w14:textId="77777777" w:rsidTr="00453BF8">
        <w:trPr>
          <w:trHeight w:val="20"/>
          <w:jc w:val="center"/>
        </w:trPr>
        <w:tc>
          <w:tcPr>
            <w:tcW w:w="1594" w:type="dxa"/>
            <w:vAlign w:val="center"/>
          </w:tcPr>
          <w:p w14:paraId="28B0B051"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基本要求</w:t>
            </w:r>
          </w:p>
        </w:tc>
        <w:tc>
          <w:tcPr>
            <w:tcW w:w="7262" w:type="dxa"/>
            <w:vAlign w:val="center"/>
          </w:tcPr>
          <w:p w14:paraId="1D68EAB8" w14:textId="77777777" w:rsidR="00B02C6E" w:rsidRDefault="00B02C6E" w:rsidP="00453BF8">
            <w:pPr>
              <w:spacing w:line="560" w:lineRule="exact"/>
              <w:rPr>
                <w:rFonts w:ascii="仿宋_GB2312" w:eastAsia="仿宋_GB2312" w:hAnsi="仿宋_GB2312" w:cs="仿宋_GB2312"/>
                <w:color w:val="000000"/>
                <w:sz w:val="32"/>
                <w:szCs w:val="32"/>
              </w:rPr>
            </w:pPr>
            <w:r w:rsidRPr="00882CE3">
              <w:rPr>
                <w:rStyle w:val="font91"/>
                <w:rFonts w:ascii="仿宋_GB2312" w:eastAsia="仿宋_GB2312" w:hAnsi="仿宋_GB2312" w:cs="仿宋_GB2312"/>
                <w:sz w:val="32"/>
                <w:szCs w:val="32"/>
              </w:rPr>
              <w:t>CPU</w:t>
            </w:r>
            <w:r w:rsidRPr="00882CE3">
              <w:rPr>
                <w:rStyle w:val="font91"/>
                <w:rFonts w:ascii="仿宋_GB2312" w:eastAsia="仿宋_GB2312" w:hAnsi="仿宋_GB2312" w:cs="仿宋_GB2312" w:hint="eastAsia"/>
                <w:sz w:val="32"/>
                <w:szCs w:val="32"/>
              </w:rPr>
              <w:t>：国产芯片（≥</w:t>
            </w:r>
            <w:r w:rsidRPr="00882CE3">
              <w:rPr>
                <w:rStyle w:val="font91"/>
                <w:rFonts w:ascii="仿宋_GB2312" w:eastAsia="仿宋_GB2312" w:hAnsi="仿宋_GB2312" w:cs="仿宋_GB2312"/>
                <w:sz w:val="32"/>
                <w:szCs w:val="32"/>
              </w:rPr>
              <w:t>1.5GHz</w:t>
            </w:r>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16</w:t>
            </w:r>
            <w:r w:rsidRPr="00882CE3">
              <w:rPr>
                <w:rStyle w:val="font91"/>
                <w:rFonts w:ascii="仿宋_GB2312" w:eastAsia="仿宋_GB2312" w:hAnsi="仿宋_GB2312" w:cs="仿宋_GB2312" w:hint="eastAsia"/>
                <w:sz w:val="32"/>
                <w:szCs w:val="32"/>
              </w:rPr>
              <w:t>核），操作系统：国产操作系统</w:t>
            </w:r>
            <w:r w:rsidRPr="00882CE3">
              <w:rPr>
                <w:rStyle w:val="font91"/>
                <w:rFonts w:ascii="仿宋_GB2312" w:eastAsia="仿宋_GB2312" w:hAnsi="仿宋_GB2312" w:cs="仿宋_GB2312"/>
                <w:sz w:val="32"/>
                <w:szCs w:val="32"/>
              </w:rPr>
              <w:t xml:space="preserve"> </w:t>
            </w:r>
            <w:r w:rsidRPr="00882CE3">
              <w:rPr>
                <w:rStyle w:val="font91"/>
                <w:rFonts w:ascii="仿宋_GB2312" w:eastAsia="仿宋_GB2312" w:hAnsi="仿宋_GB2312" w:cs="仿宋_GB2312" w:hint="eastAsia"/>
                <w:sz w:val="32"/>
                <w:szCs w:val="32"/>
              </w:rPr>
              <w:t>内存：≥</w:t>
            </w:r>
            <w:r w:rsidRPr="00882CE3">
              <w:rPr>
                <w:rStyle w:val="font91"/>
                <w:rFonts w:ascii="仿宋_GB2312" w:eastAsia="仿宋_GB2312" w:hAnsi="仿宋_GB2312" w:cs="仿宋_GB2312"/>
                <w:sz w:val="32"/>
                <w:szCs w:val="32"/>
              </w:rPr>
              <w:t>64GB</w:t>
            </w:r>
            <w:r w:rsidRPr="00882CE3">
              <w:rPr>
                <w:rStyle w:val="font91"/>
                <w:rFonts w:ascii="仿宋_GB2312" w:eastAsia="仿宋_GB2312" w:hAnsi="仿宋_GB2312" w:cs="仿宋_GB2312" w:hint="eastAsia"/>
                <w:sz w:val="32"/>
                <w:szCs w:val="32"/>
              </w:rPr>
              <w:t>，硬盘：≥</w:t>
            </w:r>
            <w:r w:rsidRPr="00882CE3">
              <w:rPr>
                <w:rStyle w:val="font91"/>
                <w:rFonts w:ascii="仿宋_GB2312" w:eastAsia="仿宋_GB2312" w:hAnsi="仿宋_GB2312" w:cs="仿宋_GB2312"/>
                <w:sz w:val="32"/>
                <w:szCs w:val="32"/>
              </w:rPr>
              <w:t>1TB</w:t>
            </w:r>
            <w:r w:rsidRPr="00882CE3">
              <w:rPr>
                <w:rStyle w:val="font91"/>
                <w:rFonts w:ascii="仿宋_GB2312" w:eastAsia="仿宋_GB2312" w:hAnsi="仿宋_GB2312" w:cs="仿宋_GB2312" w:hint="eastAsia"/>
                <w:sz w:val="32"/>
                <w:szCs w:val="32"/>
              </w:rPr>
              <w:t>；标准</w:t>
            </w:r>
            <w:r w:rsidRPr="00882CE3">
              <w:rPr>
                <w:rStyle w:val="font91"/>
                <w:rFonts w:ascii="仿宋_GB2312" w:eastAsia="仿宋_GB2312" w:hAnsi="仿宋_GB2312" w:cs="仿宋_GB2312"/>
                <w:sz w:val="32"/>
                <w:szCs w:val="32"/>
              </w:rPr>
              <w:t>2U</w:t>
            </w:r>
            <w:r w:rsidRPr="00882CE3">
              <w:rPr>
                <w:rStyle w:val="font91"/>
                <w:rFonts w:ascii="仿宋_GB2312" w:eastAsia="仿宋_GB2312" w:hAnsi="仿宋_GB2312" w:cs="仿宋_GB2312" w:hint="eastAsia"/>
                <w:sz w:val="32"/>
                <w:szCs w:val="32"/>
              </w:rPr>
              <w:t>机架式，冗余电源；≥</w:t>
            </w:r>
            <w:r w:rsidRPr="00882CE3">
              <w:rPr>
                <w:rStyle w:val="font91"/>
                <w:rFonts w:ascii="仿宋_GB2312" w:eastAsia="仿宋_GB2312" w:hAnsi="仿宋_GB2312" w:cs="仿宋_GB2312"/>
                <w:sz w:val="32"/>
                <w:szCs w:val="32"/>
              </w:rPr>
              <w:t>6</w:t>
            </w:r>
            <w:r w:rsidRPr="00882CE3">
              <w:rPr>
                <w:rStyle w:val="font91"/>
                <w:rFonts w:ascii="仿宋_GB2312" w:eastAsia="仿宋_GB2312" w:hAnsi="仿宋_GB2312" w:cs="仿宋_GB2312" w:hint="eastAsia"/>
                <w:sz w:val="32"/>
                <w:szCs w:val="32"/>
              </w:rPr>
              <w:t>个</w:t>
            </w:r>
            <w:proofErr w:type="gramStart"/>
            <w:r w:rsidRPr="00882CE3">
              <w:rPr>
                <w:rStyle w:val="font91"/>
                <w:rFonts w:ascii="仿宋_GB2312" w:eastAsia="仿宋_GB2312" w:hAnsi="仿宋_GB2312" w:cs="仿宋_GB2312" w:hint="eastAsia"/>
                <w:sz w:val="32"/>
                <w:szCs w:val="32"/>
              </w:rPr>
              <w:t>千兆电口</w:t>
            </w:r>
            <w:proofErr w:type="gramEnd"/>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2</w:t>
            </w:r>
            <w:r w:rsidRPr="00882CE3">
              <w:rPr>
                <w:rStyle w:val="font91"/>
                <w:rFonts w:ascii="仿宋_GB2312" w:eastAsia="仿宋_GB2312" w:hAnsi="仿宋_GB2312" w:cs="仿宋_GB2312" w:hint="eastAsia"/>
                <w:sz w:val="32"/>
                <w:szCs w:val="32"/>
              </w:rPr>
              <w:t>个千兆</w:t>
            </w:r>
            <w:r w:rsidRPr="00882CE3">
              <w:rPr>
                <w:rStyle w:val="font91"/>
                <w:rFonts w:ascii="仿宋_GB2312" w:eastAsia="仿宋_GB2312" w:hAnsi="仿宋_GB2312" w:cs="仿宋_GB2312"/>
                <w:sz w:val="32"/>
                <w:szCs w:val="32"/>
              </w:rPr>
              <w:t>SFP</w:t>
            </w:r>
            <w:r w:rsidRPr="00882CE3">
              <w:rPr>
                <w:rStyle w:val="font91"/>
                <w:rFonts w:ascii="仿宋_GB2312" w:eastAsia="仿宋_GB2312" w:hAnsi="仿宋_GB2312" w:cs="仿宋_GB2312" w:hint="eastAsia"/>
                <w:sz w:val="32"/>
                <w:szCs w:val="32"/>
              </w:rPr>
              <w:t>插槽，≥</w:t>
            </w:r>
            <w:r w:rsidRPr="00882CE3">
              <w:rPr>
                <w:rStyle w:val="font91"/>
                <w:rFonts w:ascii="仿宋_GB2312" w:eastAsia="仿宋_GB2312" w:hAnsi="仿宋_GB2312" w:cs="仿宋_GB2312"/>
                <w:sz w:val="32"/>
                <w:szCs w:val="32"/>
              </w:rPr>
              <w:t>24</w:t>
            </w:r>
            <w:r w:rsidRPr="00882CE3">
              <w:rPr>
                <w:rStyle w:val="font91"/>
                <w:rFonts w:ascii="仿宋_GB2312" w:eastAsia="仿宋_GB2312" w:hAnsi="仿宋_GB2312" w:cs="仿宋_GB2312" w:hint="eastAsia"/>
                <w:sz w:val="32"/>
                <w:szCs w:val="32"/>
              </w:rPr>
              <w:t>个万兆</w:t>
            </w:r>
            <w:r w:rsidRPr="00882CE3">
              <w:rPr>
                <w:rStyle w:val="font91"/>
                <w:rFonts w:ascii="仿宋_GB2312" w:eastAsia="仿宋_GB2312" w:hAnsi="仿宋_GB2312" w:cs="仿宋_GB2312"/>
                <w:sz w:val="32"/>
                <w:szCs w:val="32"/>
              </w:rPr>
              <w:t>SFP+</w:t>
            </w:r>
            <w:r w:rsidRPr="00882CE3">
              <w:rPr>
                <w:rStyle w:val="font91"/>
                <w:rFonts w:ascii="仿宋_GB2312" w:eastAsia="仿宋_GB2312" w:hAnsi="仿宋_GB2312" w:cs="仿宋_GB2312" w:hint="eastAsia"/>
                <w:sz w:val="32"/>
                <w:szCs w:val="32"/>
              </w:rPr>
              <w:t>插槽（含</w:t>
            </w:r>
            <w:r w:rsidRPr="00882CE3">
              <w:rPr>
                <w:rStyle w:val="font91"/>
                <w:rFonts w:ascii="仿宋_GB2312" w:eastAsia="仿宋_GB2312" w:hAnsi="仿宋_GB2312" w:cs="仿宋_GB2312"/>
                <w:sz w:val="32"/>
                <w:szCs w:val="32"/>
              </w:rPr>
              <w:t>2</w:t>
            </w:r>
            <w:r w:rsidRPr="00882CE3">
              <w:rPr>
                <w:rStyle w:val="font91"/>
                <w:rFonts w:ascii="仿宋_GB2312" w:eastAsia="仿宋_GB2312" w:hAnsi="仿宋_GB2312" w:cs="仿宋_GB2312" w:hint="eastAsia"/>
                <w:sz w:val="32"/>
                <w:szCs w:val="32"/>
              </w:rPr>
              <w:t>个万兆多模模块、</w:t>
            </w:r>
            <w:r w:rsidRPr="00882CE3">
              <w:rPr>
                <w:rStyle w:val="font91"/>
                <w:rFonts w:ascii="仿宋_GB2312" w:eastAsia="仿宋_GB2312" w:hAnsi="仿宋_GB2312" w:cs="仿宋_GB2312"/>
                <w:sz w:val="32"/>
                <w:szCs w:val="32"/>
              </w:rPr>
              <w:t>2</w:t>
            </w:r>
            <w:r w:rsidRPr="00882CE3">
              <w:rPr>
                <w:rStyle w:val="font91"/>
                <w:rFonts w:ascii="仿宋_GB2312" w:eastAsia="仿宋_GB2312" w:hAnsi="仿宋_GB2312" w:cs="仿宋_GB2312" w:hint="eastAsia"/>
                <w:sz w:val="32"/>
                <w:szCs w:val="32"/>
              </w:rPr>
              <w:t>个万兆单模模块），≥</w:t>
            </w:r>
            <w:r w:rsidRPr="00882CE3">
              <w:rPr>
                <w:rStyle w:val="font91"/>
                <w:rFonts w:ascii="仿宋_GB2312" w:eastAsia="仿宋_GB2312" w:hAnsi="仿宋_GB2312" w:cs="仿宋_GB2312"/>
                <w:sz w:val="32"/>
                <w:szCs w:val="32"/>
              </w:rPr>
              <w:t>1</w:t>
            </w:r>
            <w:r w:rsidRPr="00882CE3">
              <w:rPr>
                <w:rStyle w:val="font91"/>
                <w:rFonts w:ascii="仿宋_GB2312" w:eastAsia="仿宋_GB2312" w:hAnsi="仿宋_GB2312" w:cs="仿宋_GB2312" w:hint="eastAsia"/>
                <w:sz w:val="32"/>
                <w:szCs w:val="32"/>
              </w:rPr>
              <w:t>个扩展槽位；</w:t>
            </w:r>
            <w:proofErr w:type="gramStart"/>
            <w:r w:rsidRPr="00882CE3">
              <w:rPr>
                <w:rStyle w:val="font91"/>
                <w:rFonts w:ascii="仿宋_GB2312" w:eastAsia="仿宋_GB2312" w:hAnsi="仿宋_GB2312" w:cs="仿宋_GB2312" w:hint="eastAsia"/>
                <w:sz w:val="32"/>
                <w:szCs w:val="32"/>
              </w:rPr>
              <w:t>含防病毒</w:t>
            </w:r>
            <w:proofErr w:type="gramEnd"/>
            <w:r w:rsidRPr="00882CE3">
              <w:rPr>
                <w:rStyle w:val="font91"/>
                <w:rFonts w:ascii="仿宋_GB2312" w:eastAsia="仿宋_GB2312" w:hAnsi="仿宋_GB2312" w:cs="仿宋_GB2312" w:hint="eastAsia"/>
                <w:sz w:val="32"/>
                <w:szCs w:val="32"/>
              </w:rPr>
              <w:t>特征库授权。</w:t>
            </w:r>
          </w:p>
        </w:tc>
      </w:tr>
      <w:tr w:rsidR="00B02C6E" w14:paraId="32AEA899" w14:textId="77777777" w:rsidTr="00453BF8">
        <w:trPr>
          <w:trHeight w:val="20"/>
          <w:jc w:val="center"/>
        </w:trPr>
        <w:tc>
          <w:tcPr>
            <w:tcW w:w="1594" w:type="dxa"/>
            <w:vAlign w:val="center"/>
          </w:tcPr>
          <w:p w14:paraId="18C3FAFC"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性能要求</w:t>
            </w:r>
          </w:p>
        </w:tc>
        <w:tc>
          <w:tcPr>
            <w:tcW w:w="7262" w:type="dxa"/>
            <w:vAlign w:val="center"/>
          </w:tcPr>
          <w:p w14:paraId="31805709" w14:textId="77777777" w:rsidR="00B02C6E" w:rsidRDefault="00B02C6E" w:rsidP="00453BF8">
            <w:pPr>
              <w:spacing w:line="560" w:lineRule="exact"/>
              <w:rPr>
                <w:rStyle w:val="font91"/>
                <w:rFonts w:ascii="仿宋_GB2312" w:eastAsia="仿宋_GB2312" w:hAnsi="仿宋_GB2312" w:cs="仿宋_GB2312"/>
                <w:b/>
                <w:bCs/>
                <w:sz w:val="32"/>
                <w:szCs w:val="32"/>
              </w:rPr>
            </w:pPr>
            <w:r>
              <w:rPr>
                <w:rStyle w:val="font91"/>
                <w:rFonts w:ascii="仿宋_GB2312" w:eastAsia="仿宋_GB2312" w:hAnsi="仿宋_GB2312" w:cs="仿宋_GB2312" w:hint="eastAsia"/>
                <w:b/>
                <w:bCs/>
                <w:sz w:val="32"/>
                <w:szCs w:val="32"/>
              </w:rPr>
              <w:t>整机网络层吞吐量(双向) IPv4 ≥235000Mbps；</w:t>
            </w:r>
          </w:p>
          <w:p w14:paraId="2397C4AB"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整机网络层吞吐量(双向) IPv6 ≥235000Mbps；</w:t>
            </w:r>
          </w:p>
          <w:p w14:paraId="1060AA24"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整机TCP并发 IPv4  ≥3300万；</w:t>
            </w:r>
          </w:p>
          <w:p w14:paraId="676BEEA2" w14:textId="77777777" w:rsidR="00B02C6E" w:rsidRDefault="00B02C6E" w:rsidP="00453BF8">
            <w:pPr>
              <w:spacing w:line="560" w:lineRule="exact"/>
              <w:rPr>
                <w:rFonts w:ascii="仿宋_GB2312" w:eastAsia="仿宋_GB2312" w:hAnsi="仿宋_GB2312" w:cs="仿宋_GB2312"/>
                <w:color w:val="000000"/>
                <w:sz w:val="32"/>
                <w:szCs w:val="32"/>
              </w:rPr>
            </w:pPr>
            <w:r>
              <w:rPr>
                <w:rStyle w:val="font91"/>
                <w:rFonts w:ascii="仿宋_GB2312" w:eastAsia="仿宋_GB2312" w:hAnsi="仿宋_GB2312" w:cs="仿宋_GB2312" w:hint="eastAsia"/>
                <w:sz w:val="32"/>
                <w:szCs w:val="32"/>
              </w:rPr>
              <w:t>整机TCP并发 IPv6  ≥3300万。</w:t>
            </w:r>
          </w:p>
        </w:tc>
      </w:tr>
      <w:tr w:rsidR="00B02C6E" w14:paraId="4D725585" w14:textId="77777777" w:rsidTr="00453BF8">
        <w:trPr>
          <w:trHeight w:val="20"/>
          <w:jc w:val="center"/>
        </w:trPr>
        <w:tc>
          <w:tcPr>
            <w:tcW w:w="1594" w:type="dxa"/>
            <w:vMerge w:val="restart"/>
            <w:vAlign w:val="center"/>
          </w:tcPr>
          <w:p w14:paraId="7186D710"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操作系统</w:t>
            </w:r>
          </w:p>
        </w:tc>
        <w:tc>
          <w:tcPr>
            <w:tcW w:w="7262" w:type="dxa"/>
            <w:vAlign w:val="center"/>
          </w:tcPr>
          <w:p w14:paraId="5CF566B7" w14:textId="77777777" w:rsidR="00B02C6E" w:rsidRDefault="00B02C6E" w:rsidP="00453BF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多系统设置可在Web界面上完成全部操作</w:t>
            </w:r>
          </w:p>
        </w:tc>
      </w:tr>
      <w:tr w:rsidR="00B02C6E" w14:paraId="37A3F472" w14:textId="77777777" w:rsidTr="00453BF8">
        <w:trPr>
          <w:trHeight w:val="20"/>
          <w:jc w:val="center"/>
        </w:trPr>
        <w:tc>
          <w:tcPr>
            <w:tcW w:w="1594" w:type="dxa"/>
            <w:vMerge/>
            <w:vAlign w:val="center"/>
          </w:tcPr>
          <w:p w14:paraId="36479D65" w14:textId="77777777" w:rsidR="00B02C6E" w:rsidRDefault="00B02C6E" w:rsidP="00453BF8">
            <w:pPr>
              <w:spacing w:line="560" w:lineRule="exact"/>
              <w:jc w:val="center"/>
              <w:rPr>
                <w:rFonts w:ascii="仿宋_GB2312" w:eastAsia="仿宋_GB2312" w:hAnsi="仿宋_GB2312" w:cs="仿宋_GB2312"/>
                <w:sz w:val="32"/>
                <w:szCs w:val="32"/>
              </w:rPr>
            </w:pPr>
          </w:p>
        </w:tc>
        <w:tc>
          <w:tcPr>
            <w:tcW w:w="7262" w:type="dxa"/>
            <w:vAlign w:val="center"/>
          </w:tcPr>
          <w:p w14:paraId="746DE981" w14:textId="77777777" w:rsidR="00B02C6E" w:rsidRDefault="00B02C6E" w:rsidP="00453BF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支持按功能模块的配置导入导出功能</w:t>
            </w:r>
          </w:p>
        </w:tc>
      </w:tr>
      <w:tr w:rsidR="00B02C6E" w14:paraId="7865E6B9" w14:textId="77777777" w:rsidTr="00453BF8">
        <w:trPr>
          <w:trHeight w:val="20"/>
          <w:jc w:val="center"/>
        </w:trPr>
        <w:tc>
          <w:tcPr>
            <w:tcW w:w="1594" w:type="dxa"/>
            <w:vMerge w:val="restart"/>
            <w:vAlign w:val="center"/>
          </w:tcPr>
          <w:p w14:paraId="27E5998D"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网络适应性</w:t>
            </w:r>
          </w:p>
        </w:tc>
        <w:tc>
          <w:tcPr>
            <w:tcW w:w="7262" w:type="dxa"/>
          </w:tcPr>
          <w:p w14:paraId="2E406B6C" w14:textId="77777777" w:rsidR="00B02C6E" w:rsidRDefault="00B02C6E" w:rsidP="00453BF8">
            <w:pPr>
              <w:widowControl/>
              <w:spacing w:line="560" w:lineRule="exact"/>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支持静态路由，动态路由（OSPF、RIP、BGP、ISIS等）</w:t>
            </w:r>
          </w:p>
        </w:tc>
      </w:tr>
      <w:tr w:rsidR="00B02C6E" w14:paraId="3DC4F866" w14:textId="77777777" w:rsidTr="00453BF8">
        <w:trPr>
          <w:trHeight w:val="20"/>
          <w:jc w:val="center"/>
        </w:trPr>
        <w:tc>
          <w:tcPr>
            <w:tcW w:w="1594" w:type="dxa"/>
            <w:vMerge/>
          </w:tcPr>
          <w:p w14:paraId="785134E6" w14:textId="77777777" w:rsidR="00B02C6E" w:rsidRDefault="00B02C6E" w:rsidP="00453BF8">
            <w:pPr>
              <w:spacing w:line="560" w:lineRule="exact"/>
              <w:jc w:val="center"/>
              <w:rPr>
                <w:rFonts w:ascii="仿宋_GB2312" w:eastAsia="仿宋_GB2312" w:hAnsi="仿宋_GB2312" w:cs="仿宋_GB2312"/>
                <w:sz w:val="32"/>
                <w:szCs w:val="32"/>
              </w:rPr>
            </w:pPr>
          </w:p>
        </w:tc>
        <w:tc>
          <w:tcPr>
            <w:tcW w:w="7262" w:type="dxa"/>
          </w:tcPr>
          <w:p w14:paraId="5E6758C2" w14:textId="77777777" w:rsidR="00B02C6E" w:rsidRDefault="00B02C6E" w:rsidP="00453BF8">
            <w:pPr>
              <w:widowControl/>
              <w:spacing w:line="560" w:lineRule="exact"/>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支持针对策略中的源、目的地址进行新建、并发限制，可以针对单IP(或地址范围)进行新建、并发控制</w:t>
            </w:r>
          </w:p>
        </w:tc>
      </w:tr>
      <w:tr w:rsidR="00B02C6E" w14:paraId="4C0BEF86" w14:textId="77777777" w:rsidTr="00453BF8">
        <w:trPr>
          <w:trHeight w:val="20"/>
          <w:jc w:val="center"/>
        </w:trPr>
        <w:tc>
          <w:tcPr>
            <w:tcW w:w="1594" w:type="dxa"/>
            <w:vMerge/>
          </w:tcPr>
          <w:p w14:paraId="487A2670" w14:textId="77777777" w:rsidR="00B02C6E" w:rsidRDefault="00B02C6E" w:rsidP="00453BF8">
            <w:pPr>
              <w:spacing w:line="560" w:lineRule="exact"/>
              <w:jc w:val="center"/>
              <w:rPr>
                <w:rFonts w:ascii="仿宋_GB2312" w:eastAsia="仿宋_GB2312" w:hAnsi="仿宋_GB2312" w:cs="仿宋_GB2312"/>
                <w:sz w:val="32"/>
                <w:szCs w:val="32"/>
              </w:rPr>
            </w:pPr>
          </w:p>
        </w:tc>
        <w:tc>
          <w:tcPr>
            <w:tcW w:w="7262" w:type="dxa"/>
          </w:tcPr>
          <w:p w14:paraId="1121782C" w14:textId="77777777" w:rsidR="00B02C6E" w:rsidRDefault="00B02C6E" w:rsidP="00453BF8">
            <w:pPr>
              <w:widowControl/>
              <w:spacing w:line="560" w:lineRule="exact"/>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▲支持基于文件类型的策略路由，可实现按照不同的分类进行智能选路，提供具有CMA或CNAS认证的第三方检测报告；</w:t>
            </w:r>
          </w:p>
        </w:tc>
      </w:tr>
      <w:tr w:rsidR="00B02C6E" w14:paraId="315D4D8D" w14:textId="77777777" w:rsidTr="00453BF8">
        <w:trPr>
          <w:trHeight w:val="20"/>
          <w:jc w:val="center"/>
        </w:trPr>
        <w:tc>
          <w:tcPr>
            <w:tcW w:w="1594" w:type="dxa"/>
            <w:vMerge/>
          </w:tcPr>
          <w:p w14:paraId="00F0C2B9" w14:textId="77777777" w:rsidR="00B02C6E" w:rsidRDefault="00B02C6E" w:rsidP="00453BF8">
            <w:pPr>
              <w:spacing w:line="560" w:lineRule="exact"/>
              <w:jc w:val="center"/>
              <w:rPr>
                <w:rFonts w:ascii="仿宋_GB2312" w:eastAsia="仿宋_GB2312" w:hAnsi="仿宋_GB2312" w:cs="仿宋_GB2312"/>
                <w:sz w:val="32"/>
                <w:szCs w:val="32"/>
              </w:rPr>
            </w:pPr>
          </w:p>
        </w:tc>
        <w:tc>
          <w:tcPr>
            <w:tcW w:w="7262" w:type="dxa"/>
          </w:tcPr>
          <w:p w14:paraId="2F6ADAEC" w14:textId="77777777" w:rsidR="00B02C6E" w:rsidRDefault="00B02C6E" w:rsidP="00453BF8">
            <w:pPr>
              <w:widowControl/>
              <w:spacing w:line="560" w:lineRule="exact"/>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▲支持一体化安全策略配置，可通过一条策略实现用户认证、IPS、AV、URL过滤、协议控制、流量控制、并发、新建限制、垃圾邮件过滤、审计等功</w:t>
            </w:r>
            <w:r>
              <w:rPr>
                <w:rFonts w:ascii="仿宋_GB2312" w:eastAsia="仿宋_GB2312" w:hAnsi="仿宋_GB2312" w:cs="仿宋_GB2312" w:hint="eastAsia"/>
                <w:bCs/>
                <w:kern w:val="0"/>
                <w:sz w:val="32"/>
                <w:szCs w:val="32"/>
              </w:rPr>
              <w:lastRenderedPageBreak/>
              <w:t>能，提供具有CMA或CNAS认证的第三方检测报告；</w:t>
            </w:r>
          </w:p>
        </w:tc>
      </w:tr>
      <w:tr w:rsidR="00B02C6E" w14:paraId="7D5F75E3" w14:textId="77777777" w:rsidTr="00453BF8">
        <w:trPr>
          <w:trHeight w:val="20"/>
          <w:jc w:val="center"/>
        </w:trPr>
        <w:tc>
          <w:tcPr>
            <w:tcW w:w="1594" w:type="dxa"/>
            <w:vMerge/>
          </w:tcPr>
          <w:p w14:paraId="6374F9F1" w14:textId="77777777" w:rsidR="00B02C6E" w:rsidRDefault="00B02C6E" w:rsidP="00453BF8">
            <w:pPr>
              <w:spacing w:line="560" w:lineRule="exact"/>
              <w:jc w:val="center"/>
              <w:rPr>
                <w:rFonts w:ascii="仿宋_GB2312" w:eastAsia="仿宋_GB2312" w:hAnsi="仿宋_GB2312" w:cs="仿宋_GB2312"/>
                <w:sz w:val="32"/>
                <w:szCs w:val="32"/>
              </w:rPr>
            </w:pPr>
          </w:p>
        </w:tc>
        <w:tc>
          <w:tcPr>
            <w:tcW w:w="7262" w:type="dxa"/>
          </w:tcPr>
          <w:p w14:paraId="19A58156" w14:textId="77777777" w:rsidR="00B02C6E" w:rsidRDefault="00B02C6E" w:rsidP="00453BF8">
            <w:pPr>
              <w:widowControl/>
              <w:spacing w:line="560" w:lineRule="exact"/>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支持数据防泄密功能，可针对SMTP协议主题、正文的敏感信息检测，支持对HTTP协议POST数据的消息体的敏感信息检测，支持对FTP协议上传下载文件内容的敏感信息检测</w:t>
            </w:r>
          </w:p>
        </w:tc>
      </w:tr>
      <w:tr w:rsidR="00B02C6E" w14:paraId="3BC233F2" w14:textId="77777777" w:rsidTr="00453BF8">
        <w:trPr>
          <w:trHeight w:val="20"/>
          <w:jc w:val="center"/>
        </w:trPr>
        <w:tc>
          <w:tcPr>
            <w:tcW w:w="1594" w:type="dxa"/>
            <w:vMerge w:val="restart"/>
            <w:vAlign w:val="center"/>
          </w:tcPr>
          <w:p w14:paraId="523A87C4"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安全日志</w:t>
            </w:r>
          </w:p>
        </w:tc>
        <w:tc>
          <w:tcPr>
            <w:tcW w:w="7262" w:type="dxa"/>
            <w:vAlign w:val="center"/>
          </w:tcPr>
          <w:p w14:paraId="2A773F40" w14:textId="77777777" w:rsidR="00B02C6E" w:rsidRDefault="00B02C6E" w:rsidP="00453BF8">
            <w:pPr>
              <w:widowControl/>
              <w:spacing w:line="560" w:lineRule="exact"/>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支持至少3个Syslog服务器，发送流量、系统或默认3类型日志到不同服务器</w:t>
            </w:r>
          </w:p>
        </w:tc>
      </w:tr>
      <w:tr w:rsidR="00B02C6E" w14:paraId="2EBD7110" w14:textId="77777777" w:rsidTr="00453BF8">
        <w:trPr>
          <w:trHeight w:val="20"/>
          <w:jc w:val="center"/>
        </w:trPr>
        <w:tc>
          <w:tcPr>
            <w:tcW w:w="1594" w:type="dxa"/>
            <w:vMerge/>
            <w:vAlign w:val="center"/>
          </w:tcPr>
          <w:p w14:paraId="244F9F83" w14:textId="77777777" w:rsidR="00B02C6E" w:rsidRDefault="00B02C6E" w:rsidP="00453BF8">
            <w:pPr>
              <w:spacing w:line="560" w:lineRule="exact"/>
              <w:jc w:val="center"/>
              <w:rPr>
                <w:rFonts w:ascii="仿宋_GB2312" w:eastAsia="仿宋_GB2312" w:hAnsi="仿宋_GB2312" w:cs="仿宋_GB2312"/>
                <w:sz w:val="32"/>
                <w:szCs w:val="32"/>
              </w:rPr>
            </w:pPr>
          </w:p>
        </w:tc>
        <w:tc>
          <w:tcPr>
            <w:tcW w:w="7262" w:type="dxa"/>
            <w:vAlign w:val="center"/>
          </w:tcPr>
          <w:p w14:paraId="1DA71AD7" w14:textId="77777777" w:rsidR="00B02C6E" w:rsidRDefault="00B02C6E" w:rsidP="00453BF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支持U盘定时导出日志文件</w:t>
            </w:r>
          </w:p>
        </w:tc>
      </w:tr>
      <w:tr w:rsidR="00B02C6E" w14:paraId="284CEC3B" w14:textId="77777777" w:rsidTr="00453BF8">
        <w:trPr>
          <w:trHeight w:val="20"/>
          <w:jc w:val="center"/>
        </w:trPr>
        <w:tc>
          <w:tcPr>
            <w:tcW w:w="1594" w:type="dxa"/>
            <w:vAlign w:val="center"/>
          </w:tcPr>
          <w:p w14:paraId="34A74D2D"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高可用性</w:t>
            </w:r>
          </w:p>
        </w:tc>
        <w:tc>
          <w:tcPr>
            <w:tcW w:w="7262" w:type="dxa"/>
            <w:vAlign w:val="center"/>
          </w:tcPr>
          <w:p w14:paraId="11489370" w14:textId="77777777" w:rsidR="00B02C6E" w:rsidRDefault="00B02C6E" w:rsidP="00453BF8">
            <w:pPr>
              <w:widowControl/>
              <w:spacing w:line="560" w:lineRule="exact"/>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支持端口联动，支持上下行端口组的联动，可以实现单端口决定同组中的任意接口失效启动链路切换，提供截图证明。</w:t>
            </w:r>
          </w:p>
        </w:tc>
      </w:tr>
    </w:tbl>
    <w:bookmarkEnd w:id="49"/>
    <w:p w14:paraId="2A0F6448" w14:textId="77777777" w:rsidR="00B02C6E" w:rsidRDefault="00B02C6E" w:rsidP="00B02C6E">
      <w:pPr>
        <w:pStyle w:val="3"/>
        <w:numPr>
          <w:ilvl w:val="2"/>
          <w:numId w:val="0"/>
        </w:numPr>
        <w:spacing w:before="0" w:after="0" w:line="560" w:lineRule="exact"/>
        <w:rPr>
          <w:rFonts w:ascii="仿宋_GB2312" w:eastAsia="仿宋_GB2312" w:hAnsi="仿宋_GB2312" w:cs="仿宋_GB2312"/>
          <w:sz w:val="32"/>
        </w:rPr>
      </w:pPr>
      <w:r>
        <w:rPr>
          <w:rFonts w:ascii="仿宋_GB2312" w:eastAsia="仿宋_GB2312" w:hAnsi="仿宋_GB2312" w:cs="仿宋_GB2312" w:hint="eastAsia"/>
          <w:sz w:val="32"/>
        </w:rPr>
        <w:t>（二）入侵防御系统IPS（万兆）2套</w:t>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7245"/>
      </w:tblGrid>
      <w:tr w:rsidR="00B02C6E" w14:paraId="02C575A4" w14:textId="77777777" w:rsidTr="00453BF8">
        <w:trPr>
          <w:trHeight w:val="20"/>
          <w:jc w:val="center"/>
        </w:trPr>
        <w:tc>
          <w:tcPr>
            <w:tcW w:w="1576" w:type="dxa"/>
            <w:vAlign w:val="center"/>
          </w:tcPr>
          <w:p w14:paraId="2B86F79F" w14:textId="77777777" w:rsidR="00B02C6E" w:rsidRDefault="00B02C6E" w:rsidP="00453BF8">
            <w:pPr>
              <w:spacing w:line="560" w:lineRule="exact"/>
              <w:jc w:val="center"/>
              <w:rPr>
                <w:rFonts w:ascii="仿宋_GB2312" w:eastAsia="仿宋_GB2312" w:hAnsi="仿宋_GB2312" w:cs="仿宋_GB2312"/>
                <w:b/>
                <w:bCs/>
                <w:kern w:val="0"/>
                <w:sz w:val="32"/>
                <w:szCs w:val="32"/>
              </w:rPr>
            </w:pPr>
            <w:bookmarkStart w:id="50" w:name="_Hlk72223991"/>
            <w:r>
              <w:rPr>
                <w:rFonts w:ascii="仿宋_GB2312" w:eastAsia="仿宋_GB2312" w:hAnsi="仿宋_GB2312" w:cs="仿宋_GB2312" w:hint="eastAsia"/>
                <w:b/>
                <w:bCs/>
                <w:kern w:val="0"/>
                <w:sz w:val="32"/>
                <w:szCs w:val="32"/>
              </w:rPr>
              <w:t>指标项</w:t>
            </w:r>
          </w:p>
        </w:tc>
        <w:tc>
          <w:tcPr>
            <w:tcW w:w="7245" w:type="dxa"/>
            <w:vAlign w:val="center"/>
          </w:tcPr>
          <w:p w14:paraId="73D663F4" w14:textId="77777777" w:rsidR="00B02C6E" w:rsidRDefault="00B02C6E" w:rsidP="00453BF8">
            <w:pPr>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参数要求</w:t>
            </w:r>
          </w:p>
        </w:tc>
      </w:tr>
      <w:tr w:rsidR="00B02C6E" w14:paraId="2BC198A0" w14:textId="77777777" w:rsidTr="00453BF8">
        <w:trPr>
          <w:trHeight w:val="20"/>
          <w:jc w:val="center"/>
        </w:trPr>
        <w:tc>
          <w:tcPr>
            <w:tcW w:w="1576" w:type="dxa"/>
            <w:vAlign w:val="center"/>
          </w:tcPr>
          <w:p w14:paraId="6C3EBA90"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基本要求</w:t>
            </w:r>
          </w:p>
        </w:tc>
        <w:tc>
          <w:tcPr>
            <w:tcW w:w="7245" w:type="dxa"/>
            <w:vAlign w:val="center"/>
          </w:tcPr>
          <w:p w14:paraId="3D882A0A"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CPU:国产芯片（≥1.5GHz，≥16核），操作系统：国产操作系统 内存：≥32GB，硬盘：≥128G SSD；标准2U机架式，冗余电源，专用硬件架构平台；配置≥6个</w:t>
            </w:r>
            <w:proofErr w:type="gramStart"/>
            <w:r>
              <w:rPr>
                <w:rStyle w:val="font91"/>
                <w:rFonts w:ascii="仿宋_GB2312" w:eastAsia="仿宋_GB2312" w:hAnsi="仿宋_GB2312" w:cs="仿宋_GB2312" w:hint="eastAsia"/>
                <w:sz w:val="32"/>
                <w:szCs w:val="32"/>
              </w:rPr>
              <w:t>千兆电口</w:t>
            </w:r>
            <w:proofErr w:type="gramEnd"/>
            <w:r>
              <w:rPr>
                <w:rStyle w:val="font91"/>
                <w:rFonts w:ascii="仿宋_GB2312" w:eastAsia="仿宋_GB2312" w:hAnsi="仿宋_GB2312" w:cs="仿宋_GB2312" w:hint="eastAsia"/>
                <w:sz w:val="32"/>
                <w:szCs w:val="32"/>
              </w:rPr>
              <w:t>，≥2个千兆SFP插槽，≥8个万兆SFP+插槽（含2个万兆多模模块），≥3个扩展槽位。</w:t>
            </w:r>
          </w:p>
        </w:tc>
      </w:tr>
      <w:tr w:rsidR="00B02C6E" w14:paraId="45D2E542" w14:textId="77777777" w:rsidTr="00453BF8">
        <w:trPr>
          <w:trHeight w:val="20"/>
          <w:jc w:val="center"/>
        </w:trPr>
        <w:tc>
          <w:tcPr>
            <w:tcW w:w="1576" w:type="dxa"/>
            <w:vAlign w:val="center"/>
          </w:tcPr>
          <w:p w14:paraId="3D09078B"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性能要求</w:t>
            </w:r>
          </w:p>
        </w:tc>
        <w:tc>
          <w:tcPr>
            <w:tcW w:w="7245" w:type="dxa"/>
            <w:vAlign w:val="center"/>
          </w:tcPr>
          <w:p w14:paraId="1E733C09" w14:textId="77777777" w:rsidR="00B02C6E" w:rsidRDefault="00B02C6E" w:rsidP="00453BF8">
            <w:pPr>
              <w:spacing w:line="560" w:lineRule="exact"/>
              <w:rPr>
                <w:rStyle w:val="font91"/>
                <w:rFonts w:ascii="仿宋_GB2312" w:eastAsia="仿宋_GB2312" w:hAnsi="仿宋_GB2312" w:cs="仿宋_GB2312"/>
                <w:sz w:val="32"/>
                <w:szCs w:val="32"/>
              </w:rPr>
            </w:pPr>
            <w:r w:rsidRPr="00882CE3">
              <w:rPr>
                <w:rStyle w:val="font91"/>
                <w:rFonts w:ascii="仿宋_GB2312" w:eastAsia="仿宋_GB2312" w:hAnsi="仿宋_GB2312" w:cs="仿宋_GB2312" w:hint="eastAsia"/>
                <w:b/>
                <w:bCs/>
                <w:sz w:val="32"/>
                <w:szCs w:val="32"/>
              </w:rPr>
              <w:t>▲</w:t>
            </w:r>
            <w:proofErr w:type="gramStart"/>
            <w:r w:rsidRPr="00882CE3">
              <w:rPr>
                <w:rStyle w:val="font91"/>
                <w:rFonts w:ascii="仿宋_GB2312" w:eastAsia="仿宋_GB2312" w:hAnsi="仿宋_GB2312" w:cs="仿宋_GB2312" w:hint="eastAsia"/>
                <w:b/>
                <w:bCs/>
                <w:sz w:val="32"/>
                <w:szCs w:val="32"/>
              </w:rPr>
              <w:t>满检速率</w:t>
            </w:r>
            <w:proofErr w:type="gramEnd"/>
            <w:r w:rsidRPr="00882CE3">
              <w:rPr>
                <w:rStyle w:val="font91"/>
                <w:rFonts w:ascii="仿宋_GB2312" w:eastAsia="仿宋_GB2312" w:hAnsi="仿宋_GB2312" w:cs="仿宋_GB2312" w:hint="eastAsia"/>
                <w:b/>
                <w:bCs/>
                <w:sz w:val="32"/>
                <w:szCs w:val="32"/>
              </w:rPr>
              <w:t>≥</w:t>
            </w:r>
            <w:r w:rsidRPr="00882CE3">
              <w:rPr>
                <w:rStyle w:val="font91"/>
                <w:rFonts w:ascii="仿宋_GB2312" w:eastAsia="仿宋_GB2312" w:hAnsi="仿宋_GB2312" w:cs="仿宋_GB2312"/>
                <w:b/>
                <w:bCs/>
                <w:sz w:val="32"/>
                <w:szCs w:val="32"/>
              </w:rPr>
              <w:t>78000Mbps</w:t>
            </w:r>
            <w:r w:rsidRPr="00882CE3">
              <w:rPr>
                <w:rStyle w:val="font91"/>
                <w:rFonts w:ascii="仿宋_GB2312" w:eastAsia="仿宋_GB2312" w:hAnsi="仿宋_GB2312" w:cs="仿宋_GB2312" w:hint="eastAsia"/>
                <w:b/>
                <w:bCs/>
                <w:sz w:val="32"/>
                <w:szCs w:val="32"/>
              </w:rPr>
              <w:t>，</w:t>
            </w:r>
            <w:r w:rsidRPr="00882CE3">
              <w:rPr>
                <w:rStyle w:val="font91"/>
                <w:rFonts w:ascii="仿宋_GB2312" w:eastAsia="仿宋_GB2312" w:hAnsi="仿宋_GB2312" w:cs="仿宋_GB2312"/>
                <w:b/>
                <w:bCs/>
                <w:sz w:val="32"/>
                <w:szCs w:val="32"/>
              </w:rPr>
              <w:t>TCP</w:t>
            </w:r>
            <w:r w:rsidRPr="00882CE3">
              <w:rPr>
                <w:rStyle w:val="font91"/>
                <w:rFonts w:ascii="仿宋_GB2312" w:eastAsia="仿宋_GB2312" w:hAnsi="仿宋_GB2312" w:cs="仿宋_GB2312" w:hint="eastAsia"/>
                <w:b/>
                <w:bCs/>
                <w:sz w:val="32"/>
                <w:szCs w:val="32"/>
              </w:rPr>
              <w:t>最大并发连接数≥</w:t>
            </w:r>
            <w:r w:rsidRPr="00882CE3">
              <w:rPr>
                <w:rStyle w:val="font91"/>
                <w:rFonts w:ascii="仿宋_GB2312" w:eastAsia="仿宋_GB2312" w:hAnsi="仿宋_GB2312" w:cs="仿宋_GB2312"/>
                <w:b/>
                <w:bCs/>
                <w:sz w:val="32"/>
                <w:szCs w:val="32"/>
              </w:rPr>
              <w:t>1300</w:t>
            </w:r>
            <w:r w:rsidRPr="00882CE3">
              <w:rPr>
                <w:rStyle w:val="font91"/>
                <w:rFonts w:ascii="仿宋_GB2312" w:eastAsia="仿宋_GB2312" w:hAnsi="仿宋_GB2312" w:cs="仿宋_GB2312" w:hint="eastAsia"/>
                <w:b/>
                <w:bCs/>
                <w:sz w:val="32"/>
                <w:szCs w:val="32"/>
              </w:rPr>
              <w:t>万。</w:t>
            </w:r>
          </w:p>
        </w:tc>
      </w:tr>
      <w:tr w:rsidR="00B02C6E" w14:paraId="2CD60132" w14:textId="77777777" w:rsidTr="00453BF8">
        <w:trPr>
          <w:trHeight w:val="20"/>
          <w:jc w:val="center"/>
        </w:trPr>
        <w:tc>
          <w:tcPr>
            <w:tcW w:w="1576" w:type="dxa"/>
            <w:vMerge w:val="restart"/>
            <w:vAlign w:val="center"/>
          </w:tcPr>
          <w:p w14:paraId="46B1F376"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入侵防御能力</w:t>
            </w:r>
          </w:p>
        </w:tc>
        <w:tc>
          <w:tcPr>
            <w:tcW w:w="7245" w:type="dxa"/>
            <w:vAlign w:val="center"/>
          </w:tcPr>
          <w:p w14:paraId="33D5D195"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支持基于策略的入侵检测与防护，可针对不同</w:t>
            </w:r>
            <w:proofErr w:type="gramStart"/>
            <w:r>
              <w:rPr>
                <w:rStyle w:val="font91"/>
                <w:rFonts w:ascii="仿宋_GB2312" w:eastAsia="仿宋_GB2312" w:hAnsi="仿宋_GB2312" w:cs="仿宋_GB2312" w:hint="eastAsia"/>
                <w:sz w:val="32"/>
                <w:szCs w:val="32"/>
              </w:rPr>
              <w:t>的源目</w:t>
            </w:r>
            <w:proofErr w:type="gramEnd"/>
            <w:r>
              <w:rPr>
                <w:rStyle w:val="font91"/>
                <w:rFonts w:ascii="仿宋_GB2312" w:eastAsia="仿宋_GB2312" w:hAnsi="仿宋_GB2312" w:cs="仿宋_GB2312" w:hint="eastAsia"/>
                <w:sz w:val="32"/>
                <w:szCs w:val="32"/>
              </w:rPr>
              <w:t>IP地址、源MAC地址、服务、时间、安全域、用户等，采用不同的入侵防护策略；</w:t>
            </w:r>
          </w:p>
        </w:tc>
      </w:tr>
      <w:tr w:rsidR="00B02C6E" w14:paraId="6749BCB1" w14:textId="77777777" w:rsidTr="00453BF8">
        <w:trPr>
          <w:trHeight w:val="20"/>
          <w:jc w:val="center"/>
        </w:trPr>
        <w:tc>
          <w:tcPr>
            <w:tcW w:w="1576" w:type="dxa"/>
            <w:vMerge/>
            <w:vAlign w:val="center"/>
          </w:tcPr>
          <w:p w14:paraId="28F89A41" w14:textId="77777777" w:rsidR="00B02C6E" w:rsidRDefault="00B02C6E" w:rsidP="00453BF8">
            <w:pPr>
              <w:spacing w:line="560" w:lineRule="exact"/>
              <w:jc w:val="center"/>
              <w:rPr>
                <w:rFonts w:ascii="仿宋_GB2312" w:eastAsia="仿宋_GB2312" w:hAnsi="仿宋_GB2312" w:cs="仿宋_GB2312"/>
                <w:sz w:val="32"/>
                <w:szCs w:val="32"/>
              </w:rPr>
            </w:pPr>
          </w:p>
        </w:tc>
        <w:tc>
          <w:tcPr>
            <w:tcW w:w="7245" w:type="dxa"/>
          </w:tcPr>
          <w:p w14:paraId="64428734"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内置IPS特征库，特征规则数量不少于7800条，</w:t>
            </w:r>
            <w:proofErr w:type="gramStart"/>
            <w:r>
              <w:rPr>
                <w:rStyle w:val="font91"/>
                <w:rFonts w:ascii="仿宋_GB2312" w:eastAsia="仿宋_GB2312" w:hAnsi="仿宋_GB2312" w:cs="仿宋_GB2312" w:hint="eastAsia"/>
                <w:sz w:val="32"/>
                <w:szCs w:val="32"/>
              </w:rPr>
              <w:t>特征库可按</w:t>
            </w:r>
            <w:proofErr w:type="gramEnd"/>
            <w:r>
              <w:rPr>
                <w:rStyle w:val="font91"/>
                <w:rFonts w:ascii="仿宋_GB2312" w:eastAsia="仿宋_GB2312" w:hAnsi="仿宋_GB2312" w:cs="仿宋_GB2312" w:hint="eastAsia"/>
                <w:sz w:val="32"/>
                <w:szCs w:val="32"/>
              </w:rPr>
              <w:t>分组进行管理；</w:t>
            </w:r>
          </w:p>
        </w:tc>
      </w:tr>
      <w:tr w:rsidR="00B02C6E" w14:paraId="419AF555" w14:textId="77777777" w:rsidTr="00453BF8">
        <w:trPr>
          <w:trHeight w:val="20"/>
          <w:jc w:val="center"/>
        </w:trPr>
        <w:tc>
          <w:tcPr>
            <w:tcW w:w="1576" w:type="dxa"/>
            <w:vMerge/>
            <w:vAlign w:val="center"/>
          </w:tcPr>
          <w:p w14:paraId="12D8B43C" w14:textId="77777777" w:rsidR="00B02C6E" w:rsidRDefault="00B02C6E" w:rsidP="00453BF8">
            <w:pPr>
              <w:spacing w:line="560" w:lineRule="exact"/>
              <w:jc w:val="center"/>
              <w:rPr>
                <w:rFonts w:ascii="仿宋_GB2312" w:eastAsia="仿宋_GB2312" w:hAnsi="仿宋_GB2312" w:cs="仿宋_GB2312"/>
                <w:sz w:val="32"/>
                <w:szCs w:val="32"/>
              </w:rPr>
            </w:pPr>
          </w:p>
        </w:tc>
        <w:tc>
          <w:tcPr>
            <w:tcW w:w="7245" w:type="dxa"/>
          </w:tcPr>
          <w:p w14:paraId="1E8724C9"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▲支持点对点流量识别技术，可准确识别异常流量，提供具有CMA或CNAS标识的第三方检测报告</w:t>
            </w:r>
          </w:p>
        </w:tc>
      </w:tr>
      <w:tr w:rsidR="00B02C6E" w14:paraId="1DF9FC4E" w14:textId="77777777" w:rsidTr="00453BF8">
        <w:trPr>
          <w:trHeight w:val="20"/>
          <w:jc w:val="center"/>
        </w:trPr>
        <w:tc>
          <w:tcPr>
            <w:tcW w:w="1576" w:type="dxa"/>
            <w:vMerge/>
            <w:vAlign w:val="center"/>
          </w:tcPr>
          <w:p w14:paraId="70C28E33" w14:textId="77777777" w:rsidR="00B02C6E" w:rsidRDefault="00B02C6E" w:rsidP="00453BF8">
            <w:pPr>
              <w:spacing w:line="560" w:lineRule="exact"/>
              <w:jc w:val="center"/>
              <w:rPr>
                <w:rFonts w:ascii="仿宋_GB2312" w:eastAsia="仿宋_GB2312" w:hAnsi="仿宋_GB2312" w:cs="仿宋_GB2312"/>
                <w:sz w:val="32"/>
                <w:szCs w:val="32"/>
              </w:rPr>
            </w:pPr>
          </w:p>
        </w:tc>
        <w:tc>
          <w:tcPr>
            <w:tcW w:w="7245" w:type="dxa"/>
          </w:tcPr>
          <w:p w14:paraId="72D62FF0"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支持HTTP类攻击重定向功能，能够把HTTP协议的攻击类型重定向到指定蜜罐系统，便于对攻击进行审计与分析，提供截图证明；</w:t>
            </w:r>
          </w:p>
        </w:tc>
      </w:tr>
      <w:tr w:rsidR="00B02C6E" w14:paraId="06D51354" w14:textId="77777777" w:rsidTr="00453BF8">
        <w:trPr>
          <w:trHeight w:val="20"/>
          <w:jc w:val="center"/>
        </w:trPr>
        <w:tc>
          <w:tcPr>
            <w:tcW w:w="1576" w:type="dxa"/>
            <w:vMerge/>
            <w:vAlign w:val="center"/>
          </w:tcPr>
          <w:p w14:paraId="1A510864" w14:textId="77777777" w:rsidR="00B02C6E" w:rsidRDefault="00B02C6E" w:rsidP="00453BF8">
            <w:pPr>
              <w:spacing w:line="560" w:lineRule="exact"/>
              <w:jc w:val="center"/>
              <w:rPr>
                <w:rFonts w:ascii="仿宋_GB2312" w:eastAsia="仿宋_GB2312" w:hAnsi="仿宋_GB2312" w:cs="仿宋_GB2312"/>
                <w:sz w:val="32"/>
                <w:szCs w:val="32"/>
              </w:rPr>
            </w:pPr>
          </w:p>
        </w:tc>
        <w:tc>
          <w:tcPr>
            <w:tcW w:w="7245" w:type="dxa"/>
          </w:tcPr>
          <w:p w14:paraId="31BBA5D1"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支持入侵场景保留，可记录入侵行为相关的网络数据报文，报文可保存至U盘或某台内网服务器，提供截图证明；</w:t>
            </w:r>
          </w:p>
        </w:tc>
      </w:tr>
      <w:tr w:rsidR="00B02C6E" w14:paraId="3CCC71E1" w14:textId="77777777" w:rsidTr="00453BF8">
        <w:trPr>
          <w:trHeight w:val="20"/>
          <w:jc w:val="center"/>
        </w:trPr>
        <w:tc>
          <w:tcPr>
            <w:tcW w:w="1576" w:type="dxa"/>
            <w:vMerge/>
            <w:vAlign w:val="center"/>
          </w:tcPr>
          <w:p w14:paraId="37532D2C" w14:textId="77777777" w:rsidR="00B02C6E" w:rsidRDefault="00B02C6E" w:rsidP="00453BF8">
            <w:pPr>
              <w:spacing w:line="560" w:lineRule="exact"/>
              <w:jc w:val="center"/>
              <w:rPr>
                <w:rFonts w:ascii="仿宋_GB2312" w:eastAsia="仿宋_GB2312" w:hAnsi="仿宋_GB2312" w:cs="仿宋_GB2312"/>
                <w:sz w:val="32"/>
                <w:szCs w:val="32"/>
              </w:rPr>
            </w:pPr>
          </w:p>
        </w:tc>
        <w:tc>
          <w:tcPr>
            <w:tcW w:w="7245" w:type="dxa"/>
            <w:vAlign w:val="center"/>
          </w:tcPr>
          <w:p w14:paraId="0CF8B88B"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支持FTP、SMTP、POP3、NNTP等不少于8种协议及应用的暴力破解防护；</w:t>
            </w:r>
          </w:p>
        </w:tc>
      </w:tr>
      <w:tr w:rsidR="00B02C6E" w14:paraId="0B9F83EE" w14:textId="77777777" w:rsidTr="00453BF8">
        <w:trPr>
          <w:trHeight w:val="20"/>
          <w:jc w:val="center"/>
        </w:trPr>
        <w:tc>
          <w:tcPr>
            <w:tcW w:w="1576" w:type="dxa"/>
            <w:vMerge/>
            <w:vAlign w:val="center"/>
          </w:tcPr>
          <w:p w14:paraId="0A39A639" w14:textId="77777777" w:rsidR="00B02C6E" w:rsidRDefault="00B02C6E" w:rsidP="00453BF8">
            <w:pPr>
              <w:spacing w:line="560" w:lineRule="exact"/>
              <w:jc w:val="center"/>
              <w:rPr>
                <w:rFonts w:ascii="仿宋_GB2312" w:eastAsia="仿宋_GB2312" w:hAnsi="仿宋_GB2312" w:cs="仿宋_GB2312"/>
                <w:sz w:val="32"/>
                <w:szCs w:val="32"/>
              </w:rPr>
            </w:pPr>
          </w:p>
        </w:tc>
        <w:tc>
          <w:tcPr>
            <w:tcW w:w="7245" w:type="dxa"/>
            <w:vAlign w:val="center"/>
          </w:tcPr>
          <w:p w14:paraId="60AA983F"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支持协议异常分析，防范通过精心构造畸形协议报文进行的攻击的行为；</w:t>
            </w:r>
          </w:p>
        </w:tc>
      </w:tr>
      <w:tr w:rsidR="00B02C6E" w14:paraId="5A7F1C7A" w14:textId="77777777" w:rsidTr="00453BF8">
        <w:trPr>
          <w:trHeight w:val="20"/>
          <w:jc w:val="center"/>
        </w:trPr>
        <w:tc>
          <w:tcPr>
            <w:tcW w:w="1576" w:type="dxa"/>
            <w:vMerge/>
            <w:vAlign w:val="center"/>
          </w:tcPr>
          <w:p w14:paraId="0194E92D" w14:textId="77777777" w:rsidR="00B02C6E" w:rsidRDefault="00B02C6E" w:rsidP="00453BF8">
            <w:pPr>
              <w:spacing w:line="560" w:lineRule="exact"/>
              <w:jc w:val="center"/>
              <w:rPr>
                <w:rFonts w:ascii="仿宋_GB2312" w:eastAsia="仿宋_GB2312" w:hAnsi="仿宋_GB2312" w:cs="仿宋_GB2312"/>
                <w:sz w:val="32"/>
                <w:szCs w:val="32"/>
              </w:rPr>
            </w:pPr>
          </w:p>
        </w:tc>
        <w:tc>
          <w:tcPr>
            <w:tcW w:w="7245" w:type="dxa"/>
            <w:vAlign w:val="center"/>
          </w:tcPr>
          <w:p w14:paraId="48C2212A"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支持实时的入侵防护事件分级报警列表，可按事件的源IP、目的IP、协议、时间等显示；</w:t>
            </w:r>
          </w:p>
        </w:tc>
      </w:tr>
      <w:tr w:rsidR="00B02C6E" w14:paraId="24A13828" w14:textId="77777777" w:rsidTr="00453BF8">
        <w:trPr>
          <w:trHeight w:val="20"/>
          <w:jc w:val="center"/>
        </w:trPr>
        <w:tc>
          <w:tcPr>
            <w:tcW w:w="1576" w:type="dxa"/>
            <w:vMerge/>
            <w:vAlign w:val="center"/>
          </w:tcPr>
          <w:p w14:paraId="59745FEB" w14:textId="77777777" w:rsidR="00B02C6E" w:rsidRDefault="00B02C6E" w:rsidP="00453BF8">
            <w:pPr>
              <w:spacing w:line="560" w:lineRule="exact"/>
              <w:jc w:val="center"/>
              <w:rPr>
                <w:rFonts w:ascii="仿宋_GB2312" w:eastAsia="仿宋_GB2312" w:hAnsi="仿宋_GB2312" w:cs="仿宋_GB2312"/>
                <w:sz w:val="32"/>
                <w:szCs w:val="32"/>
              </w:rPr>
            </w:pPr>
          </w:p>
        </w:tc>
        <w:tc>
          <w:tcPr>
            <w:tcW w:w="7245" w:type="dxa"/>
            <w:vAlign w:val="center"/>
          </w:tcPr>
          <w:p w14:paraId="60908DEA"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特征库</w:t>
            </w:r>
            <w:proofErr w:type="gramStart"/>
            <w:r>
              <w:rPr>
                <w:rStyle w:val="font91"/>
                <w:rFonts w:ascii="仿宋_GB2312" w:eastAsia="仿宋_GB2312" w:hAnsi="仿宋_GB2312" w:cs="仿宋_GB2312" w:hint="eastAsia"/>
                <w:sz w:val="32"/>
                <w:szCs w:val="32"/>
              </w:rPr>
              <w:t>库</w:t>
            </w:r>
            <w:proofErr w:type="gramEnd"/>
            <w:r>
              <w:rPr>
                <w:rStyle w:val="font91"/>
                <w:rFonts w:ascii="仿宋_GB2312" w:eastAsia="仿宋_GB2312" w:hAnsi="仿宋_GB2312" w:cs="仿宋_GB2312" w:hint="eastAsia"/>
                <w:sz w:val="32"/>
                <w:szCs w:val="32"/>
              </w:rPr>
              <w:t>至少应包括信息窃取、木马后门、间谍软件、可疑行为、网络设备攻击、安全漏洞及网络数据库攻击等的特征事件，提供截图证明；</w:t>
            </w:r>
          </w:p>
        </w:tc>
      </w:tr>
      <w:tr w:rsidR="00B02C6E" w14:paraId="26F85DCA" w14:textId="77777777" w:rsidTr="00453BF8">
        <w:trPr>
          <w:trHeight w:val="20"/>
          <w:jc w:val="center"/>
        </w:trPr>
        <w:tc>
          <w:tcPr>
            <w:tcW w:w="1576" w:type="dxa"/>
            <w:vMerge w:val="restart"/>
            <w:vAlign w:val="center"/>
          </w:tcPr>
          <w:p w14:paraId="57F40A75"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高可用性</w:t>
            </w:r>
          </w:p>
        </w:tc>
        <w:tc>
          <w:tcPr>
            <w:tcW w:w="7245" w:type="dxa"/>
            <w:vAlign w:val="center"/>
          </w:tcPr>
          <w:p w14:paraId="4841FF9F"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▲支持链路备份、端口冗余、</w:t>
            </w:r>
            <w:proofErr w:type="gramStart"/>
            <w:r>
              <w:rPr>
                <w:rStyle w:val="font91"/>
                <w:rFonts w:ascii="仿宋_GB2312" w:eastAsia="仿宋_GB2312" w:hAnsi="仿宋_GB2312" w:cs="仿宋_GB2312" w:hint="eastAsia"/>
                <w:sz w:val="32"/>
                <w:szCs w:val="32"/>
              </w:rPr>
              <w:t>双机热备份</w:t>
            </w:r>
            <w:proofErr w:type="gramEnd"/>
            <w:r>
              <w:rPr>
                <w:rStyle w:val="font91"/>
                <w:rFonts w:ascii="仿宋_GB2312" w:eastAsia="仿宋_GB2312" w:hAnsi="仿宋_GB2312" w:cs="仿宋_GB2312" w:hint="eastAsia"/>
                <w:sz w:val="32"/>
                <w:szCs w:val="32"/>
              </w:rPr>
              <w:t>、集群备份等功能，实现会话、配置的实时同步，支持与现有万兆入侵防御系统集群部署；</w:t>
            </w:r>
          </w:p>
        </w:tc>
      </w:tr>
      <w:tr w:rsidR="00B02C6E" w14:paraId="0364424D" w14:textId="77777777" w:rsidTr="00453BF8">
        <w:trPr>
          <w:trHeight w:val="20"/>
          <w:jc w:val="center"/>
        </w:trPr>
        <w:tc>
          <w:tcPr>
            <w:tcW w:w="1576" w:type="dxa"/>
            <w:vMerge/>
            <w:vAlign w:val="center"/>
          </w:tcPr>
          <w:p w14:paraId="2132DEDC" w14:textId="77777777" w:rsidR="00B02C6E" w:rsidRDefault="00B02C6E" w:rsidP="00453BF8">
            <w:pPr>
              <w:spacing w:line="560" w:lineRule="exact"/>
              <w:jc w:val="center"/>
              <w:rPr>
                <w:rFonts w:ascii="仿宋_GB2312" w:eastAsia="仿宋_GB2312" w:hAnsi="仿宋_GB2312" w:cs="仿宋_GB2312"/>
                <w:sz w:val="32"/>
                <w:szCs w:val="32"/>
              </w:rPr>
            </w:pPr>
          </w:p>
        </w:tc>
        <w:tc>
          <w:tcPr>
            <w:tcW w:w="7245" w:type="dxa"/>
            <w:vAlign w:val="center"/>
          </w:tcPr>
          <w:p w14:paraId="379C548C"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支持端口联动，支持上下行端口组的联动，可以实现单端口决定同组中的任意接口失效启动链路切</w:t>
            </w:r>
            <w:r>
              <w:rPr>
                <w:rStyle w:val="font91"/>
                <w:rFonts w:ascii="仿宋_GB2312" w:eastAsia="仿宋_GB2312" w:hAnsi="仿宋_GB2312" w:cs="仿宋_GB2312" w:hint="eastAsia"/>
                <w:sz w:val="32"/>
                <w:szCs w:val="32"/>
              </w:rPr>
              <w:lastRenderedPageBreak/>
              <w:t>换；</w:t>
            </w:r>
          </w:p>
        </w:tc>
      </w:tr>
    </w:tbl>
    <w:bookmarkEnd w:id="50"/>
    <w:p w14:paraId="3850235E" w14:textId="77777777" w:rsidR="00B02C6E" w:rsidRDefault="00B02C6E" w:rsidP="00B02C6E">
      <w:pPr>
        <w:pStyle w:val="3"/>
        <w:numPr>
          <w:ilvl w:val="2"/>
          <w:numId w:val="0"/>
        </w:numPr>
        <w:spacing w:before="0" w:after="0" w:line="560" w:lineRule="exact"/>
        <w:rPr>
          <w:rFonts w:ascii="仿宋_GB2312" w:eastAsia="仿宋_GB2312" w:hAnsi="仿宋_GB2312" w:cs="仿宋_GB2312"/>
          <w:sz w:val="32"/>
        </w:rPr>
      </w:pPr>
      <w:r>
        <w:rPr>
          <w:rFonts w:ascii="仿宋_GB2312" w:eastAsia="仿宋_GB2312" w:hAnsi="仿宋_GB2312" w:cs="仿宋_GB2312" w:hint="eastAsia"/>
          <w:sz w:val="32"/>
        </w:rPr>
        <w:lastRenderedPageBreak/>
        <w:t>（三）漏洞扫描系统1套</w:t>
      </w:r>
    </w:p>
    <w:tbl>
      <w:tblPr>
        <w:tblW w:w="8856"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7260"/>
      </w:tblGrid>
      <w:tr w:rsidR="00B02C6E" w14:paraId="3EF53295" w14:textId="77777777" w:rsidTr="00453BF8">
        <w:trPr>
          <w:trHeight w:val="20"/>
        </w:trPr>
        <w:tc>
          <w:tcPr>
            <w:tcW w:w="1596" w:type="dxa"/>
            <w:vAlign w:val="center"/>
          </w:tcPr>
          <w:p w14:paraId="7569AB1B" w14:textId="77777777" w:rsidR="00B02C6E" w:rsidRDefault="00B02C6E" w:rsidP="00453BF8">
            <w:pPr>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指标项</w:t>
            </w:r>
          </w:p>
        </w:tc>
        <w:tc>
          <w:tcPr>
            <w:tcW w:w="7260" w:type="dxa"/>
            <w:vAlign w:val="center"/>
          </w:tcPr>
          <w:p w14:paraId="71D62277" w14:textId="77777777" w:rsidR="00B02C6E" w:rsidRDefault="00B02C6E" w:rsidP="00453BF8">
            <w:pPr>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参数要求</w:t>
            </w:r>
          </w:p>
        </w:tc>
      </w:tr>
      <w:tr w:rsidR="00B02C6E" w14:paraId="634E732C" w14:textId="77777777" w:rsidTr="00453BF8">
        <w:trPr>
          <w:trHeight w:val="20"/>
        </w:trPr>
        <w:tc>
          <w:tcPr>
            <w:tcW w:w="1596" w:type="dxa"/>
            <w:vAlign w:val="center"/>
          </w:tcPr>
          <w:p w14:paraId="5FA241A3"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硬件要求</w:t>
            </w:r>
          </w:p>
        </w:tc>
        <w:tc>
          <w:tcPr>
            <w:tcW w:w="7260" w:type="dxa"/>
            <w:vAlign w:val="center"/>
          </w:tcPr>
          <w:p w14:paraId="6EBCFD4D" w14:textId="77777777" w:rsidR="00B02C6E" w:rsidRDefault="00B02C6E" w:rsidP="00453BF8">
            <w:pPr>
              <w:spacing w:line="560" w:lineRule="exact"/>
              <w:rPr>
                <w:rStyle w:val="font91"/>
                <w:rFonts w:ascii="仿宋_GB2312" w:eastAsia="仿宋_GB2312" w:hAnsi="仿宋_GB2312" w:cs="仿宋_GB2312"/>
                <w:sz w:val="32"/>
                <w:szCs w:val="32"/>
              </w:rPr>
            </w:pPr>
            <w:r w:rsidRPr="00882CE3">
              <w:rPr>
                <w:rStyle w:val="font91"/>
                <w:rFonts w:ascii="仿宋_GB2312" w:eastAsia="仿宋_GB2312" w:hAnsi="仿宋_GB2312" w:cs="仿宋_GB2312"/>
                <w:sz w:val="32"/>
                <w:szCs w:val="32"/>
              </w:rPr>
              <w:t>CPU</w:t>
            </w:r>
            <w:r w:rsidRPr="00882CE3">
              <w:rPr>
                <w:rStyle w:val="font91"/>
                <w:rFonts w:ascii="仿宋_GB2312" w:eastAsia="仿宋_GB2312" w:hAnsi="仿宋_GB2312" w:cs="仿宋_GB2312" w:hint="eastAsia"/>
                <w:sz w:val="32"/>
                <w:szCs w:val="32"/>
              </w:rPr>
              <w:t>：国产芯片（≥</w:t>
            </w:r>
            <w:r w:rsidRPr="00882CE3">
              <w:rPr>
                <w:rStyle w:val="font91"/>
                <w:rFonts w:ascii="仿宋_GB2312" w:eastAsia="仿宋_GB2312" w:hAnsi="仿宋_GB2312" w:cs="仿宋_GB2312"/>
                <w:sz w:val="32"/>
                <w:szCs w:val="32"/>
              </w:rPr>
              <w:t>2.3GHz</w:t>
            </w:r>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8</w:t>
            </w:r>
            <w:r w:rsidRPr="00882CE3">
              <w:rPr>
                <w:rStyle w:val="font91"/>
                <w:rFonts w:ascii="仿宋_GB2312" w:eastAsia="仿宋_GB2312" w:hAnsi="仿宋_GB2312" w:cs="仿宋_GB2312" w:hint="eastAsia"/>
                <w:sz w:val="32"/>
                <w:szCs w:val="32"/>
              </w:rPr>
              <w:t>核），操作系统：国产操作系统</w:t>
            </w:r>
            <w:r w:rsidRPr="00882CE3">
              <w:rPr>
                <w:rStyle w:val="font91"/>
                <w:rFonts w:ascii="仿宋_GB2312" w:eastAsia="仿宋_GB2312" w:hAnsi="仿宋_GB2312" w:cs="仿宋_GB2312"/>
                <w:sz w:val="32"/>
                <w:szCs w:val="32"/>
              </w:rPr>
              <w:t xml:space="preserve"> </w:t>
            </w:r>
            <w:r w:rsidRPr="00882CE3">
              <w:rPr>
                <w:rStyle w:val="font91"/>
                <w:rFonts w:ascii="仿宋_GB2312" w:eastAsia="仿宋_GB2312" w:hAnsi="仿宋_GB2312" w:cs="仿宋_GB2312" w:hint="eastAsia"/>
                <w:sz w:val="32"/>
                <w:szCs w:val="32"/>
              </w:rPr>
              <w:t>内存≥</w:t>
            </w:r>
            <w:r w:rsidRPr="00882CE3">
              <w:rPr>
                <w:rStyle w:val="font91"/>
                <w:rFonts w:ascii="仿宋_GB2312" w:eastAsia="仿宋_GB2312" w:hAnsi="仿宋_GB2312" w:cs="仿宋_GB2312"/>
                <w:sz w:val="32"/>
                <w:szCs w:val="32"/>
              </w:rPr>
              <w:t>16G</w:t>
            </w:r>
            <w:r w:rsidRPr="00882CE3">
              <w:rPr>
                <w:rStyle w:val="font91"/>
                <w:rFonts w:ascii="仿宋_GB2312" w:eastAsia="仿宋_GB2312" w:hAnsi="仿宋_GB2312" w:cs="仿宋_GB2312" w:hint="eastAsia"/>
                <w:sz w:val="32"/>
                <w:szCs w:val="32"/>
              </w:rPr>
              <w:t>，硬盘≥</w:t>
            </w:r>
            <w:r w:rsidRPr="00882CE3">
              <w:rPr>
                <w:rStyle w:val="font91"/>
                <w:rFonts w:ascii="仿宋_GB2312" w:eastAsia="仿宋_GB2312" w:hAnsi="仿宋_GB2312" w:cs="仿宋_GB2312"/>
                <w:sz w:val="32"/>
                <w:szCs w:val="32"/>
              </w:rPr>
              <w:t>1TB</w:t>
            </w:r>
            <w:r w:rsidRPr="00882CE3">
              <w:rPr>
                <w:rStyle w:val="font91"/>
                <w:rFonts w:ascii="仿宋_GB2312" w:eastAsia="仿宋_GB2312" w:hAnsi="仿宋_GB2312" w:cs="仿宋_GB2312" w:hint="eastAsia"/>
                <w:sz w:val="32"/>
                <w:szCs w:val="32"/>
              </w:rPr>
              <w:t>；网络接口：≥</w:t>
            </w:r>
            <w:r w:rsidRPr="00882CE3">
              <w:rPr>
                <w:rStyle w:val="font91"/>
                <w:rFonts w:ascii="仿宋_GB2312" w:eastAsia="仿宋_GB2312" w:hAnsi="仿宋_GB2312" w:cs="仿宋_GB2312"/>
                <w:sz w:val="32"/>
                <w:szCs w:val="32"/>
              </w:rPr>
              <w:t>6</w:t>
            </w:r>
            <w:r w:rsidRPr="00882CE3">
              <w:rPr>
                <w:rStyle w:val="font91"/>
                <w:rFonts w:ascii="仿宋_GB2312" w:eastAsia="仿宋_GB2312" w:hAnsi="仿宋_GB2312" w:cs="仿宋_GB2312" w:hint="eastAsia"/>
                <w:sz w:val="32"/>
                <w:szCs w:val="32"/>
              </w:rPr>
              <w:t>个</w:t>
            </w:r>
            <w:proofErr w:type="gramStart"/>
            <w:r w:rsidRPr="00882CE3">
              <w:rPr>
                <w:rStyle w:val="font91"/>
                <w:rFonts w:ascii="仿宋_GB2312" w:eastAsia="仿宋_GB2312" w:hAnsi="仿宋_GB2312" w:cs="仿宋_GB2312" w:hint="eastAsia"/>
                <w:sz w:val="32"/>
                <w:szCs w:val="32"/>
              </w:rPr>
              <w:t>千兆电口</w:t>
            </w:r>
            <w:proofErr w:type="gramEnd"/>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4</w:t>
            </w:r>
            <w:r w:rsidRPr="00882CE3">
              <w:rPr>
                <w:rStyle w:val="font91"/>
                <w:rFonts w:ascii="仿宋_GB2312" w:eastAsia="仿宋_GB2312" w:hAnsi="仿宋_GB2312" w:cs="仿宋_GB2312" w:hint="eastAsia"/>
                <w:sz w:val="32"/>
                <w:szCs w:val="32"/>
              </w:rPr>
              <w:t>个</w:t>
            </w:r>
            <w:proofErr w:type="gramStart"/>
            <w:r w:rsidRPr="00882CE3">
              <w:rPr>
                <w:rStyle w:val="font91"/>
                <w:rFonts w:ascii="仿宋_GB2312" w:eastAsia="仿宋_GB2312" w:hAnsi="仿宋_GB2312" w:cs="仿宋_GB2312" w:hint="eastAsia"/>
                <w:sz w:val="32"/>
                <w:szCs w:val="32"/>
              </w:rPr>
              <w:t>千兆</w:t>
            </w:r>
            <w:r>
              <w:rPr>
                <w:rStyle w:val="font91"/>
                <w:rFonts w:ascii="仿宋_GB2312" w:eastAsia="仿宋_GB2312" w:hAnsi="仿宋_GB2312" w:cs="仿宋_GB2312" w:hint="eastAsia"/>
                <w:sz w:val="32"/>
                <w:szCs w:val="32"/>
              </w:rPr>
              <w:t>光口</w:t>
            </w:r>
            <w:proofErr w:type="gramEnd"/>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3</w:t>
            </w:r>
            <w:r w:rsidRPr="00882CE3">
              <w:rPr>
                <w:rStyle w:val="font91"/>
                <w:rFonts w:ascii="仿宋_GB2312" w:eastAsia="仿宋_GB2312" w:hAnsi="仿宋_GB2312" w:cs="仿宋_GB2312" w:hint="eastAsia"/>
                <w:sz w:val="32"/>
                <w:szCs w:val="32"/>
              </w:rPr>
              <w:t>个接口扩展槽；整机规格：</w:t>
            </w:r>
            <w:r w:rsidRPr="00882CE3">
              <w:rPr>
                <w:rStyle w:val="font91"/>
                <w:rFonts w:ascii="仿宋_GB2312" w:eastAsia="仿宋_GB2312" w:hAnsi="仿宋_GB2312" w:cs="仿宋_GB2312"/>
                <w:sz w:val="32"/>
                <w:szCs w:val="32"/>
              </w:rPr>
              <w:t>2U</w:t>
            </w:r>
            <w:r w:rsidRPr="00882CE3">
              <w:rPr>
                <w:rStyle w:val="font91"/>
                <w:rFonts w:ascii="仿宋_GB2312" w:eastAsia="仿宋_GB2312" w:hAnsi="仿宋_GB2312" w:cs="仿宋_GB2312" w:hint="eastAsia"/>
                <w:sz w:val="32"/>
                <w:szCs w:val="32"/>
              </w:rPr>
              <w:t>机箱</w:t>
            </w:r>
            <w:r>
              <w:rPr>
                <w:rStyle w:val="font91"/>
                <w:rFonts w:ascii="仿宋_GB2312" w:eastAsia="仿宋_GB2312" w:hAnsi="仿宋_GB2312" w:cs="仿宋_GB2312" w:hint="eastAsia"/>
                <w:sz w:val="32"/>
                <w:szCs w:val="32"/>
              </w:rPr>
              <w:t>；双电源</w:t>
            </w:r>
          </w:p>
        </w:tc>
      </w:tr>
      <w:tr w:rsidR="00B02C6E" w14:paraId="090E0D60" w14:textId="77777777" w:rsidTr="00453BF8">
        <w:trPr>
          <w:trHeight w:val="20"/>
        </w:trPr>
        <w:tc>
          <w:tcPr>
            <w:tcW w:w="1596" w:type="dxa"/>
            <w:vMerge w:val="restart"/>
            <w:vAlign w:val="center"/>
          </w:tcPr>
          <w:p w14:paraId="53A55718"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系统脆弱性扫描能力</w:t>
            </w:r>
          </w:p>
        </w:tc>
        <w:tc>
          <w:tcPr>
            <w:tcW w:w="7260" w:type="dxa"/>
            <w:vAlign w:val="center"/>
          </w:tcPr>
          <w:p w14:paraId="090B1415"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▲支持扫描的漏洞数量不少于330000个，提供截</w:t>
            </w:r>
            <w:proofErr w:type="gramStart"/>
            <w:r>
              <w:rPr>
                <w:rStyle w:val="font91"/>
                <w:rFonts w:ascii="仿宋_GB2312" w:eastAsia="仿宋_GB2312" w:hAnsi="仿宋_GB2312" w:cs="仿宋_GB2312" w:hint="eastAsia"/>
                <w:sz w:val="32"/>
                <w:szCs w:val="32"/>
              </w:rPr>
              <w:t>图证明</w:t>
            </w:r>
            <w:proofErr w:type="gramEnd"/>
          </w:p>
        </w:tc>
      </w:tr>
      <w:tr w:rsidR="00B02C6E" w14:paraId="16D81AA0" w14:textId="77777777" w:rsidTr="00453BF8">
        <w:trPr>
          <w:trHeight w:val="20"/>
        </w:trPr>
        <w:tc>
          <w:tcPr>
            <w:tcW w:w="1596" w:type="dxa"/>
            <w:vMerge/>
            <w:vAlign w:val="center"/>
          </w:tcPr>
          <w:p w14:paraId="7B23C1A3" w14:textId="77777777" w:rsidR="00B02C6E" w:rsidRDefault="00B02C6E" w:rsidP="00453BF8">
            <w:pPr>
              <w:spacing w:line="560" w:lineRule="exact"/>
              <w:jc w:val="center"/>
              <w:rPr>
                <w:rFonts w:ascii="仿宋_GB2312" w:eastAsia="仿宋_GB2312" w:hAnsi="仿宋_GB2312" w:cs="仿宋_GB2312"/>
                <w:sz w:val="32"/>
                <w:szCs w:val="32"/>
              </w:rPr>
            </w:pPr>
          </w:p>
        </w:tc>
        <w:tc>
          <w:tcPr>
            <w:tcW w:w="7260" w:type="dxa"/>
            <w:vAlign w:val="center"/>
          </w:tcPr>
          <w:p w14:paraId="25C87909" w14:textId="77777777" w:rsidR="00B02C6E" w:rsidRDefault="00B02C6E" w:rsidP="00453BF8">
            <w:pPr>
              <w:spacing w:line="560" w:lineRule="exact"/>
              <w:rPr>
                <w:rStyle w:val="font91"/>
                <w:rFonts w:ascii="仿宋_GB2312" w:eastAsia="仿宋_GB2312" w:hAnsi="仿宋_GB2312" w:cs="仿宋_GB2312"/>
                <w:sz w:val="32"/>
                <w:szCs w:val="32"/>
              </w:rPr>
            </w:pPr>
          </w:p>
        </w:tc>
      </w:tr>
      <w:tr w:rsidR="00B02C6E" w14:paraId="35277FBA" w14:textId="77777777" w:rsidTr="00453BF8">
        <w:trPr>
          <w:trHeight w:val="20"/>
        </w:trPr>
        <w:tc>
          <w:tcPr>
            <w:tcW w:w="1596" w:type="dxa"/>
            <w:vMerge/>
            <w:vAlign w:val="center"/>
          </w:tcPr>
          <w:p w14:paraId="7B82231E" w14:textId="77777777" w:rsidR="00B02C6E" w:rsidRDefault="00B02C6E" w:rsidP="00453BF8">
            <w:pPr>
              <w:spacing w:line="560" w:lineRule="exact"/>
              <w:jc w:val="center"/>
              <w:rPr>
                <w:rFonts w:ascii="仿宋_GB2312" w:eastAsia="仿宋_GB2312" w:hAnsi="仿宋_GB2312" w:cs="仿宋_GB2312"/>
                <w:sz w:val="32"/>
                <w:szCs w:val="32"/>
              </w:rPr>
            </w:pPr>
          </w:p>
        </w:tc>
        <w:tc>
          <w:tcPr>
            <w:tcW w:w="7260" w:type="dxa"/>
            <w:vAlign w:val="center"/>
          </w:tcPr>
          <w:p w14:paraId="4A8A428A"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支持对主流操作系统的识别与扫描，包括：Windows、</w:t>
            </w:r>
            <w:proofErr w:type="spellStart"/>
            <w:r>
              <w:rPr>
                <w:rStyle w:val="font91"/>
                <w:rFonts w:ascii="仿宋_GB2312" w:eastAsia="仿宋_GB2312" w:hAnsi="仿宋_GB2312" w:cs="仿宋_GB2312" w:hint="eastAsia"/>
                <w:sz w:val="32"/>
                <w:szCs w:val="32"/>
              </w:rPr>
              <w:t>Redhat</w:t>
            </w:r>
            <w:proofErr w:type="spellEnd"/>
            <w:r>
              <w:rPr>
                <w:rStyle w:val="font91"/>
                <w:rFonts w:ascii="仿宋_GB2312" w:eastAsia="仿宋_GB2312" w:hAnsi="仿宋_GB2312" w:cs="仿宋_GB2312" w:hint="eastAsia"/>
                <w:sz w:val="32"/>
                <w:szCs w:val="32"/>
              </w:rPr>
              <w:t>、Ubuntu、Debian、深度、红旗、麒麟、新支点等</w:t>
            </w:r>
          </w:p>
        </w:tc>
      </w:tr>
      <w:tr w:rsidR="00B02C6E" w14:paraId="26C6E762" w14:textId="77777777" w:rsidTr="00453BF8">
        <w:trPr>
          <w:trHeight w:val="20"/>
        </w:trPr>
        <w:tc>
          <w:tcPr>
            <w:tcW w:w="1596" w:type="dxa"/>
            <w:vMerge/>
            <w:vAlign w:val="center"/>
          </w:tcPr>
          <w:p w14:paraId="475BC302" w14:textId="77777777" w:rsidR="00B02C6E" w:rsidRDefault="00B02C6E" w:rsidP="00453BF8">
            <w:pPr>
              <w:spacing w:line="560" w:lineRule="exact"/>
              <w:jc w:val="center"/>
              <w:rPr>
                <w:rFonts w:ascii="仿宋_GB2312" w:eastAsia="仿宋_GB2312" w:hAnsi="仿宋_GB2312" w:cs="仿宋_GB2312"/>
                <w:sz w:val="32"/>
                <w:szCs w:val="32"/>
              </w:rPr>
            </w:pPr>
          </w:p>
        </w:tc>
        <w:tc>
          <w:tcPr>
            <w:tcW w:w="7260" w:type="dxa"/>
            <w:vAlign w:val="center"/>
          </w:tcPr>
          <w:p w14:paraId="265505A9"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支持对主流数据库的识别与扫描，包括：Oracle、Sybase、GBASE、</w:t>
            </w:r>
            <w:proofErr w:type="spellStart"/>
            <w:r>
              <w:rPr>
                <w:rStyle w:val="font91"/>
                <w:rFonts w:ascii="仿宋_GB2312" w:eastAsia="仿宋_GB2312" w:hAnsi="仿宋_GB2312" w:cs="仿宋_GB2312" w:hint="eastAsia"/>
                <w:sz w:val="32"/>
                <w:szCs w:val="32"/>
              </w:rPr>
              <w:t>GaussDB</w:t>
            </w:r>
            <w:proofErr w:type="spellEnd"/>
            <w:r>
              <w:rPr>
                <w:rStyle w:val="font91"/>
                <w:rFonts w:ascii="仿宋_GB2312" w:eastAsia="仿宋_GB2312" w:hAnsi="仿宋_GB2312" w:cs="仿宋_GB2312" w:hint="eastAsia"/>
                <w:sz w:val="32"/>
                <w:szCs w:val="32"/>
              </w:rPr>
              <w:t>、神通、达梦、</w:t>
            </w:r>
            <w:proofErr w:type="gramStart"/>
            <w:r>
              <w:rPr>
                <w:rStyle w:val="font91"/>
                <w:rFonts w:ascii="仿宋_GB2312" w:eastAsia="仿宋_GB2312" w:hAnsi="仿宋_GB2312" w:cs="仿宋_GB2312" w:hint="eastAsia"/>
                <w:sz w:val="32"/>
                <w:szCs w:val="32"/>
              </w:rPr>
              <w:t>人大金</w:t>
            </w:r>
            <w:proofErr w:type="gramEnd"/>
            <w:r>
              <w:rPr>
                <w:rStyle w:val="font91"/>
                <w:rFonts w:ascii="仿宋_GB2312" w:eastAsia="仿宋_GB2312" w:hAnsi="仿宋_GB2312" w:cs="仿宋_GB2312" w:hint="eastAsia"/>
                <w:sz w:val="32"/>
                <w:szCs w:val="32"/>
              </w:rPr>
              <w:t>仓、优</w:t>
            </w:r>
            <w:proofErr w:type="gramStart"/>
            <w:r>
              <w:rPr>
                <w:rStyle w:val="font91"/>
                <w:rFonts w:ascii="仿宋_GB2312" w:eastAsia="仿宋_GB2312" w:hAnsi="仿宋_GB2312" w:cs="仿宋_GB2312" w:hint="eastAsia"/>
                <w:sz w:val="32"/>
                <w:szCs w:val="32"/>
              </w:rPr>
              <w:t>炫</w:t>
            </w:r>
            <w:proofErr w:type="gramEnd"/>
            <w:r>
              <w:rPr>
                <w:rStyle w:val="font91"/>
                <w:rFonts w:ascii="仿宋_GB2312" w:eastAsia="仿宋_GB2312" w:hAnsi="仿宋_GB2312" w:cs="仿宋_GB2312" w:hint="eastAsia"/>
                <w:sz w:val="32"/>
                <w:szCs w:val="32"/>
              </w:rPr>
              <w:t>等，能够扫描的数据库漏洞扫描方法不小于2700种</w:t>
            </w:r>
          </w:p>
        </w:tc>
      </w:tr>
      <w:tr w:rsidR="00B02C6E" w14:paraId="7C3784ED" w14:textId="77777777" w:rsidTr="00453BF8">
        <w:trPr>
          <w:trHeight w:val="20"/>
        </w:trPr>
        <w:tc>
          <w:tcPr>
            <w:tcW w:w="1596" w:type="dxa"/>
            <w:vMerge/>
            <w:vAlign w:val="center"/>
          </w:tcPr>
          <w:p w14:paraId="37A75CEA" w14:textId="77777777" w:rsidR="00B02C6E" w:rsidRDefault="00B02C6E" w:rsidP="00453BF8">
            <w:pPr>
              <w:spacing w:line="560" w:lineRule="exact"/>
              <w:jc w:val="center"/>
              <w:rPr>
                <w:rFonts w:ascii="仿宋_GB2312" w:eastAsia="仿宋_GB2312" w:hAnsi="仿宋_GB2312" w:cs="仿宋_GB2312"/>
                <w:sz w:val="32"/>
                <w:szCs w:val="32"/>
              </w:rPr>
            </w:pPr>
          </w:p>
        </w:tc>
        <w:tc>
          <w:tcPr>
            <w:tcW w:w="7260" w:type="dxa"/>
            <w:vAlign w:val="center"/>
          </w:tcPr>
          <w:p w14:paraId="2AA44D55" w14:textId="77777777" w:rsidR="00B02C6E" w:rsidRDefault="00B02C6E" w:rsidP="00453BF8">
            <w:pPr>
              <w:spacing w:line="560" w:lineRule="exact"/>
              <w:rPr>
                <w:rStyle w:val="font91"/>
                <w:rFonts w:ascii="仿宋_GB2312" w:eastAsia="仿宋_GB2312" w:hAnsi="仿宋_GB2312" w:cs="仿宋_GB2312"/>
                <w:sz w:val="32"/>
                <w:szCs w:val="32"/>
              </w:rPr>
            </w:pPr>
          </w:p>
        </w:tc>
      </w:tr>
      <w:tr w:rsidR="00B02C6E" w14:paraId="654B6CCF" w14:textId="77777777" w:rsidTr="00453BF8">
        <w:trPr>
          <w:trHeight w:val="20"/>
        </w:trPr>
        <w:tc>
          <w:tcPr>
            <w:tcW w:w="1596" w:type="dxa"/>
            <w:vMerge/>
            <w:vAlign w:val="center"/>
          </w:tcPr>
          <w:p w14:paraId="78F36A23" w14:textId="77777777" w:rsidR="00B02C6E" w:rsidRDefault="00B02C6E" w:rsidP="00453BF8">
            <w:pPr>
              <w:spacing w:line="560" w:lineRule="exact"/>
              <w:jc w:val="center"/>
              <w:rPr>
                <w:rFonts w:ascii="仿宋_GB2312" w:eastAsia="仿宋_GB2312" w:hAnsi="仿宋_GB2312" w:cs="仿宋_GB2312"/>
                <w:sz w:val="32"/>
                <w:szCs w:val="32"/>
              </w:rPr>
            </w:pPr>
          </w:p>
        </w:tc>
        <w:tc>
          <w:tcPr>
            <w:tcW w:w="7260" w:type="dxa"/>
            <w:vAlign w:val="center"/>
          </w:tcPr>
          <w:p w14:paraId="2D3BAC3D"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支持对主流虚拟化软件平台的识别与扫描，包括：OpenStack 、KVM、</w:t>
            </w:r>
            <w:proofErr w:type="spellStart"/>
            <w:r>
              <w:rPr>
                <w:rStyle w:val="font91"/>
                <w:rFonts w:ascii="仿宋_GB2312" w:eastAsia="仿宋_GB2312" w:hAnsi="仿宋_GB2312" w:cs="仿宋_GB2312" w:hint="eastAsia"/>
                <w:sz w:val="32"/>
                <w:szCs w:val="32"/>
              </w:rPr>
              <w:t>Vmware</w:t>
            </w:r>
            <w:proofErr w:type="spellEnd"/>
            <w:r>
              <w:rPr>
                <w:rStyle w:val="font91"/>
                <w:rFonts w:ascii="仿宋_GB2312" w:eastAsia="仿宋_GB2312" w:hAnsi="仿宋_GB2312" w:cs="仿宋_GB2312" w:hint="eastAsia"/>
                <w:sz w:val="32"/>
                <w:szCs w:val="32"/>
              </w:rPr>
              <w:t xml:space="preserve">、Xen、Docker、Huawei </w:t>
            </w:r>
            <w:proofErr w:type="spellStart"/>
            <w:r>
              <w:rPr>
                <w:rStyle w:val="font91"/>
                <w:rFonts w:ascii="仿宋_GB2312" w:eastAsia="仿宋_GB2312" w:hAnsi="仿宋_GB2312" w:cs="仿宋_GB2312" w:hint="eastAsia"/>
                <w:sz w:val="32"/>
                <w:szCs w:val="32"/>
              </w:rPr>
              <w:t>FusionSphere</w:t>
            </w:r>
            <w:proofErr w:type="spellEnd"/>
            <w:r>
              <w:rPr>
                <w:rStyle w:val="font91"/>
                <w:rFonts w:ascii="仿宋_GB2312" w:eastAsia="仿宋_GB2312" w:hAnsi="仿宋_GB2312" w:cs="仿宋_GB2312" w:hint="eastAsia"/>
                <w:sz w:val="32"/>
                <w:szCs w:val="32"/>
              </w:rPr>
              <w:t>等</w:t>
            </w:r>
          </w:p>
        </w:tc>
      </w:tr>
      <w:tr w:rsidR="00B02C6E" w14:paraId="117F79EB" w14:textId="77777777" w:rsidTr="00453BF8">
        <w:trPr>
          <w:trHeight w:val="20"/>
        </w:trPr>
        <w:tc>
          <w:tcPr>
            <w:tcW w:w="1596" w:type="dxa"/>
            <w:vMerge/>
            <w:vAlign w:val="center"/>
          </w:tcPr>
          <w:p w14:paraId="199A3A70" w14:textId="77777777" w:rsidR="00B02C6E" w:rsidRDefault="00B02C6E" w:rsidP="00453BF8">
            <w:pPr>
              <w:spacing w:line="560" w:lineRule="exact"/>
              <w:jc w:val="center"/>
              <w:rPr>
                <w:rFonts w:ascii="仿宋_GB2312" w:eastAsia="仿宋_GB2312" w:hAnsi="仿宋_GB2312" w:cs="仿宋_GB2312"/>
                <w:sz w:val="32"/>
                <w:szCs w:val="32"/>
              </w:rPr>
            </w:pPr>
          </w:p>
        </w:tc>
        <w:tc>
          <w:tcPr>
            <w:tcW w:w="7260" w:type="dxa"/>
            <w:vAlign w:val="center"/>
          </w:tcPr>
          <w:p w14:paraId="4CC08A1E"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支持对主流国产应用软件的识别与扫描，包括：Foxit、WPS、金山、永中、数科、用友、景云、致远、亿邮、</w:t>
            </w:r>
            <w:proofErr w:type="gramStart"/>
            <w:r>
              <w:rPr>
                <w:rStyle w:val="font91"/>
                <w:rFonts w:ascii="仿宋_GB2312" w:eastAsia="仿宋_GB2312" w:hAnsi="仿宋_GB2312" w:cs="仿宋_GB2312" w:hint="eastAsia"/>
                <w:sz w:val="32"/>
                <w:szCs w:val="32"/>
              </w:rPr>
              <w:t>好视通</w:t>
            </w:r>
            <w:proofErr w:type="gramEnd"/>
            <w:r>
              <w:rPr>
                <w:rStyle w:val="font91"/>
                <w:rFonts w:ascii="仿宋_GB2312" w:eastAsia="仿宋_GB2312" w:hAnsi="仿宋_GB2312" w:cs="仿宋_GB2312" w:hint="eastAsia"/>
                <w:sz w:val="32"/>
                <w:szCs w:val="32"/>
              </w:rPr>
              <w:t>、书生等，能够扫描的国产应用</w:t>
            </w:r>
            <w:r>
              <w:rPr>
                <w:rStyle w:val="font91"/>
                <w:rFonts w:ascii="仿宋_GB2312" w:eastAsia="仿宋_GB2312" w:hAnsi="仿宋_GB2312" w:cs="仿宋_GB2312" w:hint="eastAsia"/>
                <w:sz w:val="32"/>
                <w:szCs w:val="32"/>
              </w:rPr>
              <w:lastRenderedPageBreak/>
              <w:t>软件漏洞扫描方法不小于800种</w:t>
            </w:r>
          </w:p>
        </w:tc>
      </w:tr>
      <w:tr w:rsidR="00B02C6E" w14:paraId="270DD710" w14:textId="77777777" w:rsidTr="00453BF8">
        <w:trPr>
          <w:trHeight w:val="20"/>
        </w:trPr>
        <w:tc>
          <w:tcPr>
            <w:tcW w:w="1596" w:type="dxa"/>
            <w:vMerge/>
            <w:vAlign w:val="center"/>
          </w:tcPr>
          <w:p w14:paraId="6274D7C1" w14:textId="77777777" w:rsidR="00B02C6E" w:rsidRDefault="00B02C6E" w:rsidP="00453BF8">
            <w:pPr>
              <w:spacing w:line="560" w:lineRule="exact"/>
              <w:jc w:val="center"/>
              <w:rPr>
                <w:rFonts w:ascii="仿宋_GB2312" w:eastAsia="仿宋_GB2312" w:hAnsi="仿宋_GB2312" w:cs="仿宋_GB2312"/>
                <w:sz w:val="32"/>
                <w:szCs w:val="32"/>
              </w:rPr>
            </w:pPr>
          </w:p>
        </w:tc>
        <w:tc>
          <w:tcPr>
            <w:tcW w:w="7260" w:type="dxa"/>
            <w:vAlign w:val="center"/>
          </w:tcPr>
          <w:p w14:paraId="3785E779"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▲支持多种协议口令猜测，包括SSH、SMB、Telnet、SNMP、Rlogin、RDP、POP3、IMAP、SMTP、Tomcat、WebLogic、ActiveMQ、Redis、MySQL、Oracle DB、SQL Server、DB2、Sybase、PostgreSQL、MongoDB、</w:t>
            </w:r>
            <w:proofErr w:type="spellStart"/>
            <w:r>
              <w:rPr>
                <w:rStyle w:val="font91"/>
                <w:rFonts w:ascii="仿宋_GB2312" w:eastAsia="仿宋_GB2312" w:hAnsi="仿宋_GB2312" w:cs="仿宋_GB2312" w:hint="eastAsia"/>
                <w:sz w:val="32"/>
                <w:szCs w:val="32"/>
              </w:rPr>
              <w:t>HighGo</w:t>
            </w:r>
            <w:proofErr w:type="spellEnd"/>
            <w:r>
              <w:rPr>
                <w:rStyle w:val="font91"/>
                <w:rFonts w:ascii="仿宋_GB2312" w:eastAsia="仿宋_GB2312" w:hAnsi="仿宋_GB2312" w:cs="仿宋_GB2312" w:hint="eastAsia"/>
                <w:sz w:val="32"/>
                <w:szCs w:val="32"/>
              </w:rPr>
              <w:t>、</w:t>
            </w:r>
            <w:proofErr w:type="spellStart"/>
            <w:r>
              <w:rPr>
                <w:rStyle w:val="font91"/>
                <w:rFonts w:ascii="仿宋_GB2312" w:eastAsia="仿宋_GB2312" w:hAnsi="仿宋_GB2312" w:cs="仿宋_GB2312" w:hint="eastAsia"/>
                <w:sz w:val="32"/>
                <w:szCs w:val="32"/>
              </w:rPr>
              <w:t>Kingbase</w:t>
            </w:r>
            <w:proofErr w:type="spellEnd"/>
            <w:r>
              <w:rPr>
                <w:rStyle w:val="font91"/>
                <w:rFonts w:ascii="仿宋_GB2312" w:eastAsia="仿宋_GB2312" w:hAnsi="仿宋_GB2312" w:cs="仿宋_GB2312" w:hint="eastAsia"/>
                <w:sz w:val="32"/>
                <w:szCs w:val="32"/>
              </w:rPr>
              <w:t>、UXDB、STDB、DMDB、RTSP、WEBCAM、ONVIF、SIP、SN、FTP等，提供截</w:t>
            </w:r>
            <w:proofErr w:type="gramStart"/>
            <w:r>
              <w:rPr>
                <w:rStyle w:val="font91"/>
                <w:rFonts w:ascii="仿宋_GB2312" w:eastAsia="仿宋_GB2312" w:hAnsi="仿宋_GB2312" w:cs="仿宋_GB2312" w:hint="eastAsia"/>
                <w:sz w:val="32"/>
                <w:szCs w:val="32"/>
              </w:rPr>
              <w:t>图证明</w:t>
            </w:r>
            <w:proofErr w:type="gramEnd"/>
          </w:p>
        </w:tc>
      </w:tr>
      <w:tr w:rsidR="00B02C6E" w14:paraId="0B4C5302" w14:textId="77777777" w:rsidTr="00453BF8">
        <w:trPr>
          <w:trHeight w:val="20"/>
        </w:trPr>
        <w:tc>
          <w:tcPr>
            <w:tcW w:w="1596" w:type="dxa"/>
            <w:vMerge w:val="restart"/>
            <w:vAlign w:val="center"/>
          </w:tcPr>
          <w:p w14:paraId="59004CF0"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策略管理</w:t>
            </w:r>
          </w:p>
        </w:tc>
        <w:tc>
          <w:tcPr>
            <w:tcW w:w="7260" w:type="dxa"/>
            <w:vAlign w:val="center"/>
          </w:tcPr>
          <w:p w14:paraId="7B948201"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支持35种以上默认扫描策略模板，如常规安全，中高危漏洞，高危漏洞，web服务组件，开源组件、网络设备，云平台，虚拟化，主机信息收集，攻击性，大数据，Apple类，视频监控类等</w:t>
            </w:r>
          </w:p>
        </w:tc>
      </w:tr>
      <w:tr w:rsidR="00B02C6E" w14:paraId="25378584" w14:textId="77777777" w:rsidTr="00453BF8">
        <w:trPr>
          <w:trHeight w:val="20"/>
        </w:trPr>
        <w:tc>
          <w:tcPr>
            <w:tcW w:w="1596" w:type="dxa"/>
            <w:vMerge/>
            <w:vAlign w:val="center"/>
          </w:tcPr>
          <w:p w14:paraId="0A1923E9" w14:textId="77777777" w:rsidR="00B02C6E" w:rsidRDefault="00B02C6E" w:rsidP="00453BF8">
            <w:pPr>
              <w:widowControl/>
              <w:spacing w:line="560" w:lineRule="exact"/>
              <w:rPr>
                <w:rFonts w:ascii="仿宋_GB2312" w:eastAsia="仿宋_GB2312" w:hAnsi="仿宋_GB2312" w:cs="仿宋_GB2312"/>
                <w:kern w:val="0"/>
                <w:sz w:val="32"/>
                <w:szCs w:val="32"/>
                <w:lang w:val="zh-CN"/>
              </w:rPr>
            </w:pPr>
          </w:p>
        </w:tc>
        <w:tc>
          <w:tcPr>
            <w:tcW w:w="7260" w:type="dxa"/>
            <w:vAlign w:val="center"/>
          </w:tcPr>
          <w:p w14:paraId="01834D42"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▲支持与防火墙设备联动，为脆弱性主机提供安全防护，提供截图证明；</w:t>
            </w:r>
          </w:p>
        </w:tc>
      </w:tr>
    </w:tbl>
    <w:p w14:paraId="5E09D6B2" w14:textId="77777777" w:rsidR="00B02C6E" w:rsidRDefault="00B02C6E" w:rsidP="00B02C6E">
      <w:pPr>
        <w:pStyle w:val="3"/>
        <w:numPr>
          <w:ilvl w:val="2"/>
          <w:numId w:val="0"/>
        </w:numPr>
        <w:spacing w:before="0" w:after="0" w:line="560" w:lineRule="exact"/>
        <w:rPr>
          <w:rFonts w:ascii="仿宋_GB2312" w:eastAsia="仿宋_GB2312" w:hAnsi="仿宋_GB2312" w:cs="仿宋_GB2312"/>
          <w:sz w:val="32"/>
        </w:rPr>
      </w:pPr>
      <w:r>
        <w:rPr>
          <w:rFonts w:ascii="仿宋_GB2312" w:eastAsia="仿宋_GB2312" w:hAnsi="仿宋_GB2312" w:cs="仿宋_GB2312" w:hint="eastAsia"/>
          <w:sz w:val="32"/>
        </w:rPr>
        <w:t>（四）WEB应用安全防护系统1套</w:t>
      </w:r>
    </w:p>
    <w:tbl>
      <w:tblPr>
        <w:tblW w:w="8856"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7272"/>
      </w:tblGrid>
      <w:tr w:rsidR="00B02C6E" w14:paraId="5DCF03AE" w14:textId="77777777" w:rsidTr="00453BF8">
        <w:trPr>
          <w:trHeight w:val="20"/>
        </w:trPr>
        <w:tc>
          <w:tcPr>
            <w:tcW w:w="1584" w:type="dxa"/>
            <w:tcBorders>
              <w:top w:val="single" w:sz="4" w:space="0" w:color="auto"/>
              <w:left w:val="single" w:sz="4" w:space="0" w:color="auto"/>
              <w:bottom w:val="single" w:sz="4" w:space="0" w:color="auto"/>
              <w:right w:val="single" w:sz="4" w:space="0" w:color="auto"/>
            </w:tcBorders>
            <w:vAlign w:val="center"/>
          </w:tcPr>
          <w:p w14:paraId="3A7E436B" w14:textId="77777777" w:rsidR="00B02C6E" w:rsidRDefault="00B02C6E" w:rsidP="00453BF8">
            <w:pPr>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指标项</w:t>
            </w:r>
          </w:p>
        </w:tc>
        <w:tc>
          <w:tcPr>
            <w:tcW w:w="7272" w:type="dxa"/>
            <w:tcBorders>
              <w:top w:val="single" w:sz="4" w:space="0" w:color="auto"/>
              <w:left w:val="single" w:sz="4" w:space="0" w:color="auto"/>
              <w:bottom w:val="single" w:sz="4" w:space="0" w:color="auto"/>
              <w:right w:val="single" w:sz="4" w:space="0" w:color="auto"/>
            </w:tcBorders>
          </w:tcPr>
          <w:p w14:paraId="18ED2C73" w14:textId="77777777" w:rsidR="00B02C6E" w:rsidRDefault="00B02C6E" w:rsidP="00453BF8">
            <w:pPr>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参数要求</w:t>
            </w:r>
          </w:p>
        </w:tc>
      </w:tr>
      <w:tr w:rsidR="00B02C6E" w14:paraId="78C3BDF8" w14:textId="77777777" w:rsidTr="00453BF8">
        <w:trPr>
          <w:trHeight w:val="20"/>
        </w:trPr>
        <w:tc>
          <w:tcPr>
            <w:tcW w:w="1584" w:type="dxa"/>
            <w:tcBorders>
              <w:top w:val="single" w:sz="4" w:space="0" w:color="auto"/>
              <w:left w:val="single" w:sz="4" w:space="0" w:color="auto"/>
              <w:bottom w:val="single" w:sz="4" w:space="0" w:color="auto"/>
              <w:right w:val="single" w:sz="4" w:space="0" w:color="auto"/>
            </w:tcBorders>
            <w:vAlign w:val="center"/>
          </w:tcPr>
          <w:p w14:paraId="69CD041F"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基本要求</w:t>
            </w:r>
          </w:p>
        </w:tc>
        <w:tc>
          <w:tcPr>
            <w:tcW w:w="7272" w:type="dxa"/>
            <w:tcBorders>
              <w:top w:val="single" w:sz="4" w:space="0" w:color="auto"/>
              <w:left w:val="single" w:sz="4" w:space="0" w:color="auto"/>
              <w:bottom w:val="single" w:sz="4" w:space="0" w:color="auto"/>
              <w:right w:val="single" w:sz="4" w:space="0" w:color="auto"/>
            </w:tcBorders>
          </w:tcPr>
          <w:p w14:paraId="79241843" w14:textId="77777777" w:rsidR="00B02C6E" w:rsidRDefault="00B02C6E" w:rsidP="00453BF8">
            <w:pPr>
              <w:spacing w:line="560" w:lineRule="exact"/>
              <w:rPr>
                <w:rStyle w:val="font91"/>
                <w:rFonts w:ascii="仿宋_GB2312" w:eastAsia="仿宋_GB2312" w:hAnsi="仿宋_GB2312" w:cs="仿宋_GB2312"/>
                <w:sz w:val="32"/>
                <w:szCs w:val="32"/>
              </w:rPr>
            </w:pPr>
            <w:r w:rsidRPr="00882CE3">
              <w:rPr>
                <w:rStyle w:val="font91"/>
                <w:rFonts w:ascii="仿宋_GB2312" w:eastAsia="仿宋_GB2312" w:hAnsi="仿宋_GB2312" w:cs="仿宋_GB2312"/>
                <w:sz w:val="32"/>
                <w:szCs w:val="32"/>
              </w:rPr>
              <w:t xml:space="preserve">CPU: </w:t>
            </w:r>
            <w:r w:rsidRPr="00882CE3">
              <w:rPr>
                <w:rStyle w:val="font91"/>
                <w:rFonts w:ascii="仿宋_GB2312" w:eastAsia="仿宋_GB2312" w:hAnsi="仿宋_GB2312" w:cs="仿宋_GB2312" w:hint="eastAsia"/>
                <w:sz w:val="32"/>
                <w:szCs w:val="32"/>
              </w:rPr>
              <w:t>国产芯片（≥</w:t>
            </w:r>
            <w:r w:rsidRPr="00882CE3">
              <w:rPr>
                <w:rStyle w:val="font91"/>
                <w:rFonts w:ascii="仿宋_GB2312" w:eastAsia="仿宋_GB2312" w:hAnsi="仿宋_GB2312" w:cs="仿宋_GB2312"/>
                <w:sz w:val="32"/>
                <w:szCs w:val="32"/>
              </w:rPr>
              <w:t>1.5GHz</w:t>
            </w:r>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16</w:t>
            </w:r>
            <w:r w:rsidRPr="00882CE3">
              <w:rPr>
                <w:rStyle w:val="font91"/>
                <w:rFonts w:ascii="仿宋_GB2312" w:eastAsia="仿宋_GB2312" w:hAnsi="仿宋_GB2312" w:cs="仿宋_GB2312" w:hint="eastAsia"/>
                <w:sz w:val="32"/>
                <w:szCs w:val="32"/>
              </w:rPr>
              <w:t>核）；操作系统：国产操作系统</w:t>
            </w:r>
            <w:r w:rsidRPr="00882CE3">
              <w:rPr>
                <w:rStyle w:val="font91"/>
                <w:rFonts w:ascii="仿宋_GB2312" w:eastAsia="仿宋_GB2312" w:hAnsi="仿宋_GB2312" w:cs="仿宋_GB2312"/>
                <w:sz w:val="32"/>
                <w:szCs w:val="32"/>
              </w:rPr>
              <w:t xml:space="preserve"> </w:t>
            </w:r>
            <w:r w:rsidRPr="00882CE3">
              <w:rPr>
                <w:rStyle w:val="font91"/>
                <w:rFonts w:ascii="仿宋_GB2312" w:eastAsia="仿宋_GB2312" w:hAnsi="仿宋_GB2312" w:cs="仿宋_GB2312" w:hint="eastAsia"/>
                <w:sz w:val="32"/>
                <w:szCs w:val="32"/>
              </w:rPr>
              <w:t>网络接口：≥</w:t>
            </w:r>
            <w:r w:rsidRPr="00882CE3">
              <w:rPr>
                <w:rStyle w:val="font91"/>
                <w:rFonts w:ascii="仿宋_GB2312" w:eastAsia="仿宋_GB2312" w:hAnsi="仿宋_GB2312" w:cs="仿宋_GB2312"/>
                <w:sz w:val="32"/>
                <w:szCs w:val="32"/>
              </w:rPr>
              <w:t>1</w:t>
            </w:r>
            <w:r w:rsidRPr="00882CE3">
              <w:rPr>
                <w:rStyle w:val="font91"/>
                <w:rFonts w:ascii="仿宋_GB2312" w:eastAsia="仿宋_GB2312" w:hAnsi="仿宋_GB2312" w:cs="仿宋_GB2312" w:hint="eastAsia"/>
                <w:sz w:val="32"/>
                <w:szCs w:val="32"/>
              </w:rPr>
              <w:t>个管理口、≥</w:t>
            </w:r>
            <w:r w:rsidRPr="00882CE3">
              <w:rPr>
                <w:rStyle w:val="font91"/>
                <w:rFonts w:ascii="仿宋_GB2312" w:eastAsia="仿宋_GB2312" w:hAnsi="仿宋_GB2312" w:cs="仿宋_GB2312"/>
                <w:sz w:val="32"/>
                <w:szCs w:val="32"/>
              </w:rPr>
              <w:t>1</w:t>
            </w:r>
            <w:r w:rsidRPr="00882CE3">
              <w:rPr>
                <w:rStyle w:val="font91"/>
                <w:rFonts w:ascii="仿宋_GB2312" w:eastAsia="仿宋_GB2312" w:hAnsi="仿宋_GB2312" w:cs="仿宋_GB2312" w:hint="eastAsia"/>
                <w:sz w:val="32"/>
                <w:szCs w:val="32"/>
              </w:rPr>
              <w:t>个</w:t>
            </w:r>
            <w:r w:rsidRPr="00882CE3">
              <w:rPr>
                <w:rStyle w:val="font91"/>
                <w:rFonts w:ascii="仿宋_GB2312" w:eastAsia="仿宋_GB2312" w:hAnsi="仿宋_GB2312" w:cs="仿宋_GB2312"/>
                <w:sz w:val="32"/>
                <w:szCs w:val="32"/>
              </w:rPr>
              <w:t>HA</w:t>
            </w:r>
            <w:r w:rsidRPr="00882CE3">
              <w:rPr>
                <w:rStyle w:val="font91"/>
                <w:rFonts w:ascii="仿宋_GB2312" w:eastAsia="仿宋_GB2312" w:hAnsi="仿宋_GB2312" w:cs="仿宋_GB2312" w:hint="eastAsia"/>
                <w:sz w:val="32"/>
                <w:szCs w:val="32"/>
              </w:rPr>
              <w:t>口，≥</w:t>
            </w:r>
            <w:r w:rsidRPr="00882CE3">
              <w:rPr>
                <w:rStyle w:val="font91"/>
                <w:rFonts w:ascii="仿宋_GB2312" w:eastAsia="仿宋_GB2312" w:hAnsi="仿宋_GB2312" w:cs="仿宋_GB2312"/>
                <w:sz w:val="32"/>
                <w:szCs w:val="32"/>
              </w:rPr>
              <w:t>8</w:t>
            </w:r>
            <w:r w:rsidRPr="00882CE3">
              <w:rPr>
                <w:rStyle w:val="font91"/>
                <w:rFonts w:ascii="仿宋_GB2312" w:eastAsia="仿宋_GB2312" w:hAnsi="仿宋_GB2312" w:cs="仿宋_GB2312" w:hint="eastAsia"/>
                <w:sz w:val="32"/>
                <w:szCs w:val="32"/>
              </w:rPr>
              <w:t>个万兆</w:t>
            </w:r>
            <w:r>
              <w:rPr>
                <w:rStyle w:val="font91"/>
                <w:rFonts w:ascii="仿宋_GB2312" w:eastAsia="仿宋_GB2312" w:hAnsi="仿宋_GB2312" w:cs="仿宋_GB2312" w:hint="eastAsia"/>
                <w:sz w:val="32"/>
                <w:szCs w:val="32"/>
              </w:rPr>
              <w:t>网络接口</w:t>
            </w:r>
            <w:r w:rsidRPr="00882CE3">
              <w:rPr>
                <w:rStyle w:val="font91"/>
                <w:rFonts w:ascii="仿宋_GB2312" w:eastAsia="仿宋_GB2312" w:hAnsi="仿宋_GB2312" w:cs="仿宋_GB2312" w:hint="eastAsia"/>
                <w:sz w:val="32"/>
                <w:szCs w:val="32"/>
              </w:rPr>
              <w:t>（带</w:t>
            </w:r>
            <w:r w:rsidRPr="00882CE3">
              <w:rPr>
                <w:rStyle w:val="font91"/>
                <w:rFonts w:ascii="仿宋_GB2312" w:eastAsia="仿宋_GB2312" w:hAnsi="仿宋_GB2312" w:cs="仿宋_GB2312"/>
                <w:sz w:val="32"/>
                <w:szCs w:val="32"/>
              </w:rPr>
              <w:t>2</w:t>
            </w:r>
            <w:r w:rsidRPr="00882CE3">
              <w:rPr>
                <w:rStyle w:val="font91"/>
                <w:rFonts w:ascii="仿宋_GB2312" w:eastAsia="仿宋_GB2312" w:hAnsi="仿宋_GB2312" w:cs="仿宋_GB2312" w:hint="eastAsia"/>
                <w:sz w:val="32"/>
                <w:szCs w:val="32"/>
              </w:rPr>
              <w:t>个多模模块），≥</w:t>
            </w:r>
            <w:r w:rsidRPr="00882CE3">
              <w:rPr>
                <w:rStyle w:val="font91"/>
                <w:rFonts w:ascii="仿宋_GB2312" w:eastAsia="仿宋_GB2312" w:hAnsi="仿宋_GB2312" w:cs="仿宋_GB2312"/>
                <w:sz w:val="32"/>
                <w:szCs w:val="32"/>
              </w:rPr>
              <w:t>8</w:t>
            </w:r>
            <w:r w:rsidRPr="00882CE3">
              <w:rPr>
                <w:rStyle w:val="font91"/>
                <w:rFonts w:ascii="仿宋_GB2312" w:eastAsia="仿宋_GB2312" w:hAnsi="仿宋_GB2312" w:cs="仿宋_GB2312" w:hint="eastAsia"/>
                <w:sz w:val="32"/>
                <w:szCs w:val="32"/>
              </w:rPr>
              <w:t>个</w:t>
            </w:r>
            <w:proofErr w:type="gramStart"/>
            <w:r w:rsidRPr="00882CE3">
              <w:rPr>
                <w:rStyle w:val="font91"/>
                <w:rFonts w:ascii="仿宋_GB2312" w:eastAsia="仿宋_GB2312" w:hAnsi="仿宋_GB2312" w:cs="仿宋_GB2312" w:hint="eastAsia"/>
                <w:sz w:val="32"/>
                <w:szCs w:val="32"/>
              </w:rPr>
              <w:t>千兆电口</w:t>
            </w:r>
            <w:proofErr w:type="gramEnd"/>
            <w:r w:rsidRPr="00882CE3">
              <w:rPr>
                <w:rStyle w:val="font91"/>
                <w:rFonts w:ascii="仿宋_GB2312" w:eastAsia="仿宋_GB2312" w:hAnsi="仿宋_GB2312" w:cs="仿宋_GB2312" w:hint="eastAsia"/>
                <w:sz w:val="32"/>
                <w:szCs w:val="32"/>
              </w:rPr>
              <w:t>和</w:t>
            </w:r>
            <w:r w:rsidRPr="00882CE3">
              <w:rPr>
                <w:rStyle w:val="font91"/>
                <w:rFonts w:ascii="仿宋_GB2312" w:eastAsia="仿宋_GB2312" w:hAnsi="仿宋_GB2312" w:cs="仿宋_GB2312"/>
                <w:sz w:val="32"/>
                <w:szCs w:val="32"/>
              </w:rPr>
              <w:t>8</w:t>
            </w:r>
            <w:r w:rsidRPr="00882CE3">
              <w:rPr>
                <w:rStyle w:val="font91"/>
                <w:rFonts w:ascii="仿宋_GB2312" w:eastAsia="仿宋_GB2312" w:hAnsi="仿宋_GB2312" w:cs="仿宋_GB2312" w:hint="eastAsia"/>
                <w:sz w:val="32"/>
                <w:szCs w:val="32"/>
              </w:rPr>
              <w:t>个千兆</w:t>
            </w:r>
            <w:r w:rsidRPr="00882CE3">
              <w:rPr>
                <w:rStyle w:val="font91"/>
                <w:rFonts w:ascii="仿宋_GB2312" w:eastAsia="仿宋_GB2312" w:hAnsi="仿宋_GB2312" w:cs="仿宋_GB2312"/>
                <w:sz w:val="32"/>
                <w:szCs w:val="32"/>
              </w:rPr>
              <w:t>SFP</w:t>
            </w:r>
            <w:r w:rsidRPr="00882CE3">
              <w:rPr>
                <w:rStyle w:val="font91"/>
                <w:rFonts w:ascii="仿宋_GB2312" w:eastAsia="仿宋_GB2312" w:hAnsi="仿宋_GB2312" w:cs="仿宋_GB2312" w:hint="eastAsia"/>
                <w:sz w:val="32"/>
                <w:szCs w:val="32"/>
              </w:rPr>
              <w:t>插槽；硬盘≥</w:t>
            </w:r>
            <w:r w:rsidRPr="00882CE3">
              <w:rPr>
                <w:rStyle w:val="font91"/>
                <w:rFonts w:ascii="仿宋_GB2312" w:eastAsia="仿宋_GB2312" w:hAnsi="仿宋_GB2312" w:cs="仿宋_GB2312"/>
                <w:sz w:val="32"/>
                <w:szCs w:val="32"/>
              </w:rPr>
              <w:t>8T</w:t>
            </w:r>
            <w:r w:rsidRPr="00882CE3">
              <w:rPr>
                <w:rStyle w:val="font91"/>
                <w:rFonts w:ascii="仿宋_GB2312" w:eastAsia="仿宋_GB2312" w:hAnsi="仿宋_GB2312" w:cs="仿宋_GB2312" w:hint="eastAsia"/>
                <w:sz w:val="32"/>
                <w:szCs w:val="32"/>
              </w:rPr>
              <w:t>；内存≥</w:t>
            </w:r>
            <w:r w:rsidRPr="00882CE3">
              <w:rPr>
                <w:rStyle w:val="font91"/>
                <w:rFonts w:ascii="仿宋_GB2312" w:eastAsia="仿宋_GB2312" w:hAnsi="仿宋_GB2312" w:cs="仿宋_GB2312"/>
                <w:sz w:val="32"/>
                <w:szCs w:val="32"/>
              </w:rPr>
              <w:t>32GB</w:t>
            </w:r>
            <w:r w:rsidRPr="00882CE3">
              <w:rPr>
                <w:rStyle w:val="font91"/>
                <w:rFonts w:ascii="仿宋_GB2312" w:eastAsia="仿宋_GB2312" w:hAnsi="仿宋_GB2312" w:cs="仿宋_GB2312" w:hint="eastAsia"/>
                <w:sz w:val="32"/>
                <w:szCs w:val="32"/>
              </w:rPr>
              <w:t>；整机规格：</w:t>
            </w:r>
            <w:r w:rsidRPr="00882CE3">
              <w:rPr>
                <w:rStyle w:val="font91"/>
                <w:rFonts w:ascii="仿宋_GB2312" w:eastAsia="仿宋_GB2312" w:hAnsi="仿宋_GB2312" w:cs="仿宋_GB2312"/>
                <w:sz w:val="32"/>
                <w:szCs w:val="32"/>
              </w:rPr>
              <w:t>2U</w:t>
            </w:r>
            <w:r w:rsidRPr="00882CE3">
              <w:rPr>
                <w:rStyle w:val="font91"/>
                <w:rFonts w:ascii="仿宋_GB2312" w:eastAsia="仿宋_GB2312" w:hAnsi="仿宋_GB2312" w:cs="仿宋_GB2312" w:hint="eastAsia"/>
                <w:sz w:val="32"/>
                <w:szCs w:val="32"/>
              </w:rPr>
              <w:t>。</w:t>
            </w:r>
          </w:p>
        </w:tc>
      </w:tr>
      <w:tr w:rsidR="00B02C6E" w14:paraId="11EE379A" w14:textId="77777777" w:rsidTr="00453BF8">
        <w:trPr>
          <w:trHeight w:val="20"/>
        </w:trPr>
        <w:tc>
          <w:tcPr>
            <w:tcW w:w="1584" w:type="dxa"/>
            <w:tcBorders>
              <w:top w:val="single" w:sz="4" w:space="0" w:color="auto"/>
              <w:left w:val="single" w:sz="4" w:space="0" w:color="auto"/>
              <w:bottom w:val="single" w:sz="4" w:space="0" w:color="auto"/>
              <w:right w:val="single" w:sz="4" w:space="0" w:color="auto"/>
            </w:tcBorders>
            <w:vAlign w:val="center"/>
          </w:tcPr>
          <w:p w14:paraId="085BC836"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性能要求</w:t>
            </w:r>
          </w:p>
        </w:tc>
        <w:tc>
          <w:tcPr>
            <w:tcW w:w="7272" w:type="dxa"/>
            <w:tcBorders>
              <w:top w:val="single" w:sz="4" w:space="0" w:color="auto"/>
              <w:left w:val="single" w:sz="4" w:space="0" w:color="auto"/>
              <w:right w:val="single" w:sz="4" w:space="0" w:color="auto"/>
            </w:tcBorders>
          </w:tcPr>
          <w:p w14:paraId="441C6F7F"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HTTP应用层吞吐量≥9860Mbps，HTTP最大并发连接数≥1000万</w:t>
            </w:r>
          </w:p>
        </w:tc>
      </w:tr>
      <w:tr w:rsidR="00B02C6E" w14:paraId="1EB48B95" w14:textId="77777777" w:rsidTr="00453BF8">
        <w:trPr>
          <w:trHeight w:val="20"/>
        </w:trPr>
        <w:tc>
          <w:tcPr>
            <w:tcW w:w="1584" w:type="dxa"/>
            <w:vMerge w:val="restart"/>
            <w:tcBorders>
              <w:top w:val="single" w:sz="4" w:space="0" w:color="auto"/>
              <w:left w:val="single" w:sz="4" w:space="0" w:color="auto"/>
              <w:bottom w:val="single" w:sz="4" w:space="0" w:color="auto"/>
              <w:right w:val="single" w:sz="4" w:space="0" w:color="auto"/>
            </w:tcBorders>
            <w:vAlign w:val="center"/>
          </w:tcPr>
          <w:p w14:paraId="7AD7C7F6"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接入模式</w:t>
            </w:r>
          </w:p>
        </w:tc>
        <w:tc>
          <w:tcPr>
            <w:tcW w:w="7272" w:type="dxa"/>
            <w:tcBorders>
              <w:top w:val="single" w:sz="4" w:space="0" w:color="auto"/>
              <w:left w:val="single" w:sz="4" w:space="0" w:color="auto"/>
              <w:bottom w:val="single" w:sz="4" w:space="0" w:color="auto"/>
              <w:right w:val="single" w:sz="4" w:space="0" w:color="auto"/>
            </w:tcBorders>
          </w:tcPr>
          <w:p w14:paraId="431F3156"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▲支持智能部署，上线WAF设备能够自动感知Web网站IP和端口</w:t>
            </w:r>
          </w:p>
        </w:tc>
      </w:tr>
      <w:tr w:rsidR="00B02C6E" w14:paraId="08D99A12" w14:textId="77777777" w:rsidTr="00453BF8">
        <w:trPr>
          <w:trHeight w:val="20"/>
        </w:trPr>
        <w:tc>
          <w:tcPr>
            <w:tcW w:w="1584" w:type="dxa"/>
            <w:vMerge/>
            <w:tcBorders>
              <w:top w:val="single" w:sz="4" w:space="0" w:color="auto"/>
              <w:left w:val="single" w:sz="4" w:space="0" w:color="auto"/>
              <w:bottom w:val="single" w:sz="4" w:space="0" w:color="auto"/>
              <w:right w:val="single" w:sz="4" w:space="0" w:color="auto"/>
            </w:tcBorders>
            <w:vAlign w:val="center"/>
          </w:tcPr>
          <w:p w14:paraId="0F5B96B8"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Borders>
              <w:top w:val="single" w:sz="4" w:space="0" w:color="auto"/>
              <w:left w:val="single" w:sz="4" w:space="0" w:color="auto"/>
              <w:bottom w:val="single" w:sz="4" w:space="0" w:color="auto"/>
              <w:right w:val="single" w:sz="4" w:space="0" w:color="auto"/>
            </w:tcBorders>
          </w:tcPr>
          <w:p w14:paraId="47B1BE2D"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支持NAT环境下的用户识别能力</w:t>
            </w:r>
          </w:p>
        </w:tc>
      </w:tr>
      <w:tr w:rsidR="00B02C6E" w14:paraId="722D9762" w14:textId="77777777" w:rsidTr="00453BF8">
        <w:trPr>
          <w:trHeight w:val="20"/>
        </w:trPr>
        <w:tc>
          <w:tcPr>
            <w:tcW w:w="1584" w:type="dxa"/>
            <w:vMerge/>
            <w:tcBorders>
              <w:top w:val="single" w:sz="4" w:space="0" w:color="auto"/>
              <w:left w:val="single" w:sz="4" w:space="0" w:color="auto"/>
              <w:bottom w:val="single" w:sz="4" w:space="0" w:color="auto"/>
              <w:right w:val="single" w:sz="4" w:space="0" w:color="auto"/>
            </w:tcBorders>
            <w:vAlign w:val="center"/>
          </w:tcPr>
          <w:p w14:paraId="1EF85039"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Borders>
              <w:top w:val="single" w:sz="4" w:space="0" w:color="auto"/>
              <w:left w:val="single" w:sz="4" w:space="0" w:color="auto"/>
              <w:bottom w:val="single" w:sz="4" w:space="0" w:color="auto"/>
              <w:right w:val="single" w:sz="4" w:space="0" w:color="auto"/>
            </w:tcBorders>
          </w:tcPr>
          <w:p w14:paraId="372A7093"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支持安装向导式部署，按照该部署方式可直接部署完成</w:t>
            </w:r>
          </w:p>
        </w:tc>
      </w:tr>
      <w:tr w:rsidR="00B02C6E" w14:paraId="57153270" w14:textId="77777777" w:rsidTr="00453BF8">
        <w:trPr>
          <w:trHeight w:val="20"/>
        </w:trPr>
        <w:tc>
          <w:tcPr>
            <w:tcW w:w="1584" w:type="dxa"/>
            <w:vMerge w:val="restart"/>
            <w:tcBorders>
              <w:top w:val="single" w:sz="4" w:space="0" w:color="auto"/>
              <w:left w:val="single" w:sz="4" w:space="0" w:color="auto"/>
              <w:bottom w:val="single" w:sz="4" w:space="0" w:color="auto"/>
              <w:right w:val="single" w:sz="4" w:space="0" w:color="auto"/>
            </w:tcBorders>
            <w:vAlign w:val="center"/>
          </w:tcPr>
          <w:p w14:paraId="5A157E97"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Web攻击防护</w:t>
            </w:r>
          </w:p>
        </w:tc>
        <w:tc>
          <w:tcPr>
            <w:tcW w:w="7272" w:type="dxa"/>
            <w:tcBorders>
              <w:top w:val="single" w:sz="4" w:space="0" w:color="auto"/>
              <w:left w:val="single" w:sz="4" w:space="0" w:color="auto"/>
              <w:bottom w:val="single" w:sz="4" w:space="0" w:color="auto"/>
              <w:right w:val="single" w:sz="4" w:space="0" w:color="auto"/>
            </w:tcBorders>
            <w:vAlign w:val="center"/>
          </w:tcPr>
          <w:p w14:paraId="05A64797"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SQL注入、XSS攻击检测与防护功能</w:t>
            </w:r>
          </w:p>
        </w:tc>
      </w:tr>
      <w:tr w:rsidR="00B02C6E" w14:paraId="222423F8" w14:textId="77777777" w:rsidTr="00453BF8">
        <w:trPr>
          <w:trHeight w:val="20"/>
        </w:trPr>
        <w:tc>
          <w:tcPr>
            <w:tcW w:w="1584" w:type="dxa"/>
            <w:vMerge/>
            <w:tcBorders>
              <w:top w:val="single" w:sz="4" w:space="0" w:color="auto"/>
              <w:left w:val="single" w:sz="4" w:space="0" w:color="auto"/>
              <w:bottom w:val="single" w:sz="4" w:space="0" w:color="auto"/>
              <w:right w:val="single" w:sz="4" w:space="0" w:color="auto"/>
            </w:tcBorders>
            <w:vAlign w:val="center"/>
          </w:tcPr>
          <w:p w14:paraId="633CD092"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Borders>
              <w:top w:val="single" w:sz="4" w:space="0" w:color="auto"/>
              <w:left w:val="single" w:sz="4" w:space="0" w:color="auto"/>
              <w:bottom w:val="single" w:sz="4" w:space="0" w:color="auto"/>
              <w:right w:val="single" w:sz="4" w:space="0" w:color="auto"/>
            </w:tcBorders>
            <w:vAlign w:val="center"/>
          </w:tcPr>
          <w:p w14:paraId="2F1A61BC"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具备Web恶意扫描防护的检测与防御能力；</w:t>
            </w:r>
          </w:p>
        </w:tc>
      </w:tr>
      <w:tr w:rsidR="00B02C6E" w14:paraId="732C8EEE" w14:textId="77777777" w:rsidTr="00453BF8">
        <w:trPr>
          <w:trHeight w:val="20"/>
        </w:trPr>
        <w:tc>
          <w:tcPr>
            <w:tcW w:w="1584" w:type="dxa"/>
            <w:vMerge/>
            <w:tcBorders>
              <w:top w:val="single" w:sz="4" w:space="0" w:color="auto"/>
              <w:left w:val="single" w:sz="4" w:space="0" w:color="auto"/>
              <w:bottom w:val="single" w:sz="4" w:space="0" w:color="auto"/>
              <w:right w:val="single" w:sz="4" w:space="0" w:color="auto"/>
            </w:tcBorders>
            <w:vAlign w:val="center"/>
          </w:tcPr>
          <w:p w14:paraId="5F849D2F"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Borders>
              <w:top w:val="single" w:sz="4" w:space="0" w:color="auto"/>
              <w:left w:val="single" w:sz="4" w:space="0" w:color="auto"/>
              <w:bottom w:val="single" w:sz="4" w:space="0" w:color="auto"/>
              <w:right w:val="single" w:sz="4" w:space="0" w:color="auto"/>
            </w:tcBorders>
            <w:vAlign w:val="center"/>
          </w:tcPr>
          <w:p w14:paraId="7D8F07D6"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 xml:space="preserve">具备恶意重定向防护功能 </w:t>
            </w:r>
          </w:p>
        </w:tc>
      </w:tr>
      <w:tr w:rsidR="00B02C6E" w14:paraId="3B63A648" w14:textId="77777777" w:rsidTr="00453BF8">
        <w:trPr>
          <w:trHeight w:val="20"/>
        </w:trPr>
        <w:tc>
          <w:tcPr>
            <w:tcW w:w="1584" w:type="dxa"/>
            <w:vMerge/>
            <w:tcBorders>
              <w:top w:val="single" w:sz="4" w:space="0" w:color="auto"/>
              <w:left w:val="single" w:sz="4" w:space="0" w:color="auto"/>
              <w:bottom w:val="single" w:sz="4" w:space="0" w:color="auto"/>
              <w:right w:val="single" w:sz="4" w:space="0" w:color="auto"/>
            </w:tcBorders>
            <w:vAlign w:val="center"/>
          </w:tcPr>
          <w:p w14:paraId="0F7439C6"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Borders>
              <w:top w:val="single" w:sz="4" w:space="0" w:color="auto"/>
              <w:left w:val="single" w:sz="4" w:space="0" w:color="auto"/>
              <w:bottom w:val="single" w:sz="4" w:space="0" w:color="auto"/>
              <w:right w:val="single" w:sz="4" w:space="0" w:color="auto"/>
            </w:tcBorders>
          </w:tcPr>
          <w:p w14:paraId="78D91766"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▲具有蜜罐检测功能，诱使攻击方对它实施攻击，从而可以对攻击行为进行捕获和阻断，提供截</w:t>
            </w:r>
            <w:proofErr w:type="gramStart"/>
            <w:r>
              <w:rPr>
                <w:rStyle w:val="font91"/>
                <w:rFonts w:ascii="仿宋_GB2312" w:eastAsia="仿宋_GB2312" w:hAnsi="仿宋_GB2312" w:cs="仿宋_GB2312" w:hint="eastAsia"/>
                <w:sz w:val="32"/>
                <w:szCs w:val="32"/>
              </w:rPr>
              <w:t>图证明</w:t>
            </w:r>
            <w:proofErr w:type="gramEnd"/>
            <w:r>
              <w:rPr>
                <w:rStyle w:val="font91"/>
                <w:rFonts w:ascii="仿宋_GB2312" w:eastAsia="仿宋_GB2312" w:hAnsi="仿宋_GB2312" w:cs="仿宋_GB2312" w:hint="eastAsia"/>
                <w:sz w:val="32"/>
                <w:szCs w:val="32"/>
              </w:rPr>
              <w:t xml:space="preserve"> </w:t>
            </w:r>
          </w:p>
        </w:tc>
      </w:tr>
      <w:tr w:rsidR="00B02C6E" w14:paraId="07724A4D" w14:textId="77777777" w:rsidTr="00453BF8">
        <w:trPr>
          <w:trHeight w:val="20"/>
        </w:trPr>
        <w:tc>
          <w:tcPr>
            <w:tcW w:w="1584" w:type="dxa"/>
            <w:vMerge/>
            <w:tcBorders>
              <w:top w:val="single" w:sz="4" w:space="0" w:color="auto"/>
              <w:left w:val="single" w:sz="4" w:space="0" w:color="auto"/>
              <w:bottom w:val="single" w:sz="4" w:space="0" w:color="auto"/>
              <w:right w:val="single" w:sz="4" w:space="0" w:color="auto"/>
            </w:tcBorders>
            <w:vAlign w:val="center"/>
          </w:tcPr>
          <w:p w14:paraId="78EEE64E"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Borders>
              <w:top w:val="single" w:sz="4" w:space="0" w:color="auto"/>
              <w:left w:val="single" w:sz="4" w:space="0" w:color="auto"/>
              <w:bottom w:val="single" w:sz="4" w:space="0" w:color="auto"/>
              <w:right w:val="single" w:sz="4" w:space="0" w:color="auto"/>
            </w:tcBorders>
          </w:tcPr>
          <w:p w14:paraId="0006297D"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▲具备业务合</w:t>
            </w:r>
            <w:proofErr w:type="gramStart"/>
            <w:r>
              <w:rPr>
                <w:rStyle w:val="font91"/>
                <w:rFonts w:ascii="仿宋_GB2312" w:eastAsia="仿宋_GB2312" w:hAnsi="仿宋_GB2312" w:cs="仿宋_GB2312" w:hint="eastAsia"/>
                <w:sz w:val="32"/>
                <w:szCs w:val="32"/>
              </w:rPr>
              <w:t>规</w:t>
            </w:r>
            <w:proofErr w:type="gramEnd"/>
            <w:r>
              <w:rPr>
                <w:rStyle w:val="font91"/>
                <w:rFonts w:ascii="仿宋_GB2312" w:eastAsia="仿宋_GB2312" w:hAnsi="仿宋_GB2312" w:cs="仿宋_GB2312" w:hint="eastAsia"/>
                <w:sz w:val="32"/>
                <w:szCs w:val="32"/>
              </w:rPr>
              <w:t>功能，可对业务进行恶意试探、恶意撞库、恶意登录等行为进行检测及拦截，提供第三方机构颁发的针对DNS服务的防御方法的技术证明文件</w:t>
            </w:r>
          </w:p>
        </w:tc>
      </w:tr>
      <w:tr w:rsidR="00B02C6E" w14:paraId="70EEFD7D" w14:textId="77777777" w:rsidTr="00453BF8">
        <w:trPr>
          <w:trHeight w:val="20"/>
        </w:trPr>
        <w:tc>
          <w:tcPr>
            <w:tcW w:w="1584" w:type="dxa"/>
            <w:vMerge/>
            <w:tcBorders>
              <w:top w:val="single" w:sz="4" w:space="0" w:color="auto"/>
              <w:left w:val="single" w:sz="4" w:space="0" w:color="auto"/>
              <w:bottom w:val="single" w:sz="4" w:space="0" w:color="auto"/>
              <w:right w:val="single" w:sz="4" w:space="0" w:color="auto"/>
            </w:tcBorders>
            <w:vAlign w:val="center"/>
          </w:tcPr>
          <w:p w14:paraId="46990DB1"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Borders>
              <w:top w:val="single" w:sz="4" w:space="0" w:color="auto"/>
              <w:left w:val="single" w:sz="4" w:space="0" w:color="auto"/>
              <w:bottom w:val="single" w:sz="4" w:space="0" w:color="auto"/>
              <w:right w:val="single" w:sz="4" w:space="0" w:color="auto"/>
            </w:tcBorders>
            <w:vAlign w:val="center"/>
          </w:tcPr>
          <w:p w14:paraId="78AF1CC1"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支持攻击日志可高亮显示，有利于用户比较直观看到攻击脚本；</w:t>
            </w:r>
          </w:p>
        </w:tc>
      </w:tr>
      <w:tr w:rsidR="00B02C6E" w14:paraId="7E2C1E5A" w14:textId="77777777" w:rsidTr="00453BF8">
        <w:trPr>
          <w:trHeight w:val="20"/>
        </w:trPr>
        <w:tc>
          <w:tcPr>
            <w:tcW w:w="1584" w:type="dxa"/>
            <w:vMerge/>
            <w:tcBorders>
              <w:top w:val="single" w:sz="4" w:space="0" w:color="auto"/>
              <w:left w:val="single" w:sz="4" w:space="0" w:color="auto"/>
              <w:bottom w:val="single" w:sz="4" w:space="0" w:color="auto"/>
              <w:right w:val="single" w:sz="4" w:space="0" w:color="auto"/>
            </w:tcBorders>
            <w:vAlign w:val="center"/>
          </w:tcPr>
          <w:p w14:paraId="1B7F9B79"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Borders>
              <w:top w:val="single" w:sz="4" w:space="0" w:color="auto"/>
              <w:left w:val="single" w:sz="4" w:space="0" w:color="auto"/>
              <w:bottom w:val="single" w:sz="4" w:space="0" w:color="auto"/>
              <w:right w:val="single" w:sz="4" w:space="0" w:color="auto"/>
            </w:tcBorders>
            <w:vAlign w:val="center"/>
          </w:tcPr>
          <w:p w14:paraId="097C3C90"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具备双引擎防护功能</w:t>
            </w:r>
          </w:p>
        </w:tc>
      </w:tr>
      <w:tr w:rsidR="00B02C6E" w14:paraId="55087B15" w14:textId="77777777" w:rsidTr="00453BF8">
        <w:trPr>
          <w:trHeight w:val="20"/>
        </w:trPr>
        <w:tc>
          <w:tcPr>
            <w:tcW w:w="1584" w:type="dxa"/>
            <w:vMerge/>
            <w:tcBorders>
              <w:top w:val="single" w:sz="4" w:space="0" w:color="auto"/>
              <w:left w:val="single" w:sz="4" w:space="0" w:color="auto"/>
              <w:bottom w:val="single" w:sz="4" w:space="0" w:color="auto"/>
              <w:right w:val="single" w:sz="4" w:space="0" w:color="auto"/>
            </w:tcBorders>
            <w:vAlign w:val="center"/>
          </w:tcPr>
          <w:p w14:paraId="7D954BD1"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Borders>
              <w:top w:val="single" w:sz="4" w:space="0" w:color="auto"/>
              <w:left w:val="single" w:sz="4" w:space="0" w:color="auto"/>
              <w:bottom w:val="single" w:sz="4" w:space="0" w:color="auto"/>
              <w:right w:val="single" w:sz="4" w:space="0" w:color="auto"/>
            </w:tcBorders>
            <w:vAlign w:val="center"/>
          </w:tcPr>
          <w:p w14:paraId="638A8B22"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具备客户端访问控制功能，预防恶意客户端进行访问频率的多层次恶意访问</w:t>
            </w:r>
          </w:p>
        </w:tc>
      </w:tr>
      <w:tr w:rsidR="00B02C6E" w14:paraId="62821452" w14:textId="77777777" w:rsidTr="00453BF8">
        <w:trPr>
          <w:trHeight w:val="20"/>
        </w:trPr>
        <w:tc>
          <w:tcPr>
            <w:tcW w:w="1584" w:type="dxa"/>
            <w:vMerge/>
            <w:tcBorders>
              <w:top w:val="single" w:sz="4" w:space="0" w:color="auto"/>
              <w:left w:val="single" w:sz="4" w:space="0" w:color="auto"/>
              <w:bottom w:val="single" w:sz="4" w:space="0" w:color="auto"/>
              <w:right w:val="single" w:sz="4" w:space="0" w:color="auto"/>
            </w:tcBorders>
            <w:vAlign w:val="center"/>
          </w:tcPr>
          <w:p w14:paraId="4166A567"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Borders>
              <w:top w:val="single" w:sz="4" w:space="0" w:color="auto"/>
              <w:left w:val="single" w:sz="4" w:space="0" w:color="auto"/>
              <w:bottom w:val="single" w:sz="4" w:space="0" w:color="auto"/>
              <w:right w:val="single" w:sz="4" w:space="0" w:color="auto"/>
            </w:tcBorders>
            <w:vAlign w:val="center"/>
          </w:tcPr>
          <w:p w14:paraId="19E432EB"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支持获取Web安全事件的原始攻击信息</w:t>
            </w:r>
          </w:p>
        </w:tc>
      </w:tr>
      <w:tr w:rsidR="00B02C6E" w14:paraId="26C5FA6C" w14:textId="77777777" w:rsidTr="00453BF8">
        <w:trPr>
          <w:trHeight w:val="20"/>
        </w:trPr>
        <w:tc>
          <w:tcPr>
            <w:tcW w:w="1584" w:type="dxa"/>
            <w:vMerge/>
            <w:tcBorders>
              <w:top w:val="single" w:sz="4" w:space="0" w:color="auto"/>
              <w:left w:val="single" w:sz="4" w:space="0" w:color="auto"/>
              <w:bottom w:val="single" w:sz="4" w:space="0" w:color="auto"/>
              <w:right w:val="single" w:sz="4" w:space="0" w:color="auto"/>
            </w:tcBorders>
            <w:vAlign w:val="center"/>
          </w:tcPr>
          <w:p w14:paraId="33527B69"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Borders>
              <w:top w:val="single" w:sz="4" w:space="0" w:color="auto"/>
              <w:left w:val="single" w:sz="4" w:space="0" w:color="auto"/>
              <w:bottom w:val="single" w:sz="4" w:space="0" w:color="auto"/>
              <w:right w:val="single" w:sz="4" w:space="0" w:color="auto"/>
            </w:tcBorders>
            <w:vAlign w:val="center"/>
          </w:tcPr>
          <w:p w14:paraId="7E553B04"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具备Struts2漏洞的攻击检测与防护</w:t>
            </w:r>
          </w:p>
        </w:tc>
      </w:tr>
      <w:tr w:rsidR="00B02C6E" w14:paraId="4CE98A3F" w14:textId="77777777" w:rsidTr="00453BF8">
        <w:trPr>
          <w:trHeight w:val="20"/>
        </w:trPr>
        <w:tc>
          <w:tcPr>
            <w:tcW w:w="1584" w:type="dxa"/>
            <w:vMerge/>
            <w:tcBorders>
              <w:top w:val="single" w:sz="4" w:space="0" w:color="auto"/>
              <w:left w:val="single" w:sz="4" w:space="0" w:color="auto"/>
              <w:bottom w:val="single" w:sz="4" w:space="0" w:color="auto"/>
              <w:right w:val="single" w:sz="4" w:space="0" w:color="auto"/>
            </w:tcBorders>
            <w:vAlign w:val="center"/>
          </w:tcPr>
          <w:p w14:paraId="1424BF5A"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Borders>
              <w:top w:val="single" w:sz="4" w:space="0" w:color="auto"/>
              <w:left w:val="single" w:sz="4" w:space="0" w:color="auto"/>
              <w:bottom w:val="single" w:sz="4" w:space="0" w:color="auto"/>
              <w:right w:val="single" w:sz="4" w:space="0" w:color="auto"/>
            </w:tcBorders>
            <w:vAlign w:val="center"/>
          </w:tcPr>
          <w:p w14:paraId="60CDA96C"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具备网页爬虫检测与防护功能</w:t>
            </w:r>
          </w:p>
        </w:tc>
      </w:tr>
      <w:tr w:rsidR="00B02C6E" w14:paraId="2A7A0637" w14:textId="77777777" w:rsidTr="00453BF8">
        <w:trPr>
          <w:trHeight w:val="20"/>
        </w:trPr>
        <w:tc>
          <w:tcPr>
            <w:tcW w:w="1584" w:type="dxa"/>
            <w:vMerge w:val="restart"/>
            <w:tcBorders>
              <w:top w:val="single" w:sz="4" w:space="0" w:color="auto"/>
              <w:left w:val="single" w:sz="4" w:space="0" w:color="auto"/>
              <w:bottom w:val="single" w:sz="4" w:space="0" w:color="auto"/>
              <w:right w:val="single" w:sz="4" w:space="0" w:color="auto"/>
            </w:tcBorders>
            <w:vAlign w:val="center"/>
          </w:tcPr>
          <w:p w14:paraId="36696FF3"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升级管理</w:t>
            </w:r>
          </w:p>
        </w:tc>
        <w:tc>
          <w:tcPr>
            <w:tcW w:w="7272" w:type="dxa"/>
            <w:tcBorders>
              <w:top w:val="single" w:sz="4" w:space="0" w:color="auto"/>
              <w:left w:val="single" w:sz="4" w:space="0" w:color="auto"/>
              <w:bottom w:val="single" w:sz="4" w:space="0" w:color="auto"/>
              <w:right w:val="single" w:sz="4" w:space="0" w:color="auto"/>
            </w:tcBorders>
            <w:vAlign w:val="center"/>
          </w:tcPr>
          <w:p w14:paraId="05F887AF"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支持手动执行产品升级</w:t>
            </w:r>
          </w:p>
        </w:tc>
      </w:tr>
      <w:tr w:rsidR="00B02C6E" w14:paraId="7267722D" w14:textId="77777777" w:rsidTr="00453BF8">
        <w:trPr>
          <w:trHeight w:val="20"/>
        </w:trPr>
        <w:tc>
          <w:tcPr>
            <w:tcW w:w="1584" w:type="dxa"/>
            <w:vMerge/>
            <w:tcBorders>
              <w:top w:val="single" w:sz="4" w:space="0" w:color="auto"/>
              <w:left w:val="single" w:sz="4" w:space="0" w:color="auto"/>
              <w:bottom w:val="single" w:sz="4" w:space="0" w:color="auto"/>
              <w:right w:val="single" w:sz="4" w:space="0" w:color="auto"/>
            </w:tcBorders>
            <w:vAlign w:val="center"/>
          </w:tcPr>
          <w:p w14:paraId="264D23F4"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Borders>
              <w:top w:val="single" w:sz="4" w:space="0" w:color="auto"/>
              <w:left w:val="single" w:sz="4" w:space="0" w:color="auto"/>
              <w:bottom w:val="single" w:sz="4" w:space="0" w:color="auto"/>
              <w:right w:val="single" w:sz="4" w:space="0" w:color="auto"/>
            </w:tcBorders>
            <w:vAlign w:val="center"/>
          </w:tcPr>
          <w:p w14:paraId="7869156A"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支持自动执行产品升级，不需要用户每次手动升级特征库</w:t>
            </w:r>
          </w:p>
        </w:tc>
      </w:tr>
      <w:tr w:rsidR="00B02C6E" w14:paraId="72A2F877" w14:textId="77777777" w:rsidTr="00453BF8">
        <w:trPr>
          <w:trHeight w:val="20"/>
        </w:trPr>
        <w:tc>
          <w:tcPr>
            <w:tcW w:w="1584" w:type="dxa"/>
            <w:vMerge/>
            <w:tcBorders>
              <w:top w:val="single" w:sz="4" w:space="0" w:color="auto"/>
              <w:left w:val="single" w:sz="4" w:space="0" w:color="auto"/>
              <w:bottom w:val="single" w:sz="4" w:space="0" w:color="auto"/>
              <w:right w:val="single" w:sz="4" w:space="0" w:color="auto"/>
            </w:tcBorders>
            <w:vAlign w:val="center"/>
          </w:tcPr>
          <w:p w14:paraId="05940D21"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Borders>
              <w:top w:val="single" w:sz="4" w:space="0" w:color="auto"/>
              <w:left w:val="single" w:sz="4" w:space="0" w:color="auto"/>
              <w:bottom w:val="single" w:sz="4" w:space="0" w:color="auto"/>
              <w:right w:val="single" w:sz="4" w:space="0" w:color="auto"/>
            </w:tcBorders>
            <w:vAlign w:val="center"/>
          </w:tcPr>
          <w:p w14:paraId="1BC86A4E"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公司网站应提供产品离线升级包下载</w:t>
            </w:r>
          </w:p>
        </w:tc>
      </w:tr>
      <w:tr w:rsidR="00B02C6E" w14:paraId="36931B19" w14:textId="77777777" w:rsidTr="00453BF8">
        <w:trPr>
          <w:trHeight w:val="20"/>
        </w:trPr>
        <w:tc>
          <w:tcPr>
            <w:tcW w:w="1584" w:type="dxa"/>
            <w:vMerge/>
            <w:tcBorders>
              <w:top w:val="single" w:sz="4" w:space="0" w:color="auto"/>
              <w:left w:val="single" w:sz="4" w:space="0" w:color="auto"/>
              <w:bottom w:val="single" w:sz="4" w:space="0" w:color="auto"/>
              <w:right w:val="single" w:sz="4" w:space="0" w:color="auto"/>
            </w:tcBorders>
            <w:vAlign w:val="center"/>
          </w:tcPr>
          <w:p w14:paraId="7122EE08"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Borders>
              <w:top w:val="single" w:sz="4" w:space="0" w:color="auto"/>
              <w:left w:val="single" w:sz="4" w:space="0" w:color="auto"/>
              <w:bottom w:val="single" w:sz="4" w:space="0" w:color="auto"/>
              <w:right w:val="single" w:sz="4" w:space="0" w:color="auto"/>
            </w:tcBorders>
            <w:vAlign w:val="center"/>
          </w:tcPr>
          <w:p w14:paraId="64128C09"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对登陆用户提供防暴</w:t>
            </w:r>
            <w:proofErr w:type="gramStart"/>
            <w:r>
              <w:rPr>
                <w:rStyle w:val="font91"/>
                <w:rFonts w:ascii="仿宋_GB2312" w:eastAsia="仿宋_GB2312" w:hAnsi="仿宋_GB2312" w:cs="仿宋_GB2312" w:hint="eastAsia"/>
                <w:sz w:val="32"/>
                <w:szCs w:val="32"/>
              </w:rPr>
              <w:t>力猜解功能</w:t>
            </w:r>
            <w:proofErr w:type="gramEnd"/>
          </w:p>
        </w:tc>
      </w:tr>
      <w:tr w:rsidR="00B02C6E" w14:paraId="1EA08798" w14:textId="77777777" w:rsidTr="00453BF8">
        <w:trPr>
          <w:trHeight w:val="20"/>
        </w:trPr>
        <w:tc>
          <w:tcPr>
            <w:tcW w:w="1584" w:type="dxa"/>
            <w:tcBorders>
              <w:top w:val="single" w:sz="4" w:space="0" w:color="auto"/>
              <w:left w:val="single" w:sz="4" w:space="0" w:color="auto"/>
              <w:bottom w:val="single" w:sz="4" w:space="0" w:color="auto"/>
              <w:right w:val="single" w:sz="4" w:space="0" w:color="auto"/>
            </w:tcBorders>
            <w:vAlign w:val="center"/>
          </w:tcPr>
          <w:p w14:paraId="44836227"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高可用性</w:t>
            </w:r>
          </w:p>
        </w:tc>
        <w:tc>
          <w:tcPr>
            <w:tcW w:w="7272" w:type="dxa"/>
            <w:tcBorders>
              <w:top w:val="single" w:sz="4" w:space="0" w:color="auto"/>
              <w:left w:val="single" w:sz="4" w:space="0" w:color="auto"/>
              <w:bottom w:val="single" w:sz="4" w:space="0" w:color="auto"/>
              <w:right w:val="single" w:sz="4" w:space="0" w:color="auto"/>
            </w:tcBorders>
            <w:vAlign w:val="center"/>
          </w:tcPr>
          <w:p w14:paraId="7F59445C"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▲支持与现有万兆WEB应用安全防护系统集群部署</w:t>
            </w:r>
          </w:p>
        </w:tc>
      </w:tr>
    </w:tbl>
    <w:p w14:paraId="0F7E839A" w14:textId="77777777" w:rsidR="00B02C6E" w:rsidRDefault="00B02C6E" w:rsidP="00B02C6E">
      <w:pPr>
        <w:pStyle w:val="3"/>
        <w:numPr>
          <w:ilvl w:val="2"/>
          <w:numId w:val="0"/>
        </w:numPr>
        <w:spacing w:before="0" w:after="0" w:line="560" w:lineRule="exact"/>
        <w:rPr>
          <w:rFonts w:ascii="仿宋_GB2312" w:eastAsia="仿宋_GB2312" w:hAnsi="仿宋_GB2312" w:cs="仿宋_GB2312"/>
          <w:sz w:val="32"/>
        </w:rPr>
      </w:pPr>
      <w:r>
        <w:rPr>
          <w:rFonts w:ascii="仿宋_GB2312" w:eastAsia="仿宋_GB2312" w:hAnsi="仿宋_GB2312" w:cs="仿宋_GB2312" w:hint="eastAsia"/>
          <w:sz w:val="32"/>
        </w:rPr>
        <w:t>（五）安全审计系统1套</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7273"/>
      </w:tblGrid>
      <w:tr w:rsidR="00B02C6E" w14:paraId="29762267" w14:textId="77777777" w:rsidTr="00453BF8">
        <w:trPr>
          <w:trHeight w:val="340"/>
          <w:jc w:val="center"/>
        </w:trPr>
        <w:tc>
          <w:tcPr>
            <w:tcW w:w="1581" w:type="dxa"/>
            <w:vAlign w:val="center"/>
          </w:tcPr>
          <w:p w14:paraId="038B52F6" w14:textId="77777777" w:rsidR="00B02C6E" w:rsidRDefault="00B02C6E" w:rsidP="00453BF8">
            <w:pPr>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指标项</w:t>
            </w:r>
          </w:p>
        </w:tc>
        <w:tc>
          <w:tcPr>
            <w:tcW w:w="7273" w:type="dxa"/>
            <w:vAlign w:val="center"/>
          </w:tcPr>
          <w:p w14:paraId="12FA5AB2" w14:textId="77777777" w:rsidR="00B02C6E" w:rsidRDefault="00B02C6E" w:rsidP="00453BF8">
            <w:pPr>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参数要求</w:t>
            </w:r>
          </w:p>
        </w:tc>
      </w:tr>
      <w:tr w:rsidR="00B02C6E" w14:paraId="5303B24E" w14:textId="77777777" w:rsidTr="00453BF8">
        <w:trPr>
          <w:trHeight w:val="340"/>
          <w:jc w:val="center"/>
        </w:trPr>
        <w:tc>
          <w:tcPr>
            <w:tcW w:w="1581" w:type="dxa"/>
            <w:vAlign w:val="center"/>
          </w:tcPr>
          <w:p w14:paraId="341284B0"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硬件规格</w:t>
            </w:r>
          </w:p>
        </w:tc>
        <w:tc>
          <w:tcPr>
            <w:tcW w:w="7273" w:type="dxa"/>
            <w:vAlign w:val="center"/>
          </w:tcPr>
          <w:p w14:paraId="4579216A" w14:textId="77777777" w:rsidR="00B02C6E" w:rsidRDefault="00B02C6E" w:rsidP="00453BF8">
            <w:pPr>
              <w:spacing w:line="560" w:lineRule="exact"/>
              <w:rPr>
                <w:rStyle w:val="font91"/>
                <w:rFonts w:ascii="仿宋_GB2312" w:eastAsia="仿宋_GB2312" w:hAnsi="仿宋_GB2312" w:cs="仿宋_GB2312"/>
                <w:sz w:val="32"/>
                <w:szCs w:val="32"/>
              </w:rPr>
            </w:pPr>
            <w:r w:rsidRPr="00882CE3">
              <w:rPr>
                <w:rStyle w:val="font91"/>
                <w:rFonts w:ascii="仿宋_GB2312" w:eastAsia="仿宋_GB2312" w:hAnsi="仿宋_GB2312" w:cs="仿宋_GB2312" w:hint="eastAsia"/>
                <w:sz w:val="32"/>
                <w:szCs w:val="32"/>
              </w:rPr>
              <w:t>国产化平台</w:t>
            </w:r>
            <w:r w:rsidRPr="00882CE3">
              <w:rPr>
                <w:rStyle w:val="font91"/>
                <w:rFonts w:ascii="仿宋_GB2312" w:eastAsia="仿宋_GB2312" w:hAnsi="仿宋_GB2312" w:cs="仿宋_GB2312"/>
                <w:sz w:val="32"/>
                <w:szCs w:val="32"/>
              </w:rPr>
              <w:t>:</w:t>
            </w:r>
            <w:r w:rsidRPr="00882CE3">
              <w:rPr>
                <w:rStyle w:val="font91"/>
                <w:rFonts w:ascii="仿宋_GB2312" w:eastAsia="仿宋_GB2312" w:hAnsi="仿宋_GB2312" w:cs="仿宋_GB2312" w:hint="eastAsia"/>
                <w:sz w:val="32"/>
                <w:szCs w:val="32"/>
              </w:rPr>
              <w:t>国产芯片（≥</w:t>
            </w:r>
            <w:r w:rsidRPr="00882CE3">
              <w:rPr>
                <w:rStyle w:val="font91"/>
                <w:rFonts w:ascii="仿宋_GB2312" w:eastAsia="仿宋_GB2312" w:hAnsi="仿宋_GB2312" w:cs="仿宋_GB2312"/>
                <w:sz w:val="32"/>
                <w:szCs w:val="32"/>
              </w:rPr>
              <w:t>2.0GHz</w:t>
            </w:r>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4</w:t>
            </w:r>
            <w:r w:rsidRPr="00882CE3">
              <w:rPr>
                <w:rStyle w:val="font91"/>
                <w:rFonts w:ascii="仿宋_GB2312" w:eastAsia="仿宋_GB2312" w:hAnsi="仿宋_GB2312" w:cs="仿宋_GB2312" w:hint="eastAsia"/>
                <w:sz w:val="32"/>
                <w:szCs w:val="32"/>
              </w:rPr>
              <w:t>核），搭载国产操作系统；</w:t>
            </w:r>
            <w:r w:rsidRPr="00882CE3">
              <w:rPr>
                <w:rStyle w:val="font91"/>
                <w:rFonts w:ascii="仿宋_GB2312" w:eastAsia="仿宋_GB2312" w:hAnsi="仿宋_GB2312" w:cs="仿宋_GB2312"/>
                <w:sz w:val="32"/>
                <w:szCs w:val="32"/>
              </w:rPr>
              <w:t>2U</w:t>
            </w:r>
            <w:r w:rsidRPr="00882CE3">
              <w:rPr>
                <w:rStyle w:val="font91"/>
                <w:rFonts w:ascii="仿宋_GB2312" w:eastAsia="仿宋_GB2312" w:hAnsi="仿宋_GB2312" w:cs="仿宋_GB2312" w:hint="eastAsia"/>
                <w:sz w:val="32"/>
                <w:szCs w:val="32"/>
              </w:rPr>
              <w:t>设备，≥</w:t>
            </w:r>
            <w:r w:rsidRPr="00882CE3">
              <w:rPr>
                <w:rStyle w:val="font91"/>
                <w:rFonts w:ascii="仿宋_GB2312" w:eastAsia="仿宋_GB2312" w:hAnsi="仿宋_GB2312" w:cs="仿宋_GB2312"/>
                <w:sz w:val="32"/>
                <w:szCs w:val="32"/>
              </w:rPr>
              <w:t>4</w:t>
            </w:r>
            <w:r w:rsidRPr="00882CE3">
              <w:rPr>
                <w:rStyle w:val="font91"/>
                <w:rFonts w:ascii="仿宋_GB2312" w:eastAsia="仿宋_GB2312" w:hAnsi="仿宋_GB2312" w:cs="仿宋_GB2312" w:hint="eastAsia"/>
                <w:sz w:val="32"/>
                <w:szCs w:val="32"/>
              </w:rPr>
              <w:t>个</w:t>
            </w:r>
            <w:proofErr w:type="gramStart"/>
            <w:r w:rsidRPr="00882CE3">
              <w:rPr>
                <w:rStyle w:val="font91"/>
                <w:rFonts w:ascii="仿宋_GB2312" w:eastAsia="仿宋_GB2312" w:hAnsi="仿宋_GB2312" w:cs="仿宋_GB2312" w:hint="eastAsia"/>
                <w:sz w:val="32"/>
                <w:szCs w:val="32"/>
              </w:rPr>
              <w:t>千兆电口</w:t>
            </w:r>
            <w:proofErr w:type="gramEnd"/>
            <w:r>
              <w:rPr>
                <w:rStyle w:val="font91"/>
                <w:rFonts w:ascii="仿宋_GB2312" w:eastAsia="仿宋_GB2312" w:hAnsi="仿宋_GB2312" w:cs="仿宋_GB2312" w:hint="eastAsia"/>
                <w:sz w:val="32"/>
                <w:szCs w:val="32"/>
              </w:rPr>
              <w:t>（带2个多模模块）</w:t>
            </w:r>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4</w:t>
            </w:r>
            <w:r w:rsidRPr="00882CE3">
              <w:rPr>
                <w:rStyle w:val="font91"/>
                <w:rFonts w:ascii="仿宋_GB2312" w:eastAsia="仿宋_GB2312" w:hAnsi="仿宋_GB2312" w:cs="仿宋_GB2312" w:hint="eastAsia"/>
                <w:sz w:val="32"/>
                <w:szCs w:val="32"/>
              </w:rPr>
              <w:t>个</w:t>
            </w:r>
            <w:proofErr w:type="gramStart"/>
            <w:r w:rsidRPr="00882CE3">
              <w:rPr>
                <w:rStyle w:val="font91"/>
                <w:rFonts w:ascii="仿宋_GB2312" w:eastAsia="仿宋_GB2312" w:hAnsi="仿宋_GB2312" w:cs="仿宋_GB2312" w:hint="eastAsia"/>
                <w:sz w:val="32"/>
                <w:szCs w:val="32"/>
              </w:rPr>
              <w:t>千兆</w:t>
            </w:r>
            <w:r>
              <w:rPr>
                <w:rStyle w:val="font91"/>
                <w:rFonts w:ascii="仿宋_GB2312" w:eastAsia="仿宋_GB2312" w:hAnsi="仿宋_GB2312" w:cs="仿宋_GB2312" w:hint="eastAsia"/>
                <w:sz w:val="32"/>
                <w:szCs w:val="32"/>
              </w:rPr>
              <w:t>光口</w:t>
            </w:r>
            <w:proofErr w:type="gramEnd"/>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1</w:t>
            </w:r>
            <w:r w:rsidRPr="00882CE3">
              <w:rPr>
                <w:rStyle w:val="font91"/>
                <w:rFonts w:ascii="仿宋_GB2312" w:eastAsia="仿宋_GB2312" w:hAnsi="仿宋_GB2312" w:cs="仿宋_GB2312" w:hint="eastAsia"/>
                <w:sz w:val="32"/>
                <w:szCs w:val="32"/>
              </w:rPr>
              <w:t>个接口扩展槽，≥</w:t>
            </w:r>
            <w:r w:rsidRPr="00882CE3">
              <w:rPr>
                <w:rStyle w:val="font91"/>
                <w:rFonts w:ascii="仿宋_GB2312" w:eastAsia="仿宋_GB2312" w:hAnsi="仿宋_GB2312" w:cs="仿宋_GB2312"/>
                <w:sz w:val="32"/>
                <w:szCs w:val="32"/>
              </w:rPr>
              <w:t>8G</w:t>
            </w:r>
            <w:r w:rsidRPr="00882CE3">
              <w:rPr>
                <w:rStyle w:val="font91"/>
                <w:rFonts w:ascii="仿宋_GB2312" w:eastAsia="仿宋_GB2312" w:hAnsi="仿宋_GB2312" w:cs="仿宋_GB2312" w:hint="eastAsia"/>
                <w:sz w:val="32"/>
                <w:szCs w:val="32"/>
              </w:rPr>
              <w:t>内存，≥</w:t>
            </w:r>
            <w:r w:rsidRPr="00882CE3">
              <w:rPr>
                <w:rStyle w:val="font91"/>
                <w:rFonts w:ascii="仿宋_GB2312" w:eastAsia="仿宋_GB2312" w:hAnsi="仿宋_GB2312" w:cs="仿宋_GB2312"/>
                <w:sz w:val="32"/>
                <w:szCs w:val="32"/>
              </w:rPr>
              <w:t>1T</w:t>
            </w:r>
            <w:r w:rsidRPr="00882CE3">
              <w:rPr>
                <w:rStyle w:val="font91"/>
                <w:rFonts w:ascii="仿宋_GB2312" w:eastAsia="仿宋_GB2312" w:hAnsi="仿宋_GB2312" w:cs="仿宋_GB2312" w:hint="eastAsia"/>
                <w:sz w:val="32"/>
                <w:szCs w:val="32"/>
              </w:rPr>
              <w:t>存储；含</w:t>
            </w:r>
            <w:r w:rsidRPr="00882CE3">
              <w:rPr>
                <w:rStyle w:val="font91"/>
                <w:rFonts w:ascii="仿宋_GB2312" w:eastAsia="仿宋_GB2312" w:hAnsi="仿宋_GB2312" w:cs="仿宋_GB2312"/>
                <w:sz w:val="32"/>
                <w:szCs w:val="32"/>
              </w:rPr>
              <w:t>3</w:t>
            </w:r>
            <w:r w:rsidRPr="00882CE3">
              <w:rPr>
                <w:rStyle w:val="font91"/>
                <w:rFonts w:ascii="仿宋_GB2312" w:eastAsia="仿宋_GB2312" w:hAnsi="仿宋_GB2312" w:cs="仿宋_GB2312" w:hint="eastAsia"/>
                <w:sz w:val="32"/>
                <w:szCs w:val="32"/>
              </w:rPr>
              <w:t>个被审计</w:t>
            </w:r>
            <w:r w:rsidRPr="00882CE3">
              <w:rPr>
                <w:rStyle w:val="font91"/>
                <w:rFonts w:ascii="仿宋_GB2312" w:eastAsia="仿宋_GB2312" w:hAnsi="仿宋_GB2312" w:cs="仿宋_GB2312"/>
                <w:sz w:val="32"/>
                <w:szCs w:val="32"/>
              </w:rPr>
              <w:t>DB</w:t>
            </w:r>
            <w:r w:rsidRPr="00882CE3">
              <w:rPr>
                <w:rStyle w:val="font91"/>
                <w:rFonts w:ascii="仿宋_GB2312" w:eastAsia="仿宋_GB2312" w:hAnsi="仿宋_GB2312" w:cs="仿宋_GB2312" w:hint="eastAsia"/>
                <w:sz w:val="32"/>
                <w:szCs w:val="32"/>
              </w:rPr>
              <w:t>服务数</w:t>
            </w:r>
          </w:p>
        </w:tc>
      </w:tr>
      <w:tr w:rsidR="00B02C6E" w14:paraId="1862EF48" w14:textId="77777777" w:rsidTr="00453BF8">
        <w:trPr>
          <w:trHeight w:val="414"/>
          <w:jc w:val="center"/>
        </w:trPr>
        <w:tc>
          <w:tcPr>
            <w:tcW w:w="1581" w:type="dxa"/>
            <w:vAlign w:val="center"/>
          </w:tcPr>
          <w:p w14:paraId="4FDC2929"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性能要求</w:t>
            </w:r>
          </w:p>
        </w:tc>
        <w:tc>
          <w:tcPr>
            <w:tcW w:w="7273" w:type="dxa"/>
            <w:vAlign w:val="center"/>
          </w:tcPr>
          <w:p w14:paraId="4C23E708"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抓包速度≥526Mbps，事件审计能力≥13500条/秒 。</w:t>
            </w:r>
          </w:p>
        </w:tc>
      </w:tr>
      <w:tr w:rsidR="00B02C6E" w14:paraId="5366E36B" w14:textId="77777777" w:rsidTr="00453BF8">
        <w:trPr>
          <w:trHeight w:val="588"/>
          <w:jc w:val="center"/>
        </w:trPr>
        <w:tc>
          <w:tcPr>
            <w:tcW w:w="1581" w:type="dxa"/>
            <w:vMerge w:val="restart"/>
            <w:vAlign w:val="center"/>
          </w:tcPr>
          <w:p w14:paraId="26825AAD"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审计能力与效果</w:t>
            </w:r>
          </w:p>
        </w:tc>
        <w:tc>
          <w:tcPr>
            <w:tcW w:w="7273" w:type="dxa"/>
            <w:vAlign w:val="center"/>
          </w:tcPr>
          <w:p w14:paraId="71DD5731"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支持Telnet协议的审计，能够审计用户名、操作命令、命令响应时间、返回码等；</w:t>
            </w:r>
          </w:p>
        </w:tc>
      </w:tr>
      <w:tr w:rsidR="00B02C6E" w14:paraId="7B210255" w14:textId="77777777" w:rsidTr="00453BF8">
        <w:trPr>
          <w:trHeight w:val="315"/>
          <w:jc w:val="center"/>
        </w:trPr>
        <w:tc>
          <w:tcPr>
            <w:tcW w:w="1581" w:type="dxa"/>
            <w:vMerge/>
            <w:vAlign w:val="center"/>
          </w:tcPr>
          <w:p w14:paraId="2D2F5A03" w14:textId="77777777" w:rsidR="00B02C6E" w:rsidRDefault="00B02C6E" w:rsidP="00453BF8">
            <w:pPr>
              <w:spacing w:line="560" w:lineRule="exact"/>
              <w:jc w:val="center"/>
              <w:rPr>
                <w:rFonts w:ascii="仿宋_GB2312" w:eastAsia="仿宋_GB2312" w:hAnsi="仿宋_GB2312" w:cs="仿宋_GB2312"/>
                <w:sz w:val="32"/>
                <w:szCs w:val="32"/>
              </w:rPr>
            </w:pPr>
          </w:p>
        </w:tc>
        <w:tc>
          <w:tcPr>
            <w:tcW w:w="7273" w:type="dxa"/>
            <w:vAlign w:val="center"/>
          </w:tcPr>
          <w:p w14:paraId="0C9CEC46"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支持对邮件协议的审计，包括smtp、pop3、</w:t>
            </w:r>
            <w:proofErr w:type="spellStart"/>
            <w:r>
              <w:rPr>
                <w:rStyle w:val="font91"/>
                <w:rFonts w:ascii="仿宋_GB2312" w:eastAsia="仿宋_GB2312" w:hAnsi="仿宋_GB2312" w:cs="仿宋_GB2312" w:hint="eastAsia"/>
                <w:sz w:val="32"/>
                <w:szCs w:val="32"/>
              </w:rPr>
              <w:t>imap</w:t>
            </w:r>
            <w:proofErr w:type="spellEnd"/>
            <w:r>
              <w:rPr>
                <w:rStyle w:val="font91"/>
                <w:rFonts w:ascii="仿宋_GB2312" w:eastAsia="仿宋_GB2312" w:hAnsi="仿宋_GB2312" w:cs="仿宋_GB2312" w:hint="eastAsia"/>
                <w:sz w:val="32"/>
                <w:szCs w:val="32"/>
              </w:rPr>
              <w:t>协议，能够审计发件人、收件人、时间、返回码等</w:t>
            </w:r>
          </w:p>
        </w:tc>
      </w:tr>
      <w:tr w:rsidR="00B02C6E" w14:paraId="4960B61F" w14:textId="77777777" w:rsidTr="00453BF8">
        <w:trPr>
          <w:trHeight w:val="315"/>
          <w:jc w:val="center"/>
        </w:trPr>
        <w:tc>
          <w:tcPr>
            <w:tcW w:w="1581" w:type="dxa"/>
            <w:vMerge/>
            <w:vAlign w:val="center"/>
          </w:tcPr>
          <w:p w14:paraId="3C636CF7" w14:textId="77777777" w:rsidR="00B02C6E" w:rsidRDefault="00B02C6E" w:rsidP="00453BF8">
            <w:pPr>
              <w:spacing w:line="560" w:lineRule="exact"/>
              <w:jc w:val="center"/>
              <w:rPr>
                <w:rFonts w:ascii="仿宋_GB2312" w:eastAsia="仿宋_GB2312" w:hAnsi="仿宋_GB2312" w:cs="仿宋_GB2312"/>
                <w:sz w:val="32"/>
                <w:szCs w:val="32"/>
              </w:rPr>
            </w:pPr>
          </w:p>
        </w:tc>
        <w:tc>
          <w:tcPr>
            <w:tcW w:w="7273" w:type="dxa"/>
            <w:vAlign w:val="center"/>
          </w:tcPr>
          <w:p w14:paraId="4D5823C2"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支持审计HTTP和HTTPS协议的URL、访问模式、cookie、页面内容、Post内容；</w:t>
            </w:r>
          </w:p>
        </w:tc>
      </w:tr>
      <w:tr w:rsidR="00B02C6E" w14:paraId="683D5713" w14:textId="77777777" w:rsidTr="00453BF8">
        <w:trPr>
          <w:trHeight w:val="315"/>
          <w:jc w:val="center"/>
        </w:trPr>
        <w:tc>
          <w:tcPr>
            <w:tcW w:w="1581" w:type="dxa"/>
            <w:vMerge/>
            <w:vAlign w:val="center"/>
          </w:tcPr>
          <w:p w14:paraId="1E37ABA4" w14:textId="77777777" w:rsidR="00B02C6E" w:rsidRDefault="00B02C6E" w:rsidP="00453BF8">
            <w:pPr>
              <w:spacing w:line="560" w:lineRule="exact"/>
              <w:jc w:val="center"/>
              <w:rPr>
                <w:rFonts w:ascii="仿宋_GB2312" w:eastAsia="仿宋_GB2312" w:hAnsi="仿宋_GB2312" w:cs="仿宋_GB2312"/>
                <w:sz w:val="32"/>
                <w:szCs w:val="32"/>
              </w:rPr>
            </w:pPr>
          </w:p>
        </w:tc>
        <w:tc>
          <w:tcPr>
            <w:tcW w:w="7273" w:type="dxa"/>
            <w:vAlign w:val="center"/>
          </w:tcPr>
          <w:p w14:paraId="58C06707"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可审计记录FTP、邮件、HTTP、HTTPS、SCP、SFTP等方式传输的文件（包括文本、Word、Excel等格式），并且可对审计到的文件进行查询和下载；</w:t>
            </w:r>
          </w:p>
        </w:tc>
      </w:tr>
      <w:tr w:rsidR="00B02C6E" w14:paraId="6D6231EC" w14:textId="77777777" w:rsidTr="00453BF8">
        <w:trPr>
          <w:trHeight w:val="315"/>
          <w:jc w:val="center"/>
        </w:trPr>
        <w:tc>
          <w:tcPr>
            <w:tcW w:w="1581" w:type="dxa"/>
            <w:vMerge w:val="restart"/>
            <w:vAlign w:val="center"/>
          </w:tcPr>
          <w:p w14:paraId="14426473"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异常行为审计</w:t>
            </w:r>
          </w:p>
        </w:tc>
        <w:tc>
          <w:tcPr>
            <w:tcW w:w="7273" w:type="dxa"/>
          </w:tcPr>
          <w:p w14:paraId="52143C82"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▲支持频次统计，某一操作在周期时间内达到设定的次数阀值后可以进行单独记录和展示，周期事件和次数可按需配置，提供截图证明；</w:t>
            </w:r>
          </w:p>
        </w:tc>
      </w:tr>
      <w:tr w:rsidR="00B02C6E" w14:paraId="16058681" w14:textId="77777777" w:rsidTr="00453BF8">
        <w:trPr>
          <w:trHeight w:val="315"/>
          <w:jc w:val="center"/>
        </w:trPr>
        <w:tc>
          <w:tcPr>
            <w:tcW w:w="1581" w:type="dxa"/>
            <w:vMerge/>
            <w:vAlign w:val="center"/>
          </w:tcPr>
          <w:p w14:paraId="6B221DBF" w14:textId="77777777" w:rsidR="00B02C6E" w:rsidRDefault="00B02C6E" w:rsidP="00453BF8">
            <w:pPr>
              <w:spacing w:line="560" w:lineRule="exact"/>
              <w:jc w:val="center"/>
              <w:rPr>
                <w:rFonts w:ascii="仿宋_GB2312" w:eastAsia="仿宋_GB2312" w:hAnsi="仿宋_GB2312" w:cs="仿宋_GB2312"/>
                <w:sz w:val="32"/>
                <w:szCs w:val="32"/>
              </w:rPr>
            </w:pPr>
          </w:p>
        </w:tc>
        <w:tc>
          <w:tcPr>
            <w:tcW w:w="7273" w:type="dxa"/>
          </w:tcPr>
          <w:p w14:paraId="16DC21B3"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▲支持基于场景的操作异常分析；可直观展现账号</w:t>
            </w:r>
            <w:r>
              <w:rPr>
                <w:rStyle w:val="font91"/>
                <w:rFonts w:ascii="仿宋_GB2312" w:eastAsia="仿宋_GB2312" w:hAnsi="仿宋_GB2312" w:cs="仿宋_GB2312" w:hint="eastAsia"/>
                <w:sz w:val="32"/>
                <w:szCs w:val="32"/>
              </w:rPr>
              <w:lastRenderedPageBreak/>
              <w:t>多IP登录、同账号上下班操统计、访问时长审计、疑似暴力破解、</w:t>
            </w:r>
            <w:proofErr w:type="gramStart"/>
            <w:r>
              <w:rPr>
                <w:rStyle w:val="font91"/>
                <w:rFonts w:ascii="仿宋_GB2312" w:eastAsia="仿宋_GB2312" w:hAnsi="仿宋_GB2312" w:cs="仿宋_GB2312" w:hint="eastAsia"/>
                <w:sz w:val="32"/>
                <w:szCs w:val="32"/>
              </w:rPr>
              <w:t>疑似撞库攻击</w:t>
            </w:r>
            <w:proofErr w:type="gramEnd"/>
            <w:r>
              <w:rPr>
                <w:rStyle w:val="font91"/>
                <w:rFonts w:ascii="仿宋_GB2312" w:eastAsia="仿宋_GB2312" w:hAnsi="仿宋_GB2312" w:cs="仿宋_GB2312" w:hint="eastAsia"/>
                <w:sz w:val="32"/>
                <w:szCs w:val="32"/>
              </w:rPr>
              <w:t>、数据库异常信息、异常账号访问检测等，提供截图证明；</w:t>
            </w:r>
          </w:p>
        </w:tc>
      </w:tr>
      <w:tr w:rsidR="00B02C6E" w14:paraId="06451D4F" w14:textId="77777777" w:rsidTr="00453BF8">
        <w:trPr>
          <w:trHeight w:val="315"/>
          <w:jc w:val="center"/>
        </w:trPr>
        <w:tc>
          <w:tcPr>
            <w:tcW w:w="1581" w:type="dxa"/>
            <w:vMerge/>
            <w:vAlign w:val="center"/>
          </w:tcPr>
          <w:p w14:paraId="6D05B85C" w14:textId="77777777" w:rsidR="00B02C6E" w:rsidRDefault="00B02C6E" w:rsidP="00453BF8">
            <w:pPr>
              <w:spacing w:line="560" w:lineRule="exact"/>
              <w:jc w:val="center"/>
              <w:rPr>
                <w:rFonts w:ascii="仿宋_GB2312" w:eastAsia="仿宋_GB2312" w:hAnsi="仿宋_GB2312" w:cs="仿宋_GB2312"/>
                <w:sz w:val="32"/>
                <w:szCs w:val="32"/>
              </w:rPr>
            </w:pPr>
          </w:p>
        </w:tc>
        <w:tc>
          <w:tcPr>
            <w:tcW w:w="7273" w:type="dxa"/>
            <w:vAlign w:val="center"/>
          </w:tcPr>
          <w:p w14:paraId="0F7E95CA"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支持对敏感信息敏感级别进行定义，各级别可对应不同风险值，方便对敏感数据泄露进行风险进行评估；</w:t>
            </w:r>
          </w:p>
        </w:tc>
      </w:tr>
      <w:tr w:rsidR="00B02C6E" w14:paraId="29C5063A" w14:textId="77777777" w:rsidTr="00453BF8">
        <w:trPr>
          <w:trHeight w:val="809"/>
          <w:jc w:val="center"/>
        </w:trPr>
        <w:tc>
          <w:tcPr>
            <w:tcW w:w="1581" w:type="dxa"/>
            <w:vMerge w:val="restart"/>
            <w:vAlign w:val="center"/>
          </w:tcPr>
          <w:p w14:paraId="248218A6" w14:textId="77777777" w:rsidR="00B02C6E" w:rsidRDefault="00B02C6E" w:rsidP="00453BF8">
            <w:pPr>
              <w:spacing w:line="560" w:lineRule="exact"/>
              <w:jc w:val="center"/>
              <w:rPr>
                <w:rFonts w:ascii="仿宋_GB2312" w:eastAsia="仿宋_GB2312" w:hAnsi="仿宋_GB2312" w:cs="仿宋_GB2312"/>
                <w:sz w:val="32"/>
                <w:szCs w:val="32"/>
              </w:rPr>
            </w:pPr>
          </w:p>
        </w:tc>
        <w:tc>
          <w:tcPr>
            <w:tcW w:w="7273" w:type="dxa"/>
            <w:vAlign w:val="center"/>
          </w:tcPr>
          <w:p w14:paraId="2DF84D95" w14:textId="77777777" w:rsidR="00B02C6E" w:rsidRDefault="00B02C6E" w:rsidP="00453BF8">
            <w:pPr>
              <w:spacing w:line="560" w:lineRule="exact"/>
              <w:rPr>
                <w:rStyle w:val="font91"/>
                <w:rFonts w:ascii="仿宋_GB2312" w:eastAsia="仿宋_GB2312" w:hAnsi="仿宋_GB2312" w:cs="仿宋_GB2312"/>
                <w:sz w:val="32"/>
                <w:szCs w:val="32"/>
              </w:rPr>
            </w:pPr>
          </w:p>
        </w:tc>
      </w:tr>
      <w:tr w:rsidR="00B02C6E" w14:paraId="4A9BD5D6" w14:textId="77777777" w:rsidTr="00453BF8">
        <w:trPr>
          <w:trHeight w:val="340"/>
          <w:jc w:val="center"/>
        </w:trPr>
        <w:tc>
          <w:tcPr>
            <w:tcW w:w="1581" w:type="dxa"/>
            <w:vMerge/>
            <w:vAlign w:val="center"/>
          </w:tcPr>
          <w:p w14:paraId="068CA249" w14:textId="77777777" w:rsidR="00B02C6E" w:rsidRDefault="00B02C6E" w:rsidP="00453BF8">
            <w:pPr>
              <w:spacing w:line="560" w:lineRule="exact"/>
              <w:jc w:val="center"/>
              <w:rPr>
                <w:rFonts w:ascii="仿宋_GB2312" w:eastAsia="仿宋_GB2312" w:hAnsi="仿宋_GB2312" w:cs="仿宋_GB2312"/>
                <w:sz w:val="32"/>
                <w:szCs w:val="32"/>
              </w:rPr>
            </w:pPr>
          </w:p>
        </w:tc>
        <w:tc>
          <w:tcPr>
            <w:tcW w:w="7273" w:type="dxa"/>
            <w:vAlign w:val="center"/>
          </w:tcPr>
          <w:p w14:paraId="5C3A7B5F" w14:textId="77777777" w:rsidR="00B02C6E" w:rsidRDefault="00B02C6E" w:rsidP="00453BF8">
            <w:pPr>
              <w:spacing w:line="560" w:lineRule="exact"/>
              <w:rPr>
                <w:rStyle w:val="font91"/>
                <w:rFonts w:ascii="仿宋_GB2312" w:eastAsia="仿宋_GB2312" w:hAnsi="仿宋_GB2312" w:cs="仿宋_GB2312"/>
                <w:sz w:val="32"/>
                <w:szCs w:val="32"/>
              </w:rPr>
            </w:pPr>
          </w:p>
        </w:tc>
      </w:tr>
      <w:tr w:rsidR="00B02C6E" w14:paraId="342952F8" w14:textId="77777777" w:rsidTr="00453BF8">
        <w:trPr>
          <w:trHeight w:val="1004"/>
          <w:jc w:val="center"/>
        </w:trPr>
        <w:tc>
          <w:tcPr>
            <w:tcW w:w="1581" w:type="dxa"/>
            <w:vMerge/>
            <w:vAlign w:val="center"/>
          </w:tcPr>
          <w:p w14:paraId="576742EA" w14:textId="77777777" w:rsidR="00B02C6E" w:rsidRDefault="00B02C6E" w:rsidP="00453BF8">
            <w:pPr>
              <w:spacing w:line="560" w:lineRule="exact"/>
              <w:jc w:val="center"/>
              <w:rPr>
                <w:rFonts w:ascii="仿宋_GB2312" w:eastAsia="仿宋_GB2312" w:hAnsi="仿宋_GB2312" w:cs="仿宋_GB2312"/>
                <w:sz w:val="32"/>
                <w:szCs w:val="32"/>
              </w:rPr>
            </w:pPr>
          </w:p>
        </w:tc>
        <w:tc>
          <w:tcPr>
            <w:tcW w:w="7273" w:type="dxa"/>
            <w:vAlign w:val="center"/>
          </w:tcPr>
          <w:p w14:paraId="2F7EF27C" w14:textId="77777777" w:rsidR="00B02C6E" w:rsidRDefault="00B02C6E" w:rsidP="00453BF8">
            <w:pPr>
              <w:spacing w:line="560" w:lineRule="exact"/>
              <w:rPr>
                <w:rStyle w:val="font91"/>
                <w:rFonts w:ascii="仿宋_GB2312" w:eastAsia="仿宋_GB2312" w:hAnsi="仿宋_GB2312" w:cs="仿宋_GB2312"/>
                <w:sz w:val="32"/>
                <w:szCs w:val="32"/>
              </w:rPr>
            </w:pPr>
          </w:p>
        </w:tc>
      </w:tr>
      <w:tr w:rsidR="00B02C6E" w14:paraId="0AF99005" w14:textId="77777777" w:rsidTr="00453BF8">
        <w:trPr>
          <w:trHeight w:val="340"/>
          <w:jc w:val="center"/>
        </w:trPr>
        <w:tc>
          <w:tcPr>
            <w:tcW w:w="1581" w:type="dxa"/>
            <w:vAlign w:val="center"/>
          </w:tcPr>
          <w:p w14:paraId="3060B85B"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响应方式</w:t>
            </w:r>
          </w:p>
        </w:tc>
        <w:tc>
          <w:tcPr>
            <w:tcW w:w="7273" w:type="dxa"/>
            <w:vAlign w:val="center"/>
          </w:tcPr>
          <w:p w14:paraId="098D40BF"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▲支持按照风险级别进行告警，告警方式支持界面告警、Syslog告警、SNMP trap告警、短信告警、邮件告警，提供第三方检测机构颁发的基于消息队列的报警信号处理方法的技术证明文件</w:t>
            </w:r>
          </w:p>
        </w:tc>
      </w:tr>
      <w:tr w:rsidR="00B02C6E" w14:paraId="729CDA35" w14:textId="77777777" w:rsidTr="00453BF8">
        <w:trPr>
          <w:trHeight w:val="401"/>
          <w:jc w:val="center"/>
        </w:trPr>
        <w:tc>
          <w:tcPr>
            <w:tcW w:w="1581" w:type="dxa"/>
            <w:vMerge w:val="restart"/>
            <w:vAlign w:val="center"/>
          </w:tcPr>
          <w:p w14:paraId="2316BEE0"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联动功能</w:t>
            </w:r>
          </w:p>
        </w:tc>
        <w:tc>
          <w:tcPr>
            <w:tcW w:w="7273" w:type="dxa"/>
            <w:vAlign w:val="center"/>
          </w:tcPr>
          <w:p w14:paraId="3AA54D8C"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支持与APT检测设备联动，对于网络传输的文件不仅可以审计，还支持恶意代码检测，报告可疑的攻击文件，提供截图证明；</w:t>
            </w:r>
          </w:p>
        </w:tc>
      </w:tr>
      <w:tr w:rsidR="00B02C6E" w14:paraId="294549D5" w14:textId="77777777" w:rsidTr="00453BF8">
        <w:trPr>
          <w:trHeight w:val="165"/>
          <w:jc w:val="center"/>
        </w:trPr>
        <w:tc>
          <w:tcPr>
            <w:tcW w:w="1581" w:type="dxa"/>
            <w:vMerge/>
            <w:vAlign w:val="center"/>
          </w:tcPr>
          <w:p w14:paraId="066C281B" w14:textId="77777777" w:rsidR="00B02C6E" w:rsidRDefault="00B02C6E" w:rsidP="00453BF8">
            <w:pPr>
              <w:spacing w:line="560" w:lineRule="exact"/>
              <w:jc w:val="center"/>
              <w:rPr>
                <w:rFonts w:ascii="仿宋_GB2312" w:eastAsia="仿宋_GB2312" w:hAnsi="仿宋_GB2312" w:cs="仿宋_GB2312"/>
                <w:bCs/>
                <w:sz w:val="32"/>
                <w:szCs w:val="32"/>
              </w:rPr>
            </w:pPr>
          </w:p>
        </w:tc>
        <w:tc>
          <w:tcPr>
            <w:tcW w:w="7273" w:type="dxa"/>
            <w:vAlign w:val="center"/>
          </w:tcPr>
          <w:p w14:paraId="7E4B493B"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▲支持与现有WEB应用安全防护系统联动，可对WAF上报的应用系统攻击实现场景还原展示，提供截图证明；</w:t>
            </w:r>
          </w:p>
        </w:tc>
      </w:tr>
    </w:tbl>
    <w:p w14:paraId="622E2B59" w14:textId="77777777" w:rsidR="00B02C6E" w:rsidRDefault="00B02C6E" w:rsidP="00B02C6E">
      <w:pPr>
        <w:pStyle w:val="3"/>
        <w:numPr>
          <w:ilvl w:val="2"/>
          <w:numId w:val="0"/>
        </w:numPr>
        <w:spacing w:before="0" w:after="0" w:line="560" w:lineRule="exact"/>
        <w:rPr>
          <w:rFonts w:ascii="仿宋_GB2312" w:eastAsia="仿宋_GB2312" w:hAnsi="仿宋_GB2312" w:cs="仿宋_GB2312"/>
          <w:sz w:val="32"/>
        </w:rPr>
      </w:pPr>
      <w:r>
        <w:rPr>
          <w:rFonts w:ascii="仿宋_GB2312" w:eastAsia="仿宋_GB2312" w:hAnsi="仿宋_GB2312" w:cs="仿宋_GB2312" w:hint="eastAsia"/>
          <w:sz w:val="32"/>
        </w:rPr>
        <w:t>（六）入侵检测系统IDS1套</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7285"/>
      </w:tblGrid>
      <w:tr w:rsidR="00B02C6E" w14:paraId="68675B27" w14:textId="77777777" w:rsidTr="00453BF8">
        <w:trPr>
          <w:trHeight w:val="300"/>
          <w:jc w:val="center"/>
        </w:trPr>
        <w:tc>
          <w:tcPr>
            <w:tcW w:w="1569" w:type="dxa"/>
            <w:vAlign w:val="center"/>
          </w:tcPr>
          <w:p w14:paraId="2041CD4D" w14:textId="77777777" w:rsidR="00B02C6E" w:rsidRDefault="00B02C6E" w:rsidP="00453BF8">
            <w:pPr>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指标项</w:t>
            </w:r>
          </w:p>
        </w:tc>
        <w:tc>
          <w:tcPr>
            <w:tcW w:w="7285" w:type="dxa"/>
            <w:vAlign w:val="center"/>
          </w:tcPr>
          <w:p w14:paraId="176DBFE4" w14:textId="77777777" w:rsidR="00B02C6E" w:rsidRDefault="00B02C6E" w:rsidP="00453BF8">
            <w:pPr>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参数要求</w:t>
            </w:r>
          </w:p>
        </w:tc>
      </w:tr>
      <w:tr w:rsidR="00B02C6E" w14:paraId="78588813" w14:textId="77777777" w:rsidTr="00453BF8">
        <w:trPr>
          <w:trHeight w:val="300"/>
          <w:jc w:val="center"/>
        </w:trPr>
        <w:tc>
          <w:tcPr>
            <w:tcW w:w="1569" w:type="dxa"/>
            <w:vAlign w:val="center"/>
          </w:tcPr>
          <w:p w14:paraId="6020D264"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硬件平台</w:t>
            </w:r>
          </w:p>
        </w:tc>
        <w:tc>
          <w:tcPr>
            <w:tcW w:w="7285" w:type="dxa"/>
            <w:vAlign w:val="center"/>
          </w:tcPr>
          <w:p w14:paraId="66341D65" w14:textId="77777777" w:rsidR="00B02C6E" w:rsidRDefault="00B02C6E" w:rsidP="00453BF8">
            <w:pPr>
              <w:spacing w:line="560" w:lineRule="exact"/>
              <w:rPr>
                <w:rStyle w:val="font91"/>
                <w:rFonts w:ascii="仿宋_GB2312" w:eastAsia="仿宋_GB2312" w:hAnsi="仿宋_GB2312" w:cs="仿宋_GB2312"/>
                <w:sz w:val="32"/>
                <w:szCs w:val="32"/>
              </w:rPr>
            </w:pPr>
            <w:r w:rsidRPr="00882CE3">
              <w:rPr>
                <w:rStyle w:val="font91"/>
                <w:rFonts w:ascii="仿宋_GB2312" w:eastAsia="仿宋_GB2312" w:hAnsi="仿宋_GB2312" w:cs="仿宋_GB2312" w:hint="eastAsia"/>
                <w:sz w:val="32"/>
                <w:szCs w:val="32"/>
              </w:rPr>
              <w:t>采用国产芯片≥</w:t>
            </w:r>
            <w:r w:rsidRPr="00882CE3">
              <w:rPr>
                <w:rStyle w:val="font91"/>
                <w:rFonts w:ascii="仿宋_GB2312" w:eastAsia="仿宋_GB2312" w:hAnsi="仿宋_GB2312" w:cs="仿宋_GB2312"/>
                <w:sz w:val="32"/>
                <w:szCs w:val="32"/>
              </w:rPr>
              <w:t>1.5GHz</w:t>
            </w:r>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16</w:t>
            </w:r>
            <w:r w:rsidRPr="00882CE3">
              <w:rPr>
                <w:rStyle w:val="font91"/>
                <w:rFonts w:ascii="仿宋_GB2312" w:eastAsia="仿宋_GB2312" w:hAnsi="仿宋_GB2312" w:cs="仿宋_GB2312" w:hint="eastAsia"/>
                <w:sz w:val="32"/>
                <w:szCs w:val="32"/>
              </w:rPr>
              <w:t>核，搭载国产操作系统；≥</w:t>
            </w:r>
            <w:r w:rsidRPr="00882CE3">
              <w:rPr>
                <w:rStyle w:val="font91"/>
                <w:rFonts w:ascii="仿宋_GB2312" w:eastAsia="仿宋_GB2312" w:hAnsi="仿宋_GB2312" w:cs="仿宋_GB2312"/>
                <w:sz w:val="32"/>
                <w:szCs w:val="32"/>
              </w:rPr>
              <w:t>8</w:t>
            </w:r>
            <w:r w:rsidRPr="00882CE3">
              <w:rPr>
                <w:rStyle w:val="font91"/>
                <w:rFonts w:ascii="仿宋_GB2312" w:eastAsia="仿宋_GB2312" w:hAnsi="仿宋_GB2312" w:cs="仿宋_GB2312" w:hint="eastAsia"/>
                <w:sz w:val="32"/>
                <w:szCs w:val="32"/>
              </w:rPr>
              <w:t>个</w:t>
            </w:r>
            <w:proofErr w:type="gramStart"/>
            <w:r w:rsidRPr="00882CE3">
              <w:rPr>
                <w:rStyle w:val="font91"/>
                <w:rFonts w:ascii="仿宋_GB2312" w:eastAsia="仿宋_GB2312" w:hAnsi="仿宋_GB2312" w:cs="仿宋_GB2312" w:hint="eastAsia"/>
                <w:sz w:val="32"/>
                <w:szCs w:val="32"/>
              </w:rPr>
              <w:t>千兆电口</w:t>
            </w:r>
            <w:proofErr w:type="gramEnd"/>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8</w:t>
            </w:r>
            <w:r w:rsidRPr="00882CE3">
              <w:rPr>
                <w:rStyle w:val="font91"/>
                <w:rFonts w:ascii="仿宋_GB2312" w:eastAsia="仿宋_GB2312" w:hAnsi="仿宋_GB2312" w:cs="仿宋_GB2312" w:hint="eastAsia"/>
                <w:sz w:val="32"/>
                <w:szCs w:val="32"/>
              </w:rPr>
              <w:t>个千兆</w:t>
            </w:r>
            <w:r w:rsidRPr="00882CE3">
              <w:rPr>
                <w:rStyle w:val="font91"/>
                <w:rFonts w:ascii="仿宋_GB2312" w:eastAsia="仿宋_GB2312" w:hAnsi="仿宋_GB2312" w:cs="仿宋_GB2312"/>
                <w:sz w:val="32"/>
                <w:szCs w:val="32"/>
              </w:rPr>
              <w:t>SFP</w:t>
            </w:r>
            <w:r w:rsidRPr="00882CE3">
              <w:rPr>
                <w:rStyle w:val="font91"/>
                <w:rFonts w:ascii="仿宋_GB2312" w:eastAsia="仿宋_GB2312" w:hAnsi="仿宋_GB2312" w:cs="仿宋_GB2312" w:hint="eastAsia"/>
                <w:sz w:val="32"/>
                <w:szCs w:val="32"/>
              </w:rPr>
              <w:t>插槽，≥</w:t>
            </w:r>
            <w:r w:rsidRPr="00882CE3">
              <w:rPr>
                <w:rStyle w:val="font91"/>
                <w:rFonts w:ascii="仿宋_GB2312" w:eastAsia="仿宋_GB2312" w:hAnsi="仿宋_GB2312" w:cs="仿宋_GB2312"/>
                <w:sz w:val="32"/>
                <w:szCs w:val="32"/>
              </w:rPr>
              <w:t>8</w:t>
            </w:r>
            <w:r>
              <w:rPr>
                <w:rStyle w:val="font91"/>
                <w:rFonts w:ascii="仿宋_GB2312" w:eastAsia="仿宋_GB2312" w:hAnsi="仿宋_GB2312" w:cs="仿宋_GB2312"/>
                <w:sz w:val="32"/>
                <w:szCs w:val="32"/>
              </w:rPr>
              <w:t>个</w:t>
            </w:r>
            <w:r w:rsidRPr="00882CE3">
              <w:rPr>
                <w:rStyle w:val="font91"/>
                <w:rFonts w:ascii="仿宋_GB2312" w:eastAsia="仿宋_GB2312" w:hAnsi="仿宋_GB2312" w:cs="仿宋_GB2312" w:hint="eastAsia"/>
                <w:sz w:val="32"/>
                <w:szCs w:val="32"/>
              </w:rPr>
              <w:lastRenderedPageBreak/>
              <w:t>万兆光口（带</w:t>
            </w:r>
            <w:r w:rsidRPr="00882CE3">
              <w:rPr>
                <w:rStyle w:val="font91"/>
                <w:rFonts w:ascii="仿宋_GB2312" w:eastAsia="仿宋_GB2312" w:hAnsi="仿宋_GB2312" w:cs="仿宋_GB2312"/>
                <w:sz w:val="32"/>
                <w:szCs w:val="32"/>
              </w:rPr>
              <w:t>2</w:t>
            </w:r>
            <w:r w:rsidRPr="00882CE3">
              <w:rPr>
                <w:rStyle w:val="font91"/>
                <w:rFonts w:ascii="仿宋_GB2312" w:eastAsia="仿宋_GB2312" w:hAnsi="仿宋_GB2312" w:cs="仿宋_GB2312" w:hint="eastAsia"/>
                <w:sz w:val="32"/>
                <w:szCs w:val="32"/>
              </w:rPr>
              <w:t>个多模模块）</w:t>
            </w:r>
            <w:r>
              <w:rPr>
                <w:rStyle w:val="font91"/>
                <w:rFonts w:ascii="仿宋_GB2312" w:eastAsia="仿宋_GB2312" w:hAnsi="仿宋_GB2312" w:cs="仿宋_GB2312" w:hint="eastAsia"/>
                <w:sz w:val="32"/>
                <w:szCs w:val="32"/>
              </w:rPr>
              <w:t>；1个管理口；</w:t>
            </w:r>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8T</w:t>
            </w:r>
            <w:r w:rsidRPr="00882CE3">
              <w:rPr>
                <w:rStyle w:val="font91"/>
                <w:rFonts w:ascii="仿宋_GB2312" w:eastAsia="仿宋_GB2312" w:hAnsi="仿宋_GB2312" w:cs="仿宋_GB2312" w:hint="eastAsia"/>
                <w:sz w:val="32"/>
                <w:szCs w:val="32"/>
              </w:rPr>
              <w:t>硬盘，≥</w:t>
            </w:r>
            <w:r w:rsidRPr="00882CE3">
              <w:rPr>
                <w:rStyle w:val="font91"/>
                <w:rFonts w:ascii="仿宋_GB2312" w:eastAsia="仿宋_GB2312" w:hAnsi="仿宋_GB2312" w:cs="仿宋_GB2312"/>
                <w:sz w:val="32"/>
                <w:szCs w:val="32"/>
              </w:rPr>
              <w:t>32G</w:t>
            </w:r>
            <w:r w:rsidRPr="00882CE3">
              <w:rPr>
                <w:rStyle w:val="font91"/>
                <w:rFonts w:ascii="仿宋_GB2312" w:eastAsia="仿宋_GB2312" w:hAnsi="仿宋_GB2312" w:cs="仿宋_GB2312" w:hint="eastAsia"/>
                <w:sz w:val="32"/>
                <w:szCs w:val="32"/>
              </w:rPr>
              <w:t>内存，</w:t>
            </w:r>
            <w:proofErr w:type="gramStart"/>
            <w:r w:rsidRPr="00882CE3">
              <w:rPr>
                <w:rStyle w:val="font91"/>
                <w:rFonts w:ascii="仿宋_GB2312" w:eastAsia="仿宋_GB2312" w:hAnsi="仿宋_GB2312" w:cs="仿宋_GB2312" w:hint="eastAsia"/>
                <w:sz w:val="32"/>
                <w:szCs w:val="32"/>
              </w:rPr>
              <w:t>满检速率</w:t>
            </w:r>
            <w:proofErr w:type="gramEnd"/>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40Gbps</w:t>
            </w:r>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TCP</w:t>
            </w:r>
            <w:r w:rsidRPr="00882CE3">
              <w:rPr>
                <w:rStyle w:val="font91"/>
                <w:rFonts w:ascii="仿宋_GB2312" w:eastAsia="仿宋_GB2312" w:hAnsi="仿宋_GB2312" w:cs="仿宋_GB2312" w:hint="eastAsia"/>
                <w:sz w:val="32"/>
                <w:szCs w:val="32"/>
              </w:rPr>
              <w:t>最大并发连接数≥</w:t>
            </w:r>
            <w:r w:rsidRPr="00882CE3">
              <w:rPr>
                <w:rStyle w:val="font91"/>
                <w:rFonts w:ascii="仿宋_GB2312" w:eastAsia="仿宋_GB2312" w:hAnsi="仿宋_GB2312" w:cs="仿宋_GB2312"/>
                <w:sz w:val="32"/>
                <w:szCs w:val="32"/>
              </w:rPr>
              <w:t>1000</w:t>
            </w:r>
            <w:r w:rsidRPr="00882CE3">
              <w:rPr>
                <w:rStyle w:val="font91"/>
                <w:rFonts w:ascii="仿宋_GB2312" w:eastAsia="仿宋_GB2312" w:hAnsi="仿宋_GB2312" w:cs="仿宋_GB2312" w:hint="eastAsia"/>
                <w:sz w:val="32"/>
                <w:szCs w:val="32"/>
              </w:rPr>
              <w:t>万</w:t>
            </w:r>
            <w:r>
              <w:rPr>
                <w:rStyle w:val="font91"/>
                <w:rFonts w:ascii="仿宋_GB2312" w:eastAsia="仿宋_GB2312" w:hAnsi="仿宋_GB2312" w:cs="仿宋_GB2312" w:hint="eastAsia"/>
                <w:sz w:val="32"/>
                <w:szCs w:val="32"/>
              </w:rPr>
              <w:t>；2U设备；</w:t>
            </w:r>
          </w:p>
        </w:tc>
      </w:tr>
      <w:tr w:rsidR="00B02C6E" w14:paraId="3774BE3A" w14:textId="77777777" w:rsidTr="00453BF8">
        <w:trPr>
          <w:trHeight w:val="1065"/>
          <w:jc w:val="center"/>
        </w:trPr>
        <w:tc>
          <w:tcPr>
            <w:tcW w:w="1569" w:type="dxa"/>
            <w:vMerge w:val="restart"/>
            <w:vAlign w:val="center"/>
          </w:tcPr>
          <w:p w14:paraId="77693FAE"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攻击检测能力</w:t>
            </w:r>
          </w:p>
        </w:tc>
        <w:tc>
          <w:tcPr>
            <w:tcW w:w="7285" w:type="dxa"/>
            <w:vAlign w:val="center"/>
          </w:tcPr>
          <w:p w14:paraId="1BBCDCF1"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支持对蠕虫病毒、蠕虫、间谍软件、木马后门、刺探扫描、暴力破解、拒绝服务、缓冲区溢出、欺骗劫持、僵尸网络、SQL注入、XSS、</w:t>
            </w:r>
            <w:proofErr w:type="spellStart"/>
            <w:r>
              <w:rPr>
                <w:rStyle w:val="font91"/>
                <w:rFonts w:ascii="仿宋_GB2312" w:eastAsia="仿宋_GB2312" w:hAnsi="仿宋_GB2312" w:cs="仿宋_GB2312" w:hint="eastAsia"/>
                <w:sz w:val="32"/>
                <w:szCs w:val="32"/>
              </w:rPr>
              <w:t>Xpath</w:t>
            </w:r>
            <w:proofErr w:type="spellEnd"/>
            <w:r>
              <w:rPr>
                <w:rStyle w:val="font91"/>
                <w:rFonts w:ascii="仿宋_GB2312" w:eastAsia="仿宋_GB2312" w:hAnsi="仿宋_GB2312" w:cs="仿宋_GB2312" w:hint="eastAsia"/>
                <w:sz w:val="32"/>
                <w:szCs w:val="32"/>
              </w:rPr>
              <w:t>、网页木马、钓鱼网站、</w:t>
            </w:r>
            <w:proofErr w:type="spellStart"/>
            <w:r>
              <w:rPr>
                <w:rStyle w:val="font91"/>
                <w:rFonts w:ascii="仿宋_GB2312" w:eastAsia="仿宋_GB2312" w:hAnsi="仿宋_GB2312" w:cs="仿宋_GB2312" w:hint="eastAsia"/>
                <w:sz w:val="32"/>
                <w:szCs w:val="32"/>
              </w:rPr>
              <w:t>Webshell</w:t>
            </w:r>
            <w:proofErr w:type="spellEnd"/>
            <w:r>
              <w:rPr>
                <w:rStyle w:val="font91"/>
                <w:rFonts w:ascii="仿宋_GB2312" w:eastAsia="仿宋_GB2312" w:hAnsi="仿宋_GB2312" w:cs="仿宋_GB2312" w:hint="eastAsia"/>
                <w:sz w:val="32"/>
                <w:szCs w:val="32"/>
              </w:rPr>
              <w:t>、数据库攻击、网络设备攻击、0day攻击、可疑行为等常见攻击具有高精度的检测能力</w:t>
            </w:r>
          </w:p>
        </w:tc>
      </w:tr>
      <w:tr w:rsidR="00B02C6E" w14:paraId="74AC67FA" w14:textId="77777777" w:rsidTr="00453BF8">
        <w:trPr>
          <w:trHeight w:val="700"/>
          <w:jc w:val="center"/>
        </w:trPr>
        <w:tc>
          <w:tcPr>
            <w:tcW w:w="1569" w:type="dxa"/>
            <w:vMerge/>
            <w:vAlign w:val="center"/>
          </w:tcPr>
          <w:p w14:paraId="14B28526" w14:textId="77777777" w:rsidR="00B02C6E" w:rsidRDefault="00B02C6E" w:rsidP="00453BF8">
            <w:pPr>
              <w:spacing w:line="560" w:lineRule="exact"/>
              <w:jc w:val="center"/>
              <w:rPr>
                <w:rFonts w:ascii="仿宋_GB2312" w:eastAsia="仿宋_GB2312" w:hAnsi="仿宋_GB2312" w:cs="仿宋_GB2312"/>
                <w:sz w:val="32"/>
                <w:szCs w:val="32"/>
              </w:rPr>
            </w:pPr>
          </w:p>
        </w:tc>
        <w:tc>
          <w:tcPr>
            <w:tcW w:w="7285" w:type="dxa"/>
            <w:vAlign w:val="center"/>
          </w:tcPr>
          <w:p w14:paraId="1FAAC09F"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▲支持常见的HTTP、FTP、TFTP、SMTP、TLS、SSH、IMAP、SMB、</w:t>
            </w:r>
            <w:proofErr w:type="spellStart"/>
            <w:r>
              <w:rPr>
                <w:rStyle w:val="font91"/>
                <w:rFonts w:ascii="仿宋_GB2312" w:eastAsia="仿宋_GB2312" w:hAnsi="仿宋_GB2312" w:cs="仿宋_GB2312" w:hint="eastAsia"/>
                <w:sz w:val="32"/>
                <w:szCs w:val="32"/>
              </w:rPr>
              <w:t>Dcerpc</w:t>
            </w:r>
            <w:proofErr w:type="spellEnd"/>
            <w:r>
              <w:rPr>
                <w:rStyle w:val="font91"/>
                <w:rFonts w:ascii="仿宋_GB2312" w:eastAsia="仿宋_GB2312" w:hAnsi="仿宋_GB2312" w:cs="仿宋_GB2312" w:hint="eastAsia"/>
                <w:sz w:val="32"/>
                <w:szCs w:val="32"/>
              </w:rPr>
              <w:t>、DNS、IKEV2、NFS、Krb5、DHCP、SNMP、SIP、RFB、RDP等应用层协议，提供具有CMA或CNAS认证的第三方检测报告；</w:t>
            </w:r>
          </w:p>
        </w:tc>
      </w:tr>
      <w:tr w:rsidR="00B02C6E" w14:paraId="69C11045" w14:textId="77777777" w:rsidTr="00453BF8">
        <w:trPr>
          <w:trHeight w:val="340"/>
          <w:jc w:val="center"/>
        </w:trPr>
        <w:tc>
          <w:tcPr>
            <w:tcW w:w="1569" w:type="dxa"/>
            <w:vMerge/>
            <w:vAlign w:val="center"/>
          </w:tcPr>
          <w:p w14:paraId="151DE852" w14:textId="77777777" w:rsidR="00B02C6E" w:rsidRDefault="00B02C6E" w:rsidP="00453BF8">
            <w:pPr>
              <w:spacing w:line="560" w:lineRule="exact"/>
              <w:jc w:val="center"/>
              <w:rPr>
                <w:rFonts w:ascii="仿宋_GB2312" w:eastAsia="仿宋_GB2312" w:hAnsi="仿宋_GB2312" w:cs="仿宋_GB2312"/>
                <w:sz w:val="32"/>
                <w:szCs w:val="32"/>
              </w:rPr>
            </w:pPr>
          </w:p>
        </w:tc>
        <w:tc>
          <w:tcPr>
            <w:tcW w:w="7285" w:type="dxa"/>
            <w:vAlign w:val="center"/>
          </w:tcPr>
          <w:p w14:paraId="37664710"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具有抗逃避检测机制，可以针对分片逃逸攻击、重叠逃逸攻击、加入多余或者无用字节逃逸攻击进行有效防范</w:t>
            </w:r>
          </w:p>
        </w:tc>
      </w:tr>
      <w:tr w:rsidR="00B02C6E" w14:paraId="4A456812" w14:textId="77777777" w:rsidTr="00453BF8">
        <w:trPr>
          <w:trHeight w:val="795"/>
          <w:jc w:val="center"/>
        </w:trPr>
        <w:tc>
          <w:tcPr>
            <w:tcW w:w="1569" w:type="dxa"/>
            <w:vMerge/>
            <w:vAlign w:val="center"/>
          </w:tcPr>
          <w:p w14:paraId="2E9A10A4" w14:textId="77777777" w:rsidR="00B02C6E" w:rsidRDefault="00B02C6E" w:rsidP="00453BF8">
            <w:pPr>
              <w:spacing w:line="560" w:lineRule="exact"/>
              <w:jc w:val="center"/>
              <w:rPr>
                <w:rFonts w:ascii="仿宋_GB2312" w:eastAsia="仿宋_GB2312" w:hAnsi="仿宋_GB2312" w:cs="仿宋_GB2312"/>
                <w:sz w:val="32"/>
                <w:szCs w:val="32"/>
              </w:rPr>
            </w:pPr>
          </w:p>
        </w:tc>
        <w:tc>
          <w:tcPr>
            <w:tcW w:w="7285" w:type="dxa"/>
            <w:vAlign w:val="center"/>
          </w:tcPr>
          <w:p w14:paraId="677D3ACB"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支持自定义弱口令规则，用户可灵活定义网络内的弱口令条件；</w:t>
            </w:r>
          </w:p>
        </w:tc>
      </w:tr>
      <w:tr w:rsidR="00B02C6E" w14:paraId="042C0E24" w14:textId="77777777" w:rsidTr="00453BF8">
        <w:trPr>
          <w:trHeight w:val="795"/>
          <w:jc w:val="center"/>
        </w:trPr>
        <w:tc>
          <w:tcPr>
            <w:tcW w:w="1569" w:type="dxa"/>
            <w:vMerge/>
            <w:vAlign w:val="center"/>
          </w:tcPr>
          <w:p w14:paraId="63B64AB6" w14:textId="77777777" w:rsidR="00B02C6E" w:rsidRDefault="00B02C6E" w:rsidP="00453BF8">
            <w:pPr>
              <w:spacing w:line="560" w:lineRule="exact"/>
              <w:jc w:val="center"/>
              <w:rPr>
                <w:rFonts w:ascii="仿宋_GB2312" w:eastAsia="仿宋_GB2312" w:hAnsi="仿宋_GB2312" w:cs="仿宋_GB2312"/>
                <w:sz w:val="32"/>
                <w:szCs w:val="32"/>
              </w:rPr>
            </w:pPr>
          </w:p>
        </w:tc>
        <w:tc>
          <w:tcPr>
            <w:tcW w:w="7285" w:type="dxa"/>
            <w:vAlign w:val="center"/>
          </w:tcPr>
          <w:p w14:paraId="635D0F97"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▲支持检测常见的Web类攻击，至少包含</w:t>
            </w:r>
            <w:proofErr w:type="spellStart"/>
            <w:r>
              <w:rPr>
                <w:rStyle w:val="font91"/>
                <w:rFonts w:ascii="仿宋_GB2312" w:eastAsia="仿宋_GB2312" w:hAnsi="仿宋_GB2312" w:cs="仿宋_GB2312" w:hint="eastAsia"/>
                <w:sz w:val="32"/>
                <w:szCs w:val="32"/>
              </w:rPr>
              <w:t>Webshell</w:t>
            </w:r>
            <w:proofErr w:type="spellEnd"/>
            <w:r>
              <w:rPr>
                <w:rStyle w:val="font91"/>
                <w:rFonts w:ascii="仿宋_GB2312" w:eastAsia="仿宋_GB2312" w:hAnsi="仿宋_GB2312" w:cs="仿宋_GB2312" w:hint="eastAsia"/>
                <w:sz w:val="32"/>
                <w:szCs w:val="32"/>
              </w:rPr>
              <w:t>请求、XSS攻击、SQL注入等WEB攻击，提供具有CMA或CNAS认证的第三方检测报告；</w:t>
            </w:r>
          </w:p>
        </w:tc>
      </w:tr>
      <w:tr w:rsidR="00B02C6E" w14:paraId="128597E1" w14:textId="77777777" w:rsidTr="00453BF8">
        <w:trPr>
          <w:trHeight w:val="945"/>
          <w:jc w:val="center"/>
        </w:trPr>
        <w:tc>
          <w:tcPr>
            <w:tcW w:w="1569" w:type="dxa"/>
            <w:vMerge/>
            <w:vAlign w:val="center"/>
          </w:tcPr>
          <w:p w14:paraId="29273F57" w14:textId="77777777" w:rsidR="00B02C6E" w:rsidRDefault="00B02C6E" w:rsidP="00453BF8">
            <w:pPr>
              <w:spacing w:line="560" w:lineRule="exact"/>
              <w:jc w:val="center"/>
              <w:rPr>
                <w:rFonts w:ascii="仿宋_GB2312" w:eastAsia="仿宋_GB2312" w:hAnsi="仿宋_GB2312" w:cs="仿宋_GB2312"/>
                <w:sz w:val="32"/>
                <w:szCs w:val="32"/>
              </w:rPr>
            </w:pPr>
          </w:p>
        </w:tc>
        <w:tc>
          <w:tcPr>
            <w:tcW w:w="7285" w:type="dxa"/>
            <w:vAlign w:val="center"/>
          </w:tcPr>
          <w:p w14:paraId="61B5B249"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系统可展示最近24小时内网络发生的安全事件，包括对拒绝服务事件、扫描事件、蠕虫事件、木马病事件、网络整体状况等展示；</w:t>
            </w:r>
          </w:p>
        </w:tc>
      </w:tr>
      <w:tr w:rsidR="00B02C6E" w14:paraId="48D0E182" w14:textId="77777777" w:rsidTr="00453BF8">
        <w:trPr>
          <w:trHeight w:val="90"/>
          <w:jc w:val="center"/>
        </w:trPr>
        <w:tc>
          <w:tcPr>
            <w:tcW w:w="1569" w:type="dxa"/>
            <w:vMerge/>
            <w:vAlign w:val="center"/>
          </w:tcPr>
          <w:p w14:paraId="2A2041CB" w14:textId="77777777" w:rsidR="00B02C6E" w:rsidRDefault="00B02C6E" w:rsidP="00453BF8">
            <w:pPr>
              <w:spacing w:line="560" w:lineRule="exact"/>
              <w:jc w:val="center"/>
              <w:rPr>
                <w:rFonts w:ascii="仿宋_GB2312" w:eastAsia="仿宋_GB2312" w:hAnsi="仿宋_GB2312" w:cs="仿宋_GB2312"/>
                <w:sz w:val="32"/>
                <w:szCs w:val="32"/>
              </w:rPr>
            </w:pPr>
          </w:p>
        </w:tc>
        <w:tc>
          <w:tcPr>
            <w:tcW w:w="7285" w:type="dxa"/>
            <w:vAlign w:val="center"/>
          </w:tcPr>
          <w:p w14:paraId="3288E549"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▲支持对常见的拒绝服务攻击（DDOS）的检测能力，针对TCP FLOOD、UDP FLOOD、ICMP FLOOD攻击行为进行检测，并支持通过控制界面配置攻击检测时间和阈值条件等，提供具有CMA或CNAS认证的第三方检测报告；</w:t>
            </w:r>
          </w:p>
        </w:tc>
      </w:tr>
      <w:tr w:rsidR="00B02C6E" w14:paraId="119DEE72" w14:textId="77777777" w:rsidTr="00453BF8">
        <w:trPr>
          <w:trHeight w:val="70"/>
          <w:jc w:val="center"/>
        </w:trPr>
        <w:tc>
          <w:tcPr>
            <w:tcW w:w="1569" w:type="dxa"/>
            <w:vMerge/>
            <w:vAlign w:val="center"/>
          </w:tcPr>
          <w:p w14:paraId="106816B7" w14:textId="77777777" w:rsidR="00B02C6E" w:rsidRDefault="00B02C6E" w:rsidP="00453BF8">
            <w:pPr>
              <w:spacing w:line="560" w:lineRule="exact"/>
              <w:jc w:val="center"/>
              <w:rPr>
                <w:rFonts w:ascii="仿宋_GB2312" w:eastAsia="仿宋_GB2312" w:hAnsi="仿宋_GB2312" w:cs="仿宋_GB2312"/>
                <w:sz w:val="32"/>
                <w:szCs w:val="32"/>
              </w:rPr>
            </w:pPr>
          </w:p>
        </w:tc>
        <w:tc>
          <w:tcPr>
            <w:tcW w:w="7285" w:type="dxa"/>
            <w:vAlign w:val="center"/>
          </w:tcPr>
          <w:p w14:paraId="043C1FD5"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支持对攻击进行威胁情报云查，页面自动呈现</w:t>
            </w:r>
            <w:proofErr w:type="gramStart"/>
            <w:r>
              <w:rPr>
                <w:rStyle w:val="font91"/>
                <w:rFonts w:ascii="仿宋_GB2312" w:eastAsia="仿宋_GB2312" w:hAnsi="仿宋_GB2312" w:cs="仿宋_GB2312" w:hint="eastAsia"/>
                <w:sz w:val="32"/>
                <w:szCs w:val="32"/>
              </w:rPr>
              <w:t>情报云查信息</w:t>
            </w:r>
            <w:proofErr w:type="gramEnd"/>
            <w:r>
              <w:rPr>
                <w:rStyle w:val="font91"/>
                <w:rFonts w:ascii="仿宋_GB2312" w:eastAsia="仿宋_GB2312" w:hAnsi="仿宋_GB2312" w:cs="仿宋_GB2312" w:hint="eastAsia"/>
                <w:sz w:val="32"/>
                <w:szCs w:val="32"/>
              </w:rPr>
              <w:t>，提供具有CMA或CNAS认证的第三方检测报告；</w:t>
            </w:r>
          </w:p>
        </w:tc>
      </w:tr>
      <w:tr w:rsidR="00B02C6E" w14:paraId="1C4B5F05" w14:textId="77777777" w:rsidTr="00453BF8">
        <w:trPr>
          <w:trHeight w:val="645"/>
          <w:jc w:val="center"/>
        </w:trPr>
        <w:tc>
          <w:tcPr>
            <w:tcW w:w="1569" w:type="dxa"/>
            <w:vMerge w:val="restart"/>
            <w:vAlign w:val="center"/>
          </w:tcPr>
          <w:p w14:paraId="72D14A80" w14:textId="77777777" w:rsidR="00B02C6E" w:rsidRDefault="00B02C6E" w:rsidP="00453BF8">
            <w:pPr>
              <w:spacing w:line="560" w:lineRule="exact"/>
              <w:jc w:val="center"/>
              <w:rPr>
                <w:rFonts w:ascii="仿宋_GB2312" w:eastAsia="仿宋_GB2312" w:hAnsi="仿宋_GB2312" w:cs="仿宋_GB2312"/>
                <w:sz w:val="32"/>
                <w:szCs w:val="32"/>
              </w:rPr>
            </w:pPr>
            <w:bookmarkStart w:id="51" w:name="_Toc322447548"/>
            <w:r>
              <w:rPr>
                <w:rFonts w:ascii="仿宋_GB2312" w:eastAsia="仿宋_GB2312" w:hAnsi="仿宋_GB2312" w:cs="仿宋_GB2312" w:hint="eastAsia"/>
                <w:sz w:val="32"/>
                <w:szCs w:val="32"/>
              </w:rPr>
              <w:t>威胁展示</w:t>
            </w:r>
            <w:bookmarkEnd w:id="51"/>
          </w:p>
        </w:tc>
        <w:tc>
          <w:tcPr>
            <w:tcW w:w="7285" w:type="dxa"/>
            <w:vAlign w:val="center"/>
          </w:tcPr>
          <w:p w14:paraId="62240E74"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具备威胁的实时展示能力，可以将引擎检测到的威胁在威胁展示界面进行实时显示，显示内容包括：事件名称、攻击者IP、被攻击者IP、攻击发生时间、事件级别、流行程度、攻击类型等；</w:t>
            </w:r>
          </w:p>
        </w:tc>
      </w:tr>
      <w:tr w:rsidR="00B02C6E" w14:paraId="4F7170C9" w14:textId="77777777" w:rsidTr="00453BF8">
        <w:trPr>
          <w:trHeight w:val="60"/>
          <w:jc w:val="center"/>
        </w:trPr>
        <w:tc>
          <w:tcPr>
            <w:tcW w:w="1569" w:type="dxa"/>
            <w:vMerge/>
            <w:vAlign w:val="center"/>
          </w:tcPr>
          <w:p w14:paraId="1289055B" w14:textId="77777777" w:rsidR="00B02C6E" w:rsidRDefault="00B02C6E" w:rsidP="00453BF8">
            <w:pPr>
              <w:spacing w:line="560" w:lineRule="exact"/>
              <w:jc w:val="center"/>
              <w:rPr>
                <w:rFonts w:ascii="仿宋_GB2312" w:eastAsia="仿宋_GB2312" w:hAnsi="仿宋_GB2312" w:cs="仿宋_GB2312"/>
                <w:sz w:val="32"/>
                <w:szCs w:val="32"/>
              </w:rPr>
            </w:pPr>
          </w:p>
        </w:tc>
        <w:tc>
          <w:tcPr>
            <w:tcW w:w="7285" w:type="dxa"/>
            <w:vAlign w:val="center"/>
          </w:tcPr>
          <w:p w14:paraId="2D9F32ED"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系统首页提供如下关键报警及汇总数据：重点威胁的今日发生情况、历史日均发生情况、今日发生事件的Top5事件、今日流量曲线；</w:t>
            </w:r>
          </w:p>
        </w:tc>
      </w:tr>
      <w:tr w:rsidR="00B02C6E" w14:paraId="654B94A2" w14:textId="77777777" w:rsidTr="00453BF8">
        <w:trPr>
          <w:trHeight w:val="60"/>
          <w:jc w:val="center"/>
        </w:trPr>
        <w:tc>
          <w:tcPr>
            <w:tcW w:w="1569" w:type="dxa"/>
            <w:vAlign w:val="center"/>
          </w:tcPr>
          <w:p w14:paraId="4E009BD2"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安全联动</w:t>
            </w:r>
          </w:p>
        </w:tc>
        <w:tc>
          <w:tcPr>
            <w:tcW w:w="7285" w:type="dxa"/>
            <w:vAlign w:val="center"/>
          </w:tcPr>
          <w:p w14:paraId="0866A81A"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▲支持与防火墙协同联动，提供第三方机构颁发的防火墙与入侵检测系统联动方法的技术证明文件</w:t>
            </w:r>
          </w:p>
        </w:tc>
      </w:tr>
    </w:tbl>
    <w:p w14:paraId="1F91E49E" w14:textId="77777777" w:rsidR="00B02C6E" w:rsidRDefault="00B02C6E" w:rsidP="00B02C6E">
      <w:pPr>
        <w:pStyle w:val="3"/>
        <w:numPr>
          <w:ilvl w:val="2"/>
          <w:numId w:val="0"/>
        </w:numPr>
        <w:spacing w:before="0" w:after="0" w:line="560" w:lineRule="exact"/>
        <w:rPr>
          <w:rFonts w:ascii="仿宋_GB2312" w:eastAsia="仿宋_GB2312" w:hAnsi="仿宋_GB2312" w:cs="仿宋_GB2312"/>
          <w:sz w:val="32"/>
        </w:rPr>
      </w:pPr>
      <w:r>
        <w:rPr>
          <w:rFonts w:ascii="仿宋_GB2312" w:eastAsia="仿宋_GB2312" w:hAnsi="仿宋_GB2312" w:cs="仿宋_GB2312" w:hint="eastAsia"/>
          <w:sz w:val="32"/>
        </w:rPr>
        <w:t>（七）可信边界安全网关（万兆）1套</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7260"/>
      </w:tblGrid>
      <w:tr w:rsidR="00B02C6E" w14:paraId="3547AADB" w14:textId="77777777" w:rsidTr="00453BF8">
        <w:trPr>
          <w:jc w:val="center"/>
        </w:trPr>
        <w:tc>
          <w:tcPr>
            <w:tcW w:w="1548" w:type="dxa"/>
            <w:vAlign w:val="center"/>
          </w:tcPr>
          <w:p w14:paraId="3AFC4C1A" w14:textId="77777777" w:rsidR="00B02C6E" w:rsidRDefault="00B02C6E" w:rsidP="00453BF8">
            <w:pPr>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指标项</w:t>
            </w:r>
          </w:p>
        </w:tc>
        <w:tc>
          <w:tcPr>
            <w:tcW w:w="7260" w:type="dxa"/>
            <w:vAlign w:val="center"/>
          </w:tcPr>
          <w:p w14:paraId="7C005EF4" w14:textId="77777777" w:rsidR="00B02C6E" w:rsidRDefault="00B02C6E" w:rsidP="00453BF8">
            <w:pPr>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参数要求</w:t>
            </w:r>
          </w:p>
        </w:tc>
      </w:tr>
      <w:tr w:rsidR="00B02C6E" w14:paraId="1A08D745" w14:textId="77777777" w:rsidTr="00453BF8">
        <w:trPr>
          <w:jc w:val="center"/>
        </w:trPr>
        <w:tc>
          <w:tcPr>
            <w:tcW w:w="1548" w:type="dxa"/>
            <w:vAlign w:val="center"/>
          </w:tcPr>
          <w:p w14:paraId="197262E9"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网络接口</w:t>
            </w:r>
          </w:p>
        </w:tc>
        <w:tc>
          <w:tcPr>
            <w:tcW w:w="7260" w:type="dxa"/>
            <w:vAlign w:val="center"/>
          </w:tcPr>
          <w:p w14:paraId="544945D5"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标准2U机架式设备，冗余电源，专用硬件架构平台，配置≥6个</w:t>
            </w:r>
            <w:proofErr w:type="gramStart"/>
            <w:r w:rsidRPr="00882CE3">
              <w:rPr>
                <w:rStyle w:val="font91"/>
                <w:rFonts w:ascii="仿宋_GB2312" w:eastAsia="仿宋_GB2312" w:hAnsi="仿宋_GB2312" w:cs="仿宋_GB2312" w:hint="eastAsia"/>
                <w:sz w:val="32"/>
                <w:szCs w:val="32"/>
              </w:rPr>
              <w:t>千兆电口</w:t>
            </w:r>
            <w:proofErr w:type="gramEnd"/>
            <w:r>
              <w:rPr>
                <w:rStyle w:val="font91"/>
                <w:rFonts w:ascii="仿宋_GB2312" w:eastAsia="仿宋_GB2312" w:hAnsi="仿宋_GB2312" w:cs="仿宋_GB2312" w:hint="eastAsia"/>
                <w:sz w:val="32"/>
                <w:szCs w:val="32"/>
              </w:rPr>
              <w:t>，≥2个万兆SFP+插槽（配置2个万兆多模模块），≥2个接口扩展槽位，1个管理口</w:t>
            </w:r>
          </w:p>
        </w:tc>
      </w:tr>
      <w:tr w:rsidR="00B02C6E" w14:paraId="1E098D89" w14:textId="77777777" w:rsidTr="00453BF8">
        <w:trPr>
          <w:jc w:val="center"/>
        </w:trPr>
        <w:tc>
          <w:tcPr>
            <w:tcW w:w="1548" w:type="dxa"/>
            <w:vAlign w:val="center"/>
          </w:tcPr>
          <w:p w14:paraId="60373234"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性能</w:t>
            </w:r>
          </w:p>
        </w:tc>
        <w:tc>
          <w:tcPr>
            <w:tcW w:w="7260" w:type="dxa"/>
            <w:vAlign w:val="center"/>
          </w:tcPr>
          <w:p w14:paraId="408DE150" w14:textId="77777777" w:rsidR="00B02C6E" w:rsidRDefault="00B02C6E" w:rsidP="00453BF8">
            <w:pPr>
              <w:spacing w:line="560" w:lineRule="exact"/>
              <w:rPr>
                <w:rStyle w:val="font91"/>
                <w:rFonts w:ascii="仿宋_GB2312" w:eastAsia="仿宋_GB2312" w:hAnsi="仿宋_GB2312" w:cs="仿宋_GB2312"/>
                <w:sz w:val="32"/>
                <w:szCs w:val="32"/>
              </w:rPr>
            </w:pPr>
            <w:r w:rsidRPr="00882CE3">
              <w:rPr>
                <w:rStyle w:val="font91"/>
                <w:rFonts w:ascii="仿宋_GB2312" w:eastAsia="仿宋_GB2312" w:hAnsi="仿宋_GB2312" w:cs="仿宋_GB2312" w:hint="eastAsia"/>
                <w:sz w:val="32"/>
                <w:szCs w:val="32"/>
              </w:rPr>
              <w:t>整机吞吐率≥</w:t>
            </w:r>
            <w:r w:rsidRPr="00882CE3">
              <w:rPr>
                <w:rStyle w:val="font91"/>
                <w:rFonts w:ascii="仿宋_GB2312" w:eastAsia="仿宋_GB2312" w:hAnsi="仿宋_GB2312" w:cs="仿宋_GB2312"/>
                <w:sz w:val="32"/>
                <w:szCs w:val="32"/>
              </w:rPr>
              <w:t>10Gbps</w:t>
            </w:r>
            <w:r w:rsidRPr="00882CE3">
              <w:rPr>
                <w:rStyle w:val="font91"/>
                <w:rFonts w:ascii="仿宋_GB2312" w:eastAsia="仿宋_GB2312" w:hAnsi="仿宋_GB2312" w:cs="仿宋_GB2312" w:hint="eastAsia"/>
                <w:sz w:val="32"/>
                <w:szCs w:val="32"/>
              </w:rPr>
              <w:t>，最大并发连接数≥</w:t>
            </w:r>
            <w:r w:rsidRPr="00882CE3">
              <w:rPr>
                <w:rStyle w:val="font91"/>
                <w:rFonts w:ascii="仿宋_GB2312" w:eastAsia="仿宋_GB2312" w:hAnsi="仿宋_GB2312" w:cs="仿宋_GB2312"/>
                <w:sz w:val="32"/>
                <w:szCs w:val="32"/>
              </w:rPr>
              <w:t>300</w:t>
            </w:r>
            <w:r w:rsidRPr="00882CE3">
              <w:rPr>
                <w:rStyle w:val="font91"/>
                <w:rFonts w:ascii="仿宋_GB2312" w:eastAsia="仿宋_GB2312" w:hAnsi="仿宋_GB2312" w:cs="仿宋_GB2312" w:hint="eastAsia"/>
                <w:sz w:val="32"/>
                <w:szCs w:val="32"/>
              </w:rPr>
              <w:t>万，</w:t>
            </w:r>
            <w:r w:rsidRPr="00882CE3">
              <w:rPr>
                <w:rStyle w:val="font91"/>
                <w:rFonts w:ascii="仿宋_GB2312" w:eastAsia="仿宋_GB2312" w:hAnsi="仿宋_GB2312" w:cs="仿宋_GB2312" w:hint="eastAsia"/>
                <w:sz w:val="32"/>
                <w:szCs w:val="32"/>
              </w:rPr>
              <w:lastRenderedPageBreak/>
              <w:t>每秒事务数目（</w:t>
            </w:r>
            <w:r w:rsidRPr="00882CE3">
              <w:rPr>
                <w:rStyle w:val="font91"/>
                <w:rFonts w:ascii="仿宋_GB2312" w:eastAsia="仿宋_GB2312" w:hAnsi="仿宋_GB2312" w:cs="仿宋_GB2312"/>
                <w:sz w:val="32"/>
                <w:szCs w:val="32"/>
              </w:rPr>
              <w:t>TPS</w:t>
            </w:r>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4000</w:t>
            </w:r>
            <w:r w:rsidRPr="00882CE3">
              <w:rPr>
                <w:rStyle w:val="font91"/>
                <w:rFonts w:ascii="仿宋_GB2312" w:eastAsia="仿宋_GB2312" w:hAnsi="仿宋_GB2312" w:cs="仿宋_GB2312" w:hint="eastAsia"/>
                <w:sz w:val="32"/>
                <w:szCs w:val="32"/>
              </w:rPr>
              <w:t>次</w:t>
            </w:r>
            <w:r w:rsidRPr="00882CE3">
              <w:rPr>
                <w:rStyle w:val="font91"/>
                <w:rFonts w:ascii="仿宋_GB2312" w:eastAsia="仿宋_GB2312" w:hAnsi="仿宋_GB2312" w:cs="仿宋_GB2312"/>
                <w:sz w:val="32"/>
                <w:szCs w:val="32"/>
              </w:rPr>
              <w:t>/</w:t>
            </w:r>
            <w:r w:rsidRPr="00882CE3">
              <w:rPr>
                <w:rStyle w:val="font91"/>
                <w:rFonts w:ascii="仿宋_GB2312" w:eastAsia="仿宋_GB2312" w:hAnsi="仿宋_GB2312" w:cs="仿宋_GB2312" w:hint="eastAsia"/>
                <w:sz w:val="32"/>
                <w:szCs w:val="32"/>
              </w:rPr>
              <w:t>秒，新建连接速度≥</w:t>
            </w:r>
            <w:r w:rsidRPr="00882CE3">
              <w:rPr>
                <w:rStyle w:val="font91"/>
                <w:rFonts w:ascii="仿宋_GB2312" w:eastAsia="仿宋_GB2312" w:hAnsi="仿宋_GB2312" w:cs="仿宋_GB2312"/>
                <w:sz w:val="32"/>
                <w:szCs w:val="32"/>
              </w:rPr>
              <w:t>3400</w:t>
            </w:r>
            <w:r w:rsidRPr="00882CE3">
              <w:rPr>
                <w:rStyle w:val="font91"/>
                <w:rFonts w:ascii="仿宋_GB2312" w:eastAsia="仿宋_GB2312" w:hAnsi="仿宋_GB2312" w:cs="仿宋_GB2312" w:hint="eastAsia"/>
                <w:sz w:val="32"/>
                <w:szCs w:val="32"/>
              </w:rPr>
              <w:t>次</w:t>
            </w:r>
            <w:r w:rsidRPr="00882CE3">
              <w:rPr>
                <w:rStyle w:val="font91"/>
                <w:rFonts w:ascii="仿宋_GB2312" w:eastAsia="仿宋_GB2312" w:hAnsi="仿宋_GB2312" w:cs="仿宋_GB2312"/>
                <w:sz w:val="32"/>
                <w:szCs w:val="32"/>
              </w:rPr>
              <w:t>/</w:t>
            </w:r>
            <w:r w:rsidRPr="00882CE3">
              <w:rPr>
                <w:rStyle w:val="font91"/>
                <w:rFonts w:ascii="仿宋_GB2312" w:eastAsia="仿宋_GB2312" w:hAnsi="仿宋_GB2312" w:cs="仿宋_GB2312" w:hint="eastAsia"/>
                <w:sz w:val="32"/>
                <w:szCs w:val="32"/>
              </w:rPr>
              <w:t>秒，</w:t>
            </w:r>
            <w:r w:rsidRPr="00882CE3">
              <w:rPr>
                <w:rStyle w:val="font91"/>
                <w:rFonts w:ascii="仿宋_GB2312" w:eastAsia="仿宋_GB2312" w:hAnsi="仿宋_GB2312" w:cs="仿宋_GB2312"/>
                <w:sz w:val="32"/>
                <w:szCs w:val="32"/>
              </w:rPr>
              <w:t>IPSec VPN</w:t>
            </w:r>
            <w:r w:rsidRPr="00882CE3">
              <w:rPr>
                <w:rStyle w:val="font91"/>
                <w:rFonts w:ascii="仿宋_GB2312" w:eastAsia="仿宋_GB2312" w:hAnsi="仿宋_GB2312" w:cs="仿宋_GB2312" w:hint="eastAsia"/>
                <w:sz w:val="32"/>
                <w:szCs w:val="32"/>
              </w:rPr>
              <w:t>隧道数≥</w:t>
            </w:r>
            <w:r w:rsidRPr="00882CE3">
              <w:rPr>
                <w:rStyle w:val="font91"/>
                <w:rFonts w:ascii="仿宋_GB2312" w:eastAsia="仿宋_GB2312" w:hAnsi="仿宋_GB2312" w:cs="仿宋_GB2312"/>
                <w:sz w:val="32"/>
                <w:szCs w:val="32"/>
              </w:rPr>
              <w:t>8000</w:t>
            </w:r>
            <w:r w:rsidRPr="00882CE3">
              <w:rPr>
                <w:rStyle w:val="font91"/>
                <w:rFonts w:ascii="仿宋_GB2312" w:eastAsia="仿宋_GB2312" w:hAnsi="仿宋_GB2312" w:cs="仿宋_GB2312" w:hint="eastAsia"/>
                <w:sz w:val="32"/>
                <w:szCs w:val="32"/>
              </w:rPr>
              <w:t>条，</w:t>
            </w:r>
            <w:r w:rsidRPr="00882CE3">
              <w:rPr>
                <w:rStyle w:val="font91"/>
                <w:rFonts w:ascii="仿宋_GB2312" w:eastAsia="仿宋_GB2312" w:hAnsi="仿宋_GB2312" w:cs="仿宋_GB2312"/>
                <w:sz w:val="32"/>
                <w:szCs w:val="32"/>
              </w:rPr>
              <w:t>SSL VPN</w:t>
            </w:r>
            <w:r w:rsidRPr="00882CE3">
              <w:rPr>
                <w:rStyle w:val="font91"/>
                <w:rFonts w:ascii="仿宋_GB2312" w:eastAsia="仿宋_GB2312" w:hAnsi="仿宋_GB2312" w:cs="仿宋_GB2312" w:hint="eastAsia"/>
                <w:sz w:val="32"/>
                <w:szCs w:val="32"/>
              </w:rPr>
              <w:t>并发用户数≥</w:t>
            </w:r>
            <w:r w:rsidRPr="00882CE3">
              <w:rPr>
                <w:rStyle w:val="font91"/>
                <w:rFonts w:ascii="仿宋_GB2312" w:eastAsia="仿宋_GB2312" w:hAnsi="仿宋_GB2312" w:cs="仿宋_GB2312"/>
                <w:sz w:val="32"/>
                <w:szCs w:val="32"/>
              </w:rPr>
              <w:t>4000</w:t>
            </w:r>
            <w:r w:rsidRPr="00882CE3">
              <w:rPr>
                <w:rStyle w:val="font91"/>
                <w:rFonts w:ascii="仿宋_GB2312" w:eastAsia="仿宋_GB2312" w:hAnsi="仿宋_GB2312" w:cs="仿宋_GB2312" w:hint="eastAsia"/>
                <w:sz w:val="32"/>
                <w:szCs w:val="32"/>
              </w:rPr>
              <w:t>条</w:t>
            </w:r>
          </w:p>
        </w:tc>
      </w:tr>
      <w:tr w:rsidR="00B02C6E" w14:paraId="0AF7F5E1" w14:textId="77777777" w:rsidTr="00453BF8">
        <w:trPr>
          <w:jc w:val="center"/>
        </w:trPr>
        <w:tc>
          <w:tcPr>
            <w:tcW w:w="1548" w:type="dxa"/>
            <w:vMerge w:val="restart"/>
            <w:vAlign w:val="center"/>
          </w:tcPr>
          <w:p w14:paraId="6F878194"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IPSEC VPN</w:t>
            </w:r>
          </w:p>
        </w:tc>
        <w:tc>
          <w:tcPr>
            <w:tcW w:w="7260" w:type="dxa"/>
            <w:vAlign w:val="center"/>
          </w:tcPr>
          <w:p w14:paraId="3C830F8A" w14:textId="77777777" w:rsidR="00B02C6E" w:rsidRDefault="00B02C6E" w:rsidP="00453BF8">
            <w:pPr>
              <w:spacing w:line="560" w:lineRule="exact"/>
              <w:rPr>
                <w:rStyle w:val="font91"/>
                <w:rFonts w:ascii="仿宋_GB2312" w:eastAsia="仿宋_GB2312" w:hAnsi="仿宋_GB2312" w:cs="仿宋_GB2312"/>
                <w:sz w:val="32"/>
                <w:szCs w:val="32"/>
              </w:rPr>
            </w:pPr>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IPSEC VPN</w:t>
            </w:r>
            <w:r w:rsidRPr="00882CE3">
              <w:rPr>
                <w:rStyle w:val="font91"/>
                <w:rFonts w:ascii="仿宋_GB2312" w:eastAsia="仿宋_GB2312" w:hAnsi="仿宋_GB2312" w:cs="仿宋_GB2312" w:hint="eastAsia"/>
                <w:sz w:val="32"/>
                <w:szCs w:val="32"/>
              </w:rPr>
              <w:t>支持网关、单臂部署模式，</w:t>
            </w:r>
            <w:r w:rsidRPr="00882CE3">
              <w:rPr>
                <w:rStyle w:val="font91"/>
                <w:rFonts w:ascii="仿宋_GB2312" w:eastAsia="仿宋_GB2312" w:hAnsi="仿宋_GB2312" w:cs="仿宋_GB2312"/>
                <w:sz w:val="32"/>
                <w:szCs w:val="32"/>
              </w:rPr>
              <w:t>IPSec VPN</w:t>
            </w:r>
            <w:r w:rsidRPr="00882CE3">
              <w:rPr>
                <w:rStyle w:val="font91"/>
                <w:rFonts w:ascii="仿宋_GB2312" w:eastAsia="仿宋_GB2312" w:hAnsi="仿宋_GB2312" w:cs="仿宋_GB2312" w:hint="eastAsia"/>
                <w:sz w:val="32"/>
                <w:szCs w:val="32"/>
              </w:rPr>
              <w:t>支持透明、路由、混合等网络环节的接入</w:t>
            </w:r>
          </w:p>
        </w:tc>
      </w:tr>
      <w:tr w:rsidR="00B02C6E" w14:paraId="700D5CAC" w14:textId="77777777" w:rsidTr="00453BF8">
        <w:trPr>
          <w:jc w:val="center"/>
        </w:trPr>
        <w:tc>
          <w:tcPr>
            <w:tcW w:w="1548" w:type="dxa"/>
            <w:vMerge/>
            <w:vAlign w:val="center"/>
          </w:tcPr>
          <w:p w14:paraId="65A07CEC" w14:textId="77777777" w:rsidR="00B02C6E" w:rsidRDefault="00B02C6E" w:rsidP="00453BF8">
            <w:pPr>
              <w:spacing w:line="560" w:lineRule="exact"/>
              <w:jc w:val="center"/>
              <w:rPr>
                <w:rFonts w:ascii="仿宋_GB2312" w:eastAsia="仿宋_GB2312" w:hAnsi="仿宋_GB2312" w:cs="仿宋_GB2312"/>
                <w:sz w:val="32"/>
                <w:szCs w:val="32"/>
              </w:rPr>
            </w:pPr>
          </w:p>
        </w:tc>
        <w:tc>
          <w:tcPr>
            <w:tcW w:w="7260" w:type="dxa"/>
            <w:vAlign w:val="center"/>
          </w:tcPr>
          <w:p w14:paraId="58E54ED0" w14:textId="77777777" w:rsidR="00B02C6E" w:rsidRDefault="00B02C6E" w:rsidP="00453BF8">
            <w:pPr>
              <w:spacing w:line="560" w:lineRule="exact"/>
              <w:rPr>
                <w:rStyle w:val="font91"/>
                <w:rFonts w:ascii="仿宋_GB2312" w:eastAsia="仿宋_GB2312" w:hAnsi="仿宋_GB2312" w:cs="仿宋_GB2312"/>
                <w:sz w:val="32"/>
                <w:szCs w:val="32"/>
              </w:rPr>
            </w:pPr>
          </w:p>
        </w:tc>
      </w:tr>
      <w:tr w:rsidR="00B02C6E" w14:paraId="57D1AFEE" w14:textId="77777777" w:rsidTr="00453BF8">
        <w:trPr>
          <w:jc w:val="center"/>
        </w:trPr>
        <w:tc>
          <w:tcPr>
            <w:tcW w:w="1548" w:type="dxa"/>
            <w:vMerge/>
            <w:vAlign w:val="center"/>
          </w:tcPr>
          <w:p w14:paraId="4BA92DE4" w14:textId="77777777" w:rsidR="00B02C6E" w:rsidRDefault="00B02C6E" w:rsidP="00453BF8">
            <w:pPr>
              <w:spacing w:line="560" w:lineRule="exact"/>
              <w:jc w:val="center"/>
              <w:rPr>
                <w:rFonts w:ascii="仿宋_GB2312" w:eastAsia="仿宋_GB2312" w:hAnsi="仿宋_GB2312" w:cs="仿宋_GB2312"/>
                <w:sz w:val="32"/>
                <w:szCs w:val="32"/>
              </w:rPr>
            </w:pPr>
          </w:p>
        </w:tc>
        <w:tc>
          <w:tcPr>
            <w:tcW w:w="7260" w:type="dxa"/>
            <w:vAlign w:val="center"/>
          </w:tcPr>
          <w:p w14:paraId="345263F6"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支持DMVPN动态组网功能，网络扩展时仅需要配置新增节点，不需更改原网络中心和分支节点，即可扩展VPN网络</w:t>
            </w:r>
          </w:p>
        </w:tc>
      </w:tr>
      <w:tr w:rsidR="00B02C6E" w14:paraId="3AE93F4D" w14:textId="77777777" w:rsidTr="00453BF8">
        <w:trPr>
          <w:jc w:val="center"/>
        </w:trPr>
        <w:tc>
          <w:tcPr>
            <w:tcW w:w="1548" w:type="dxa"/>
            <w:vMerge w:val="restart"/>
            <w:vAlign w:val="center"/>
          </w:tcPr>
          <w:p w14:paraId="225715F4"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SSL VPN</w:t>
            </w:r>
          </w:p>
        </w:tc>
        <w:tc>
          <w:tcPr>
            <w:tcW w:w="7260" w:type="dxa"/>
            <w:vAlign w:val="center"/>
          </w:tcPr>
          <w:p w14:paraId="01F1F8FA" w14:textId="77777777" w:rsidR="00B02C6E" w:rsidRDefault="00B02C6E" w:rsidP="00453BF8">
            <w:pPr>
              <w:spacing w:line="560" w:lineRule="exact"/>
              <w:rPr>
                <w:rStyle w:val="font91"/>
                <w:rFonts w:ascii="仿宋_GB2312" w:eastAsia="仿宋_GB2312" w:hAnsi="仿宋_GB2312" w:cs="仿宋_GB2312"/>
                <w:sz w:val="32"/>
                <w:szCs w:val="32"/>
              </w:rPr>
            </w:pPr>
            <w:r w:rsidRPr="00882CE3">
              <w:rPr>
                <w:rStyle w:val="font91"/>
                <w:rFonts w:ascii="仿宋_GB2312" w:eastAsia="仿宋_GB2312" w:hAnsi="仿宋_GB2312" w:cs="仿宋_GB2312" w:hint="eastAsia"/>
                <w:sz w:val="32"/>
                <w:szCs w:val="32"/>
              </w:rPr>
              <w:t>▲支持单点登录（</w:t>
            </w:r>
            <w:r w:rsidRPr="00882CE3">
              <w:rPr>
                <w:rStyle w:val="font91"/>
                <w:rFonts w:ascii="仿宋_GB2312" w:eastAsia="仿宋_GB2312" w:hAnsi="仿宋_GB2312" w:cs="仿宋_GB2312"/>
                <w:sz w:val="32"/>
                <w:szCs w:val="32"/>
              </w:rPr>
              <w:t>B/S,C/S</w:t>
            </w:r>
            <w:r w:rsidRPr="00882CE3">
              <w:rPr>
                <w:rStyle w:val="font91"/>
                <w:rFonts w:ascii="仿宋_GB2312" w:eastAsia="仿宋_GB2312" w:hAnsi="仿宋_GB2312" w:cs="仿宋_GB2312" w:hint="eastAsia"/>
                <w:sz w:val="32"/>
                <w:szCs w:val="32"/>
              </w:rPr>
              <w:t>模式），至少支持</w:t>
            </w:r>
            <w:r w:rsidRPr="00882CE3">
              <w:rPr>
                <w:rStyle w:val="font91"/>
                <w:rFonts w:ascii="仿宋_GB2312" w:eastAsia="仿宋_GB2312" w:hAnsi="仿宋_GB2312" w:cs="仿宋_GB2312"/>
                <w:sz w:val="32"/>
                <w:szCs w:val="32"/>
              </w:rPr>
              <w:t>3</w:t>
            </w:r>
            <w:r w:rsidRPr="00882CE3">
              <w:rPr>
                <w:rStyle w:val="font91"/>
                <w:rFonts w:ascii="仿宋_GB2312" w:eastAsia="仿宋_GB2312" w:hAnsi="仿宋_GB2312" w:cs="仿宋_GB2312" w:hint="eastAsia"/>
                <w:sz w:val="32"/>
                <w:szCs w:val="32"/>
              </w:rPr>
              <w:t>种单点登陆方式选择</w:t>
            </w:r>
          </w:p>
        </w:tc>
      </w:tr>
      <w:tr w:rsidR="00B02C6E" w14:paraId="6CB0D745" w14:textId="77777777" w:rsidTr="00453BF8">
        <w:trPr>
          <w:jc w:val="center"/>
        </w:trPr>
        <w:tc>
          <w:tcPr>
            <w:tcW w:w="1548" w:type="dxa"/>
            <w:vMerge/>
            <w:vAlign w:val="center"/>
          </w:tcPr>
          <w:p w14:paraId="212E3475" w14:textId="77777777" w:rsidR="00B02C6E" w:rsidRDefault="00B02C6E" w:rsidP="00453BF8">
            <w:pPr>
              <w:spacing w:line="560" w:lineRule="exact"/>
              <w:jc w:val="center"/>
              <w:rPr>
                <w:rFonts w:ascii="仿宋_GB2312" w:eastAsia="仿宋_GB2312" w:hAnsi="仿宋_GB2312" w:cs="仿宋_GB2312"/>
                <w:sz w:val="32"/>
                <w:szCs w:val="32"/>
              </w:rPr>
            </w:pPr>
          </w:p>
        </w:tc>
        <w:tc>
          <w:tcPr>
            <w:tcW w:w="7260" w:type="dxa"/>
            <w:vAlign w:val="center"/>
          </w:tcPr>
          <w:p w14:paraId="049F41ED"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支持符合SAML框架规范的单点登录功能,支持对象属性认证和资源权限调用，实现用户应用的密码不需进行传递，实现用户密码安全</w:t>
            </w:r>
          </w:p>
        </w:tc>
      </w:tr>
      <w:tr w:rsidR="00B02C6E" w14:paraId="2B9E4184" w14:textId="77777777" w:rsidTr="00453BF8">
        <w:trPr>
          <w:trHeight w:val="90"/>
          <w:jc w:val="center"/>
        </w:trPr>
        <w:tc>
          <w:tcPr>
            <w:tcW w:w="1548" w:type="dxa"/>
            <w:vMerge/>
            <w:vAlign w:val="center"/>
          </w:tcPr>
          <w:p w14:paraId="573F586B" w14:textId="77777777" w:rsidR="00B02C6E" w:rsidRDefault="00B02C6E" w:rsidP="00453BF8">
            <w:pPr>
              <w:spacing w:line="560" w:lineRule="exact"/>
              <w:jc w:val="center"/>
              <w:rPr>
                <w:rFonts w:ascii="仿宋_GB2312" w:eastAsia="仿宋_GB2312" w:hAnsi="仿宋_GB2312" w:cs="仿宋_GB2312"/>
                <w:sz w:val="32"/>
                <w:szCs w:val="32"/>
              </w:rPr>
            </w:pPr>
          </w:p>
        </w:tc>
        <w:tc>
          <w:tcPr>
            <w:tcW w:w="7260" w:type="dxa"/>
            <w:vAlign w:val="center"/>
          </w:tcPr>
          <w:p w14:paraId="342FDF82"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支持虚拟IP分配，并支持SSL VPN模式下基于IP的流量分流，可根据用户虚拟IP指定路由路径</w:t>
            </w:r>
          </w:p>
        </w:tc>
      </w:tr>
      <w:tr w:rsidR="00B02C6E" w14:paraId="665AEEE6" w14:textId="77777777" w:rsidTr="00453BF8">
        <w:trPr>
          <w:jc w:val="center"/>
        </w:trPr>
        <w:tc>
          <w:tcPr>
            <w:tcW w:w="1548" w:type="dxa"/>
            <w:vMerge w:val="restart"/>
            <w:vAlign w:val="center"/>
          </w:tcPr>
          <w:p w14:paraId="71441CC6"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用户认证</w:t>
            </w:r>
          </w:p>
        </w:tc>
        <w:tc>
          <w:tcPr>
            <w:tcW w:w="7260" w:type="dxa"/>
            <w:vAlign w:val="center"/>
          </w:tcPr>
          <w:p w14:paraId="5D10BE21"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支持IPSec、SSL、PPTP、L2TP VPN的统一用户账号和认证体系，实现用户名密码的一次性配置即可适用于全部VPN类型的接入</w:t>
            </w:r>
          </w:p>
        </w:tc>
      </w:tr>
      <w:tr w:rsidR="00B02C6E" w14:paraId="2B46836A" w14:textId="77777777" w:rsidTr="00453BF8">
        <w:trPr>
          <w:jc w:val="center"/>
        </w:trPr>
        <w:tc>
          <w:tcPr>
            <w:tcW w:w="1548" w:type="dxa"/>
            <w:vMerge/>
            <w:vAlign w:val="center"/>
          </w:tcPr>
          <w:p w14:paraId="498BD182" w14:textId="77777777" w:rsidR="00B02C6E" w:rsidRDefault="00B02C6E" w:rsidP="00453BF8">
            <w:pPr>
              <w:spacing w:line="560" w:lineRule="exact"/>
              <w:jc w:val="center"/>
              <w:rPr>
                <w:rFonts w:ascii="仿宋_GB2312" w:eastAsia="仿宋_GB2312" w:hAnsi="仿宋_GB2312" w:cs="仿宋_GB2312"/>
                <w:sz w:val="32"/>
                <w:szCs w:val="32"/>
              </w:rPr>
            </w:pPr>
          </w:p>
        </w:tc>
        <w:tc>
          <w:tcPr>
            <w:tcW w:w="7260" w:type="dxa"/>
            <w:vAlign w:val="center"/>
          </w:tcPr>
          <w:p w14:paraId="13F14DE8"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支持用户组并发数限制</w:t>
            </w:r>
          </w:p>
        </w:tc>
      </w:tr>
      <w:tr w:rsidR="00B02C6E" w14:paraId="73C501E0" w14:textId="77777777" w:rsidTr="00453BF8">
        <w:trPr>
          <w:jc w:val="center"/>
        </w:trPr>
        <w:tc>
          <w:tcPr>
            <w:tcW w:w="1548" w:type="dxa"/>
            <w:vMerge/>
            <w:vAlign w:val="center"/>
          </w:tcPr>
          <w:p w14:paraId="4B2C53F2" w14:textId="77777777" w:rsidR="00B02C6E" w:rsidRDefault="00B02C6E" w:rsidP="00453BF8">
            <w:pPr>
              <w:spacing w:line="560" w:lineRule="exact"/>
              <w:jc w:val="center"/>
              <w:rPr>
                <w:rFonts w:ascii="仿宋_GB2312" w:eastAsia="仿宋_GB2312" w:hAnsi="仿宋_GB2312" w:cs="仿宋_GB2312"/>
                <w:sz w:val="32"/>
                <w:szCs w:val="32"/>
              </w:rPr>
            </w:pPr>
          </w:p>
        </w:tc>
        <w:tc>
          <w:tcPr>
            <w:tcW w:w="7260" w:type="dxa"/>
            <w:vAlign w:val="center"/>
          </w:tcPr>
          <w:p w14:paraId="7E9D4DF7"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支持用户与手机号码、PC硬件特征码、手机硬件特征码、IP、MAC等硬件信息的绑定，支持PC和移动设备的</w:t>
            </w:r>
            <w:proofErr w:type="gramStart"/>
            <w:r>
              <w:rPr>
                <w:rStyle w:val="font91"/>
                <w:rFonts w:ascii="仿宋_GB2312" w:eastAsia="仿宋_GB2312" w:hAnsi="仿宋_GB2312" w:cs="仿宋_GB2312" w:hint="eastAsia"/>
                <w:sz w:val="32"/>
                <w:szCs w:val="32"/>
              </w:rPr>
              <w:t>接入审批</w:t>
            </w:r>
            <w:proofErr w:type="gramEnd"/>
            <w:r>
              <w:rPr>
                <w:rStyle w:val="font91"/>
                <w:rFonts w:ascii="仿宋_GB2312" w:eastAsia="仿宋_GB2312" w:hAnsi="仿宋_GB2312" w:cs="仿宋_GB2312" w:hint="eastAsia"/>
                <w:sz w:val="32"/>
                <w:szCs w:val="32"/>
              </w:rPr>
              <w:t>流程</w:t>
            </w:r>
          </w:p>
        </w:tc>
      </w:tr>
      <w:tr w:rsidR="00B02C6E" w14:paraId="7393DB69" w14:textId="77777777" w:rsidTr="00453BF8">
        <w:trPr>
          <w:jc w:val="center"/>
        </w:trPr>
        <w:tc>
          <w:tcPr>
            <w:tcW w:w="1548" w:type="dxa"/>
            <w:vAlign w:val="center"/>
          </w:tcPr>
          <w:p w14:paraId="67E5E609" w14:textId="77777777" w:rsidR="00B02C6E" w:rsidRDefault="00B02C6E" w:rsidP="00453BF8">
            <w:pPr>
              <w:spacing w:line="560" w:lineRule="exact"/>
              <w:jc w:val="center"/>
              <w:rPr>
                <w:rFonts w:ascii="仿宋_GB2312" w:eastAsia="仿宋_GB2312" w:hAnsi="仿宋_GB2312" w:cs="仿宋_GB2312"/>
                <w:sz w:val="32"/>
                <w:szCs w:val="32"/>
              </w:rPr>
            </w:pPr>
          </w:p>
        </w:tc>
        <w:tc>
          <w:tcPr>
            <w:tcW w:w="7260" w:type="dxa"/>
            <w:vAlign w:val="center"/>
          </w:tcPr>
          <w:p w14:paraId="79B6C441" w14:textId="77777777" w:rsidR="00B02C6E" w:rsidRDefault="00B02C6E" w:rsidP="00453BF8">
            <w:pPr>
              <w:spacing w:line="560" w:lineRule="exact"/>
              <w:rPr>
                <w:rStyle w:val="font91"/>
                <w:rFonts w:ascii="仿宋_GB2312" w:eastAsia="仿宋_GB2312" w:hAnsi="仿宋_GB2312" w:cs="仿宋_GB2312"/>
                <w:sz w:val="32"/>
                <w:szCs w:val="32"/>
              </w:rPr>
            </w:pPr>
          </w:p>
        </w:tc>
      </w:tr>
    </w:tbl>
    <w:p w14:paraId="0A553745" w14:textId="77777777" w:rsidR="00B02C6E" w:rsidRDefault="00B02C6E" w:rsidP="00B02C6E">
      <w:pPr>
        <w:pStyle w:val="3"/>
        <w:numPr>
          <w:ilvl w:val="2"/>
          <w:numId w:val="0"/>
        </w:numPr>
        <w:spacing w:before="0" w:after="0" w:line="560" w:lineRule="exact"/>
        <w:rPr>
          <w:rFonts w:ascii="仿宋_GB2312" w:eastAsia="仿宋_GB2312" w:hAnsi="仿宋_GB2312" w:cs="仿宋_GB2312"/>
          <w:sz w:val="32"/>
        </w:rPr>
      </w:pPr>
      <w:r>
        <w:rPr>
          <w:rFonts w:ascii="仿宋_GB2312" w:eastAsia="仿宋_GB2312" w:hAnsi="仿宋_GB2312" w:cs="仿宋_GB2312" w:hint="eastAsia"/>
          <w:sz w:val="32"/>
        </w:rPr>
        <w:lastRenderedPageBreak/>
        <w:t>（八）入侵防御系统IPS（万兆）1套</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7272"/>
      </w:tblGrid>
      <w:tr w:rsidR="00B02C6E" w14:paraId="6D72AFE3" w14:textId="77777777" w:rsidTr="00453BF8">
        <w:trPr>
          <w:trHeight w:val="20"/>
          <w:jc w:val="center"/>
        </w:trPr>
        <w:tc>
          <w:tcPr>
            <w:tcW w:w="1536" w:type="dxa"/>
            <w:vAlign w:val="center"/>
          </w:tcPr>
          <w:p w14:paraId="023609BE" w14:textId="77777777" w:rsidR="00B02C6E" w:rsidRDefault="00B02C6E" w:rsidP="00453BF8">
            <w:pPr>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指标项</w:t>
            </w:r>
          </w:p>
        </w:tc>
        <w:tc>
          <w:tcPr>
            <w:tcW w:w="7272" w:type="dxa"/>
            <w:vAlign w:val="center"/>
          </w:tcPr>
          <w:p w14:paraId="6E206FEC" w14:textId="77777777" w:rsidR="00B02C6E" w:rsidRDefault="00B02C6E" w:rsidP="00453BF8">
            <w:pPr>
              <w:spacing w:line="56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参数要求</w:t>
            </w:r>
          </w:p>
        </w:tc>
      </w:tr>
      <w:tr w:rsidR="00B02C6E" w14:paraId="39BDA9C1" w14:textId="77777777" w:rsidTr="00453BF8">
        <w:trPr>
          <w:trHeight w:val="20"/>
          <w:jc w:val="center"/>
        </w:trPr>
        <w:tc>
          <w:tcPr>
            <w:tcW w:w="1536" w:type="dxa"/>
            <w:vAlign w:val="center"/>
          </w:tcPr>
          <w:p w14:paraId="63D291AC"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基本要求</w:t>
            </w:r>
          </w:p>
        </w:tc>
        <w:tc>
          <w:tcPr>
            <w:tcW w:w="7272" w:type="dxa"/>
            <w:vAlign w:val="center"/>
          </w:tcPr>
          <w:p w14:paraId="202B5737" w14:textId="77777777" w:rsidR="00B02C6E" w:rsidRDefault="00B02C6E" w:rsidP="00453BF8">
            <w:pPr>
              <w:spacing w:line="560" w:lineRule="exact"/>
              <w:rPr>
                <w:rStyle w:val="font91"/>
                <w:rFonts w:ascii="仿宋_GB2312" w:eastAsia="仿宋_GB2312" w:hAnsi="仿宋_GB2312" w:cs="仿宋_GB2312"/>
                <w:sz w:val="32"/>
                <w:szCs w:val="32"/>
              </w:rPr>
            </w:pPr>
            <w:r w:rsidRPr="00882CE3">
              <w:rPr>
                <w:rStyle w:val="font91"/>
                <w:rFonts w:ascii="仿宋_GB2312" w:eastAsia="仿宋_GB2312" w:hAnsi="仿宋_GB2312" w:cs="仿宋_GB2312"/>
                <w:sz w:val="32"/>
                <w:szCs w:val="32"/>
              </w:rPr>
              <w:t>CPU:</w:t>
            </w:r>
            <w:r w:rsidRPr="00882CE3">
              <w:rPr>
                <w:rStyle w:val="font91"/>
                <w:rFonts w:ascii="仿宋_GB2312" w:eastAsia="仿宋_GB2312" w:hAnsi="仿宋_GB2312" w:cs="仿宋_GB2312" w:hint="eastAsia"/>
                <w:sz w:val="32"/>
                <w:szCs w:val="32"/>
              </w:rPr>
              <w:t>国产芯片（≥</w:t>
            </w:r>
            <w:r w:rsidRPr="00882CE3">
              <w:rPr>
                <w:rStyle w:val="font91"/>
                <w:rFonts w:ascii="仿宋_GB2312" w:eastAsia="仿宋_GB2312" w:hAnsi="仿宋_GB2312" w:cs="仿宋_GB2312"/>
                <w:sz w:val="32"/>
                <w:szCs w:val="32"/>
              </w:rPr>
              <w:t>1.5GHz</w:t>
            </w:r>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16</w:t>
            </w:r>
            <w:r w:rsidRPr="00882CE3">
              <w:rPr>
                <w:rStyle w:val="font91"/>
                <w:rFonts w:ascii="仿宋_GB2312" w:eastAsia="仿宋_GB2312" w:hAnsi="仿宋_GB2312" w:cs="仿宋_GB2312" w:hint="eastAsia"/>
                <w:sz w:val="32"/>
                <w:szCs w:val="32"/>
              </w:rPr>
              <w:t>核），操作系统：国产操作系统，内存：≥</w:t>
            </w:r>
            <w:r w:rsidRPr="00882CE3">
              <w:rPr>
                <w:rStyle w:val="font91"/>
                <w:rFonts w:ascii="仿宋_GB2312" w:eastAsia="仿宋_GB2312" w:hAnsi="仿宋_GB2312" w:cs="仿宋_GB2312"/>
                <w:sz w:val="32"/>
                <w:szCs w:val="32"/>
              </w:rPr>
              <w:t>32GB</w:t>
            </w:r>
            <w:r w:rsidRPr="00882CE3">
              <w:rPr>
                <w:rStyle w:val="font91"/>
                <w:rFonts w:ascii="仿宋_GB2312" w:eastAsia="仿宋_GB2312" w:hAnsi="仿宋_GB2312" w:cs="仿宋_GB2312" w:hint="eastAsia"/>
                <w:sz w:val="32"/>
                <w:szCs w:val="32"/>
              </w:rPr>
              <w:t>，硬盘：≥</w:t>
            </w:r>
            <w:r w:rsidRPr="00882CE3">
              <w:rPr>
                <w:rStyle w:val="font91"/>
                <w:rFonts w:ascii="仿宋_GB2312" w:eastAsia="仿宋_GB2312" w:hAnsi="仿宋_GB2312" w:cs="仿宋_GB2312"/>
                <w:sz w:val="32"/>
                <w:szCs w:val="32"/>
              </w:rPr>
              <w:t>128G SSD</w:t>
            </w:r>
            <w:r w:rsidRPr="00882CE3">
              <w:rPr>
                <w:rStyle w:val="font91"/>
                <w:rFonts w:ascii="仿宋_GB2312" w:eastAsia="仿宋_GB2312" w:hAnsi="仿宋_GB2312" w:cs="仿宋_GB2312" w:hint="eastAsia"/>
                <w:sz w:val="32"/>
                <w:szCs w:val="32"/>
              </w:rPr>
              <w:t>；标准</w:t>
            </w:r>
            <w:r w:rsidRPr="00882CE3">
              <w:rPr>
                <w:rStyle w:val="font91"/>
                <w:rFonts w:ascii="仿宋_GB2312" w:eastAsia="仿宋_GB2312" w:hAnsi="仿宋_GB2312" w:cs="仿宋_GB2312"/>
                <w:sz w:val="32"/>
                <w:szCs w:val="32"/>
              </w:rPr>
              <w:t>2U</w:t>
            </w:r>
            <w:r w:rsidRPr="00882CE3">
              <w:rPr>
                <w:rStyle w:val="font91"/>
                <w:rFonts w:ascii="仿宋_GB2312" w:eastAsia="仿宋_GB2312" w:hAnsi="仿宋_GB2312" w:cs="仿宋_GB2312" w:hint="eastAsia"/>
                <w:sz w:val="32"/>
                <w:szCs w:val="32"/>
              </w:rPr>
              <w:t>机架式，冗余电源，专用硬件架构平台；配置≥</w:t>
            </w:r>
            <w:r w:rsidRPr="00882CE3">
              <w:rPr>
                <w:rStyle w:val="font91"/>
                <w:rFonts w:ascii="仿宋_GB2312" w:eastAsia="仿宋_GB2312" w:hAnsi="仿宋_GB2312" w:cs="仿宋_GB2312"/>
                <w:sz w:val="32"/>
                <w:szCs w:val="32"/>
              </w:rPr>
              <w:t>6</w:t>
            </w:r>
            <w:r w:rsidRPr="00882CE3">
              <w:rPr>
                <w:rStyle w:val="font91"/>
                <w:rFonts w:ascii="仿宋_GB2312" w:eastAsia="仿宋_GB2312" w:hAnsi="仿宋_GB2312" w:cs="仿宋_GB2312" w:hint="eastAsia"/>
                <w:sz w:val="32"/>
                <w:szCs w:val="32"/>
              </w:rPr>
              <w:t>个</w:t>
            </w:r>
            <w:proofErr w:type="gramStart"/>
            <w:r w:rsidRPr="00882CE3">
              <w:rPr>
                <w:rStyle w:val="font91"/>
                <w:rFonts w:ascii="仿宋_GB2312" w:eastAsia="仿宋_GB2312" w:hAnsi="仿宋_GB2312" w:cs="仿宋_GB2312" w:hint="eastAsia"/>
                <w:sz w:val="32"/>
                <w:szCs w:val="32"/>
              </w:rPr>
              <w:t>千兆电口</w:t>
            </w:r>
            <w:proofErr w:type="gramEnd"/>
            <w:r w:rsidRPr="00882CE3">
              <w:rPr>
                <w:rStyle w:val="font91"/>
                <w:rFonts w:ascii="仿宋_GB2312" w:eastAsia="仿宋_GB2312" w:hAnsi="仿宋_GB2312" w:cs="仿宋_GB2312" w:hint="eastAsia"/>
                <w:sz w:val="32"/>
                <w:szCs w:val="32"/>
              </w:rPr>
              <w:t>，≥</w:t>
            </w:r>
            <w:r w:rsidRPr="00882CE3">
              <w:rPr>
                <w:rStyle w:val="font91"/>
                <w:rFonts w:ascii="仿宋_GB2312" w:eastAsia="仿宋_GB2312" w:hAnsi="仿宋_GB2312" w:cs="仿宋_GB2312"/>
                <w:sz w:val="32"/>
                <w:szCs w:val="32"/>
              </w:rPr>
              <w:t>2</w:t>
            </w:r>
            <w:r w:rsidRPr="00882CE3">
              <w:rPr>
                <w:rStyle w:val="font91"/>
                <w:rFonts w:ascii="仿宋_GB2312" w:eastAsia="仿宋_GB2312" w:hAnsi="仿宋_GB2312" w:cs="仿宋_GB2312" w:hint="eastAsia"/>
                <w:sz w:val="32"/>
                <w:szCs w:val="32"/>
              </w:rPr>
              <w:t>个千兆</w:t>
            </w:r>
            <w:r w:rsidRPr="00882CE3">
              <w:rPr>
                <w:rStyle w:val="font91"/>
                <w:rFonts w:ascii="仿宋_GB2312" w:eastAsia="仿宋_GB2312" w:hAnsi="仿宋_GB2312" w:cs="仿宋_GB2312"/>
                <w:sz w:val="32"/>
                <w:szCs w:val="32"/>
              </w:rPr>
              <w:t>SFP</w:t>
            </w:r>
            <w:r w:rsidRPr="00882CE3">
              <w:rPr>
                <w:rStyle w:val="font91"/>
                <w:rFonts w:ascii="仿宋_GB2312" w:eastAsia="仿宋_GB2312" w:hAnsi="仿宋_GB2312" w:cs="仿宋_GB2312" w:hint="eastAsia"/>
                <w:sz w:val="32"/>
                <w:szCs w:val="32"/>
              </w:rPr>
              <w:t>插槽，≥</w:t>
            </w:r>
            <w:r w:rsidRPr="00882CE3">
              <w:rPr>
                <w:rStyle w:val="font91"/>
                <w:rFonts w:ascii="仿宋_GB2312" w:eastAsia="仿宋_GB2312" w:hAnsi="仿宋_GB2312" w:cs="仿宋_GB2312"/>
                <w:sz w:val="32"/>
                <w:szCs w:val="32"/>
              </w:rPr>
              <w:t>8</w:t>
            </w:r>
            <w:r w:rsidRPr="00882CE3">
              <w:rPr>
                <w:rStyle w:val="font91"/>
                <w:rFonts w:ascii="仿宋_GB2312" w:eastAsia="仿宋_GB2312" w:hAnsi="仿宋_GB2312" w:cs="仿宋_GB2312" w:hint="eastAsia"/>
                <w:sz w:val="32"/>
                <w:szCs w:val="32"/>
              </w:rPr>
              <w:t>个万兆</w:t>
            </w:r>
            <w:r w:rsidRPr="00882CE3">
              <w:rPr>
                <w:rStyle w:val="font91"/>
                <w:rFonts w:ascii="仿宋_GB2312" w:eastAsia="仿宋_GB2312" w:hAnsi="仿宋_GB2312" w:cs="仿宋_GB2312"/>
                <w:sz w:val="32"/>
                <w:szCs w:val="32"/>
              </w:rPr>
              <w:t>SFP+</w:t>
            </w:r>
            <w:r w:rsidRPr="00882CE3">
              <w:rPr>
                <w:rStyle w:val="font91"/>
                <w:rFonts w:ascii="仿宋_GB2312" w:eastAsia="仿宋_GB2312" w:hAnsi="仿宋_GB2312" w:cs="仿宋_GB2312" w:hint="eastAsia"/>
                <w:sz w:val="32"/>
                <w:szCs w:val="32"/>
              </w:rPr>
              <w:t>插槽（含</w:t>
            </w:r>
            <w:r w:rsidRPr="00882CE3">
              <w:rPr>
                <w:rStyle w:val="font91"/>
                <w:rFonts w:ascii="仿宋_GB2312" w:eastAsia="仿宋_GB2312" w:hAnsi="仿宋_GB2312" w:cs="仿宋_GB2312"/>
                <w:sz w:val="32"/>
                <w:szCs w:val="32"/>
              </w:rPr>
              <w:t>2</w:t>
            </w:r>
            <w:r w:rsidRPr="00882CE3">
              <w:rPr>
                <w:rStyle w:val="font91"/>
                <w:rFonts w:ascii="仿宋_GB2312" w:eastAsia="仿宋_GB2312" w:hAnsi="仿宋_GB2312" w:cs="仿宋_GB2312" w:hint="eastAsia"/>
                <w:sz w:val="32"/>
                <w:szCs w:val="32"/>
              </w:rPr>
              <w:t>个万兆多模模块），≥</w:t>
            </w:r>
            <w:r w:rsidRPr="00882CE3">
              <w:rPr>
                <w:rStyle w:val="font91"/>
                <w:rFonts w:ascii="仿宋_GB2312" w:eastAsia="仿宋_GB2312" w:hAnsi="仿宋_GB2312" w:cs="仿宋_GB2312"/>
                <w:sz w:val="32"/>
                <w:szCs w:val="32"/>
              </w:rPr>
              <w:t>3</w:t>
            </w:r>
            <w:r w:rsidRPr="00882CE3">
              <w:rPr>
                <w:rStyle w:val="font91"/>
                <w:rFonts w:ascii="仿宋_GB2312" w:eastAsia="仿宋_GB2312" w:hAnsi="仿宋_GB2312" w:cs="仿宋_GB2312" w:hint="eastAsia"/>
                <w:sz w:val="32"/>
                <w:szCs w:val="32"/>
              </w:rPr>
              <w:t>个扩展槽位。</w:t>
            </w:r>
          </w:p>
        </w:tc>
      </w:tr>
      <w:tr w:rsidR="00B02C6E" w14:paraId="5699E12A" w14:textId="77777777" w:rsidTr="00453BF8">
        <w:trPr>
          <w:trHeight w:val="20"/>
          <w:jc w:val="center"/>
        </w:trPr>
        <w:tc>
          <w:tcPr>
            <w:tcW w:w="1536" w:type="dxa"/>
            <w:vAlign w:val="center"/>
          </w:tcPr>
          <w:p w14:paraId="3C26239C"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性能要求</w:t>
            </w:r>
          </w:p>
        </w:tc>
        <w:tc>
          <w:tcPr>
            <w:tcW w:w="7272" w:type="dxa"/>
            <w:vAlign w:val="center"/>
          </w:tcPr>
          <w:p w14:paraId="1E30F0FD" w14:textId="77777777" w:rsidR="00B02C6E" w:rsidRDefault="00B02C6E" w:rsidP="00453BF8">
            <w:pPr>
              <w:spacing w:line="560" w:lineRule="exact"/>
              <w:rPr>
                <w:rStyle w:val="font91"/>
                <w:rFonts w:ascii="仿宋_GB2312" w:eastAsia="仿宋_GB2312" w:hAnsi="仿宋_GB2312" w:cs="仿宋_GB2312"/>
                <w:sz w:val="32"/>
                <w:szCs w:val="32"/>
              </w:rPr>
            </w:pPr>
            <w:proofErr w:type="gramStart"/>
            <w:r>
              <w:rPr>
                <w:rStyle w:val="font91"/>
                <w:rFonts w:ascii="仿宋_GB2312" w:eastAsia="仿宋_GB2312" w:hAnsi="仿宋_GB2312" w:cs="仿宋_GB2312" w:hint="eastAsia"/>
                <w:sz w:val="32"/>
                <w:szCs w:val="32"/>
              </w:rPr>
              <w:t>满检速率</w:t>
            </w:r>
            <w:proofErr w:type="gramEnd"/>
            <w:r>
              <w:rPr>
                <w:rStyle w:val="font91"/>
                <w:rFonts w:ascii="仿宋_GB2312" w:eastAsia="仿宋_GB2312" w:hAnsi="仿宋_GB2312" w:cs="仿宋_GB2312" w:hint="eastAsia"/>
                <w:sz w:val="32"/>
                <w:szCs w:val="32"/>
              </w:rPr>
              <w:t>≥78000Mbps，TCP最大并发连接数≥1300万。</w:t>
            </w:r>
          </w:p>
        </w:tc>
      </w:tr>
      <w:tr w:rsidR="00B02C6E" w14:paraId="02EF4C11" w14:textId="77777777" w:rsidTr="00453BF8">
        <w:trPr>
          <w:trHeight w:val="20"/>
          <w:jc w:val="center"/>
        </w:trPr>
        <w:tc>
          <w:tcPr>
            <w:tcW w:w="1536" w:type="dxa"/>
            <w:vMerge w:val="restart"/>
            <w:vAlign w:val="center"/>
          </w:tcPr>
          <w:p w14:paraId="685FFE7E"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入侵防御能力</w:t>
            </w:r>
          </w:p>
        </w:tc>
        <w:tc>
          <w:tcPr>
            <w:tcW w:w="7272" w:type="dxa"/>
            <w:vAlign w:val="center"/>
          </w:tcPr>
          <w:p w14:paraId="45B319BD"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支持基于策略的入侵检测与防护，可针对不同</w:t>
            </w:r>
            <w:proofErr w:type="gramStart"/>
            <w:r>
              <w:rPr>
                <w:rStyle w:val="font91"/>
                <w:rFonts w:ascii="仿宋_GB2312" w:eastAsia="仿宋_GB2312" w:hAnsi="仿宋_GB2312" w:cs="仿宋_GB2312" w:hint="eastAsia"/>
                <w:sz w:val="32"/>
                <w:szCs w:val="32"/>
              </w:rPr>
              <w:t>的源目</w:t>
            </w:r>
            <w:proofErr w:type="gramEnd"/>
            <w:r>
              <w:rPr>
                <w:rStyle w:val="font91"/>
                <w:rFonts w:ascii="仿宋_GB2312" w:eastAsia="仿宋_GB2312" w:hAnsi="仿宋_GB2312" w:cs="仿宋_GB2312" w:hint="eastAsia"/>
                <w:sz w:val="32"/>
                <w:szCs w:val="32"/>
              </w:rPr>
              <w:t>IP地址、源MAC地址、服务、时间、安全域、用户等，采用不同的入侵防护策略；</w:t>
            </w:r>
          </w:p>
        </w:tc>
      </w:tr>
      <w:tr w:rsidR="00B02C6E" w14:paraId="1D8DC6B2" w14:textId="77777777" w:rsidTr="00453BF8">
        <w:trPr>
          <w:trHeight w:val="20"/>
          <w:jc w:val="center"/>
        </w:trPr>
        <w:tc>
          <w:tcPr>
            <w:tcW w:w="1536" w:type="dxa"/>
            <w:vMerge/>
            <w:vAlign w:val="center"/>
          </w:tcPr>
          <w:p w14:paraId="3145EAF0"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Pr>
          <w:p w14:paraId="6252CCF5"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内置IPS特征库，特征规则数量不少于7800条，</w:t>
            </w:r>
            <w:proofErr w:type="gramStart"/>
            <w:r>
              <w:rPr>
                <w:rStyle w:val="font91"/>
                <w:rFonts w:ascii="仿宋_GB2312" w:eastAsia="仿宋_GB2312" w:hAnsi="仿宋_GB2312" w:cs="仿宋_GB2312" w:hint="eastAsia"/>
                <w:sz w:val="32"/>
                <w:szCs w:val="32"/>
              </w:rPr>
              <w:t>特征库可按</w:t>
            </w:r>
            <w:proofErr w:type="gramEnd"/>
            <w:r>
              <w:rPr>
                <w:rStyle w:val="font91"/>
                <w:rFonts w:ascii="仿宋_GB2312" w:eastAsia="仿宋_GB2312" w:hAnsi="仿宋_GB2312" w:cs="仿宋_GB2312" w:hint="eastAsia"/>
                <w:sz w:val="32"/>
                <w:szCs w:val="32"/>
              </w:rPr>
              <w:t>分组进行管理；</w:t>
            </w:r>
          </w:p>
        </w:tc>
      </w:tr>
      <w:tr w:rsidR="00B02C6E" w14:paraId="20DA71C7" w14:textId="77777777" w:rsidTr="00453BF8">
        <w:trPr>
          <w:trHeight w:val="20"/>
          <w:jc w:val="center"/>
        </w:trPr>
        <w:tc>
          <w:tcPr>
            <w:tcW w:w="1536" w:type="dxa"/>
            <w:vMerge/>
            <w:vAlign w:val="center"/>
          </w:tcPr>
          <w:p w14:paraId="630C5F85"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Pr>
          <w:p w14:paraId="6CB96EBE"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▲支持点对点流量识别技术，可准确识别异常流量，提供具有CMA或CNAS标识的第三方检测报告</w:t>
            </w:r>
          </w:p>
        </w:tc>
      </w:tr>
      <w:tr w:rsidR="00B02C6E" w14:paraId="648DC884" w14:textId="77777777" w:rsidTr="00453BF8">
        <w:trPr>
          <w:trHeight w:val="20"/>
          <w:jc w:val="center"/>
        </w:trPr>
        <w:tc>
          <w:tcPr>
            <w:tcW w:w="1536" w:type="dxa"/>
            <w:vMerge/>
            <w:vAlign w:val="center"/>
          </w:tcPr>
          <w:p w14:paraId="774B916B"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Pr>
          <w:p w14:paraId="2916A391"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支持HTTP类攻击重定向功能，能够把HTTP协议的攻击类型重定向到指定蜜罐系统，便于对攻击进行审计与分析，提供截图证明；</w:t>
            </w:r>
          </w:p>
        </w:tc>
      </w:tr>
      <w:tr w:rsidR="00B02C6E" w14:paraId="7DD0CD10" w14:textId="77777777" w:rsidTr="00453BF8">
        <w:trPr>
          <w:trHeight w:val="20"/>
          <w:jc w:val="center"/>
        </w:trPr>
        <w:tc>
          <w:tcPr>
            <w:tcW w:w="1536" w:type="dxa"/>
            <w:vMerge/>
            <w:vAlign w:val="center"/>
          </w:tcPr>
          <w:p w14:paraId="2E525DCD"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tcPr>
          <w:p w14:paraId="28E53FE4"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支持入侵场景保留，可记录入侵行为相关的网络数据报文，报文可保存至U盘或某台内网服务器，提供截图证明；</w:t>
            </w:r>
          </w:p>
        </w:tc>
      </w:tr>
      <w:tr w:rsidR="00B02C6E" w14:paraId="636001D4" w14:textId="77777777" w:rsidTr="00453BF8">
        <w:trPr>
          <w:trHeight w:val="20"/>
          <w:jc w:val="center"/>
        </w:trPr>
        <w:tc>
          <w:tcPr>
            <w:tcW w:w="1536" w:type="dxa"/>
            <w:vMerge/>
            <w:vAlign w:val="center"/>
          </w:tcPr>
          <w:p w14:paraId="4E57EAB4"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vAlign w:val="center"/>
          </w:tcPr>
          <w:p w14:paraId="1DD3DA07"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支持FTP、SMTP、POP3、NNTP等不少于8种协议及</w:t>
            </w:r>
            <w:r>
              <w:rPr>
                <w:rStyle w:val="font91"/>
                <w:rFonts w:ascii="仿宋_GB2312" w:eastAsia="仿宋_GB2312" w:hAnsi="仿宋_GB2312" w:cs="仿宋_GB2312" w:hint="eastAsia"/>
                <w:sz w:val="32"/>
                <w:szCs w:val="32"/>
              </w:rPr>
              <w:lastRenderedPageBreak/>
              <w:t>应用的暴力破解防护；</w:t>
            </w:r>
          </w:p>
        </w:tc>
      </w:tr>
      <w:tr w:rsidR="00B02C6E" w14:paraId="2A25F87C" w14:textId="77777777" w:rsidTr="00453BF8">
        <w:trPr>
          <w:trHeight w:val="20"/>
          <w:jc w:val="center"/>
        </w:trPr>
        <w:tc>
          <w:tcPr>
            <w:tcW w:w="1536" w:type="dxa"/>
            <w:vMerge/>
            <w:vAlign w:val="center"/>
          </w:tcPr>
          <w:p w14:paraId="75330033"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vAlign w:val="center"/>
          </w:tcPr>
          <w:p w14:paraId="409B8ABB"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支持协议异常分析，防范通过精心构造畸形协议报文进行的攻击的行为；</w:t>
            </w:r>
          </w:p>
        </w:tc>
      </w:tr>
      <w:tr w:rsidR="00B02C6E" w14:paraId="7F891B52" w14:textId="77777777" w:rsidTr="00453BF8">
        <w:trPr>
          <w:trHeight w:val="20"/>
          <w:jc w:val="center"/>
        </w:trPr>
        <w:tc>
          <w:tcPr>
            <w:tcW w:w="1536" w:type="dxa"/>
            <w:vMerge/>
            <w:vAlign w:val="center"/>
          </w:tcPr>
          <w:p w14:paraId="0DBA6AA4"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vAlign w:val="center"/>
          </w:tcPr>
          <w:p w14:paraId="4399D4E5"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支持实时的入侵防护事件分级报警列表，可按事件的源IP、目的IP、协议、时间等显示；</w:t>
            </w:r>
          </w:p>
        </w:tc>
      </w:tr>
      <w:tr w:rsidR="00B02C6E" w14:paraId="40CDE14D" w14:textId="77777777" w:rsidTr="00453BF8">
        <w:trPr>
          <w:trHeight w:val="20"/>
          <w:jc w:val="center"/>
        </w:trPr>
        <w:tc>
          <w:tcPr>
            <w:tcW w:w="1536" w:type="dxa"/>
            <w:vMerge/>
            <w:vAlign w:val="center"/>
          </w:tcPr>
          <w:p w14:paraId="49EA1997"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vAlign w:val="center"/>
          </w:tcPr>
          <w:p w14:paraId="34E498FD"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特征库</w:t>
            </w:r>
            <w:proofErr w:type="gramStart"/>
            <w:r>
              <w:rPr>
                <w:rStyle w:val="font91"/>
                <w:rFonts w:ascii="仿宋_GB2312" w:eastAsia="仿宋_GB2312" w:hAnsi="仿宋_GB2312" w:cs="仿宋_GB2312" w:hint="eastAsia"/>
                <w:sz w:val="32"/>
                <w:szCs w:val="32"/>
              </w:rPr>
              <w:t>库</w:t>
            </w:r>
            <w:proofErr w:type="gramEnd"/>
            <w:r>
              <w:rPr>
                <w:rStyle w:val="font91"/>
                <w:rFonts w:ascii="仿宋_GB2312" w:eastAsia="仿宋_GB2312" w:hAnsi="仿宋_GB2312" w:cs="仿宋_GB2312" w:hint="eastAsia"/>
                <w:sz w:val="32"/>
                <w:szCs w:val="32"/>
              </w:rPr>
              <w:t>至少应包括信息窃取、木马后门、间谍软件、可疑行为、网络设备攻击、安全漏洞及网络数据库攻击等的特征事件，提供截图证明；</w:t>
            </w:r>
          </w:p>
        </w:tc>
      </w:tr>
      <w:tr w:rsidR="00B02C6E" w14:paraId="79E68EC5" w14:textId="77777777" w:rsidTr="00453BF8">
        <w:trPr>
          <w:trHeight w:val="20"/>
          <w:jc w:val="center"/>
        </w:trPr>
        <w:tc>
          <w:tcPr>
            <w:tcW w:w="1536" w:type="dxa"/>
            <w:vMerge w:val="restart"/>
            <w:vAlign w:val="center"/>
          </w:tcPr>
          <w:p w14:paraId="35491413"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高可用性</w:t>
            </w:r>
          </w:p>
        </w:tc>
        <w:tc>
          <w:tcPr>
            <w:tcW w:w="7272" w:type="dxa"/>
            <w:vAlign w:val="center"/>
          </w:tcPr>
          <w:p w14:paraId="4F93F338"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▲支持链路备份、端口冗余、</w:t>
            </w:r>
            <w:proofErr w:type="gramStart"/>
            <w:r>
              <w:rPr>
                <w:rStyle w:val="font91"/>
                <w:rFonts w:ascii="仿宋_GB2312" w:eastAsia="仿宋_GB2312" w:hAnsi="仿宋_GB2312" w:cs="仿宋_GB2312" w:hint="eastAsia"/>
                <w:sz w:val="32"/>
                <w:szCs w:val="32"/>
              </w:rPr>
              <w:t>双机热备份</w:t>
            </w:r>
            <w:proofErr w:type="gramEnd"/>
            <w:r>
              <w:rPr>
                <w:rStyle w:val="font91"/>
                <w:rFonts w:ascii="仿宋_GB2312" w:eastAsia="仿宋_GB2312" w:hAnsi="仿宋_GB2312" w:cs="仿宋_GB2312" w:hint="eastAsia"/>
                <w:sz w:val="32"/>
                <w:szCs w:val="32"/>
              </w:rPr>
              <w:t>、集群备份等功能，实现会话、配置的实时同步，支持与现有万兆入侵防御系统集群部署；</w:t>
            </w:r>
          </w:p>
        </w:tc>
      </w:tr>
      <w:tr w:rsidR="00B02C6E" w14:paraId="6FA56736" w14:textId="77777777" w:rsidTr="00453BF8">
        <w:trPr>
          <w:trHeight w:val="20"/>
          <w:jc w:val="center"/>
        </w:trPr>
        <w:tc>
          <w:tcPr>
            <w:tcW w:w="1536" w:type="dxa"/>
            <w:vMerge/>
            <w:vAlign w:val="center"/>
          </w:tcPr>
          <w:p w14:paraId="1D001D32" w14:textId="77777777" w:rsidR="00B02C6E" w:rsidRDefault="00B02C6E" w:rsidP="00453BF8">
            <w:pPr>
              <w:spacing w:line="560" w:lineRule="exact"/>
              <w:jc w:val="center"/>
              <w:rPr>
                <w:rFonts w:ascii="仿宋_GB2312" w:eastAsia="仿宋_GB2312" w:hAnsi="仿宋_GB2312" w:cs="仿宋_GB2312"/>
                <w:sz w:val="32"/>
                <w:szCs w:val="32"/>
              </w:rPr>
            </w:pPr>
          </w:p>
        </w:tc>
        <w:tc>
          <w:tcPr>
            <w:tcW w:w="7272" w:type="dxa"/>
            <w:vAlign w:val="center"/>
          </w:tcPr>
          <w:p w14:paraId="286CC3EF" w14:textId="77777777" w:rsidR="00B02C6E" w:rsidRDefault="00B02C6E" w:rsidP="00453BF8">
            <w:pPr>
              <w:spacing w:line="560" w:lineRule="exac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支持端口联动，支持上下行端口组的联动，可以实现单端口决定同组中的任意接口失效启动链路切换；</w:t>
            </w:r>
          </w:p>
        </w:tc>
      </w:tr>
    </w:tbl>
    <w:p w14:paraId="37757615" w14:textId="77777777" w:rsidR="00B02C6E" w:rsidRDefault="00B02C6E" w:rsidP="00B02C6E">
      <w:pPr>
        <w:pStyle w:val="3"/>
        <w:numPr>
          <w:ilvl w:val="2"/>
          <w:numId w:val="0"/>
        </w:numPr>
        <w:spacing w:before="0" w:after="0" w:line="560" w:lineRule="exact"/>
        <w:rPr>
          <w:rFonts w:ascii="仿宋_GB2312" w:eastAsia="仿宋_GB2312" w:hAnsi="仿宋_GB2312" w:cs="仿宋_GB2312"/>
          <w:sz w:val="32"/>
        </w:rPr>
      </w:pPr>
      <w:r>
        <w:rPr>
          <w:rFonts w:ascii="仿宋_GB2312" w:eastAsia="仿宋_GB2312" w:hAnsi="仿宋_GB2312" w:cs="仿宋_GB2312" w:hint="eastAsia"/>
          <w:sz w:val="32"/>
        </w:rPr>
        <w:t>（九）交换机2台</w:t>
      </w:r>
    </w:p>
    <w:tbl>
      <w:tblPr>
        <w:tblStyle w:val="1e"/>
        <w:tblW w:w="8784" w:type="dxa"/>
        <w:tblInd w:w="315" w:type="dxa"/>
        <w:tblLayout w:type="fixed"/>
        <w:tblLook w:val="04A0" w:firstRow="1" w:lastRow="0" w:firstColumn="1" w:lastColumn="0" w:noHBand="0" w:noVBand="1"/>
      </w:tblPr>
      <w:tblGrid>
        <w:gridCol w:w="7"/>
        <w:gridCol w:w="1482"/>
        <w:gridCol w:w="7184"/>
        <w:gridCol w:w="111"/>
      </w:tblGrid>
      <w:tr w:rsidR="00B02C6E" w14:paraId="225C0120" w14:textId="77777777" w:rsidTr="00453BF8">
        <w:trPr>
          <w:gridAfter w:val="1"/>
          <w:wAfter w:w="113" w:type="dxa"/>
        </w:trPr>
        <w:tc>
          <w:tcPr>
            <w:tcW w:w="1500" w:type="dxa"/>
            <w:gridSpan w:val="2"/>
          </w:tcPr>
          <w:p w14:paraId="303FDA06" w14:textId="77777777" w:rsidR="00B02C6E" w:rsidRDefault="00B02C6E" w:rsidP="00453BF8">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指标项</w:t>
            </w:r>
          </w:p>
        </w:tc>
        <w:tc>
          <w:tcPr>
            <w:tcW w:w="7284" w:type="dxa"/>
          </w:tcPr>
          <w:p w14:paraId="1C9BDC38" w14:textId="77777777" w:rsidR="00B02C6E" w:rsidRDefault="00B02C6E" w:rsidP="00453BF8">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参数要求</w:t>
            </w:r>
          </w:p>
        </w:tc>
      </w:tr>
      <w:tr w:rsidR="00B02C6E" w14:paraId="6C501766" w14:textId="77777777" w:rsidTr="00453BF8">
        <w:trPr>
          <w:gridAfter w:val="1"/>
          <w:wAfter w:w="113" w:type="dxa"/>
        </w:trPr>
        <w:tc>
          <w:tcPr>
            <w:tcW w:w="1500" w:type="dxa"/>
            <w:gridSpan w:val="2"/>
          </w:tcPr>
          <w:p w14:paraId="3EA3E59E" w14:textId="77777777" w:rsidR="00B02C6E" w:rsidRDefault="00B02C6E" w:rsidP="00453BF8">
            <w:pPr>
              <w:spacing w:line="560" w:lineRule="exact"/>
              <w:rPr>
                <w:rFonts w:ascii="仿宋_GB2312" w:eastAsia="仿宋_GB2312" w:hAnsi="仿宋_GB2312" w:cs="仿宋_GB2312"/>
                <w:sz w:val="32"/>
                <w:szCs w:val="32"/>
              </w:rPr>
            </w:pPr>
          </w:p>
        </w:tc>
        <w:tc>
          <w:tcPr>
            <w:tcW w:w="7284" w:type="dxa"/>
          </w:tcPr>
          <w:p w14:paraId="30ACB2B2" w14:textId="77777777" w:rsidR="00B02C6E" w:rsidRDefault="00B02C6E" w:rsidP="00453BF8">
            <w:pPr>
              <w:spacing w:line="560" w:lineRule="exact"/>
              <w:rPr>
                <w:rFonts w:ascii="仿宋_GB2312" w:eastAsia="仿宋_GB2312" w:hAnsi="仿宋_GB2312" w:cs="仿宋_GB2312"/>
                <w:sz w:val="32"/>
                <w:szCs w:val="32"/>
              </w:rPr>
            </w:pPr>
          </w:p>
        </w:tc>
      </w:tr>
      <w:tr w:rsidR="00B02C6E" w14:paraId="4F1BE210" w14:textId="77777777" w:rsidTr="00453BF8">
        <w:trPr>
          <w:gridAfter w:val="1"/>
          <w:wAfter w:w="113" w:type="dxa"/>
        </w:trPr>
        <w:tc>
          <w:tcPr>
            <w:tcW w:w="1500" w:type="dxa"/>
            <w:gridSpan w:val="2"/>
          </w:tcPr>
          <w:p w14:paraId="579EA1DC"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性能</w:t>
            </w:r>
          </w:p>
        </w:tc>
        <w:tc>
          <w:tcPr>
            <w:tcW w:w="7284" w:type="dxa"/>
          </w:tcPr>
          <w:p w14:paraId="7BB44DDC" w14:textId="77777777" w:rsidR="00B02C6E" w:rsidRDefault="00B02C6E" w:rsidP="00453BF8">
            <w:pPr>
              <w:spacing w:line="560" w:lineRule="exact"/>
              <w:rPr>
                <w:rFonts w:ascii="仿宋_GB2312" w:eastAsia="仿宋_GB2312" w:hAnsi="仿宋_GB2312" w:cs="仿宋_GB2312"/>
                <w:sz w:val="32"/>
                <w:szCs w:val="32"/>
              </w:rPr>
            </w:pPr>
            <w:r w:rsidRPr="00882CE3">
              <w:rPr>
                <w:rFonts w:ascii="仿宋_GB2312" w:eastAsia="仿宋_GB2312" w:hAnsi="仿宋_GB2312" w:cs="仿宋_GB2312" w:hint="eastAsia"/>
                <w:sz w:val="32"/>
                <w:szCs w:val="32"/>
              </w:rPr>
              <w:t>▲交换容量</w:t>
            </w:r>
            <w:r w:rsidRPr="00882CE3">
              <w:rPr>
                <w:rFonts w:ascii="仿宋_GB2312" w:eastAsia="仿宋_GB2312" w:hAnsi="仿宋_GB2312" w:cs="仿宋_GB2312"/>
                <w:sz w:val="32"/>
                <w:szCs w:val="32"/>
              </w:rPr>
              <w:t>2.56/25.6Tbps</w:t>
            </w:r>
            <w:r w:rsidRPr="00882CE3">
              <w:rPr>
                <w:rFonts w:ascii="仿宋_GB2312" w:eastAsia="仿宋_GB2312" w:hAnsi="仿宋_GB2312" w:cs="仿宋_GB2312" w:hint="eastAsia"/>
                <w:sz w:val="32"/>
                <w:szCs w:val="32"/>
              </w:rPr>
              <w:t>，包转发率</w:t>
            </w:r>
            <w:r w:rsidRPr="00882CE3">
              <w:rPr>
                <w:rFonts w:ascii="仿宋_GB2312" w:eastAsia="仿宋_GB2312" w:hAnsi="仿宋_GB2312" w:cs="仿宋_GB2312"/>
                <w:sz w:val="32"/>
                <w:szCs w:val="32"/>
              </w:rPr>
              <w:t>1470Mpps</w:t>
            </w:r>
            <w:r w:rsidRPr="00882CE3">
              <w:rPr>
                <w:rFonts w:ascii="仿宋_GB2312" w:eastAsia="仿宋_GB2312" w:hAnsi="仿宋_GB2312" w:cs="仿宋_GB2312" w:hint="eastAsia"/>
                <w:sz w:val="32"/>
                <w:szCs w:val="32"/>
              </w:rPr>
              <w:t>，提供</w:t>
            </w:r>
            <w:proofErr w:type="gramStart"/>
            <w:r w:rsidRPr="00882CE3">
              <w:rPr>
                <w:rFonts w:ascii="仿宋_GB2312" w:eastAsia="仿宋_GB2312" w:hAnsi="仿宋_GB2312" w:cs="仿宋_GB2312" w:hint="eastAsia"/>
                <w:sz w:val="32"/>
                <w:szCs w:val="32"/>
              </w:rPr>
              <w:t>官网证明</w:t>
            </w:r>
            <w:proofErr w:type="gramEnd"/>
            <w:r w:rsidRPr="00882CE3">
              <w:rPr>
                <w:rFonts w:ascii="仿宋_GB2312" w:eastAsia="仿宋_GB2312" w:hAnsi="仿宋_GB2312" w:cs="仿宋_GB2312" w:hint="eastAsia"/>
                <w:sz w:val="32"/>
                <w:szCs w:val="32"/>
              </w:rPr>
              <w:t>材料及链接</w:t>
            </w:r>
            <w:r>
              <w:rPr>
                <w:rFonts w:ascii="仿宋_GB2312" w:eastAsia="仿宋_GB2312" w:hAnsi="仿宋_GB2312" w:cs="仿宋_GB2312" w:hint="eastAsia"/>
                <w:sz w:val="32"/>
                <w:szCs w:val="32"/>
              </w:rPr>
              <w:t>；</w:t>
            </w:r>
          </w:p>
        </w:tc>
      </w:tr>
      <w:tr w:rsidR="00B02C6E" w14:paraId="391BCC67" w14:textId="77777777" w:rsidTr="00453BF8">
        <w:trPr>
          <w:gridAfter w:val="1"/>
          <w:wAfter w:w="113" w:type="dxa"/>
        </w:trPr>
        <w:tc>
          <w:tcPr>
            <w:tcW w:w="1500" w:type="dxa"/>
            <w:gridSpan w:val="2"/>
          </w:tcPr>
          <w:p w14:paraId="7BBC6470"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端口</w:t>
            </w:r>
          </w:p>
        </w:tc>
        <w:tc>
          <w:tcPr>
            <w:tcW w:w="7284" w:type="dxa"/>
          </w:tcPr>
          <w:p w14:paraId="05661AB9" w14:textId="77777777" w:rsidR="00B02C6E" w:rsidRDefault="00B02C6E" w:rsidP="00453BF8">
            <w:pPr>
              <w:spacing w:line="560" w:lineRule="exact"/>
              <w:rPr>
                <w:rFonts w:ascii="仿宋_GB2312" w:eastAsia="仿宋_GB2312" w:hAnsi="仿宋_GB2312" w:cs="仿宋_GB2312"/>
                <w:sz w:val="32"/>
                <w:szCs w:val="32"/>
              </w:rPr>
            </w:pPr>
            <w:r w:rsidRPr="00882CE3">
              <w:rPr>
                <w:rFonts w:ascii="仿宋_GB2312" w:eastAsia="仿宋_GB2312" w:hAnsi="仿宋_GB2312" w:cs="仿宋_GB2312" w:hint="eastAsia"/>
                <w:sz w:val="32"/>
                <w:szCs w:val="32"/>
              </w:rPr>
              <w:t>▲</w:t>
            </w:r>
            <w:proofErr w:type="gramStart"/>
            <w:r w:rsidRPr="00882CE3">
              <w:rPr>
                <w:rFonts w:ascii="仿宋_GB2312" w:eastAsia="仿宋_GB2312" w:hAnsi="仿宋_GB2312" w:cs="仿宋_GB2312" w:hint="eastAsia"/>
                <w:sz w:val="32"/>
                <w:szCs w:val="32"/>
              </w:rPr>
              <w:t>千兆电口</w:t>
            </w:r>
            <w:proofErr w:type="gramEnd"/>
            <w:r w:rsidRPr="00882CE3">
              <w:rPr>
                <w:rFonts w:ascii="仿宋_GB2312" w:eastAsia="仿宋_GB2312" w:hAnsi="仿宋_GB2312" w:cs="仿宋_GB2312" w:hint="eastAsia"/>
                <w:sz w:val="32"/>
                <w:szCs w:val="32"/>
              </w:rPr>
              <w:t>≥</w:t>
            </w:r>
            <w:r w:rsidRPr="00882CE3">
              <w:rPr>
                <w:rFonts w:ascii="仿宋_GB2312" w:eastAsia="仿宋_GB2312" w:hAnsi="仿宋_GB2312" w:cs="仿宋_GB2312"/>
                <w:sz w:val="32"/>
                <w:szCs w:val="32"/>
              </w:rPr>
              <w:t>48</w:t>
            </w:r>
            <w:r w:rsidRPr="00882CE3">
              <w:rPr>
                <w:rFonts w:ascii="仿宋_GB2312" w:eastAsia="仿宋_GB2312" w:hAnsi="仿宋_GB2312" w:cs="仿宋_GB2312" w:hint="eastAsia"/>
                <w:sz w:val="32"/>
                <w:szCs w:val="32"/>
              </w:rPr>
              <w:t>个，万兆</w:t>
            </w:r>
            <w:r w:rsidRPr="00882CE3">
              <w:rPr>
                <w:rFonts w:ascii="仿宋_GB2312" w:eastAsia="仿宋_GB2312" w:hAnsi="仿宋_GB2312" w:cs="仿宋_GB2312"/>
                <w:sz w:val="32"/>
                <w:szCs w:val="32"/>
              </w:rPr>
              <w:t>SFP+</w:t>
            </w:r>
            <w:r w:rsidRPr="00882CE3">
              <w:rPr>
                <w:rFonts w:ascii="仿宋_GB2312" w:eastAsia="仿宋_GB2312" w:hAnsi="仿宋_GB2312" w:cs="仿宋_GB2312" w:hint="eastAsia"/>
                <w:sz w:val="32"/>
                <w:szCs w:val="32"/>
              </w:rPr>
              <w:t>≥</w:t>
            </w:r>
            <w:r w:rsidRPr="00882CE3">
              <w:rPr>
                <w:rFonts w:ascii="仿宋_GB2312" w:eastAsia="仿宋_GB2312" w:hAnsi="仿宋_GB2312" w:cs="仿宋_GB2312"/>
                <w:sz w:val="32"/>
                <w:szCs w:val="32"/>
              </w:rPr>
              <w:t>4</w:t>
            </w:r>
            <w:r w:rsidRPr="00882CE3">
              <w:rPr>
                <w:rFonts w:ascii="仿宋_GB2312" w:eastAsia="仿宋_GB2312" w:hAnsi="仿宋_GB2312" w:cs="仿宋_GB2312" w:hint="eastAsia"/>
                <w:sz w:val="32"/>
                <w:szCs w:val="32"/>
              </w:rPr>
              <w:t>个（含</w:t>
            </w:r>
            <w:r w:rsidRPr="00882CE3">
              <w:rPr>
                <w:rFonts w:ascii="仿宋_GB2312" w:eastAsia="仿宋_GB2312" w:hAnsi="仿宋_GB2312" w:cs="仿宋_GB2312"/>
                <w:sz w:val="32"/>
                <w:szCs w:val="32"/>
              </w:rPr>
              <w:t>4</w:t>
            </w:r>
            <w:r w:rsidRPr="00882CE3">
              <w:rPr>
                <w:rFonts w:ascii="仿宋_GB2312" w:eastAsia="仿宋_GB2312" w:hAnsi="仿宋_GB2312" w:cs="仿宋_GB2312" w:hint="eastAsia"/>
                <w:sz w:val="32"/>
                <w:szCs w:val="32"/>
              </w:rPr>
              <w:t>个万兆</w:t>
            </w:r>
            <w:proofErr w:type="gramStart"/>
            <w:r w:rsidRPr="00882CE3">
              <w:rPr>
                <w:rFonts w:ascii="仿宋_GB2312" w:eastAsia="仿宋_GB2312" w:hAnsi="仿宋_GB2312" w:cs="仿宋_GB2312" w:hint="eastAsia"/>
                <w:sz w:val="32"/>
                <w:szCs w:val="32"/>
              </w:rPr>
              <w:t>多模光模块</w:t>
            </w:r>
            <w:proofErr w:type="gramEnd"/>
            <w:r w:rsidRPr="00882CE3">
              <w:rPr>
                <w:rFonts w:ascii="仿宋_GB2312" w:eastAsia="仿宋_GB2312" w:hAnsi="仿宋_GB2312" w:cs="仿宋_GB2312" w:hint="eastAsia"/>
                <w:sz w:val="32"/>
                <w:szCs w:val="32"/>
              </w:rPr>
              <w:t>），支持业务扩展插槽数≥</w:t>
            </w:r>
            <w:r w:rsidRPr="00882CE3">
              <w:rPr>
                <w:rFonts w:ascii="仿宋_GB2312" w:eastAsia="仿宋_GB2312" w:hAnsi="仿宋_GB2312" w:cs="仿宋_GB2312"/>
                <w:sz w:val="32"/>
                <w:szCs w:val="32"/>
              </w:rPr>
              <w:t>1</w:t>
            </w:r>
            <w:r w:rsidRPr="00882CE3">
              <w:rPr>
                <w:rFonts w:ascii="仿宋_GB2312" w:eastAsia="仿宋_GB2312" w:hAnsi="仿宋_GB2312" w:cs="仿宋_GB2312" w:hint="eastAsia"/>
                <w:sz w:val="32"/>
                <w:szCs w:val="32"/>
              </w:rPr>
              <w:t>，支持可插拔双电源，</w:t>
            </w:r>
            <w:r w:rsidRPr="00882CE3">
              <w:rPr>
                <w:rFonts w:ascii="仿宋_GB2312" w:eastAsia="仿宋_GB2312" w:hAnsi="仿宋_GB2312" w:cs="仿宋_GB2312"/>
                <w:sz w:val="32"/>
                <w:szCs w:val="32"/>
              </w:rPr>
              <w:t xml:space="preserve"> 4</w:t>
            </w:r>
            <w:r w:rsidRPr="00882CE3">
              <w:rPr>
                <w:rFonts w:ascii="仿宋_GB2312" w:eastAsia="仿宋_GB2312" w:hAnsi="仿宋_GB2312" w:cs="仿宋_GB2312" w:hint="eastAsia"/>
                <w:sz w:val="32"/>
                <w:szCs w:val="32"/>
              </w:rPr>
              <w:t>个</w:t>
            </w:r>
            <w:r w:rsidRPr="00882CE3">
              <w:rPr>
                <w:rFonts w:ascii="仿宋_GB2312" w:eastAsia="仿宋_GB2312" w:hAnsi="仿宋_GB2312" w:cs="仿宋_GB2312"/>
                <w:sz w:val="32"/>
                <w:szCs w:val="32"/>
              </w:rPr>
              <w:t xml:space="preserve">40km </w:t>
            </w:r>
            <w:r w:rsidRPr="00882CE3">
              <w:rPr>
                <w:rFonts w:ascii="仿宋_GB2312" w:eastAsia="仿宋_GB2312" w:hAnsi="仿宋_GB2312" w:cs="仿宋_GB2312" w:hint="eastAsia"/>
                <w:sz w:val="32"/>
                <w:szCs w:val="32"/>
              </w:rPr>
              <w:t>万兆单模光模块。</w:t>
            </w:r>
          </w:p>
        </w:tc>
      </w:tr>
      <w:tr w:rsidR="00B02C6E" w14:paraId="5331DB9E" w14:textId="77777777" w:rsidTr="00453BF8">
        <w:trPr>
          <w:gridBefore w:val="1"/>
          <w:wBefore w:w="6" w:type="dxa"/>
        </w:trPr>
        <w:tc>
          <w:tcPr>
            <w:tcW w:w="1500" w:type="dxa"/>
          </w:tcPr>
          <w:p w14:paraId="7A7D50CC"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堆叠性能</w:t>
            </w:r>
          </w:p>
        </w:tc>
        <w:tc>
          <w:tcPr>
            <w:tcW w:w="7284" w:type="dxa"/>
            <w:gridSpan w:val="2"/>
          </w:tcPr>
          <w:p w14:paraId="3491A9F5"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支持堆叠，支持大于等于双向500G</w:t>
            </w:r>
          </w:p>
        </w:tc>
      </w:tr>
      <w:tr w:rsidR="00B02C6E" w14:paraId="3CEA21DA" w14:textId="77777777" w:rsidTr="00453BF8">
        <w:trPr>
          <w:gridBefore w:val="1"/>
          <w:wBefore w:w="6" w:type="dxa"/>
        </w:trPr>
        <w:tc>
          <w:tcPr>
            <w:tcW w:w="1500" w:type="dxa"/>
          </w:tcPr>
          <w:p w14:paraId="3AC31E68"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lastRenderedPageBreak/>
              <w:t>国产化</w:t>
            </w:r>
          </w:p>
        </w:tc>
        <w:tc>
          <w:tcPr>
            <w:tcW w:w="7284" w:type="dxa"/>
            <w:gridSpan w:val="2"/>
          </w:tcPr>
          <w:p w14:paraId="6A7245BC"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CPU和LSW要求国产化，提供国产测试报告，推动自主可控</w:t>
            </w:r>
          </w:p>
        </w:tc>
      </w:tr>
      <w:tr w:rsidR="00B02C6E" w14:paraId="764CD447" w14:textId="77777777" w:rsidTr="00453BF8">
        <w:trPr>
          <w:gridBefore w:val="1"/>
          <w:wBefore w:w="6" w:type="dxa"/>
        </w:trPr>
        <w:tc>
          <w:tcPr>
            <w:tcW w:w="1500" w:type="dxa"/>
          </w:tcPr>
          <w:p w14:paraId="7D2178E4"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ID指示灯</w:t>
            </w:r>
          </w:p>
        </w:tc>
        <w:tc>
          <w:tcPr>
            <w:tcW w:w="7284" w:type="dxa"/>
            <w:gridSpan w:val="2"/>
          </w:tcPr>
          <w:p w14:paraId="0827B4B9"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▲维护人员可以在后台点亮后去机房直接找到相对于设备，便于快速定位设备位置，提供</w:t>
            </w:r>
            <w:proofErr w:type="gramStart"/>
            <w:r>
              <w:rPr>
                <w:rFonts w:ascii="仿宋_GB2312" w:eastAsia="仿宋_GB2312" w:hAnsi="宋体" w:cs="宋体" w:hint="eastAsia"/>
                <w:color w:val="000000"/>
                <w:sz w:val="32"/>
                <w:szCs w:val="32"/>
              </w:rPr>
              <w:t>官网证明</w:t>
            </w:r>
            <w:proofErr w:type="gramEnd"/>
            <w:r>
              <w:rPr>
                <w:rFonts w:ascii="仿宋_GB2312" w:eastAsia="仿宋_GB2312" w:hAnsi="宋体" w:cs="宋体" w:hint="eastAsia"/>
                <w:color w:val="000000"/>
                <w:sz w:val="32"/>
                <w:szCs w:val="32"/>
              </w:rPr>
              <w:t>材料及链接</w:t>
            </w:r>
          </w:p>
        </w:tc>
      </w:tr>
      <w:tr w:rsidR="00B02C6E" w14:paraId="7B47D090" w14:textId="77777777" w:rsidTr="00453BF8">
        <w:trPr>
          <w:gridBefore w:val="1"/>
          <w:wBefore w:w="6" w:type="dxa"/>
        </w:trPr>
        <w:tc>
          <w:tcPr>
            <w:tcW w:w="1500" w:type="dxa"/>
          </w:tcPr>
          <w:p w14:paraId="7C789509"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前后风道</w:t>
            </w:r>
          </w:p>
        </w:tc>
        <w:tc>
          <w:tcPr>
            <w:tcW w:w="7284" w:type="dxa"/>
            <w:gridSpan w:val="2"/>
          </w:tcPr>
          <w:p w14:paraId="38FA742E"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支持前后风道，避免热级联，可以节能</w:t>
            </w:r>
          </w:p>
        </w:tc>
      </w:tr>
      <w:tr w:rsidR="00B02C6E" w14:paraId="26445F6F" w14:textId="77777777" w:rsidTr="00453BF8">
        <w:trPr>
          <w:gridBefore w:val="1"/>
          <w:wBefore w:w="6" w:type="dxa"/>
        </w:trPr>
        <w:tc>
          <w:tcPr>
            <w:tcW w:w="1500" w:type="dxa"/>
          </w:tcPr>
          <w:p w14:paraId="0D192BF0"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双插拔风扇</w:t>
            </w:r>
          </w:p>
        </w:tc>
        <w:tc>
          <w:tcPr>
            <w:tcW w:w="7284" w:type="dxa"/>
            <w:gridSpan w:val="2"/>
          </w:tcPr>
          <w:p w14:paraId="19B740F9"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可更换，双风扇支持备份</w:t>
            </w:r>
          </w:p>
        </w:tc>
      </w:tr>
      <w:tr w:rsidR="00B02C6E" w14:paraId="56F941AF" w14:textId="77777777" w:rsidTr="00453BF8">
        <w:trPr>
          <w:gridBefore w:val="1"/>
          <w:wBefore w:w="6" w:type="dxa"/>
        </w:trPr>
        <w:tc>
          <w:tcPr>
            <w:tcW w:w="1500" w:type="dxa"/>
          </w:tcPr>
          <w:p w14:paraId="280DEA09"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全端口MACsec</w:t>
            </w:r>
          </w:p>
        </w:tc>
        <w:tc>
          <w:tcPr>
            <w:tcW w:w="7284" w:type="dxa"/>
            <w:gridSpan w:val="2"/>
          </w:tcPr>
          <w:p w14:paraId="38D82466"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全端口MACsec组网</w:t>
            </w:r>
          </w:p>
        </w:tc>
      </w:tr>
      <w:tr w:rsidR="00B02C6E" w14:paraId="119A5346" w14:textId="77777777" w:rsidTr="00453BF8">
        <w:trPr>
          <w:gridBefore w:val="1"/>
          <w:wBefore w:w="6" w:type="dxa"/>
        </w:trPr>
        <w:tc>
          <w:tcPr>
            <w:tcW w:w="1500" w:type="dxa"/>
            <w:vMerge w:val="restart"/>
          </w:tcPr>
          <w:p w14:paraId="3359AE3E"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用户管理</w:t>
            </w:r>
          </w:p>
        </w:tc>
        <w:tc>
          <w:tcPr>
            <w:tcW w:w="7284" w:type="dxa"/>
            <w:gridSpan w:val="2"/>
          </w:tcPr>
          <w:p w14:paraId="127E47EF"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支持统一用户管理功能，支持802.1X/MAC等多种认证方式，支持10000认证用户同时在线</w:t>
            </w:r>
          </w:p>
        </w:tc>
      </w:tr>
      <w:tr w:rsidR="00B02C6E" w14:paraId="63688AD9" w14:textId="77777777" w:rsidTr="00453BF8">
        <w:trPr>
          <w:gridBefore w:val="1"/>
          <w:wBefore w:w="6" w:type="dxa"/>
        </w:trPr>
        <w:tc>
          <w:tcPr>
            <w:tcW w:w="1500" w:type="dxa"/>
            <w:vMerge/>
          </w:tcPr>
          <w:p w14:paraId="687967CA" w14:textId="77777777" w:rsidR="00B02C6E" w:rsidRDefault="00B02C6E" w:rsidP="00453BF8">
            <w:pPr>
              <w:spacing w:line="560" w:lineRule="exact"/>
              <w:rPr>
                <w:rFonts w:ascii="仿宋_GB2312" w:eastAsia="仿宋_GB2312" w:hAnsi="仿宋_GB2312" w:cs="仿宋_GB2312"/>
                <w:sz w:val="32"/>
                <w:szCs w:val="32"/>
              </w:rPr>
            </w:pPr>
          </w:p>
        </w:tc>
        <w:tc>
          <w:tcPr>
            <w:tcW w:w="7284" w:type="dxa"/>
            <w:gridSpan w:val="2"/>
          </w:tcPr>
          <w:p w14:paraId="148F958A"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支持交换机基于UCL用户组方式，用户组内的用户，不论是有线还是无线用户，也不论用户在何处登录，获得任何IP地址，用户都拥有相同的访问权限</w:t>
            </w:r>
          </w:p>
        </w:tc>
      </w:tr>
      <w:tr w:rsidR="00B02C6E" w14:paraId="4EA01EF3" w14:textId="77777777" w:rsidTr="00453BF8">
        <w:trPr>
          <w:gridBefore w:val="1"/>
          <w:wBefore w:w="6" w:type="dxa"/>
        </w:trPr>
        <w:tc>
          <w:tcPr>
            <w:tcW w:w="1500" w:type="dxa"/>
            <w:vMerge w:val="restart"/>
          </w:tcPr>
          <w:p w14:paraId="3CA39E1E"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二层</w:t>
            </w:r>
          </w:p>
        </w:tc>
        <w:tc>
          <w:tcPr>
            <w:tcW w:w="7284" w:type="dxa"/>
            <w:gridSpan w:val="2"/>
          </w:tcPr>
          <w:p w14:paraId="6BF5C554"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支持MAC表项≥256K</w:t>
            </w:r>
          </w:p>
        </w:tc>
      </w:tr>
      <w:tr w:rsidR="00B02C6E" w14:paraId="35A9EE67" w14:textId="77777777" w:rsidTr="00453BF8">
        <w:trPr>
          <w:gridBefore w:val="1"/>
          <w:wBefore w:w="6" w:type="dxa"/>
        </w:trPr>
        <w:tc>
          <w:tcPr>
            <w:tcW w:w="1500" w:type="dxa"/>
            <w:vMerge/>
          </w:tcPr>
          <w:p w14:paraId="6FD03ECB" w14:textId="77777777" w:rsidR="00B02C6E" w:rsidRDefault="00B02C6E" w:rsidP="00453BF8">
            <w:pPr>
              <w:spacing w:line="560" w:lineRule="exact"/>
              <w:rPr>
                <w:rFonts w:ascii="仿宋_GB2312" w:eastAsia="仿宋_GB2312" w:hAnsi="仿宋_GB2312" w:cs="仿宋_GB2312"/>
                <w:sz w:val="32"/>
                <w:szCs w:val="32"/>
              </w:rPr>
            </w:pPr>
          </w:p>
        </w:tc>
        <w:tc>
          <w:tcPr>
            <w:tcW w:w="7284" w:type="dxa"/>
            <w:gridSpan w:val="2"/>
          </w:tcPr>
          <w:p w14:paraId="2305EEE1"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支持ARP表项规格≥128k</w:t>
            </w:r>
          </w:p>
        </w:tc>
      </w:tr>
      <w:tr w:rsidR="00B02C6E" w14:paraId="42965E8B" w14:textId="77777777" w:rsidTr="00453BF8">
        <w:trPr>
          <w:gridBefore w:val="1"/>
          <w:wBefore w:w="6" w:type="dxa"/>
        </w:trPr>
        <w:tc>
          <w:tcPr>
            <w:tcW w:w="1500" w:type="dxa"/>
            <w:vMerge/>
          </w:tcPr>
          <w:p w14:paraId="532BB5E4" w14:textId="77777777" w:rsidR="00B02C6E" w:rsidRDefault="00B02C6E" w:rsidP="00453BF8">
            <w:pPr>
              <w:spacing w:line="560" w:lineRule="exact"/>
              <w:rPr>
                <w:rFonts w:ascii="仿宋_GB2312" w:eastAsia="仿宋_GB2312" w:hAnsi="仿宋_GB2312" w:cs="仿宋_GB2312"/>
                <w:sz w:val="32"/>
                <w:szCs w:val="32"/>
              </w:rPr>
            </w:pPr>
          </w:p>
        </w:tc>
        <w:tc>
          <w:tcPr>
            <w:tcW w:w="7284" w:type="dxa"/>
            <w:gridSpan w:val="2"/>
          </w:tcPr>
          <w:p w14:paraId="4EEDC8D0" w14:textId="77777777" w:rsidR="00B02C6E" w:rsidRDefault="00B02C6E" w:rsidP="00453BF8">
            <w:pPr>
              <w:spacing w:line="560" w:lineRule="exact"/>
              <w:rPr>
                <w:rFonts w:ascii="仿宋_GB2312" w:eastAsia="仿宋_GB2312" w:hAnsi="宋体" w:cs="宋体"/>
                <w:color w:val="000000"/>
                <w:sz w:val="32"/>
                <w:szCs w:val="32"/>
              </w:rPr>
            </w:pPr>
            <w:r>
              <w:rPr>
                <w:rFonts w:ascii="仿宋_GB2312" w:eastAsia="仿宋_GB2312" w:hAnsi="宋体" w:cs="宋体" w:hint="eastAsia"/>
                <w:color w:val="000000"/>
                <w:sz w:val="32"/>
                <w:szCs w:val="32"/>
              </w:rPr>
              <w:t>支持4K VLAN，支持</w:t>
            </w:r>
            <w:proofErr w:type="spellStart"/>
            <w:r>
              <w:rPr>
                <w:rFonts w:ascii="仿宋_GB2312" w:eastAsia="仿宋_GB2312" w:hAnsi="宋体" w:cs="宋体" w:hint="eastAsia"/>
                <w:color w:val="000000"/>
                <w:sz w:val="32"/>
                <w:szCs w:val="32"/>
              </w:rPr>
              <w:t>QinQ</w:t>
            </w:r>
            <w:proofErr w:type="spellEnd"/>
            <w:r>
              <w:rPr>
                <w:rFonts w:ascii="仿宋_GB2312" w:eastAsia="仿宋_GB2312" w:hAnsi="宋体" w:cs="宋体" w:hint="eastAsia"/>
                <w:color w:val="000000"/>
                <w:sz w:val="32"/>
                <w:szCs w:val="32"/>
              </w:rPr>
              <w:t>，灵活</w:t>
            </w:r>
            <w:proofErr w:type="spellStart"/>
            <w:r>
              <w:rPr>
                <w:rFonts w:ascii="仿宋_GB2312" w:eastAsia="仿宋_GB2312" w:hAnsi="宋体" w:cs="宋体" w:hint="eastAsia"/>
                <w:color w:val="000000"/>
                <w:sz w:val="32"/>
                <w:szCs w:val="32"/>
              </w:rPr>
              <w:t>QinQ</w:t>
            </w:r>
            <w:proofErr w:type="spellEnd"/>
            <w:r>
              <w:rPr>
                <w:rFonts w:ascii="仿宋_GB2312" w:eastAsia="仿宋_GB2312" w:hAnsi="宋体" w:cs="宋体" w:hint="eastAsia"/>
                <w:color w:val="000000"/>
                <w:sz w:val="32"/>
                <w:szCs w:val="32"/>
              </w:rPr>
              <w:t>、支持端口VLAN、协议VLAN、IP子网VLAN</w:t>
            </w:r>
          </w:p>
          <w:p w14:paraId="133DBD5D"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支持IEEE 802.1d(STP), 802.w(RSTP), 802.1s(MSTP)</w:t>
            </w:r>
          </w:p>
        </w:tc>
      </w:tr>
      <w:tr w:rsidR="00B02C6E" w14:paraId="32A68263" w14:textId="77777777" w:rsidTr="00453BF8">
        <w:trPr>
          <w:gridBefore w:val="1"/>
          <w:wBefore w:w="6" w:type="dxa"/>
        </w:trPr>
        <w:tc>
          <w:tcPr>
            <w:tcW w:w="1500" w:type="dxa"/>
            <w:vMerge/>
          </w:tcPr>
          <w:p w14:paraId="1DB5D875" w14:textId="77777777" w:rsidR="00B02C6E" w:rsidRDefault="00B02C6E" w:rsidP="00453BF8">
            <w:pPr>
              <w:spacing w:line="560" w:lineRule="exact"/>
              <w:rPr>
                <w:rFonts w:ascii="仿宋_GB2312" w:eastAsia="仿宋_GB2312" w:hAnsi="仿宋_GB2312" w:cs="仿宋_GB2312"/>
                <w:sz w:val="32"/>
                <w:szCs w:val="32"/>
              </w:rPr>
            </w:pPr>
          </w:p>
        </w:tc>
        <w:tc>
          <w:tcPr>
            <w:tcW w:w="7284" w:type="dxa"/>
            <w:gridSpan w:val="2"/>
          </w:tcPr>
          <w:p w14:paraId="643DD1CD"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支持策略VLAN，支持PVLAN/MUX VLAN</w:t>
            </w:r>
          </w:p>
        </w:tc>
      </w:tr>
      <w:tr w:rsidR="00B02C6E" w14:paraId="1D0D107B" w14:textId="77777777" w:rsidTr="00453BF8">
        <w:trPr>
          <w:gridBefore w:val="1"/>
          <w:wBefore w:w="6" w:type="dxa"/>
        </w:trPr>
        <w:tc>
          <w:tcPr>
            <w:tcW w:w="1500" w:type="dxa"/>
            <w:vMerge/>
          </w:tcPr>
          <w:p w14:paraId="38E4CC6F" w14:textId="77777777" w:rsidR="00B02C6E" w:rsidRDefault="00B02C6E" w:rsidP="00453BF8">
            <w:pPr>
              <w:spacing w:line="560" w:lineRule="exact"/>
              <w:rPr>
                <w:rFonts w:ascii="仿宋_GB2312" w:eastAsia="仿宋_GB2312" w:hAnsi="仿宋_GB2312" w:cs="仿宋_GB2312"/>
                <w:sz w:val="32"/>
                <w:szCs w:val="32"/>
              </w:rPr>
            </w:pPr>
          </w:p>
        </w:tc>
        <w:tc>
          <w:tcPr>
            <w:tcW w:w="7284" w:type="dxa"/>
            <w:gridSpan w:val="2"/>
          </w:tcPr>
          <w:p w14:paraId="3C838834"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支持IGMP v1/v2/v3、PIM-SM、PIM-DM、PIM-SSM</w:t>
            </w:r>
          </w:p>
        </w:tc>
      </w:tr>
      <w:tr w:rsidR="00B02C6E" w14:paraId="00693D65" w14:textId="77777777" w:rsidTr="00453BF8">
        <w:trPr>
          <w:gridBefore w:val="1"/>
          <w:wBefore w:w="6" w:type="dxa"/>
        </w:trPr>
        <w:tc>
          <w:tcPr>
            <w:tcW w:w="1500" w:type="dxa"/>
            <w:vMerge w:val="restart"/>
          </w:tcPr>
          <w:p w14:paraId="193DED24"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lastRenderedPageBreak/>
              <w:t>三层</w:t>
            </w:r>
          </w:p>
        </w:tc>
        <w:tc>
          <w:tcPr>
            <w:tcW w:w="7284" w:type="dxa"/>
            <w:gridSpan w:val="2"/>
          </w:tcPr>
          <w:p w14:paraId="77BF493A"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支持静态路由、RIP v1/v2、OSPF、BGP、ISIS、</w:t>
            </w:r>
            <w:proofErr w:type="spellStart"/>
            <w:r>
              <w:rPr>
                <w:rFonts w:ascii="仿宋_GB2312" w:eastAsia="仿宋_GB2312" w:hAnsi="宋体" w:cs="宋体" w:hint="eastAsia"/>
                <w:color w:val="000000"/>
                <w:sz w:val="32"/>
                <w:szCs w:val="32"/>
              </w:rPr>
              <w:t>RIPng</w:t>
            </w:r>
            <w:proofErr w:type="spellEnd"/>
            <w:r>
              <w:rPr>
                <w:rFonts w:ascii="仿宋_GB2312" w:eastAsia="仿宋_GB2312" w:hAnsi="宋体" w:cs="宋体" w:hint="eastAsia"/>
                <w:color w:val="000000"/>
                <w:sz w:val="32"/>
                <w:szCs w:val="32"/>
              </w:rPr>
              <w:t>、OSPFv3、ISISv6、BGP4+</w:t>
            </w:r>
          </w:p>
        </w:tc>
      </w:tr>
      <w:tr w:rsidR="00B02C6E" w14:paraId="2432A066" w14:textId="77777777" w:rsidTr="00453BF8">
        <w:trPr>
          <w:gridBefore w:val="1"/>
          <w:wBefore w:w="6" w:type="dxa"/>
        </w:trPr>
        <w:tc>
          <w:tcPr>
            <w:tcW w:w="1500" w:type="dxa"/>
            <w:vMerge/>
          </w:tcPr>
          <w:p w14:paraId="606500F7" w14:textId="77777777" w:rsidR="00B02C6E" w:rsidRDefault="00B02C6E" w:rsidP="00453BF8">
            <w:pPr>
              <w:spacing w:line="560" w:lineRule="exact"/>
              <w:rPr>
                <w:rFonts w:ascii="仿宋_GB2312" w:eastAsia="仿宋_GB2312" w:hAnsi="仿宋_GB2312" w:cs="仿宋_GB2312"/>
                <w:sz w:val="32"/>
                <w:szCs w:val="32"/>
              </w:rPr>
            </w:pPr>
          </w:p>
        </w:tc>
        <w:tc>
          <w:tcPr>
            <w:tcW w:w="7284" w:type="dxa"/>
            <w:gridSpan w:val="2"/>
          </w:tcPr>
          <w:p w14:paraId="1DE2E331"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支持IPv4 路由表≥256K，支持IPv6 路由表≥128K</w:t>
            </w:r>
          </w:p>
        </w:tc>
      </w:tr>
      <w:tr w:rsidR="00B02C6E" w14:paraId="7CED6DFF" w14:textId="77777777" w:rsidTr="00453BF8">
        <w:trPr>
          <w:gridBefore w:val="1"/>
          <w:wBefore w:w="6" w:type="dxa"/>
        </w:trPr>
        <w:tc>
          <w:tcPr>
            <w:tcW w:w="1500" w:type="dxa"/>
            <w:vMerge/>
          </w:tcPr>
          <w:p w14:paraId="45403B7A" w14:textId="77777777" w:rsidR="00B02C6E" w:rsidRDefault="00B02C6E" w:rsidP="00453BF8">
            <w:pPr>
              <w:spacing w:line="560" w:lineRule="exact"/>
              <w:rPr>
                <w:rFonts w:ascii="仿宋_GB2312" w:eastAsia="仿宋_GB2312" w:hAnsi="仿宋_GB2312" w:cs="仿宋_GB2312"/>
                <w:sz w:val="32"/>
                <w:szCs w:val="32"/>
              </w:rPr>
            </w:pPr>
          </w:p>
        </w:tc>
        <w:tc>
          <w:tcPr>
            <w:tcW w:w="7284" w:type="dxa"/>
            <w:gridSpan w:val="2"/>
          </w:tcPr>
          <w:p w14:paraId="4C3689AB" w14:textId="77777777" w:rsidR="00B02C6E" w:rsidRDefault="00B02C6E" w:rsidP="00453BF8">
            <w:pPr>
              <w:spacing w:line="560" w:lineRule="exact"/>
              <w:rPr>
                <w:rFonts w:ascii="仿宋_GB2312" w:eastAsia="仿宋_GB2312" w:hAnsi="宋体" w:cs="宋体"/>
                <w:color w:val="000000"/>
                <w:sz w:val="32"/>
                <w:szCs w:val="32"/>
              </w:rPr>
            </w:pPr>
            <w:r>
              <w:rPr>
                <w:rFonts w:ascii="仿宋_GB2312" w:eastAsia="仿宋_GB2312" w:hAnsi="宋体" w:cs="宋体" w:hint="eastAsia"/>
                <w:color w:val="000000"/>
                <w:sz w:val="32"/>
                <w:szCs w:val="32"/>
              </w:rPr>
              <w:t>支持策略路由、路由策略、VRRP、BFD for OSPF、BGP、IS-IS、Static Route</w:t>
            </w:r>
          </w:p>
          <w:p w14:paraId="634C307F"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宋体" w:cs="宋体" w:hint="eastAsia"/>
                <w:color w:val="000000"/>
                <w:sz w:val="32"/>
                <w:szCs w:val="32"/>
              </w:rPr>
              <w:t>支持IPv6、支持IPv4/IPv6双</w:t>
            </w:r>
            <w:proofErr w:type="gramStart"/>
            <w:r>
              <w:rPr>
                <w:rFonts w:ascii="仿宋_GB2312" w:eastAsia="仿宋_GB2312" w:hAnsi="宋体" w:cs="宋体" w:hint="eastAsia"/>
                <w:color w:val="000000"/>
                <w:sz w:val="32"/>
                <w:szCs w:val="32"/>
              </w:rPr>
              <w:t>栈</w:t>
            </w:r>
            <w:proofErr w:type="gramEnd"/>
            <w:r>
              <w:rPr>
                <w:rFonts w:ascii="仿宋_GB2312" w:eastAsia="仿宋_GB2312" w:hAnsi="宋体" w:cs="宋体" w:hint="eastAsia"/>
                <w:color w:val="000000"/>
                <w:sz w:val="32"/>
                <w:szCs w:val="32"/>
              </w:rPr>
              <w:t>、IPv6 over IPv4隧道、IPv4 over IPv6隧道</w:t>
            </w:r>
          </w:p>
        </w:tc>
      </w:tr>
      <w:tr w:rsidR="00B02C6E" w14:paraId="754A75CD" w14:textId="77777777" w:rsidTr="00453BF8">
        <w:trPr>
          <w:gridBefore w:val="1"/>
          <w:wBefore w:w="6" w:type="dxa"/>
        </w:trPr>
        <w:tc>
          <w:tcPr>
            <w:tcW w:w="1500" w:type="dxa"/>
          </w:tcPr>
          <w:p w14:paraId="3BA1C520"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镜像功能</w:t>
            </w:r>
          </w:p>
        </w:tc>
        <w:tc>
          <w:tcPr>
            <w:tcW w:w="7284" w:type="dxa"/>
            <w:gridSpan w:val="2"/>
          </w:tcPr>
          <w:p w14:paraId="48142F45"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支持多个物理端口的流量镜像到一个端口</w:t>
            </w:r>
          </w:p>
          <w:p w14:paraId="49665151"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支持流镜像、远程端口镜像（RSPAN）</w:t>
            </w:r>
          </w:p>
        </w:tc>
      </w:tr>
      <w:tr w:rsidR="00B02C6E" w14:paraId="2506858D" w14:textId="77777777" w:rsidTr="00453BF8">
        <w:trPr>
          <w:gridBefore w:val="1"/>
          <w:wBefore w:w="6" w:type="dxa"/>
        </w:trPr>
        <w:tc>
          <w:tcPr>
            <w:tcW w:w="1500" w:type="dxa"/>
          </w:tcPr>
          <w:p w14:paraId="44963075"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访问控制</w:t>
            </w:r>
          </w:p>
        </w:tc>
        <w:tc>
          <w:tcPr>
            <w:tcW w:w="7284" w:type="dxa"/>
            <w:gridSpan w:val="2"/>
          </w:tcPr>
          <w:p w14:paraId="50CDE36D"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支持基于第二层、第三层和第四层的ACL、支持双向ACL</w:t>
            </w:r>
          </w:p>
          <w:p w14:paraId="059AAE28"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支持VLAN ACL和IPv6 ACL</w:t>
            </w:r>
          </w:p>
          <w:p w14:paraId="1A17FB0B"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支持IP/Port/MAC的绑定功能</w:t>
            </w:r>
          </w:p>
        </w:tc>
      </w:tr>
      <w:tr w:rsidR="00B02C6E" w14:paraId="5107360E" w14:textId="77777777" w:rsidTr="00453BF8">
        <w:trPr>
          <w:gridBefore w:val="1"/>
          <w:wBefore w:w="6" w:type="dxa"/>
        </w:trPr>
        <w:tc>
          <w:tcPr>
            <w:tcW w:w="1500" w:type="dxa"/>
          </w:tcPr>
          <w:p w14:paraId="063E40AD" w14:textId="77777777" w:rsidR="00B02C6E" w:rsidRDefault="00B02C6E" w:rsidP="00453BF8">
            <w:pPr>
              <w:spacing w:line="560" w:lineRule="exact"/>
              <w:rPr>
                <w:rFonts w:ascii="仿宋_GB2312" w:eastAsia="仿宋_GB2312" w:hAnsi="仿宋_GB2312" w:cs="仿宋_GB2312"/>
                <w:sz w:val="32"/>
                <w:szCs w:val="32"/>
              </w:rPr>
            </w:pPr>
            <w:proofErr w:type="spellStart"/>
            <w:r>
              <w:rPr>
                <w:rFonts w:ascii="仿宋_GB2312" w:eastAsia="仿宋_GB2312" w:hAnsi="仿宋_GB2312" w:cs="仿宋_GB2312" w:hint="eastAsia"/>
                <w:sz w:val="32"/>
                <w:szCs w:val="32"/>
              </w:rPr>
              <w:t>VxLAN</w:t>
            </w:r>
            <w:proofErr w:type="spellEnd"/>
          </w:p>
        </w:tc>
        <w:tc>
          <w:tcPr>
            <w:tcW w:w="7284" w:type="dxa"/>
            <w:gridSpan w:val="2"/>
          </w:tcPr>
          <w:p w14:paraId="1D43E725"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支持</w:t>
            </w:r>
            <w:proofErr w:type="spellStart"/>
            <w:r>
              <w:rPr>
                <w:rFonts w:ascii="仿宋_GB2312" w:eastAsia="仿宋_GB2312" w:hAnsi="仿宋_GB2312" w:cs="仿宋_GB2312" w:hint="eastAsia"/>
                <w:sz w:val="32"/>
                <w:szCs w:val="32"/>
              </w:rPr>
              <w:t>VxLAN</w:t>
            </w:r>
            <w:proofErr w:type="spellEnd"/>
            <w:r>
              <w:rPr>
                <w:rFonts w:ascii="仿宋_GB2312" w:eastAsia="仿宋_GB2312" w:hAnsi="仿宋_GB2312" w:cs="仿宋_GB2312" w:hint="eastAsia"/>
                <w:sz w:val="32"/>
                <w:szCs w:val="32"/>
              </w:rPr>
              <w:t>功能，支持BGP EVPN，支持分布式 Anycast 网关；支持控制器基于GUI界面进行</w:t>
            </w:r>
            <w:proofErr w:type="spellStart"/>
            <w:r>
              <w:rPr>
                <w:rFonts w:ascii="仿宋_GB2312" w:eastAsia="仿宋_GB2312" w:hAnsi="仿宋_GB2312" w:cs="仿宋_GB2312" w:hint="eastAsia"/>
                <w:sz w:val="32"/>
                <w:szCs w:val="32"/>
              </w:rPr>
              <w:t>VxLAN</w:t>
            </w:r>
            <w:proofErr w:type="spellEnd"/>
            <w:r>
              <w:rPr>
                <w:rFonts w:ascii="仿宋_GB2312" w:eastAsia="仿宋_GB2312" w:hAnsi="仿宋_GB2312" w:cs="仿宋_GB2312" w:hint="eastAsia"/>
                <w:sz w:val="32"/>
                <w:szCs w:val="32"/>
              </w:rPr>
              <w:t xml:space="preserve"> Fabric配置并下发给交换机，提供权威第三方测试报告</w:t>
            </w:r>
          </w:p>
        </w:tc>
      </w:tr>
      <w:tr w:rsidR="00B02C6E" w14:paraId="2B0C660A" w14:textId="77777777" w:rsidTr="00453BF8">
        <w:trPr>
          <w:gridBefore w:val="1"/>
          <w:wBefore w:w="6" w:type="dxa"/>
        </w:trPr>
        <w:tc>
          <w:tcPr>
            <w:tcW w:w="1500" w:type="dxa"/>
          </w:tcPr>
          <w:p w14:paraId="1CB19918"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MPLS</w:t>
            </w:r>
          </w:p>
        </w:tc>
        <w:tc>
          <w:tcPr>
            <w:tcW w:w="7284" w:type="dxa"/>
            <w:gridSpan w:val="2"/>
          </w:tcPr>
          <w:p w14:paraId="644AF7AC"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支持MPLS L3VPN、MPLS QoS</w:t>
            </w:r>
          </w:p>
        </w:tc>
      </w:tr>
      <w:tr w:rsidR="00B02C6E" w14:paraId="55CDA937" w14:textId="77777777" w:rsidTr="00453BF8">
        <w:trPr>
          <w:gridBefore w:val="1"/>
          <w:wBefore w:w="6" w:type="dxa"/>
          <w:trHeight w:val="567"/>
        </w:trPr>
        <w:tc>
          <w:tcPr>
            <w:tcW w:w="1500" w:type="dxa"/>
            <w:vMerge w:val="restart"/>
          </w:tcPr>
          <w:p w14:paraId="15B35E55"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QOS/ACL</w:t>
            </w:r>
          </w:p>
        </w:tc>
        <w:tc>
          <w:tcPr>
            <w:tcW w:w="7284" w:type="dxa"/>
            <w:gridSpan w:val="2"/>
          </w:tcPr>
          <w:p w14:paraId="1D36AE69"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设备支持IPV4 ACL 32K，IPV6 ACL 16K</w:t>
            </w:r>
          </w:p>
        </w:tc>
      </w:tr>
      <w:tr w:rsidR="00B02C6E" w14:paraId="1463E039" w14:textId="77777777" w:rsidTr="00453BF8">
        <w:trPr>
          <w:gridBefore w:val="1"/>
          <w:wBefore w:w="6" w:type="dxa"/>
        </w:trPr>
        <w:tc>
          <w:tcPr>
            <w:tcW w:w="1500" w:type="dxa"/>
            <w:vMerge/>
          </w:tcPr>
          <w:p w14:paraId="4DE1903A" w14:textId="77777777" w:rsidR="00B02C6E" w:rsidRDefault="00B02C6E" w:rsidP="00453BF8">
            <w:pPr>
              <w:spacing w:line="560" w:lineRule="exact"/>
              <w:rPr>
                <w:rFonts w:ascii="仿宋_GB2312" w:eastAsia="仿宋_GB2312" w:hAnsi="仿宋_GB2312" w:cs="仿宋_GB2312"/>
                <w:sz w:val="32"/>
                <w:szCs w:val="32"/>
              </w:rPr>
            </w:pPr>
          </w:p>
        </w:tc>
        <w:tc>
          <w:tcPr>
            <w:tcW w:w="7284" w:type="dxa"/>
            <w:gridSpan w:val="2"/>
          </w:tcPr>
          <w:p w14:paraId="6166D477"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支持DRR、SP、DRR+SP队列调度算法</w:t>
            </w:r>
          </w:p>
          <w:p w14:paraId="40F1B970"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支持双向端口限速、广播风暴抑制功能</w:t>
            </w:r>
          </w:p>
        </w:tc>
      </w:tr>
      <w:tr w:rsidR="00B02C6E" w14:paraId="335B40C2" w14:textId="77777777" w:rsidTr="00453BF8">
        <w:trPr>
          <w:gridBefore w:val="1"/>
          <w:wBefore w:w="6" w:type="dxa"/>
        </w:trPr>
        <w:tc>
          <w:tcPr>
            <w:tcW w:w="1500" w:type="dxa"/>
            <w:vMerge/>
          </w:tcPr>
          <w:p w14:paraId="569D98B6" w14:textId="77777777" w:rsidR="00B02C6E" w:rsidRDefault="00B02C6E" w:rsidP="00453BF8">
            <w:pPr>
              <w:spacing w:line="560" w:lineRule="exact"/>
              <w:rPr>
                <w:rFonts w:ascii="仿宋_GB2312" w:eastAsia="仿宋_GB2312" w:hAnsi="仿宋_GB2312" w:cs="仿宋_GB2312"/>
                <w:sz w:val="32"/>
                <w:szCs w:val="32"/>
              </w:rPr>
            </w:pPr>
          </w:p>
        </w:tc>
        <w:tc>
          <w:tcPr>
            <w:tcW w:w="7284" w:type="dxa"/>
            <w:gridSpan w:val="2"/>
          </w:tcPr>
          <w:p w14:paraId="76F86C2F"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设备支持流量微突发检测，微突发检测采样支持</w:t>
            </w:r>
            <w:proofErr w:type="spellStart"/>
            <w:r>
              <w:rPr>
                <w:rFonts w:ascii="仿宋_GB2312" w:eastAsia="仿宋_GB2312" w:hAnsi="仿宋_GB2312" w:cs="仿宋_GB2312" w:hint="eastAsia"/>
                <w:sz w:val="32"/>
                <w:szCs w:val="32"/>
              </w:rPr>
              <w:t>ms</w:t>
            </w:r>
            <w:proofErr w:type="spellEnd"/>
            <w:r>
              <w:rPr>
                <w:rFonts w:ascii="仿宋_GB2312" w:eastAsia="仿宋_GB2312" w:hAnsi="仿宋_GB2312" w:cs="仿宋_GB2312" w:hint="eastAsia"/>
                <w:sz w:val="32"/>
                <w:szCs w:val="32"/>
              </w:rPr>
              <w:t>级，支持统计微突发流量平均速率、峰值速率、缓存峰值数据、平均值。</w:t>
            </w:r>
          </w:p>
        </w:tc>
      </w:tr>
      <w:tr w:rsidR="00B02C6E" w14:paraId="1B3AD659" w14:textId="77777777" w:rsidTr="00453BF8">
        <w:trPr>
          <w:gridBefore w:val="1"/>
          <w:wBefore w:w="6" w:type="dxa"/>
          <w:trHeight w:val="634"/>
        </w:trPr>
        <w:tc>
          <w:tcPr>
            <w:tcW w:w="1500" w:type="dxa"/>
            <w:vMerge/>
          </w:tcPr>
          <w:p w14:paraId="4ED02BB7" w14:textId="77777777" w:rsidR="00B02C6E" w:rsidRDefault="00B02C6E" w:rsidP="00453BF8">
            <w:pPr>
              <w:spacing w:line="560" w:lineRule="exact"/>
              <w:rPr>
                <w:rFonts w:ascii="仿宋_GB2312" w:eastAsia="仿宋_GB2312" w:hAnsi="仿宋_GB2312" w:cs="仿宋_GB2312"/>
                <w:sz w:val="32"/>
                <w:szCs w:val="32"/>
              </w:rPr>
            </w:pPr>
          </w:p>
        </w:tc>
        <w:tc>
          <w:tcPr>
            <w:tcW w:w="7284" w:type="dxa"/>
            <w:gridSpan w:val="2"/>
          </w:tcPr>
          <w:p w14:paraId="2329F222"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设备支持大缓存模式应对流量突发，整机缓存大于10M缓存</w:t>
            </w:r>
          </w:p>
        </w:tc>
      </w:tr>
      <w:tr w:rsidR="00B02C6E" w14:paraId="217C60BE" w14:textId="77777777" w:rsidTr="00453BF8">
        <w:trPr>
          <w:gridBefore w:val="1"/>
          <w:wBefore w:w="6" w:type="dxa"/>
        </w:trPr>
        <w:tc>
          <w:tcPr>
            <w:tcW w:w="1500" w:type="dxa"/>
            <w:vMerge w:val="restart"/>
          </w:tcPr>
          <w:p w14:paraId="3B3DDF90"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安全功能</w:t>
            </w:r>
          </w:p>
        </w:tc>
        <w:tc>
          <w:tcPr>
            <w:tcW w:w="7284" w:type="dxa"/>
            <w:gridSpan w:val="2"/>
          </w:tcPr>
          <w:p w14:paraId="4FB658E0" w14:textId="77777777" w:rsidR="00B02C6E" w:rsidRDefault="00B02C6E" w:rsidP="00453BF8">
            <w:pPr>
              <w:tabs>
                <w:tab w:val="left" w:pos="1519"/>
              </w:tabs>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支持DHCPv6 Snooping，IP Source Guard，SAVI等安全特性</w:t>
            </w:r>
          </w:p>
        </w:tc>
      </w:tr>
      <w:tr w:rsidR="00B02C6E" w14:paraId="189CCCFC" w14:textId="77777777" w:rsidTr="00453BF8">
        <w:trPr>
          <w:gridBefore w:val="1"/>
          <w:wBefore w:w="6" w:type="dxa"/>
        </w:trPr>
        <w:tc>
          <w:tcPr>
            <w:tcW w:w="1500" w:type="dxa"/>
            <w:vMerge/>
          </w:tcPr>
          <w:p w14:paraId="3B982AEC" w14:textId="77777777" w:rsidR="00B02C6E" w:rsidRDefault="00B02C6E" w:rsidP="00453BF8">
            <w:pPr>
              <w:spacing w:line="560" w:lineRule="exact"/>
              <w:rPr>
                <w:rFonts w:ascii="仿宋_GB2312" w:eastAsia="仿宋_GB2312" w:hAnsi="仿宋_GB2312" w:cs="仿宋_GB2312"/>
                <w:sz w:val="32"/>
                <w:szCs w:val="32"/>
              </w:rPr>
            </w:pPr>
          </w:p>
        </w:tc>
        <w:tc>
          <w:tcPr>
            <w:tcW w:w="7284" w:type="dxa"/>
            <w:gridSpan w:val="2"/>
          </w:tcPr>
          <w:p w14:paraId="57B367AA"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支持全端口</w:t>
            </w:r>
            <w:proofErr w:type="spellStart"/>
            <w:r>
              <w:rPr>
                <w:rFonts w:ascii="仿宋_GB2312" w:eastAsia="仿宋_GB2312" w:hAnsi="仿宋_GB2312" w:cs="仿宋_GB2312" w:hint="eastAsia"/>
                <w:sz w:val="32"/>
                <w:szCs w:val="32"/>
              </w:rPr>
              <w:t>Macsec</w:t>
            </w:r>
            <w:proofErr w:type="spellEnd"/>
            <w:r>
              <w:rPr>
                <w:rFonts w:ascii="仿宋_GB2312" w:eastAsia="仿宋_GB2312" w:hAnsi="仿宋_GB2312" w:cs="仿宋_GB2312" w:hint="eastAsia"/>
                <w:sz w:val="32"/>
                <w:szCs w:val="32"/>
              </w:rPr>
              <w:t>，通过部署整网</w:t>
            </w:r>
            <w:proofErr w:type="spellStart"/>
            <w:r>
              <w:rPr>
                <w:rFonts w:ascii="仿宋_GB2312" w:eastAsia="仿宋_GB2312" w:hAnsi="仿宋_GB2312" w:cs="仿宋_GB2312" w:hint="eastAsia"/>
                <w:sz w:val="32"/>
                <w:szCs w:val="32"/>
              </w:rPr>
              <w:t>Macsec</w:t>
            </w:r>
            <w:proofErr w:type="spellEnd"/>
            <w:r>
              <w:rPr>
                <w:rFonts w:ascii="仿宋_GB2312" w:eastAsia="仿宋_GB2312" w:hAnsi="仿宋_GB2312" w:cs="仿宋_GB2312" w:hint="eastAsia"/>
                <w:sz w:val="32"/>
                <w:szCs w:val="32"/>
              </w:rPr>
              <w:t>，降低信息泄露和遭受恶意网络攻击的风险</w:t>
            </w:r>
          </w:p>
        </w:tc>
      </w:tr>
      <w:tr w:rsidR="00B02C6E" w14:paraId="037BA386" w14:textId="77777777" w:rsidTr="00453BF8">
        <w:trPr>
          <w:gridBefore w:val="1"/>
          <w:wBefore w:w="6" w:type="dxa"/>
        </w:trPr>
        <w:tc>
          <w:tcPr>
            <w:tcW w:w="1500" w:type="dxa"/>
            <w:vMerge/>
          </w:tcPr>
          <w:p w14:paraId="5270AC6C" w14:textId="77777777" w:rsidR="00B02C6E" w:rsidRDefault="00B02C6E" w:rsidP="00453BF8">
            <w:pPr>
              <w:spacing w:line="560" w:lineRule="exact"/>
              <w:rPr>
                <w:rFonts w:ascii="仿宋_GB2312" w:eastAsia="仿宋_GB2312" w:hAnsi="仿宋_GB2312" w:cs="仿宋_GB2312"/>
                <w:sz w:val="32"/>
                <w:szCs w:val="32"/>
              </w:rPr>
            </w:pPr>
          </w:p>
        </w:tc>
        <w:tc>
          <w:tcPr>
            <w:tcW w:w="7284" w:type="dxa"/>
            <w:gridSpan w:val="2"/>
          </w:tcPr>
          <w:p w14:paraId="47939303"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支持安全启动，通过安全CPU、</w:t>
            </w:r>
            <w:proofErr w:type="spellStart"/>
            <w:r>
              <w:rPr>
                <w:rFonts w:ascii="仿宋_GB2312" w:eastAsia="仿宋_GB2312" w:hAnsi="仿宋_GB2312" w:cs="仿宋_GB2312" w:hint="eastAsia"/>
                <w:sz w:val="32"/>
                <w:szCs w:val="32"/>
              </w:rPr>
              <w:t>eFuse</w:t>
            </w:r>
            <w:proofErr w:type="spellEnd"/>
            <w:r>
              <w:rPr>
                <w:rFonts w:ascii="仿宋_GB2312" w:eastAsia="仿宋_GB2312" w:hAnsi="仿宋_GB2312" w:cs="仿宋_GB2312" w:hint="eastAsia"/>
                <w:sz w:val="32"/>
                <w:szCs w:val="32"/>
              </w:rPr>
              <w:t>等安全措施，从可信硬件</w:t>
            </w:r>
            <w:proofErr w:type="gramStart"/>
            <w:r>
              <w:rPr>
                <w:rFonts w:ascii="仿宋_GB2312" w:eastAsia="仿宋_GB2312" w:hAnsi="仿宋_GB2312" w:cs="仿宋_GB2312" w:hint="eastAsia"/>
                <w:sz w:val="32"/>
                <w:szCs w:val="32"/>
              </w:rPr>
              <w:t>锚</w:t>
            </w:r>
            <w:proofErr w:type="gramEnd"/>
            <w:r>
              <w:rPr>
                <w:rFonts w:ascii="仿宋_GB2312" w:eastAsia="仿宋_GB2312" w:hAnsi="仿宋_GB2312" w:cs="仿宋_GB2312" w:hint="eastAsia"/>
                <w:sz w:val="32"/>
                <w:szCs w:val="32"/>
              </w:rPr>
              <w:t>开始，启动过程中的每一步进行验证，确保每一阶段运行程序是可信的。</w:t>
            </w:r>
          </w:p>
        </w:tc>
      </w:tr>
      <w:tr w:rsidR="00B02C6E" w14:paraId="2F0B12D8" w14:textId="77777777" w:rsidTr="00453BF8">
        <w:trPr>
          <w:gridBefore w:val="1"/>
          <w:wBefore w:w="6" w:type="dxa"/>
        </w:trPr>
        <w:tc>
          <w:tcPr>
            <w:tcW w:w="1500" w:type="dxa"/>
          </w:tcPr>
          <w:p w14:paraId="393CFF75" w14:textId="77777777" w:rsidR="00B02C6E" w:rsidRDefault="00B02C6E" w:rsidP="00453BF8">
            <w:pPr>
              <w:spacing w:line="560" w:lineRule="exact"/>
              <w:rPr>
                <w:rFonts w:ascii="仿宋_GB2312" w:eastAsia="仿宋_GB2312" w:hAnsi="仿宋_GB2312" w:cs="仿宋_GB2312"/>
                <w:sz w:val="32"/>
                <w:szCs w:val="32"/>
              </w:rPr>
            </w:pPr>
          </w:p>
        </w:tc>
        <w:tc>
          <w:tcPr>
            <w:tcW w:w="7284" w:type="dxa"/>
            <w:gridSpan w:val="2"/>
          </w:tcPr>
          <w:p w14:paraId="7420F2AF" w14:textId="77777777" w:rsidR="00B02C6E" w:rsidRDefault="00B02C6E" w:rsidP="00453BF8">
            <w:pPr>
              <w:spacing w:line="560" w:lineRule="exact"/>
              <w:rPr>
                <w:rFonts w:ascii="仿宋_GB2312" w:eastAsia="仿宋_GB2312" w:hAnsi="仿宋_GB2312" w:cs="仿宋_GB2312"/>
                <w:sz w:val="32"/>
                <w:szCs w:val="32"/>
              </w:rPr>
            </w:pPr>
          </w:p>
        </w:tc>
      </w:tr>
      <w:tr w:rsidR="00B02C6E" w14:paraId="4B45028D" w14:textId="77777777" w:rsidTr="00453BF8">
        <w:trPr>
          <w:gridAfter w:val="1"/>
          <w:wAfter w:w="113" w:type="dxa"/>
        </w:trPr>
        <w:tc>
          <w:tcPr>
            <w:tcW w:w="1500" w:type="dxa"/>
            <w:gridSpan w:val="2"/>
          </w:tcPr>
          <w:p w14:paraId="56DEB844" w14:textId="77777777" w:rsidR="00B02C6E" w:rsidRDefault="00B02C6E" w:rsidP="00453BF8">
            <w:pPr>
              <w:spacing w:line="560" w:lineRule="exact"/>
              <w:rPr>
                <w:rFonts w:ascii="仿宋_GB2312" w:eastAsia="仿宋_GB2312" w:hAnsi="仿宋_GB2312" w:cs="仿宋_GB2312"/>
                <w:sz w:val="32"/>
                <w:szCs w:val="32"/>
              </w:rPr>
            </w:pPr>
          </w:p>
        </w:tc>
        <w:tc>
          <w:tcPr>
            <w:tcW w:w="7284" w:type="dxa"/>
          </w:tcPr>
          <w:p w14:paraId="394FF3B4" w14:textId="77777777" w:rsidR="00B02C6E" w:rsidRDefault="00B02C6E" w:rsidP="00453BF8">
            <w:pPr>
              <w:spacing w:line="560" w:lineRule="exact"/>
              <w:rPr>
                <w:rFonts w:ascii="仿宋_GB2312" w:eastAsia="仿宋_GB2312" w:hAnsi="仿宋_GB2312" w:cs="仿宋_GB2312"/>
                <w:sz w:val="32"/>
                <w:szCs w:val="32"/>
              </w:rPr>
            </w:pPr>
          </w:p>
        </w:tc>
      </w:tr>
      <w:tr w:rsidR="00B02C6E" w14:paraId="1B72D6AE" w14:textId="77777777" w:rsidTr="00453BF8">
        <w:trPr>
          <w:gridAfter w:val="1"/>
          <w:wAfter w:w="113" w:type="dxa"/>
        </w:trPr>
        <w:tc>
          <w:tcPr>
            <w:tcW w:w="1500" w:type="dxa"/>
            <w:gridSpan w:val="2"/>
          </w:tcPr>
          <w:p w14:paraId="317FC3F9" w14:textId="77777777" w:rsidR="00B02C6E" w:rsidRDefault="00B02C6E" w:rsidP="00453BF8">
            <w:pPr>
              <w:spacing w:line="560" w:lineRule="exact"/>
              <w:rPr>
                <w:rFonts w:ascii="仿宋_GB2312" w:eastAsia="仿宋_GB2312" w:hAnsi="仿宋_GB2312" w:cs="仿宋_GB2312"/>
                <w:sz w:val="32"/>
                <w:szCs w:val="32"/>
              </w:rPr>
            </w:pPr>
          </w:p>
        </w:tc>
        <w:tc>
          <w:tcPr>
            <w:tcW w:w="7284" w:type="dxa"/>
          </w:tcPr>
          <w:p w14:paraId="0D8DFEC0" w14:textId="77777777" w:rsidR="00B02C6E" w:rsidRDefault="00B02C6E" w:rsidP="00453BF8">
            <w:pPr>
              <w:spacing w:line="560" w:lineRule="exact"/>
              <w:rPr>
                <w:rFonts w:ascii="仿宋_GB2312" w:eastAsia="仿宋_GB2312" w:hAnsi="仿宋_GB2312" w:cs="仿宋_GB2312"/>
                <w:sz w:val="32"/>
                <w:szCs w:val="32"/>
              </w:rPr>
            </w:pPr>
          </w:p>
        </w:tc>
      </w:tr>
      <w:tr w:rsidR="00B02C6E" w14:paraId="61EC5732" w14:textId="77777777" w:rsidTr="00453BF8">
        <w:trPr>
          <w:gridAfter w:val="1"/>
          <w:wAfter w:w="113" w:type="dxa"/>
        </w:trPr>
        <w:tc>
          <w:tcPr>
            <w:tcW w:w="1500" w:type="dxa"/>
            <w:gridSpan w:val="2"/>
          </w:tcPr>
          <w:p w14:paraId="1FA29D44" w14:textId="77777777" w:rsidR="00B02C6E" w:rsidRDefault="00B02C6E" w:rsidP="00453BF8">
            <w:pPr>
              <w:spacing w:line="560" w:lineRule="exact"/>
              <w:rPr>
                <w:rFonts w:ascii="仿宋_GB2312" w:eastAsia="仿宋_GB2312" w:hAnsi="仿宋_GB2312" w:cs="仿宋_GB2312"/>
                <w:sz w:val="32"/>
                <w:szCs w:val="32"/>
              </w:rPr>
            </w:pPr>
          </w:p>
        </w:tc>
        <w:tc>
          <w:tcPr>
            <w:tcW w:w="7284" w:type="dxa"/>
          </w:tcPr>
          <w:p w14:paraId="3C77FB31" w14:textId="77777777" w:rsidR="00B02C6E" w:rsidRDefault="00B02C6E" w:rsidP="00453BF8">
            <w:pPr>
              <w:spacing w:line="560" w:lineRule="exact"/>
              <w:rPr>
                <w:rFonts w:ascii="仿宋_GB2312" w:eastAsia="仿宋_GB2312" w:hAnsi="仿宋_GB2312" w:cs="仿宋_GB2312"/>
                <w:sz w:val="32"/>
                <w:szCs w:val="32"/>
              </w:rPr>
            </w:pPr>
          </w:p>
        </w:tc>
      </w:tr>
      <w:tr w:rsidR="00B02C6E" w14:paraId="22E7C542" w14:textId="77777777" w:rsidTr="00453BF8">
        <w:trPr>
          <w:gridAfter w:val="1"/>
          <w:wAfter w:w="113" w:type="dxa"/>
        </w:trPr>
        <w:tc>
          <w:tcPr>
            <w:tcW w:w="1500" w:type="dxa"/>
            <w:gridSpan w:val="2"/>
          </w:tcPr>
          <w:p w14:paraId="42DA158C" w14:textId="77777777" w:rsidR="00B02C6E" w:rsidRDefault="00B02C6E" w:rsidP="00453BF8">
            <w:pPr>
              <w:spacing w:line="560" w:lineRule="exact"/>
              <w:rPr>
                <w:rFonts w:ascii="仿宋_GB2312" w:eastAsia="仿宋_GB2312" w:hAnsi="仿宋_GB2312" w:cs="仿宋_GB2312"/>
                <w:sz w:val="32"/>
                <w:szCs w:val="32"/>
              </w:rPr>
            </w:pPr>
          </w:p>
        </w:tc>
        <w:tc>
          <w:tcPr>
            <w:tcW w:w="7284" w:type="dxa"/>
          </w:tcPr>
          <w:p w14:paraId="4379636A" w14:textId="77777777" w:rsidR="00B02C6E" w:rsidRDefault="00B02C6E" w:rsidP="00453BF8">
            <w:pPr>
              <w:spacing w:line="560" w:lineRule="exact"/>
              <w:rPr>
                <w:rFonts w:ascii="仿宋_GB2312" w:eastAsia="仿宋_GB2312" w:hAnsi="仿宋_GB2312" w:cs="仿宋_GB2312"/>
                <w:sz w:val="32"/>
                <w:szCs w:val="32"/>
              </w:rPr>
            </w:pPr>
          </w:p>
        </w:tc>
      </w:tr>
      <w:tr w:rsidR="00B02C6E" w14:paraId="1B6B24CD" w14:textId="77777777" w:rsidTr="00453BF8">
        <w:trPr>
          <w:gridAfter w:val="1"/>
          <w:wAfter w:w="113" w:type="dxa"/>
        </w:trPr>
        <w:tc>
          <w:tcPr>
            <w:tcW w:w="1500" w:type="dxa"/>
            <w:gridSpan w:val="2"/>
          </w:tcPr>
          <w:p w14:paraId="30873019" w14:textId="77777777" w:rsidR="00B02C6E" w:rsidRDefault="00B02C6E" w:rsidP="00453BF8">
            <w:pPr>
              <w:spacing w:line="560" w:lineRule="exact"/>
              <w:rPr>
                <w:rFonts w:ascii="仿宋_GB2312" w:eastAsia="仿宋_GB2312" w:hAnsi="仿宋_GB2312" w:cs="仿宋_GB2312"/>
                <w:sz w:val="32"/>
                <w:szCs w:val="32"/>
              </w:rPr>
            </w:pPr>
          </w:p>
        </w:tc>
        <w:tc>
          <w:tcPr>
            <w:tcW w:w="7284" w:type="dxa"/>
          </w:tcPr>
          <w:p w14:paraId="4D4CEE9F" w14:textId="77777777" w:rsidR="00B02C6E" w:rsidRDefault="00B02C6E" w:rsidP="00453BF8">
            <w:pPr>
              <w:spacing w:line="560" w:lineRule="exact"/>
              <w:rPr>
                <w:rFonts w:ascii="仿宋_GB2312" w:eastAsia="仿宋_GB2312" w:hAnsi="仿宋_GB2312" w:cs="仿宋_GB2312"/>
                <w:sz w:val="32"/>
                <w:szCs w:val="32"/>
              </w:rPr>
            </w:pPr>
          </w:p>
        </w:tc>
      </w:tr>
      <w:tr w:rsidR="00B02C6E" w14:paraId="57C840ED" w14:textId="77777777" w:rsidTr="00453BF8">
        <w:trPr>
          <w:gridAfter w:val="1"/>
          <w:wAfter w:w="113" w:type="dxa"/>
        </w:trPr>
        <w:tc>
          <w:tcPr>
            <w:tcW w:w="1500" w:type="dxa"/>
            <w:gridSpan w:val="2"/>
          </w:tcPr>
          <w:p w14:paraId="786F9A8B" w14:textId="77777777" w:rsidR="00B02C6E" w:rsidRDefault="00B02C6E" w:rsidP="00453BF8">
            <w:pPr>
              <w:spacing w:line="560" w:lineRule="exact"/>
              <w:rPr>
                <w:rFonts w:ascii="仿宋_GB2312" w:eastAsia="仿宋_GB2312" w:hAnsi="仿宋_GB2312" w:cs="仿宋_GB2312"/>
                <w:sz w:val="32"/>
                <w:szCs w:val="32"/>
              </w:rPr>
            </w:pPr>
          </w:p>
        </w:tc>
        <w:tc>
          <w:tcPr>
            <w:tcW w:w="7284" w:type="dxa"/>
          </w:tcPr>
          <w:p w14:paraId="6C88D109" w14:textId="77777777" w:rsidR="00B02C6E" w:rsidRDefault="00B02C6E" w:rsidP="00453BF8">
            <w:pPr>
              <w:spacing w:line="560" w:lineRule="exact"/>
              <w:rPr>
                <w:rFonts w:ascii="仿宋_GB2312" w:eastAsia="仿宋_GB2312" w:hAnsi="仿宋_GB2312" w:cs="仿宋_GB2312"/>
                <w:sz w:val="32"/>
                <w:szCs w:val="32"/>
              </w:rPr>
            </w:pPr>
          </w:p>
        </w:tc>
      </w:tr>
      <w:tr w:rsidR="00B02C6E" w14:paraId="40175EDA" w14:textId="77777777" w:rsidTr="00453BF8">
        <w:trPr>
          <w:gridAfter w:val="1"/>
          <w:wAfter w:w="113" w:type="dxa"/>
        </w:trPr>
        <w:tc>
          <w:tcPr>
            <w:tcW w:w="1500" w:type="dxa"/>
            <w:gridSpan w:val="2"/>
          </w:tcPr>
          <w:p w14:paraId="386FAB46" w14:textId="77777777" w:rsidR="00B02C6E" w:rsidRDefault="00B02C6E" w:rsidP="00453BF8">
            <w:pPr>
              <w:spacing w:line="560" w:lineRule="exact"/>
              <w:rPr>
                <w:rFonts w:ascii="仿宋_GB2312" w:eastAsia="仿宋_GB2312" w:hAnsi="仿宋_GB2312" w:cs="仿宋_GB2312"/>
                <w:sz w:val="32"/>
                <w:szCs w:val="32"/>
              </w:rPr>
            </w:pPr>
          </w:p>
        </w:tc>
        <w:tc>
          <w:tcPr>
            <w:tcW w:w="7284" w:type="dxa"/>
          </w:tcPr>
          <w:p w14:paraId="2F0A7AD7" w14:textId="77777777" w:rsidR="00B02C6E" w:rsidRDefault="00B02C6E" w:rsidP="00453BF8">
            <w:pPr>
              <w:spacing w:line="560" w:lineRule="exact"/>
              <w:rPr>
                <w:rFonts w:ascii="仿宋_GB2312" w:eastAsia="仿宋_GB2312" w:hAnsi="仿宋_GB2312" w:cs="仿宋_GB2312"/>
                <w:sz w:val="32"/>
                <w:szCs w:val="32"/>
              </w:rPr>
            </w:pPr>
          </w:p>
        </w:tc>
      </w:tr>
      <w:tr w:rsidR="00B02C6E" w14:paraId="34E7F18A" w14:textId="77777777" w:rsidTr="00453BF8">
        <w:trPr>
          <w:gridAfter w:val="1"/>
          <w:wAfter w:w="113" w:type="dxa"/>
          <w:trHeight w:val="310"/>
        </w:trPr>
        <w:tc>
          <w:tcPr>
            <w:tcW w:w="1500" w:type="dxa"/>
            <w:gridSpan w:val="2"/>
          </w:tcPr>
          <w:p w14:paraId="5B9E9561"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可靠性</w:t>
            </w:r>
          </w:p>
        </w:tc>
        <w:tc>
          <w:tcPr>
            <w:tcW w:w="7284" w:type="dxa"/>
          </w:tcPr>
          <w:p w14:paraId="6DD58F50"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支持G.8032(ERPS)标准以太环网协议，故障倒换收敛时间小于50ms</w:t>
            </w:r>
          </w:p>
        </w:tc>
      </w:tr>
      <w:tr w:rsidR="00B02C6E" w14:paraId="02876061" w14:textId="77777777" w:rsidTr="00453BF8">
        <w:trPr>
          <w:gridBefore w:val="1"/>
          <w:wBefore w:w="6" w:type="dxa"/>
        </w:trPr>
        <w:tc>
          <w:tcPr>
            <w:tcW w:w="1500" w:type="dxa"/>
          </w:tcPr>
          <w:p w14:paraId="412A102D" w14:textId="77777777" w:rsidR="00B02C6E" w:rsidRDefault="00B02C6E" w:rsidP="00453BF8">
            <w:pPr>
              <w:spacing w:line="560" w:lineRule="exact"/>
              <w:rPr>
                <w:rFonts w:ascii="仿宋_GB2312" w:eastAsia="仿宋_GB2312" w:hAnsi="仿宋_GB2312" w:cs="仿宋_GB2312"/>
                <w:sz w:val="32"/>
                <w:szCs w:val="32"/>
              </w:rPr>
            </w:pPr>
          </w:p>
        </w:tc>
        <w:tc>
          <w:tcPr>
            <w:tcW w:w="7284" w:type="dxa"/>
            <w:gridSpan w:val="2"/>
          </w:tcPr>
          <w:p w14:paraId="05BB6E69"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支持ETH OAM、802.lag、802.3ah、Y.1731、BFD</w:t>
            </w:r>
          </w:p>
        </w:tc>
      </w:tr>
      <w:tr w:rsidR="00B02C6E" w14:paraId="79659883" w14:textId="77777777" w:rsidTr="00453BF8">
        <w:trPr>
          <w:gridBefore w:val="1"/>
          <w:wBefore w:w="6" w:type="dxa"/>
        </w:trPr>
        <w:tc>
          <w:tcPr>
            <w:tcW w:w="1500" w:type="dxa"/>
          </w:tcPr>
          <w:p w14:paraId="1E891F7D"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管理维护</w:t>
            </w:r>
          </w:p>
        </w:tc>
        <w:tc>
          <w:tcPr>
            <w:tcW w:w="7284" w:type="dxa"/>
            <w:gridSpan w:val="2"/>
          </w:tcPr>
          <w:p w14:paraId="0D89C55F"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支持SNMP v1/v2/v3、Telnet、RMON、SSHv2</w:t>
            </w:r>
          </w:p>
        </w:tc>
      </w:tr>
      <w:tr w:rsidR="00B02C6E" w14:paraId="3A0FC836" w14:textId="77777777" w:rsidTr="00453BF8">
        <w:trPr>
          <w:gridAfter w:val="1"/>
          <w:wAfter w:w="113" w:type="dxa"/>
        </w:trPr>
        <w:tc>
          <w:tcPr>
            <w:tcW w:w="1500" w:type="dxa"/>
            <w:gridSpan w:val="2"/>
          </w:tcPr>
          <w:p w14:paraId="4998D2F9"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智能运维</w:t>
            </w:r>
          </w:p>
        </w:tc>
        <w:tc>
          <w:tcPr>
            <w:tcW w:w="7284" w:type="dxa"/>
          </w:tcPr>
          <w:p w14:paraId="06E27E31"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支持Telemetry技术</w:t>
            </w:r>
          </w:p>
        </w:tc>
      </w:tr>
      <w:tr w:rsidR="00B02C6E" w14:paraId="166EE174" w14:textId="77777777" w:rsidTr="00453BF8">
        <w:trPr>
          <w:gridBefore w:val="1"/>
          <w:wBefore w:w="6" w:type="dxa"/>
        </w:trPr>
        <w:tc>
          <w:tcPr>
            <w:tcW w:w="1500" w:type="dxa"/>
          </w:tcPr>
          <w:p w14:paraId="0A80921E" w14:textId="77777777" w:rsidR="00B02C6E" w:rsidRDefault="00B02C6E" w:rsidP="00453BF8">
            <w:pPr>
              <w:spacing w:line="560" w:lineRule="exact"/>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lastRenderedPageBreak/>
              <w:t>实配</w:t>
            </w:r>
            <w:proofErr w:type="gramEnd"/>
          </w:p>
        </w:tc>
        <w:tc>
          <w:tcPr>
            <w:tcW w:w="7284" w:type="dxa"/>
            <w:gridSpan w:val="2"/>
          </w:tcPr>
          <w:p w14:paraId="01723BDB" w14:textId="77777777" w:rsidR="00B02C6E" w:rsidRDefault="00B02C6E" w:rsidP="00453B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双电源冗余，4*万兆</w:t>
            </w:r>
            <w:proofErr w:type="gramStart"/>
            <w:r>
              <w:rPr>
                <w:rFonts w:ascii="仿宋_GB2312" w:eastAsia="仿宋_GB2312" w:hAnsi="仿宋_GB2312" w:cs="仿宋_GB2312" w:hint="eastAsia"/>
                <w:sz w:val="32"/>
                <w:szCs w:val="32"/>
              </w:rPr>
              <w:t>多模光模块</w:t>
            </w:r>
            <w:proofErr w:type="gramEnd"/>
            <w:r>
              <w:rPr>
                <w:rFonts w:ascii="仿宋_GB2312" w:eastAsia="仿宋_GB2312" w:hAnsi="仿宋_GB2312" w:cs="仿宋_GB2312" w:hint="eastAsia"/>
                <w:sz w:val="32"/>
                <w:szCs w:val="32"/>
              </w:rPr>
              <w:t>，4*40KM万兆单模光模块</w:t>
            </w:r>
          </w:p>
        </w:tc>
      </w:tr>
    </w:tbl>
    <w:p w14:paraId="36CBEF04" w14:textId="77777777" w:rsidR="00B02C6E" w:rsidRDefault="00B02C6E" w:rsidP="00B02C6E">
      <w:pPr>
        <w:pStyle w:val="3"/>
        <w:numPr>
          <w:ilvl w:val="2"/>
          <w:numId w:val="0"/>
        </w:numPr>
        <w:spacing w:before="0" w:after="0" w:line="560" w:lineRule="exact"/>
        <w:rPr>
          <w:rFonts w:ascii="仿宋_GB2312" w:eastAsia="仿宋_GB2312" w:hAnsi="仿宋_GB2312" w:cs="仿宋_GB2312"/>
          <w:sz w:val="32"/>
        </w:rPr>
      </w:pPr>
      <w:r>
        <w:rPr>
          <w:rFonts w:ascii="仿宋_GB2312" w:eastAsia="仿宋_GB2312" w:hAnsi="仿宋_GB2312" w:cs="仿宋_GB2312" w:hint="eastAsia"/>
          <w:sz w:val="32"/>
        </w:rPr>
        <w:t>（十）集控探针1套</w:t>
      </w:r>
    </w:p>
    <w:tbl>
      <w:tblPr>
        <w:tblStyle w:val="afb"/>
        <w:tblW w:w="8812" w:type="dxa"/>
        <w:jc w:val="center"/>
        <w:tblLayout w:type="fixed"/>
        <w:tblLook w:val="04A0" w:firstRow="1" w:lastRow="0" w:firstColumn="1" w:lastColumn="0" w:noHBand="0" w:noVBand="1"/>
      </w:tblPr>
      <w:tblGrid>
        <w:gridCol w:w="1524"/>
        <w:gridCol w:w="7288"/>
      </w:tblGrid>
      <w:tr w:rsidR="00B02C6E" w14:paraId="262273B0" w14:textId="77777777" w:rsidTr="00453BF8">
        <w:trPr>
          <w:trHeight w:val="20"/>
          <w:jc w:val="center"/>
        </w:trPr>
        <w:tc>
          <w:tcPr>
            <w:tcW w:w="1524" w:type="dxa"/>
            <w:vAlign w:val="center"/>
          </w:tcPr>
          <w:p w14:paraId="489D438F" w14:textId="77777777" w:rsidR="00B02C6E" w:rsidRDefault="00B02C6E" w:rsidP="00453BF8">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指标项</w:t>
            </w:r>
          </w:p>
        </w:tc>
        <w:tc>
          <w:tcPr>
            <w:tcW w:w="7288" w:type="dxa"/>
            <w:vAlign w:val="center"/>
          </w:tcPr>
          <w:p w14:paraId="543591AD" w14:textId="77777777" w:rsidR="00B02C6E" w:rsidRDefault="00B02C6E" w:rsidP="00453BF8">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参数要求</w:t>
            </w:r>
          </w:p>
        </w:tc>
      </w:tr>
      <w:tr w:rsidR="00B02C6E" w14:paraId="194AFE0A" w14:textId="77777777" w:rsidTr="00453BF8">
        <w:trPr>
          <w:trHeight w:val="20"/>
          <w:jc w:val="center"/>
        </w:trPr>
        <w:tc>
          <w:tcPr>
            <w:tcW w:w="1524" w:type="dxa"/>
            <w:vAlign w:val="center"/>
          </w:tcPr>
          <w:p w14:paraId="12BCF89D"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基本要求</w:t>
            </w:r>
          </w:p>
        </w:tc>
        <w:tc>
          <w:tcPr>
            <w:tcW w:w="7288" w:type="dxa"/>
            <w:vAlign w:val="center"/>
          </w:tcPr>
          <w:p w14:paraId="769A520F" w14:textId="77777777" w:rsidR="00B02C6E" w:rsidRDefault="00B02C6E" w:rsidP="00453BF8">
            <w:pPr>
              <w:spacing w:line="560" w:lineRule="exact"/>
              <w:jc w:val="lef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标准1U机架式机箱，专用安全加固Linux操作系统，配置≥6个千兆网络接口</w:t>
            </w:r>
          </w:p>
        </w:tc>
      </w:tr>
      <w:tr w:rsidR="00B02C6E" w14:paraId="3D9F5495" w14:textId="77777777" w:rsidTr="00453BF8">
        <w:trPr>
          <w:trHeight w:val="20"/>
          <w:jc w:val="center"/>
        </w:trPr>
        <w:tc>
          <w:tcPr>
            <w:tcW w:w="1524" w:type="dxa"/>
            <w:vMerge w:val="restart"/>
            <w:vAlign w:val="center"/>
          </w:tcPr>
          <w:p w14:paraId="6D009162"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功能要求</w:t>
            </w:r>
          </w:p>
        </w:tc>
        <w:tc>
          <w:tcPr>
            <w:tcW w:w="7288" w:type="dxa"/>
            <w:vAlign w:val="center"/>
          </w:tcPr>
          <w:p w14:paraId="49D64EF1" w14:textId="77777777" w:rsidR="00B02C6E" w:rsidRDefault="00B02C6E" w:rsidP="00453BF8">
            <w:pPr>
              <w:spacing w:line="560" w:lineRule="exact"/>
              <w:jc w:val="lef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支持采集交换机、路由器、防火墙、入侵检测、可信边界网关等边界接入链路外网侧常用设备的运行状态信息</w:t>
            </w:r>
          </w:p>
        </w:tc>
      </w:tr>
      <w:tr w:rsidR="00B02C6E" w14:paraId="34C9F205" w14:textId="77777777" w:rsidTr="00453BF8">
        <w:trPr>
          <w:trHeight w:val="20"/>
          <w:jc w:val="center"/>
        </w:trPr>
        <w:tc>
          <w:tcPr>
            <w:tcW w:w="1524" w:type="dxa"/>
            <w:vMerge/>
            <w:vAlign w:val="center"/>
          </w:tcPr>
          <w:p w14:paraId="247CBA96" w14:textId="77777777" w:rsidR="00B02C6E" w:rsidRDefault="00B02C6E" w:rsidP="00453BF8">
            <w:pPr>
              <w:spacing w:line="560" w:lineRule="exact"/>
              <w:jc w:val="center"/>
              <w:rPr>
                <w:rFonts w:ascii="仿宋_GB2312" w:eastAsia="仿宋_GB2312" w:hAnsi="仿宋_GB2312" w:cs="仿宋_GB2312"/>
                <w:sz w:val="32"/>
                <w:szCs w:val="32"/>
              </w:rPr>
            </w:pPr>
          </w:p>
        </w:tc>
        <w:tc>
          <w:tcPr>
            <w:tcW w:w="7288" w:type="dxa"/>
            <w:vAlign w:val="center"/>
          </w:tcPr>
          <w:p w14:paraId="600ED9E4" w14:textId="77777777" w:rsidR="00B02C6E" w:rsidRDefault="00B02C6E" w:rsidP="00453BF8">
            <w:pPr>
              <w:spacing w:line="560" w:lineRule="exact"/>
              <w:jc w:val="lef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支持Syslog、SNMP、Telnet、ICMP等多种协议方式收集网络内设备和服务器的运行状态信息，并不间断的向集中监管系统上报</w:t>
            </w:r>
          </w:p>
        </w:tc>
      </w:tr>
      <w:tr w:rsidR="00B02C6E" w14:paraId="2BFEE5D7" w14:textId="77777777" w:rsidTr="00453BF8">
        <w:trPr>
          <w:trHeight w:val="20"/>
          <w:jc w:val="center"/>
        </w:trPr>
        <w:tc>
          <w:tcPr>
            <w:tcW w:w="1524" w:type="dxa"/>
            <w:vMerge/>
            <w:vAlign w:val="center"/>
          </w:tcPr>
          <w:p w14:paraId="42567CC3" w14:textId="77777777" w:rsidR="00B02C6E" w:rsidRDefault="00B02C6E" w:rsidP="00453BF8">
            <w:pPr>
              <w:spacing w:line="560" w:lineRule="exact"/>
              <w:jc w:val="center"/>
              <w:rPr>
                <w:rFonts w:ascii="仿宋_GB2312" w:eastAsia="仿宋_GB2312" w:hAnsi="仿宋_GB2312" w:cs="仿宋_GB2312"/>
                <w:sz w:val="32"/>
                <w:szCs w:val="32"/>
              </w:rPr>
            </w:pPr>
          </w:p>
        </w:tc>
        <w:tc>
          <w:tcPr>
            <w:tcW w:w="7288" w:type="dxa"/>
            <w:vAlign w:val="center"/>
          </w:tcPr>
          <w:p w14:paraId="0AFD219B" w14:textId="77777777" w:rsidR="00B02C6E" w:rsidRDefault="00B02C6E" w:rsidP="00453BF8">
            <w:pPr>
              <w:spacing w:line="560" w:lineRule="exact"/>
              <w:jc w:val="left"/>
              <w:rPr>
                <w:rStyle w:val="font91"/>
                <w:rFonts w:ascii="仿宋_GB2312" w:eastAsia="仿宋_GB2312" w:hAnsi="仿宋_GB2312" w:cs="仿宋_GB2312"/>
                <w:sz w:val="32"/>
                <w:szCs w:val="32"/>
              </w:rPr>
            </w:pPr>
            <w:r>
              <w:rPr>
                <w:rStyle w:val="font91"/>
                <w:rFonts w:ascii="仿宋_GB2312" w:eastAsia="仿宋_GB2312" w:hAnsi="仿宋_GB2312" w:cs="仿宋_GB2312" w:hint="eastAsia"/>
                <w:sz w:val="32"/>
                <w:szCs w:val="32"/>
              </w:rPr>
              <w:t>▲支持与现有集控平台无缝对接</w:t>
            </w:r>
          </w:p>
        </w:tc>
      </w:tr>
    </w:tbl>
    <w:p w14:paraId="6CC43B39" w14:textId="77777777" w:rsidR="00B02C6E" w:rsidRDefault="00B02C6E" w:rsidP="00B02C6E">
      <w:pPr>
        <w:spacing w:line="560" w:lineRule="exact"/>
        <w:rPr>
          <w:rFonts w:ascii="仿宋_GB2312" w:eastAsia="仿宋_GB2312" w:hAnsi="仿宋_GB2312" w:cs="仿宋_GB2312"/>
          <w:sz w:val="32"/>
          <w:szCs w:val="32"/>
        </w:rPr>
      </w:pPr>
    </w:p>
    <w:p w14:paraId="3F20FCE8" w14:textId="77777777" w:rsidR="00B02C6E" w:rsidRDefault="00B02C6E" w:rsidP="00B02C6E">
      <w:pPr>
        <w:pStyle w:val="3"/>
        <w:numPr>
          <w:ilvl w:val="2"/>
          <w:numId w:val="0"/>
        </w:numPr>
        <w:spacing w:before="0" w:after="0" w:line="560" w:lineRule="exact"/>
        <w:rPr>
          <w:rFonts w:ascii="仿宋_GB2312" w:eastAsia="仿宋_GB2312" w:hAnsi="仿宋_GB2312" w:cs="仿宋_GB2312"/>
          <w:sz w:val="32"/>
        </w:rPr>
      </w:pPr>
      <w:r>
        <w:rPr>
          <w:rFonts w:ascii="仿宋_GB2312" w:eastAsia="仿宋_GB2312" w:hAnsi="仿宋_GB2312" w:cs="仿宋_GB2312" w:hint="eastAsia"/>
          <w:sz w:val="32"/>
        </w:rPr>
        <w:t>（十一）万兆路由器1台</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7305"/>
      </w:tblGrid>
      <w:tr w:rsidR="00B02C6E" w14:paraId="2E4E174E" w14:textId="77777777" w:rsidTr="00453BF8">
        <w:trPr>
          <w:trHeight w:val="285"/>
          <w:tblHeader/>
          <w:jc w:val="center"/>
        </w:trPr>
        <w:tc>
          <w:tcPr>
            <w:tcW w:w="1551" w:type="dxa"/>
            <w:vAlign w:val="center"/>
          </w:tcPr>
          <w:p w14:paraId="6F932C37" w14:textId="77777777" w:rsidR="00B02C6E" w:rsidRDefault="00B02C6E" w:rsidP="00453BF8">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指标项</w:t>
            </w:r>
          </w:p>
        </w:tc>
        <w:tc>
          <w:tcPr>
            <w:tcW w:w="7305" w:type="dxa"/>
            <w:vAlign w:val="center"/>
          </w:tcPr>
          <w:p w14:paraId="7C14354F" w14:textId="77777777" w:rsidR="00B02C6E" w:rsidRDefault="00B02C6E" w:rsidP="00453BF8">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技术规格要求</w:t>
            </w:r>
          </w:p>
        </w:tc>
      </w:tr>
      <w:tr w:rsidR="00B02C6E" w14:paraId="1BA91362" w14:textId="77777777" w:rsidTr="00453BF8">
        <w:trPr>
          <w:trHeight w:val="285"/>
          <w:jc w:val="center"/>
        </w:trPr>
        <w:tc>
          <w:tcPr>
            <w:tcW w:w="1551" w:type="dxa"/>
            <w:vAlign w:val="center"/>
          </w:tcPr>
          <w:p w14:paraId="04E0CBB4"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性能要求</w:t>
            </w:r>
          </w:p>
        </w:tc>
        <w:tc>
          <w:tcPr>
            <w:tcW w:w="7305" w:type="dxa"/>
            <w:vAlign w:val="center"/>
          </w:tcPr>
          <w:p w14:paraId="3EF36CFE" w14:textId="77777777" w:rsidR="00B02C6E" w:rsidRDefault="00B02C6E" w:rsidP="00453BF8">
            <w:pPr>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支持交换容量≥85Tbps，转发性能≥12000Mpps，提供</w:t>
            </w:r>
            <w:proofErr w:type="gramStart"/>
            <w:r>
              <w:rPr>
                <w:rFonts w:ascii="仿宋_GB2312" w:eastAsia="仿宋_GB2312" w:hAnsi="仿宋_GB2312" w:cs="仿宋_GB2312" w:hint="eastAsia"/>
                <w:kern w:val="0"/>
                <w:sz w:val="32"/>
                <w:szCs w:val="32"/>
              </w:rPr>
              <w:t>官网截</w:t>
            </w:r>
            <w:proofErr w:type="gramEnd"/>
            <w:r>
              <w:rPr>
                <w:rFonts w:ascii="仿宋_GB2312" w:eastAsia="仿宋_GB2312" w:hAnsi="仿宋_GB2312" w:cs="仿宋_GB2312" w:hint="eastAsia"/>
                <w:kern w:val="0"/>
                <w:sz w:val="32"/>
                <w:szCs w:val="32"/>
              </w:rPr>
              <w:t>图及链接证明。</w:t>
            </w:r>
          </w:p>
        </w:tc>
      </w:tr>
      <w:tr w:rsidR="00B02C6E" w14:paraId="13A24F7A" w14:textId="77777777" w:rsidTr="00453BF8">
        <w:trPr>
          <w:trHeight w:val="285"/>
          <w:jc w:val="center"/>
        </w:trPr>
        <w:tc>
          <w:tcPr>
            <w:tcW w:w="1551" w:type="dxa"/>
            <w:vMerge w:val="restart"/>
            <w:vAlign w:val="center"/>
          </w:tcPr>
          <w:p w14:paraId="4059588A"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设备要求</w:t>
            </w:r>
          </w:p>
        </w:tc>
        <w:tc>
          <w:tcPr>
            <w:tcW w:w="7305" w:type="dxa"/>
            <w:vAlign w:val="center"/>
          </w:tcPr>
          <w:p w14:paraId="3EA679FA" w14:textId="77777777" w:rsidR="00B02C6E" w:rsidRDefault="00B02C6E" w:rsidP="00453BF8">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主控槽位≥2，业务插卡槽位≥4（主控、风扇、电源、</w:t>
            </w:r>
            <w:proofErr w:type="gramStart"/>
            <w:r>
              <w:rPr>
                <w:rFonts w:ascii="仿宋_GB2312" w:eastAsia="仿宋_GB2312" w:hAnsi="仿宋_GB2312" w:cs="仿宋_GB2312" w:hint="eastAsia"/>
                <w:kern w:val="0"/>
                <w:sz w:val="32"/>
                <w:szCs w:val="32"/>
              </w:rPr>
              <w:t>其他扣卡等</w:t>
            </w:r>
            <w:proofErr w:type="gramEnd"/>
            <w:r>
              <w:rPr>
                <w:rFonts w:ascii="仿宋_GB2312" w:eastAsia="仿宋_GB2312" w:hAnsi="仿宋_GB2312" w:cs="仿宋_GB2312" w:hint="eastAsia"/>
                <w:kern w:val="0"/>
                <w:sz w:val="32"/>
                <w:szCs w:val="32"/>
              </w:rPr>
              <w:t>槽位不计入业务槽位之内）</w:t>
            </w:r>
          </w:p>
        </w:tc>
      </w:tr>
      <w:tr w:rsidR="00B02C6E" w14:paraId="051CAA78" w14:textId="77777777" w:rsidTr="00453BF8">
        <w:trPr>
          <w:trHeight w:val="285"/>
          <w:jc w:val="center"/>
        </w:trPr>
        <w:tc>
          <w:tcPr>
            <w:tcW w:w="1551" w:type="dxa"/>
            <w:vMerge/>
            <w:vAlign w:val="center"/>
          </w:tcPr>
          <w:p w14:paraId="54CFC520" w14:textId="77777777" w:rsidR="00B02C6E" w:rsidRDefault="00B02C6E" w:rsidP="00453BF8">
            <w:pPr>
              <w:spacing w:line="560" w:lineRule="exact"/>
              <w:jc w:val="center"/>
              <w:rPr>
                <w:rFonts w:ascii="仿宋_GB2312" w:eastAsia="仿宋_GB2312" w:hAnsi="仿宋_GB2312" w:cs="仿宋_GB2312"/>
                <w:kern w:val="0"/>
                <w:sz w:val="32"/>
                <w:szCs w:val="32"/>
              </w:rPr>
            </w:pPr>
          </w:p>
        </w:tc>
        <w:tc>
          <w:tcPr>
            <w:tcW w:w="7305" w:type="dxa"/>
            <w:vAlign w:val="center"/>
          </w:tcPr>
          <w:p w14:paraId="41CA333E" w14:textId="77777777" w:rsidR="00B02C6E" w:rsidRDefault="00B02C6E" w:rsidP="00453BF8">
            <w:pPr>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实配：≥2个主控，≥8个10GE/GE光口，≥8个GE/FE光口，双电源，≥8个40km万兆单模光模块，</w:t>
            </w:r>
            <w:proofErr w:type="gramStart"/>
            <w:r>
              <w:rPr>
                <w:rFonts w:ascii="仿宋_GB2312" w:eastAsia="仿宋_GB2312" w:hAnsi="仿宋_GB2312" w:cs="仿宋_GB2312" w:hint="eastAsia"/>
                <w:kern w:val="0"/>
                <w:sz w:val="32"/>
                <w:szCs w:val="32"/>
              </w:rPr>
              <w:t>3年维保</w:t>
            </w:r>
            <w:proofErr w:type="gramEnd"/>
          </w:p>
        </w:tc>
      </w:tr>
      <w:tr w:rsidR="00B02C6E" w14:paraId="47B079FC" w14:textId="77777777" w:rsidTr="00453BF8">
        <w:trPr>
          <w:trHeight w:val="285"/>
          <w:jc w:val="center"/>
        </w:trPr>
        <w:tc>
          <w:tcPr>
            <w:tcW w:w="1551" w:type="dxa"/>
            <w:vMerge/>
            <w:vAlign w:val="center"/>
          </w:tcPr>
          <w:p w14:paraId="37C46202" w14:textId="77777777" w:rsidR="00B02C6E" w:rsidRDefault="00B02C6E" w:rsidP="00453BF8">
            <w:pPr>
              <w:spacing w:line="560" w:lineRule="exact"/>
              <w:jc w:val="center"/>
              <w:rPr>
                <w:rFonts w:ascii="仿宋_GB2312" w:eastAsia="仿宋_GB2312" w:hAnsi="仿宋_GB2312" w:cs="仿宋_GB2312"/>
                <w:sz w:val="32"/>
                <w:szCs w:val="32"/>
              </w:rPr>
            </w:pPr>
          </w:p>
        </w:tc>
        <w:tc>
          <w:tcPr>
            <w:tcW w:w="7305" w:type="dxa"/>
            <w:vAlign w:val="center"/>
          </w:tcPr>
          <w:p w14:paraId="03F0CB36" w14:textId="77777777" w:rsidR="00B02C6E" w:rsidRDefault="00B02C6E" w:rsidP="00453BF8">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CPU和NP芯片为国产自</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芯片，提供第三方测试</w:t>
            </w:r>
            <w:r>
              <w:rPr>
                <w:rFonts w:ascii="仿宋_GB2312" w:eastAsia="仿宋_GB2312" w:hAnsi="仿宋_GB2312" w:cs="仿宋_GB2312" w:hint="eastAsia"/>
                <w:kern w:val="0"/>
                <w:sz w:val="32"/>
                <w:szCs w:val="32"/>
              </w:rPr>
              <w:lastRenderedPageBreak/>
              <w:t>报告证明</w:t>
            </w:r>
          </w:p>
        </w:tc>
      </w:tr>
      <w:tr w:rsidR="00B02C6E" w14:paraId="55335279" w14:textId="77777777" w:rsidTr="00453BF8">
        <w:trPr>
          <w:trHeight w:val="285"/>
          <w:jc w:val="center"/>
        </w:trPr>
        <w:tc>
          <w:tcPr>
            <w:tcW w:w="1551" w:type="dxa"/>
            <w:vMerge/>
            <w:vAlign w:val="center"/>
          </w:tcPr>
          <w:p w14:paraId="58448832" w14:textId="77777777" w:rsidR="00B02C6E" w:rsidRDefault="00B02C6E" w:rsidP="00453BF8">
            <w:pPr>
              <w:spacing w:line="560" w:lineRule="exact"/>
              <w:jc w:val="center"/>
              <w:rPr>
                <w:rFonts w:ascii="仿宋_GB2312" w:eastAsia="仿宋_GB2312" w:hAnsi="仿宋_GB2312" w:cs="仿宋_GB2312"/>
                <w:sz w:val="32"/>
                <w:szCs w:val="32"/>
              </w:rPr>
            </w:pPr>
          </w:p>
        </w:tc>
        <w:tc>
          <w:tcPr>
            <w:tcW w:w="7305" w:type="dxa"/>
            <w:vAlign w:val="center"/>
          </w:tcPr>
          <w:p w14:paraId="5829C339" w14:textId="77777777" w:rsidR="00B02C6E" w:rsidRDefault="00B02C6E" w:rsidP="00453BF8">
            <w:pPr>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整机高度≤2U，深度≤300mm</w:t>
            </w:r>
          </w:p>
        </w:tc>
      </w:tr>
      <w:tr w:rsidR="00B02C6E" w14:paraId="1C4EA362" w14:textId="77777777" w:rsidTr="00453BF8">
        <w:trPr>
          <w:trHeight w:val="285"/>
          <w:jc w:val="center"/>
        </w:trPr>
        <w:tc>
          <w:tcPr>
            <w:tcW w:w="1551" w:type="dxa"/>
            <w:vAlign w:val="center"/>
          </w:tcPr>
          <w:p w14:paraId="2CEFD3F6" w14:textId="77777777" w:rsidR="00B02C6E" w:rsidRDefault="00B02C6E" w:rsidP="00453BF8">
            <w:pPr>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接口类型</w:t>
            </w:r>
          </w:p>
        </w:tc>
        <w:tc>
          <w:tcPr>
            <w:tcW w:w="7305" w:type="dxa"/>
            <w:vAlign w:val="center"/>
          </w:tcPr>
          <w:p w14:paraId="07A33C58" w14:textId="77777777" w:rsidR="00B02C6E" w:rsidRDefault="00B02C6E" w:rsidP="00453BF8">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设备支持50GE/25GE/10GE/GE/FE/CPOS/E1等接口类型</w:t>
            </w:r>
          </w:p>
        </w:tc>
      </w:tr>
      <w:tr w:rsidR="00B02C6E" w14:paraId="3CBF482F" w14:textId="77777777" w:rsidTr="00453BF8">
        <w:trPr>
          <w:trHeight w:val="285"/>
          <w:jc w:val="center"/>
        </w:trPr>
        <w:tc>
          <w:tcPr>
            <w:tcW w:w="1551" w:type="dxa"/>
            <w:vAlign w:val="center"/>
          </w:tcPr>
          <w:p w14:paraId="0FDEAEE9" w14:textId="77777777" w:rsidR="00B02C6E" w:rsidRDefault="00B02C6E" w:rsidP="00453BF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功能支持</w:t>
            </w:r>
          </w:p>
        </w:tc>
        <w:tc>
          <w:tcPr>
            <w:tcW w:w="7305" w:type="dxa"/>
            <w:vAlign w:val="center"/>
          </w:tcPr>
          <w:p w14:paraId="6CE8DEFC" w14:textId="77777777" w:rsidR="00B02C6E" w:rsidRDefault="00B02C6E" w:rsidP="00453BF8">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支持RIP、OSPF、IS-IS、BGP等路由协议</w:t>
            </w:r>
          </w:p>
        </w:tc>
      </w:tr>
      <w:tr w:rsidR="00B02C6E" w14:paraId="62825B66" w14:textId="77777777" w:rsidTr="00453BF8">
        <w:trPr>
          <w:trHeight w:val="285"/>
          <w:jc w:val="center"/>
        </w:trPr>
        <w:tc>
          <w:tcPr>
            <w:tcW w:w="1551" w:type="dxa"/>
            <w:vAlign w:val="center"/>
          </w:tcPr>
          <w:p w14:paraId="1140F670" w14:textId="77777777" w:rsidR="00B02C6E" w:rsidRDefault="00B02C6E" w:rsidP="00453BF8">
            <w:pPr>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VPN</w:t>
            </w:r>
          </w:p>
        </w:tc>
        <w:tc>
          <w:tcPr>
            <w:tcW w:w="7305" w:type="dxa"/>
            <w:vAlign w:val="center"/>
          </w:tcPr>
          <w:p w14:paraId="043AE57B" w14:textId="77777777" w:rsidR="00B02C6E" w:rsidRDefault="00B02C6E" w:rsidP="00453BF8">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支持L2VPN、L3VPN、EVPN等VPN技术</w:t>
            </w:r>
          </w:p>
        </w:tc>
      </w:tr>
      <w:tr w:rsidR="00B02C6E" w14:paraId="754659B4" w14:textId="77777777" w:rsidTr="00453BF8">
        <w:trPr>
          <w:trHeight w:val="285"/>
          <w:jc w:val="center"/>
        </w:trPr>
        <w:tc>
          <w:tcPr>
            <w:tcW w:w="1551" w:type="dxa"/>
            <w:vMerge w:val="restart"/>
            <w:vAlign w:val="center"/>
          </w:tcPr>
          <w:p w14:paraId="3DF94F57" w14:textId="77777777" w:rsidR="00B02C6E" w:rsidRDefault="00B02C6E" w:rsidP="00453BF8">
            <w:pPr>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IPv6</w:t>
            </w:r>
          </w:p>
        </w:tc>
        <w:tc>
          <w:tcPr>
            <w:tcW w:w="7305" w:type="dxa"/>
            <w:vAlign w:val="center"/>
          </w:tcPr>
          <w:p w14:paraId="20659D0A" w14:textId="77777777" w:rsidR="00B02C6E" w:rsidRDefault="00B02C6E" w:rsidP="00453BF8">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支持ISIS for SRv6</w:t>
            </w:r>
          </w:p>
        </w:tc>
      </w:tr>
      <w:tr w:rsidR="00B02C6E" w14:paraId="7158E81C" w14:textId="77777777" w:rsidTr="00453BF8">
        <w:trPr>
          <w:trHeight w:val="285"/>
          <w:jc w:val="center"/>
        </w:trPr>
        <w:tc>
          <w:tcPr>
            <w:tcW w:w="1551" w:type="dxa"/>
            <w:vMerge/>
            <w:vAlign w:val="center"/>
          </w:tcPr>
          <w:p w14:paraId="26EC3CC3" w14:textId="77777777" w:rsidR="00B02C6E" w:rsidRDefault="00B02C6E" w:rsidP="00453BF8">
            <w:pPr>
              <w:spacing w:line="560" w:lineRule="exact"/>
              <w:jc w:val="center"/>
              <w:rPr>
                <w:rFonts w:ascii="仿宋_GB2312" w:eastAsia="仿宋_GB2312" w:hAnsi="仿宋_GB2312" w:cs="仿宋_GB2312"/>
                <w:kern w:val="0"/>
                <w:sz w:val="32"/>
                <w:szCs w:val="32"/>
              </w:rPr>
            </w:pPr>
          </w:p>
        </w:tc>
        <w:tc>
          <w:tcPr>
            <w:tcW w:w="7305" w:type="dxa"/>
            <w:vAlign w:val="center"/>
          </w:tcPr>
          <w:p w14:paraId="4FE3CDBF" w14:textId="77777777" w:rsidR="00B02C6E" w:rsidRDefault="00B02C6E" w:rsidP="00453BF8">
            <w:pPr>
              <w:spacing w:line="560" w:lineRule="exact"/>
              <w:jc w:val="left"/>
              <w:rPr>
                <w:rFonts w:ascii="仿宋_GB2312" w:eastAsia="仿宋_GB2312" w:hAnsi="仿宋_GB2312" w:cs="仿宋_GB2312"/>
                <w:sz w:val="32"/>
                <w:szCs w:val="32"/>
              </w:rPr>
            </w:pPr>
          </w:p>
        </w:tc>
      </w:tr>
      <w:tr w:rsidR="00B02C6E" w14:paraId="2AB9DB4F" w14:textId="77777777" w:rsidTr="00453BF8">
        <w:trPr>
          <w:trHeight w:val="285"/>
          <w:jc w:val="center"/>
        </w:trPr>
        <w:tc>
          <w:tcPr>
            <w:tcW w:w="1551" w:type="dxa"/>
            <w:vAlign w:val="center"/>
          </w:tcPr>
          <w:p w14:paraId="7ACD5E33" w14:textId="77777777" w:rsidR="00B02C6E" w:rsidRDefault="00B02C6E" w:rsidP="00453BF8">
            <w:pPr>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业务保障</w:t>
            </w:r>
          </w:p>
        </w:tc>
        <w:tc>
          <w:tcPr>
            <w:tcW w:w="7305" w:type="dxa"/>
            <w:vAlign w:val="center"/>
          </w:tcPr>
          <w:p w14:paraId="33A3B740" w14:textId="77777777" w:rsidR="00B02C6E" w:rsidRDefault="00B02C6E" w:rsidP="00453BF8">
            <w:pPr>
              <w:spacing w:line="560" w:lineRule="exact"/>
              <w:jc w:val="left"/>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通支持</w:t>
            </w:r>
            <w:proofErr w:type="spellStart"/>
            <w:proofErr w:type="gramEnd"/>
            <w:r>
              <w:rPr>
                <w:rFonts w:ascii="仿宋_GB2312" w:eastAsia="仿宋_GB2312" w:hAnsi="仿宋_GB2312" w:cs="仿宋_GB2312" w:hint="eastAsia"/>
                <w:sz w:val="32"/>
                <w:szCs w:val="32"/>
              </w:rPr>
              <w:t>FlexE</w:t>
            </w:r>
            <w:proofErr w:type="spellEnd"/>
            <w:r>
              <w:rPr>
                <w:rFonts w:ascii="仿宋_GB2312" w:eastAsia="仿宋_GB2312" w:hAnsi="仿宋_GB2312" w:cs="仿宋_GB2312" w:hint="eastAsia"/>
                <w:sz w:val="32"/>
                <w:szCs w:val="32"/>
              </w:rPr>
              <w:t>（网络硬切片），并提供第三方检测报告</w:t>
            </w:r>
          </w:p>
        </w:tc>
      </w:tr>
      <w:tr w:rsidR="00B02C6E" w14:paraId="346FA2A1" w14:textId="77777777" w:rsidTr="00453BF8">
        <w:trPr>
          <w:trHeight w:val="285"/>
          <w:jc w:val="center"/>
        </w:trPr>
        <w:tc>
          <w:tcPr>
            <w:tcW w:w="1551" w:type="dxa"/>
            <w:vAlign w:val="center"/>
          </w:tcPr>
          <w:p w14:paraId="371F1CFF" w14:textId="77777777" w:rsidR="00B02C6E" w:rsidRDefault="00B02C6E" w:rsidP="00453BF8">
            <w:pPr>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安全</w:t>
            </w:r>
          </w:p>
        </w:tc>
        <w:tc>
          <w:tcPr>
            <w:tcW w:w="7305" w:type="dxa"/>
            <w:vAlign w:val="center"/>
          </w:tcPr>
          <w:p w14:paraId="3FA83E6D" w14:textId="77777777" w:rsidR="00B02C6E" w:rsidRDefault="00B02C6E" w:rsidP="00453BF8">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▲支持</w:t>
            </w:r>
            <w:proofErr w:type="spellStart"/>
            <w:r>
              <w:rPr>
                <w:rFonts w:ascii="仿宋_GB2312" w:eastAsia="仿宋_GB2312" w:hAnsi="仿宋_GB2312" w:cs="仿宋_GB2312" w:hint="eastAsia"/>
                <w:sz w:val="32"/>
                <w:szCs w:val="32"/>
              </w:rPr>
              <w:t>MACSec</w:t>
            </w:r>
            <w:proofErr w:type="spellEnd"/>
            <w:r>
              <w:rPr>
                <w:rFonts w:ascii="仿宋_GB2312" w:eastAsia="仿宋_GB2312" w:hAnsi="仿宋_GB2312" w:cs="仿宋_GB2312" w:hint="eastAsia"/>
                <w:sz w:val="32"/>
                <w:szCs w:val="32"/>
              </w:rPr>
              <w:t>加密技术,并提供第三方检测报告</w:t>
            </w:r>
          </w:p>
        </w:tc>
      </w:tr>
      <w:tr w:rsidR="00B02C6E" w14:paraId="3198A3E5" w14:textId="77777777" w:rsidTr="00453BF8">
        <w:trPr>
          <w:trHeight w:val="285"/>
          <w:jc w:val="center"/>
        </w:trPr>
        <w:tc>
          <w:tcPr>
            <w:tcW w:w="1551" w:type="dxa"/>
            <w:vAlign w:val="center"/>
          </w:tcPr>
          <w:p w14:paraId="39BEDBD2" w14:textId="77777777" w:rsidR="00B02C6E" w:rsidRDefault="00B02C6E" w:rsidP="00453BF8">
            <w:pPr>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管理维护</w:t>
            </w:r>
          </w:p>
        </w:tc>
        <w:tc>
          <w:tcPr>
            <w:tcW w:w="7305" w:type="dxa"/>
            <w:vAlign w:val="center"/>
          </w:tcPr>
          <w:p w14:paraId="6A03DF41" w14:textId="77777777" w:rsidR="00B02C6E" w:rsidRDefault="00B02C6E" w:rsidP="00453BF8">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支持Console、Telnet、SSH、SNMP等管理方式</w:t>
            </w:r>
          </w:p>
        </w:tc>
      </w:tr>
      <w:tr w:rsidR="00B02C6E" w14:paraId="63FE596A" w14:textId="77777777" w:rsidTr="00453BF8">
        <w:trPr>
          <w:trHeight w:val="285"/>
          <w:jc w:val="center"/>
        </w:trPr>
        <w:tc>
          <w:tcPr>
            <w:tcW w:w="1551" w:type="dxa"/>
            <w:vAlign w:val="center"/>
          </w:tcPr>
          <w:p w14:paraId="47D45584" w14:textId="77777777" w:rsidR="00B02C6E" w:rsidRDefault="00B02C6E" w:rsidP="00453BF8">
            <w:pPr>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其它</w:t>
            </w:r>
          </w:p>
        </w:tc>
        <w:tc>
          <w:tcPr>
            <w:tcW w:w="7305" w:type="dxa"/>
            <w:vAlign w:val="center"/>
          </w:tcPr>
          <w:p w14:paraId="37E1942D" w14:textId="77777777" w:rsidR="00B02C6E" w:rsidRDefault="00B02C6E" w:rsidP="00453BF8">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冗余配置20个单模光模块，需要适配冗余链路的交换机和路由；提供现场配置服务及3年，每年4次上门服务</w:t>
            </w:r>
          </w:p>
        </w:tc>
      </w:tr>
    </w:tbl>
    <w:p w14:paraId="2FB913E5" w14:textId="77777777" w:rsidR="00B02C6E" w:rsidRDefault="00B02C6E" w:rsidP="00B02C6E">
      <w:pPr>
        <w:spacing w:line="560" w:lineRule="exact"/>
      </w:pPr>
    </w:p>
    <w:p w14:paraId="6A3D109B" w14:textId="77777777" w:rsidR="00B02C6E" w:rsidRDefault="00B02C6E" w:rsidP="00B02C6E">
      <w:pPr>
        <w:ind w:firstLine="482"/>
        <w:rPr>
          <w:b/>
        </w:rPr>
      </w:pPr>
      <w:r>
        <w:rPr>
          <w:rFonts w:hint="eastAsia"/>
          <w:b/>
        </w:rPr>
        <w:br w:type="page"/>
      </w:r>
    </w:p>
    <w:p w14:paraId="43B2F109" w14:textId="77777777" w:rsidR="00B02C6E" w:rsidRDefault="00B02C6E" w:rsidP="00B02C6E">
      <w:pPr>
        <w:pStyle w:val="1"/>
        <w:numPr>
          <w:ilvl w:val="0"/>
          <w:numId w:val="0"/>
        </w:numPr>
        <w:spacing w:line="560" w:lineRule="exact"/>
        <w:jc w:val="center"/>
        <w:rPr>
          <w:b/>
          <w:bCs w:val="0"/>
        </w:rPr>
      </w:pPr>
      <w:r>
        <w:rPr>
          <w:rFonts w:hint="eastAsia"/>
          <w:b/>
          <w:bCs w:val="0"/>
        </w:rPr>
        <w:lastRenderedPageBreak/>
        <w:t>第三部分 项目管理要求</w:t>
      </w:r>
    </w:p>
    <w:p w14:paraId="42D5C13C" w14:textId="77777777" w:rsidR="00B02C6E" w:rsidRDefault="00B02C6E" w:rsidP="00B02C6E">
      <w:pPr>
        <w:pStyle w:val="2"/>
        <w:numPr>
          <w:ilvl w:val="1"/>
          <w:numId w:val="0"/>
        </w:numPr>
        <w:spacing w:before="0" w:after="0" w:line="560" w:lineRule="exact"/>
        <w:rPr>
          <w:b/>
          <w:bCs w:val="0"/>
          <w:sz w:val="32"/>
          <w:szCs w:val="36"/>
        </w:rPr>
      </w:pPr>
      <w:r>
        <w:rPr>
          <w:rFonts w:hint="eastAsia"/>
          <w:b/>
          <w:bCs w:val="0"/>
          <w:sz w:val="32"/>
          <w:szCs w:val="36"/>
        </w:rPr>
        <w:t>一、工期要求</w:t>
      </w:r>
    </w:p>
    <w:p w14:paraId="1D62E1E8" w14:textId="77777777" w:rsidR="00B02C6E" w:rsidRDefault="00B02C6E" w:rsidP="00B02C6E">
      <w:pPr>
        <w:spacing w:line="560" w:lineRule="exact"/>
        <w:ind w:firstLine="640"/>
      </w:pPr>
      <w:r>
        <w:rPr>
          <w:rFonts w:ascii="仿宋_GB2312" w:eastAsia="仿宋_GB2312" w:hAnsi="仿宋_GB2312" w:cs="仿宋_GB2312" w:hint="eastAsia"/>
          <w:sz w:val="32"/>
          <w:szCs w:val="28"/>
        </w:rPr>
        <w:t>项目建设周期为15个月，自合同签订之日起</w:t>
      </w:r>
      <w:proofErr w:type="gramStart"/>
      <w:r>
        <w:rPr>
          <w:rFonts w:ascii="仿宋_GB2312" w:eastAsia="仿宋_GB2312" w:hAnsi="仿宋_GB2312" w:cs="仿宋_GB2312" w:hint="eastAsia"/>
          <w:sz w:val="32"/>
          <w:szCs w:val="28"/>
        </w:rPr>
        <w:t>至通过</w:t>
      </w:r>
      <w:proofErr w:type="gramEnd"/>
      <w:r>
        <w:rPr>
          <w:rFonts w:ascii="仿宋_GB2312" w:eastAsia="仿宋_GB2312" w:hAnsi="仿宋_GB2312" w:cs="仿宋_GB2312" w:hint="eastAsia"/>
          <w:sz w:val="32"/>
          <w:szCs w:val="28"/>
        </w:rPr>
        <w:t>项目合同验收。</w:t>
      </w:r>
    </w:p>
    <w:p w14:paraId="75814337" w14:textId="77777777" w:rsidR="00B02C6E" w:rsidRDefault="00B02C6E" w:rsidP="00B02C6E">
      <w:pPr>
        <w:pStyle w:val="2"/>
        <w:numPr>
          <w:ilvl w:val="1"/>
          <w:numId w:val="0"/>
        </w:numPr>
        <w:spacing w:before="0" w:after="0" w:line="560" w:lineRule="exact"/>
        <w:rPr>
          <w:b/>
          <w:bCs w:val="0"/>
          <w:sz w:val="32"/>
          <w:szCs w:val="36"/>
        </w:rPr>
      </w:pPr>
      <w:r>
        <w:rPr>
          <w:rFonts w:hint="eastAsia"/>
          <w:b/>
          <w:bCs w:val="0"/>
          <w:sz w:val="32"/>
          <w:szCs w:val="36"/>
        </w:rPr>
        <w:t>二、交付文档要求</w:t>
      </w:r>
    </w:p>
    <w:p w14:paraId="7AFC8F2F"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本项目完成后，中标人必须提供完整的软件安装、操作、使用、测试、控制和维护手册，以及应用软件程序源代码。需交付的文档包括但不仅限于以下内容：</w:t>
      </w:r>
    </w:p>
    <w:p w14:paraId="460E082B"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（一）合同</w:t>
      </w:r>
    </w:p>
    <w:p w14:paraId="235C2A79"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（二）系统需求说明类文档：含需求规格说明书等；</w:t>
      </w:r>
    </w:p>
    <w:p w14:paraId="21D6170F"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（三）系统设计类文档：含系统开发计划，概要设计、系统详细设计、数据库设计说明书等的项目整体设计方案、实施方案、联调方案；</w:t>
      </w:r>
    </w:p>
    <w:p w14:paraId="2D3F6FA5"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（四）过程文档：系统上线、部署方案、测试方案、测试报告、设备验收报告、试运行计划及报告、设备到货验收单、项目周报及下周计划、系统维护报告、故障处理单等；</w:t>
      </w:r>
    </w:p>
    <w:p w14:paraId="75AAD492"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（五）用户使用手册；</w:t>
      </w:r>
    </w:p>
    <w:p w14:paraId="35A9D7C1"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（六）测试方案；</w:t>
      </w:r>
    </w:p>
    <w:p w14:paraId="4FC6E48C"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（七）验收总结报告</w:t>
      </w:r>
    </w:p>
    <w:p w14:paraId="1C3ABC1B"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（八）《项目协调会纪要》以及根据用户需要编制的其他文档</w:t>
      </w:r>
    </w:p>
    <w:p w14:paraId="144F2B35"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以上文档的规范性和完备性将由中标单位部门负责人和质量监督办进行审查，审查通过后由中标单位自行归档，并将全部文档移交给用户。</w:t>
      </w:r>
    </w:p>
    <w:p w14:paraId="3C394A19" w14:textId="77777777" w:rsidR="00B02C6E" w:rsidRDefault="00B02C6E" w:rsidP="00B02C6E">
      <w:pPr>
        <w:pStyle w:val="2"/>
        <w:numPr>
          <w:ilvl w:val="1"/>
          <w:numId w:val="0"/>
        </w:numPr>
        <w:spacing w:before="0" w:after="0" w:line="560" w:lineRule="exact"/>
        <w:rPr>
          <w:b/>
          <w:bCs w:val="0"/>
          <w:sz w:val="32"/>
          <w:szCs w:val="36"/>
        </w:rPr>
      </w:pPr>
      <w:r>
        <w:rPr>
          <w:rFonts w:hint="eastAsia"/>
          <w:b/>
          <w:bCs w:val="0"/>
          <w:sz w:val="32"/>
          <w:szCs w:val="36"/>
        </w:rPr>
        <w:lastRenderedPageBreak/>
        <w:t>三、系统对接实施要求</w:t>
      </w:r>
    </w:p>
    <w:p w14:paraId="7CDC839C" w14:textId="77777777" w:rsidR="00B02C6E" w:rsidRDefault="00B02C6E" w:rsidP="00B02C6E">
      <w:pPr>
        <w:pStyle w:val="3"/>
        <w:numPr>
          <w:ilvl w:val="2"/>
          <w:numId w:val="0"/>
        </w:numPr>
        <w:adjustRightInd/>
        <w:spacing w:before="0" w:after="0" w:line="560" w:lineRule="exact"/>
        <w:jc w:val="both"/>
      </w:pPr>
      <w:r>
        <w:rPr>
          <w:rFonts w:hint="eastAsia"/>
        </w:rPr>
        <w:t>（一）基于政法数据交换子系统对接实施要求</w:t>
      </w:r>
    </w:p>
    <w:p w14:paraId="32B1F268"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在工期要求时间内基于数据交换子系统进行数据交换对接，与法检公司对接联调，获取相关信息，支撑完成问题线索收集，支撑线索接收、退回及办理反馈传输等服务。</w:t>
      </w:r>
    </w:p>
    <w:p w14:paraId="6FAD47A3" w14:textId="77777777" w:rsidR="00B02C6E" w:rsidRDefault="00B02C6E" w:rsidP="00B02C6E">
      <w:pPr>
        <w:pStyle w:val="2"/>
        <w:numPr>
          <w:ilvl w:val="1"/>
          <w:numId w:val="0"/>
        </w:numPr>
        <w:spacing w:before="0" w:after="0" w:line="560" w:lineRule="exact"/>
        <w:rPr>
          <w:b/>
          <w:bCs w:val="0"/>
          <w:sz w:val="32"/>
          <w:szCs w:val="36"/>
        </w:rPr>
      </w:pPr>
      <w:r>
        <w:rPr>
          <w:rFonts w:hint="eastAsia"/>
          <w:b/>
          <w:bCs w:val="0"/>
          <w:sz w:val="32"/>
          <w:szCs w:val="36"/>
        </w:rPr>
        <w:t>四、技术培训要求</w:t>
      </w:r>
    </w:p>
    <w:p w14:paraId="65A21978"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根据中共广州市委政法</w:t>
      </w:r>
      <w:proofErr w:type="gramStart"/>
      <w:r>
        <w:rPr>
          <w:rFonts w:ascii="仿宋_GB2312" w:eastAsia="仿宋_GB2312" w:hAnsi="仿宋_GB2312" w:cs="仿宋_GB2312" w:hint="eastAsia"/>
          <w:sz w:val="32"/>
          <w:szCs w:val="28"/>
        </w:rPr>
        <w:t>委不同</w:t>
      </w:r>
      <w:proofErr w:type="gramEnd"/>
      <w:r>
        <w:rPr>
          <w:rFonts w:ascii="仿宋_GB2312" w:eastAsia="仿宋_GB2312" w:hAnsi="仿宋_GB2312" w:cs="仿宋_GB2312" w:hint="eastAsia"/>
          <w:sz w:val="32"/>
          <w:szCs w:val="28"/>
        </w:rPr>
        <w:t>用户的不同特点，把培训对象分为相关领导、业务人员、技术人员三类，采取集中培训和个别辅导相结合、不同类型用户各有侧重的原则，有针对性地开展培训。</w:t>
      </w:r>
    </w:p>
    <w:p w14:paraId="16B8081B" w14:textId="77777777" w:rsidR="00B02C6E" w:rsidRDefault="00B02C6E" w:rsidP="00B02C6E">
      <w:pPr>
        <w:pStyle w:val="3"/>
        <w:numPr>
          <w:ilvl w:val="2"/>
          <w:numId w:val="0"/>
        </w:numPr>
        <w:adjustRightInd/>
        <w:spacing w:before="0" w:after="0" w:line="560" w:lineRule="exact"/>
        <w:jc w:val="both"/>
      </w:pPr>
      <w:r>
        <w:rPr>
          <w:rFonts w:hint="eastAsia"/>
        </w:rPr>
        <w:t>（一）相关领导培训</w:t>
      </w:r>
    </w:p>
    <w:p w14:paraId="2D1BC2C9"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领导</w:t>
      </w:r>
      <w:proofErr w:type="gramStart"/>
      <w:r>
        <w:rPr>
          <w:rFonts w:ascii="仿宋_GB2312" w:eastAsia="仿宋_GB2312" w:hAnsi="仿宋_GB2312" w:cs="仿宋_GB2312" w:hint="eastAsia"/>
          <w:sz w:val="32"/>
          <w:szCs w:val="28"/>
        </w:rPr>
        <w:t>层由于</w:t>
      </w:r>
      <w:proofErr w:type="gramEnd"/>
      <w:r>
        <w:rPr>
          <w:rFonts w:ascii="仿宋_GB2312" w:eastAsia="仿宋_GB2312" w:hAnsi="仿宋_GB2312" w:cs="仿宋_GB2312" w:hint="eastAsia"/>
          <w:sz w:val="32"/>
          <w:szCs w:val="28"/>
        </w:rPr>
        <w:t>事务比较繁忙，将安排他们二次集中培训和一对一培训。每次集中培训，要求领导至少保障1小时培训时间。培训的主要内容是有针对性的系统功能操作培训，并根据要求增加基本操作培训内容。在此基础上，将根据实际需要进行一对一的个别不定期培训和专项培训。</w:t>
      </w:r>
    </w:p>
    <w:p w14:paraId="1D0C5DBB" w14:textId="77777777" w:rsidR="00B02C6E" w:rsidRDefault="00B02C6E" w:rsidP="00B02C6E">
      <w:pPr>
        <w:pStyle w:val="3"/>
        <w:numPr>
          <w:ilvl w:val="2"/>
          <w:numId w:val="0"/>
        </w:numPr>
        <w:adjustRightInd/>
        <w:spacing w:before="0" w:after="0" w:line="560" w:lineRule="exact"/>
        <w:jc w:val="both"/>
      </w:pPr>
      <w:r>
        <w:rPr>
          <w:rFonts w:hint="eastAsia"/>
        </w:rPr>
        <w:t>（二）技术人员培训计划</w:t>
      </w:r>
    </w:p>
    <w:p w14:paraId="7E74980F"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提供至少2次，不少于30人的现场培训，侧重于系统的安装和维护，使采购方的技术人员能够掌握系统的基本原理、安装配置及运行维护等方面的技术。培训完成后，技术人员要能够维护系统，保障系统安全、高效的运行。</w:t>
      </w:r>
    </w:p>
    <w:p w14:paraId="59FA8271" w14:textId="77777777" w:rsidR="00B02C6E" w:rsidRDefault="00B02C6E" w:rsidP="00B02C6E">
      <w:pPr>
        <w:pStyle w:val="3"/>
        <w:numPr>
          <w:ilvl w:val="2"/>
          <w:numId w:val="0"/>
        </w:numPr>
        <w:adjustRightInd/>
        <w:spacing w:before="0" w:after="0" w:line="560" w:lineRule="exact"/>
        <w:jc w:val="both"/>
      </w:pPr>
      <w:r>
        <w:rPr>
          <w:rFonts w:hint="eastAsia"/>
        </w:rPr>
        <w:t>（三）业务人员培训计划</w:t>
      </w:r>
    </w:p>
    <w:p w14:paraId="7A6B00CA"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为业务人员提供至少2次，不少于50人的现场培训，并提供培训录像视频，提高受训人员的业务操作水平，使业</w:t>
      </w:r>
      <w:r>
        <w:rPr>
          <w:rFonts w:ascii="仿宋_GB2312" w:eastAsia="仿宋_GB2312" w:hAnsi="仿宋_GB2312" w:cs="仿宋_GB2312" w:hint="eastAsia"/>
          <w:sz w:val="32"/>
          <w:szCs w:val="28"/>
        </w:rPr>
        <w:lastRenderedPageBreak/>
        <w:t>务人员能够从整体上了解和掌握与大系统建设相关的知识，能够熟练操作和使用相应功能模块。</w:t>
      </w:r>
    </w:p>
    <w:p w14:paraId="760A3A1E" w14:textId="77777777" w:rsidR="00B02C6E" w:rsidRDefault="00B02C6E" w:rsidP="00B02C6E">
      <w:pPr>
        <w:pStyle w:val="2"/>
        <w:numPr>
          <w:ilvl w:val="1"/>
          <w:numId w:val="0"/>
        </w:numPr>
        <w:spacing w:before="0" w:after="0" w:line="560" w:lineRule="exact"/>
        <w:rPr>
          <w:b/>
          <w:bCs w:val="0"/>
          <w:sz w:val="32"/>
          <w:szCs w:val="36"/>
        </w:rPr>
      </w:pPr>
      <w:r>
        <w:rPr>
          <w:rFonts w:hint="eastAsia"/>
        </w:rPr>
        <w:t>六、整体责任维护期要求</w:t>
      </w:r>
    </w:p>
    <w:p w14:paraId="0164911B"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★所有硬件设备产品均需提供三年以上保修服务，软件系统提供2年以上免费升级及维护服务，</w:t>
      </w:r>
      <w:proofErr w:type="gramStart"/>
      <w:r>
        <w:rPr>
          <w:rFonts w:ascii="仿宋_GB2312" w:eastAsia="仿宋_GB2312" w:hAnsi="仿宋_GB2312" w:cs="仿宋_GB2312" w:hint="eastAsia"/>
          <w:sz w:val="32"/>
          <w:szCs w:val="28"/>
        </w:rPr>
        <w:t>自项目</w:t>
      </w:r>
      <w:proofErr w:type="gramEnd"/>
      <w:r>
        <w:rPr>
          <w:rFonts w:ascii="仿宋_GB2312" w:eastAsia="仿宋_GB2312" w:hAnsi="仿宋_GB2312" w:cs="仿宋_GB2312" w:hint="eastAsia"/>
          <w:sz w:val="32"/>
          <w:szCs w:val="28"/>
        </w:rPr>
        <w:t>通过合同验收之日起计算，保修期内，所有设备、系统的维修均为免费，服务方式均为中标人或原厂家上门保修，由此产生的费用中标人均不再收取，中标人应免费提供系统扩充、升级方面的技术支持服务。</w:t>
      </w:r>
    </w:p>
    <w:p w14:paraId="0A1F6432"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（一）在设备保修期内，保证本工程所涉及所有设备处于正常工作状态的比例不小于98%，对故障设备负责免费维修，对不能修复的设备负责免费更换，保修条款按照生产厂家的保修条款执行。</w:t>
      </w:r>
    </w:p>
    <w:p w14:paraId="71538C28"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（二）项目开工至保修期结束，所有硬件设备的维修、配置调整及软件系统维护、配置调整均为免费。投标人必须每个月对设备系统运行情况进行一次全面现场检查，并出具设备系统运行情况分析报告。</w:t>
      </w:r>
    </w:p>
    <w:p w14:paraId="2D34D680"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（三）故障报修的响应时间：接到项目建设单位报修通知之时1小时内解决应用软件故障、4 小时内解决系统软件故障。提供7×24 电话或电子邮件服务，接到项目建设单位报修通知1 小时内做出明确响应和安排，如需现场服务的，安排熟悉本项目情况且具有解决故障能力的工程师应在1 小时内到达现场，1 小时内解决应用软件故障、4 小时内解决系统软件故障。若8小时内无法解决，应在24小时内提</w:t>
      </w:r>
      <w:r>
        <w:rPr>
          <w:rFonts w:ascii="仿宋_GB2312" w:eastAsia="仿宋_GB2312" w:hAnsi="仿宋_GB2312" w:cs="仿宋_GB2312" w:hint="eastAsia"/>
          <w:sz w:val="32"/>
          <w:szCs w:val="28"/>
        </w:rPr>
        <w:lastRenderedPageBreak/>
        <w:t>供不低于故障设备规格型号档次的备用设备。如需整机送修，维修周期最长不超过30天。</w:t>
      </w:r>
    </w:p>
    <w:p w14:paraId="5F15C763"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（四）保修期内，所有设备维修服务均为上门服务，由此产生的费用均不再收取。</w:t>
      </w:r>
    </w:p>
    <w:p w14:paraId="618F0777"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（五）需提供系统扩充、升级方面的技术支持服务。</w:t>
      </w:r>
    </w:p>
    <w:p w14:paraId="471E4CA7"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（六）投标人应提供7*24小时的咨询电话，并安排有技术人员解答使用中遇到的疑难。</w:t>
      </w:r>
    </w:p>
    <w:p w14:paraId="706F7623"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七）设备运行过程中出现问题，必须编写专项系统故障调查报告，指出事故出现的原因，为何出现此故障，如何预防此类故障，并提出针对此类故障的防治措施，并适当修改管理软件对曾经出现过的故障进行预警。</w:t>
      </w:r>
    </w:p>
    <w:p w14:paraId="7F1403E3" w14:textId="77777777" w:rsidR="00B02C6E" w:rsidRDefault="00B02C6E" w:rsidP="00B02C6E">
      <w:pPr>
        <w:spacing w:line="560" w:lineRule="exact"/>
        <w:ind w:firstLine="640"/>
        <w:rPr>
          <w:rFonts w:ascii="宋体" w:hAnsi="宋体"/>
        </w:rPr>
      </w:pPr>
      <w:r>
        <w:rPr>
          <w:rFonts w:ascii="仿宋_GB2312" w:eastAsia="仿宋_GB2312" w:hAnsi="仿宋_GB2312" w:cs="仿宋_GB2312" w:hint="eastAsia"/>
          <w:sz w:val="32"/>
          <w:szCs w:val="28"/>
        </w:rPr>
        <w:t>（八）★在软件质保期内，中标人需提供不少于2名驻场工程师在采购方指定的场所内进行5×8小时的驻场整体责任维护服务，协助采购方维护系统及设备运行。</w:t>
      </w:r>
    </w:p>
    <w:p w14:paraId="3DE62050" w14:textId="77777777" w:rsidR="00B02C6E" w:rsidRDefault="00B02C6E" w:rsidP="00B02C6E">
      <w:pPr>
        <w:pStyle w:val="2"/>
        <w:numPr>
          <w:ilvl w:val="1"/>
          <w:numId w:val="0"/>
        </w:numPr>
        <w:spacing w:before="0" w:after="0" w:line="560" w:lineRule="exact"/>
        <w:rPr>
          <w:b/>
          <w:bCs w:val="0"/>
          <w:sz w:val="32"/>
          <w:szCs w:val="36"/>
        </w:rPr>
      </w:pPr>
      <w:r>
        <w:rPr>
          <w:rFonts w:hint="eastAsia"/>
          <w:b/>
          <w:bCs w:val="0"/>
          <w:sz w:val="32"/>
          <w:szCs w:val="36"/>
        </w:rPr>
        <w:t>五、测试和验收要求</w:t>
      </w:r>
    </w:p>
    <w:p w14:paraId="407278DA"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测试标准：系统的测试标准由买卖双方根据合同内容、系统业务需求文本、系统需求规格说明书等内容协商制定。</w:t>
      </w:r>
    </w:p>
    <w:p w14:paraId="02930A3B"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测试申请：中标人完成系统的自测运行正常后，提出书面系统测试申请。提交测试的系统应是成熟的，并提交相应测试文档。在此基础上，中标人根据采购人的测试意见完善。</w:t>
      </w:r>
    </w:p>
    <w:p w14:paraId="5DFC3467"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初步验收：采购方组成验收小组，验收小组应对各子系统进行逐项验收系统初步验收不合格时，中标人应负责修改系统，并在达到验收条件时，再次向采购方提出书面验收申请。因中标</w:t>
      </w:r>
      <w:proofErr w:type="gramStart"/>
      <w:r>
        <w:rPr>
          <w:rFonts w:ascii="仿宋_GB2312" w:eastAsia="仿宋_GB2312" w:hAnsi="仿宋_GB2312" w:cs="仿宋_GB2312" w:hint="eastAsia"/>
          <w:sz w:val="32"/>
          <w:szCs w:val="28"/>
        </w:rPr>
        <w:t>人原因</w:t>
      </w:r>
      <w:proofErr w:type="gramEnd"/>
      <w:r>
        <w:rPr>
          <w:rFonts w:ascii="仿宋_GB2312" w:eastAsia="仿宋_GB2312" w:hAnsi="仿宋_GB2312" w:cs="仿宋_GB2312" w:hint="eastAsia"/>
          <w:sz w:val="32"/>
          <w:szCs w:val="28"/>
        </w:rPr>
        <w:t>导致系统验收不合格产生的系统建设工作</w:t>
      </w:r>
      <w:r>
        <w:rPr>
          <w:rFonts w:ascii="仿宋_GB2312" w:eastAsia="仿宋_GB2312" w:hAnsi="仿宋_GB2312" w:cs="仿宋_GB2312" w:hint="eastAsia"/>
          <w:sz w:val="32"/>
          <w:szCs w:val="28"/>
        </w:rPr>
        <w:lastRenderedPageBreak/>
        <w:t>成本，由中标人承担。</w:t>
      </w:r>
    </w:p>
    <w:p w14:paraId="2F732B63"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试运行：系统初验完成后，系统进入试运行，试运行不少于3个月后，中标人以书面形式向采购方提交系统初步验收申请书。如果在试运行期间，由于设备、系统的某些指标达不到要求，允许投标人进行修复，但试运行期做相应顺延，如果超过试运行约定时间的3个月仍未达到验收要求，用户有权取消合同，追究法律责任，追讨用户损失（含已支付合同款）。一切后果和损失由中标人承担。</w:t>
      </w:r>
    </w:p>
    <w:p w14:paraId="705448E2"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第三方测评和安全相关测评：系统初验完成后，中标人需根据采购方安排进行第三方测评和安全相关测评工作，根据测评公司提出的具体意见修改系统并通过测评。如果第三方验收测评、安全相关测评的首轮测试不通过，后续工作产生的费用由中标人承担。</w:t>
      </w:r>
    </w:p>
    <w:p w14:paraId="6C7CF0B9"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合同验收：中标人根据采购方的要求对初步验收后的系统进一步完善，系统完善后可提出最终验收申请，验收标准按照《广州市政务信息化管理方法》，符合市委政法委的保密要求及考核要求。采购方组成验收小组，进行项目验收。</w:t>
      </w:r>
    </w:p>
    <w:p w14:paraId="102BD555"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项目终验：合同验收通过后三个月内向市委政法委提交书面终验申请，由市政务服务数据管理部门组织，对项目符合性检查进行检查确认，中标人需配合采购方准备项目终验验收文档和在广州市政务信息化项目管理系统上</w:t>
      </w:r>
      <w:proofErr w:type="gramStart"/>
      <w:r>
        <w:rPr>
          <w:rFonts w:ascii="仿宋_GB2312" w:eastAsia="仿宋_GB2312" w:hAnsi="仿宋_GB2312" w:cs="仿宋_GB2312" w:hint="eastAsia"/>
          <w:sz w:val="32"/>
          <w:szCs w:val="28"/>
        </w:rPr>
        <w:t>传相关</w:t>
      </w:r>
      <w:proofErr w:type="gramEnd"/>
      <w:r>
        <w:rPr>
          <w:rFonts w:ascii="仿宋_GB2312" w:eastAsia="仿宋_GB2312" w:hAnsi="仿宋_GB2312" w:cs="仿宋_GB2312" w:hint="eastAsia"/>
          <w:sz w:val="32"/>
          <w:szCs w:val="28"/>
        </w:rPr>
        <w:t>材料。项目验收文档须符合规范要求。项目终验应满足《广州市政务信息化项目管理办法》、《广州市政务信息化项目终验实施细则》的有关要求。如果市政务服务数据管理部门组织</w:t>
      </w:r>
      <w:r>
        <w:rPr>
          <w:rFonts w:ascii="仿宋_GB2312" w:eastAsia="仿宋_GB2312" w:hAnsi="仿宋_GB2312" w:cs="仿宋_GB2312" w:hint="eastAsia"/>
          <w:sz w:val="32"/>
          <w:szCs w:val="28"/>
        </w:rPr>
        <w:lastRenderedPageBreak/>
        <w:t>的检查首轮测试不通过，后续工作产生的费用由中标人承担。</w:t>
      </w:r>
    </w:p>
    <w:p w14:paraId="7CA3D58C" w14:textId="77777777" w:rsidR="00B02C6E" w:rsidRDefault="00B02C6E" w:rsidP="00B02C6E">
      <w:pPr>
        <w:pStyle w:val="2"/>
        <w:numPr>
          <w:ilvl w:val="1"/>
          <w:numId w:val="0"/>
        </w:numPr>
        <w:spacing w:before="0" w:after="0" w:line="560" w:lineRule="exact"/>
      </w:pPr>
      <w:r>
        <w:rPr>
          <w:rFonts w:hint="eastAsia"/>
        </w:rPr>
        <w:t xml:space="preserve">七、系统演示要求 </w:t>
      </w:r>
    </w:p>
    <w:p w14:paraId="34445A7D"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本项目要求在评审过程中进行系统演示及答辩，建议供应商在投标文件（首次响应文件）解密时间截止后1小时内到达广州市政府采购中心等候。系统演示及答辩开始时间由评审委员会确定，如供应商未在评审委员会规定的时间内到达系统演示及答辩地点进行系统演示及答辩，评审委员会有权视其放弃系统演示及答辩。等候地点：广州市天河区天润路445号广州市政府采购中心（太阳广场）四楼。</w:t>
      </w:r>
    </w:p>
    <w:p w14:paraId="3D50465A"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（一）本项目由有效投标人于评标过程中进行系统演示及答辩，请投标人自行准备相关文件。</w:t>
      </w:r>
    </w:p>
    <w:p w14:paraId="4BA7B579"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（二）授权委托代理人须凭身份证原件参加系统演示及答辩，参加人数一般不超过3人（含授权委托代理人在内）。</w:t>
      </w:r>
    </w:p>
    <w:p w14:paraId="7BE9C76F"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（三）如演示、答辩过程中需要用到电脑等设备，请投标人自带，评标现场仅提供电源和投影设备。</w:t>
      </w:r>
    </w:p>
    <w:p w14:paraId="5294DD6B"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（四）演示内容如下：</w:t>
      </w:r>
    </w:p>
    <w:p w14:paraId="33FF2185"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sz w:val="32"/>
          <w:szCs w:val="28"/>
        </w:rPr>
        <w:t>1</w:t>
      </w:r>
      <w:r>
        <w:rPr>
          <w:rFonts w:ascii="仿宋_GB2312" w:eastAsia="仿宋_GB2312" w:hAnsi="仿宋_GB2312" w:cs="仿宋_GB2312" w:hint="eastAsia"/>
          <w:sz w:val="32"/>
          <w:szCs w:val="28"/>
        </w:rPr>
        <w:t>、程序性风险监督：能够通过界面展示程序性风险专题、风险线索接收、处置等需求的详细内容。</w:t>
      </w:r>
    </w:p>
    <w:p w14:paraId="5DB5C860"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程序性风险专题：可展示风险类型及占比情况、风险案件地域分布、风险案由排名、风险案件列表等。</w:t>
      </w:r>
    </w:p>
    <w:p w14:paraId="21D4FBA5"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风险线索接收：接收执法监督等环节发现的问题线索，具有风险线索查询、详情查看等功能。</w:t>
      </w:r>
    </w:p>
    <w:p w14:paraId="02C6AA95"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风险线索处置：能够对风险线索进行初步核实，对需要公检法</w:t>
      </w:r>
      <w:proofErr w:type="gramStart"/>
      <w:r>
        <w:rPr>
          <w:rFonts w:ascii="仿宋_GB2312" w:eastAsia="仿宋_GB2312" w:hAnsi="仿宋_GB2312" w:cs="仿宋_GB2312" w:hint="eastAsia"/>
          <w:sz w:val="32"/>
          <w:szCs w:val="28"/>
        </w:rPr>
        <w:t>司办理</w:t>
      </w:r>
      <w:proofErr w:type="gramEnd"/>
      <w:r>
        <w:rPr>
          <w:rFonts w:ascii="仿宋_GB2312" w:eastAsia="仿宋_GB2312" w:hAnsi="仿宋_GB2312" w:cs="仿宋_GB2312" w:hint="eastAsia"/>
          <w:sz w:val="32"/>
          <w:szCs w:val="28"/>
        </w:rPr>
        <w:t>的风险线索进行分发管理，</w:t>
      </w:r>
      <w:proofErr w:type="gramStart"/>
      <w:r>
        <w:rPr>
          <w:rFonts w:ascii="仿宋_GB2312" w:eastAsia="仿宋_GB2312" w:hAnsi="仿宋_GB2312" w:cs="仿宋_GB2312" w:hint="eastAsia"/>
          <w:sz w:val="32"/>
          <w:szCs w:val="28"/>
        </w:rPr>
        <w:t>包括转原单位</w:t>
      </w:r>
      <w:proofErr w:type="gramEnd"/>
      <w:r>
        <w:rPr>
          <w:rFonts w:ascii="仿宋_GB2312" w:eastAsia="仿宋_GB2312" w:hAnsi="仿宋_GB2312" w:cs="仿宋_GB2312" w:hint="eastAsia"/>
          <w:sz w:val="32"/>
          <w:szCs w:val="28"/>
        </w:rPr>
        <w:t>自查</w:t>
      </w:r>
      <w:r>
        <w:rPr>
          <w:rFonts w:ascii="仿宋_GB2312" w:eastAsia="仿宋_GB2312" w:hAnsi="仿宋_GB2312" w:cs="仿宋_GB2312" w:hint="eastAsia"/>
          <w:sz w:val="32"/>
          <w:szCs w:val="28"/>
        </w:rPr>
        <w:lastRenderedPageBreak/>
        <w:t>自纠、转检察院法律监督、或</w:t>
      </w:r>
      <w:proofErr w:type="gramStart"/>
      <w:r>
        <w:rPr>
          <w:rFonts w:ascii="仿宋_GB2312" w:eastAsia="仿宋_GB2312" w:hAnsi="仿宋_GB2312" w:cs="仿宋_GB2312" w:hint="eastAsia"/>
          <w:sz w:val="32"/>
          <w:szCs w:val="28"/>
        </w:rPr>
        <w:t>转案件</w:t>
      </w:r>
      <w:proofErr w:type="gramEnd"/>
      <w:r>
        <w:rPr>
          <w:rFonts w:ascii="仿宋_GB2312" w:eastAsia="仿宋_GB2312" w:hAnsi="仿宋_GB2312" w:cs="仿宋_GB2312" w:hint="eastAsia"/>
          <w:sz w:val="32"/>
          <w:szCs w:val="28"/>
        </w:rPr>
        <w:t>评查系统组织开展评查活动；对不需要公检法</w:t>
      </w:r>
      <w:proofErr w:type="gramStart"/>
      <w:r>
        <w:rPr>
          <w:rFonts w:ascii="仿宋_GB2312" w:eastAsia="仿宋_GB2312" w:hAnsi="仿宋_GB2312" w:cs="仿宋_GB2312" w:hint="eastAsia"/>
          <w:sz w:val="32"/>
          <w:szCs w:val="28"/>
        </w:rPr>
        <w:t>司办理</w:t>
      </w:r>
      <w:proofErr w:type="gramEnd"/>
      <w:r>
        <w:rPr>
          <w:rFonts w:ascii="仿宋_GB2312" w:eastAsia="仿宋_GB2312" w:hAnsi="仿宋_GB2312" w:cs="仿宋_GB2312" w:hint="eastAsia"/>
          <w:sz w:val="32"/>
          <w:szCs w:val="28"/>
        </w:rPr>
        <w:t>的风险线索，或已反馈办理结果的线索可直接进行关闭。</w:t>
      </w:r>
    </w:p>
    <w:p w14:paraId="1A8ACE1A"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2、案件评查系统</w:t>
      </w:r>
    </w:p>
    <w:p w14:paraId="5A118939"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创建评查活动：针对业务协同平台已经办结的刑事案件，系统从案件库中随机抽取对应的案件数，选择案件进行评查。创建评查活动需满足填写活动信息、能够从评查专家</w:t>
      </w:r>
      <w:proofErr w:type="gramStart"/>
      <w:r>
        <w:rPr>
          <w:rFonts w:ascii="仿宋_GB2312" w:eastAsia="仿宋_GB2312" w:hAnsi="仿宋_GB2312" w:cs="仿宋_GB2312" w:hint="eastAsia"/>
          <w:sz w:val="32"/>
          <w:szCs w:val="28"/>
        </w:rPr>
        <w:t>库选择</w:t>
      </w:r>
      <w:proofErr w:type="gramEnd"/>
      <w:r>
        <w:rPr>
          <w:rFonts w:ascii="仿宋_GB2312" w:eastAsia="仿宋_GB2312" w:hAnsi="仿宋_GB2312" w:cs="仿宋_GB2312" w:hint="eastAsia"/>
          <w:sz w:val="32"/>
          <w:szCs w:val="28"/>
        </w:rPr>
        <w:t>评查专家、登记相关审批意见。</w:t>
      </w:r>
    </w:p>
    <w:p w14:paraId="6DCA2F03"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评查案件筛选：针对业务协同平台已经办结的刑事案件，系统支持推送问题</w:t>
      </w:r>
      <w:proofErr w:type="gramStart"/>
      <w:r>
        <w:rPr>
          <w:rFonts w:ascii="仿宋_GB2312" w:eastAsia="仿宋_GB2312" w:hAnsi="仿宋_GB2312" w:cs="仿宋_GB2312" w:hint="eastAsia"/>
          <w:sz w:val="32"/>
          <w:szCs w:val="28"/>
        </w:rPr>
        <w:t>案件案</w:t>
      </w:r>
      <w:proofErr w:type="gramEnd"/>
      <w:r>
        <w:rPr>
          <w:rFonts w:ascii="仿宋_GB2312" w:eastAsia="仿宋_GB2312" w:hAnsi="仿宋_GB2312" w:cs="仿宋_GB2312" w:hint="eastAsia"/>
          <w:sz w:val="32"/>
          <w:szCs w:val="28"/>
        </w:rPr>
        <w:t>号和检索结果展示（非案件全部信息）。</w:t>
      </w:r>
    </w:p>
    <w:p w14:paraId="007A8818"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评查活动管理：执法监督员对评查活动情况进行跟踪，可查看评查活动基本信息、评查专家信息、已保存审批记录以及评查活动的活动流程详情。</w:t>
      </w:r>
    </w:p>
    <w:p w14:paraId="77C3B9E3"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案件评查：</w:t>
      </w:r>
    </w:p>
    <w:p w14:paraId="2ABF2A03" w14:textId="77777777" w:rsidR="00B02C6E" w:rsidRDefault="00B02C6E" w:rsidP="00B02C6E">
      <w:pPr>
        <w:numPr>
          <w:ilvl w:val="0"/>
          <w:numId w:val="5"/>
        </w:num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问题标注：评查专家进入“案件评查”模块，按照左侧目录、中间卷宗内容、右侧问题列表的形式查看需要评查案件的卷宗，在案件材料中按照“事实认定/证据采信/办案程序/法律适用/文书形式”进行问题标注，标注后显示在右侧问题列表。</w:t>
      </w:r>
    </w:p>
    <w:p w14:paraId="02BB6D5D" w14:textId="77777777" w:rsidR="00B02C6E" w:rsidRDefault="00B02C6E" w:rsidP="00B02C6E">
      <w:pPr>
        <w:numPr>
          <w:ilvl w:val="0"/>
          <w:numId w:val="5"/>
        </w:num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个案报告预览：完成对本案的评查工作，可预览并生成个案评查报告。</w:t>
      </w:r>
    </w:p>
    <w:p w14:paraId="6B5F4C12"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评查报告列表：可查看权限范围内的评查报告并以列表方式展示，呈现评查活动名称、案号、案件名称、被评查单</w:t>
      </w:r>
      <w:r>
        <w:rPr>
          <w:rFonts w:ascii="仿宋_GB2312" w:eastAsia="仿宋_GB2312" w:hAnsi="仿宋_GB2312" w:cs="仿宋_GB2312" w:hint="eastAsia"/>
          <w:sz w:val="32"/>
          <w:szCs w:val="28"/>
        </w:rPr>
        <w:lastRenderedPageBreak/>
        <w:t>位等报告关键信息。</w:t>
      </w:r>
    </w:p>
    <w:p w14:paraId="41F62CBA"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个案报告生成：评查完成后，系统根据自动与人工的评查结果自动生成评查个案报告，并支持编辑。报告支持下载成word形式。</w:t>
      </w:r>
    </w:p>
    <w:p w14:paraId="1C1EB26A"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综合报告生成：集中评查结束后，系统可以生成综合分析报告并支持编辑，从宏观层面分析案件质量情况，并给予改进措施建议，报告支持下载成word形式。</w:t>
      </w:r>
    </w:p>
    <w:p w14:paraId="60AF53FD"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评查专家库管理：政法单位相关评查专家，组建评查专家库，为每位专家建立相关评查档案，详细记载评查专家的相关具体情况。</w:t>
      </w:r>
    </w:p>
    <w:p w14:paraId="4135F5B0" w14:textId="77777777" w:rsidR="00B02C6E" w:rsidRDefault="00B02C6E" w:rsidP="00B02C6E">
      <w:pPr>
        <w:spacing w:line="560" w:lineRule="exact"/>
        <w:ind w:firstLine="640"/>
      </w:pPr>
      <w:r>
        <w:rPr>
          <w:rFonts w:ascii="仿宋_GB2312" w:eastAsia="仿宋_GB2312" w:hAnsi="仿宋_GB2312" w:cs="仿宋_GB2312" w:hint="eastAsia"/>
          <w:sz w:val="32"/>
          <w:szCs w:val="28"/>
        </w:rPr>
        <w:t>3.演示时间：不超过15分钟。</w:t>
      </w:r>
    </w:p>
    <w:p w14:paraId="4E1F468A" w14:textId="77777777" w:rsidR="00B02C6E" w:rsidRDefault="00B02C6E" w:rsidP="00B02C6E">
      <w:pPr>
        <w:pStyle w:val="2"/>
        <w:numPr>
          <w:ilvl w:val="1"/>
          <w:numId w:val="0"/>
        </w:numPr>
        <w:spacing w:before="0" w:after="0" w:line="560" w:lineRule="exact"/>
        <w:rPr>
          <w:b/>
          <w:bCs w:val="0"/>
          <w:sz w:val="32"/>
          <w:szCs w:val="36"/>
        </w:rPr>
      </w:pPr>
      <w:r>
        <w:rPr>
          <w:rFonts w:hint="eastAsia"/>
          <w:b/>
          <w:bCs w:val="0"/>
          <w:sz w:val="32"/>
          <w:szCs w:val="36"/>
        </w:rPr>
        <w:t>八、人员要求</w:t>
      </w:r>
    </w:p>
    <w:p w14:paraId="20E201AA"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（一）人员稳定性保证</w:t>
      </w:r>
    </w:p>
    <w:p w14:paraId="19668EF5"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项目组成员应为中标人自有人员，在未经过建设单位同意的情况下承建方不得私自更换本项目开发人员。</w:t>
      </w:r>
    </w:p>
    <w:p w14:paraId="0E870953"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（二）人员经验保证</w:t>
      </w:r>
    </w:p>
    <w:p w14:paraId="6D7D7118"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承建方要建立实施该项目的组织架构，项目经理需具有与本项目规模相当的政法跨部门大数据办案系统建设实施案例经验。</w:t>
      </w:r>
    </w:p>
    <w:p w14:paraId="00688B8D"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（三）实施人员要求</w:t>
      </w:r>
    </w:p>
    <w:p w14:paraId="45BE4E01"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为保证本项目的顺利实施，所有与本项目相关的实施工作，承建方都必须在建设单位指定现场实施，项目实施期间项目经理和技术人员常驻建设单位指定现场进行分析、设计、开发，便于采购人召开</w:t>
      </w:r>
      <w:proofErr w:type="gramStart"/>
      <w:r>
        <w:rPr>
          <w:rFonts w:ascii="仿宋_GB2312" w:eastAsia="仿宋_GB2312" w:hAnsi="仿宋_GB2312" w:cs="仿宋_GB2312" w:hint="eastAsia"/>
          <w:sz w:val="32"/>
          <w:szCs w:val="28"/>
        </w:rPr>
        <w:t>项目周</w:t>
      </w:r>
      <w:proofErr w:type="gramEnd"/>
      <w:r>
        <w:rPr>
          <w:rFonts w:ascii="仿宋_GB2312" w:eastAsia="仿宋_GB2312" w:hAnsi="仿宋_GB2312" w:cs="仿宋_GB2312" w:hint="eastAsia"/>
          <w:sz w:val="32"/>
          <w:szCs w:val="28"/>
        </w:rPr>
        <w:t>例会，及时掌握项目进度和质</w:t>
      </w:r>
      <w:r>
        <w:rPr>
          <w:rFonts w:ascii="仿宋_GB2312" w:eastAsia="仿宋_GB2312" w:hAnsi="仿宋_GB2312" w:cs="仿宋_GB2312" w:hint="eastAsia"/>
          <w:sz w:val="32"/>
          <w:szCs w:val="28"/>
        </w:rPr>
        <w:lastRenderedPageBreak/>
        <w:t>量。承建方必须在投标文件中列出项目组成人员名单，其中应指派一人作为项目经理，负责与建设单位联系沟通。</w:t>
      </w:r>
    </w:p>
    <w:p w14:paraId="30C35588"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项目供应商应从技术角度出发，保障项目中各系统稳定运行，配备相关技术力量。可应参考以下的标准配置表，安排项目实施的技术力量：</w:t>
      </w:r>
    </w:p>
    <w:p w14:paraId="50B50A1D" w14:textId="77777777" w:rsidR="00B02C6E" w:rsidRDefault="00B02C6E" w:rsidP="00B02C6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技术力量配备表</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3"/>
        <w:gridCol w:w="2081"/>
        <w:gridCol w:w="1551"/>
        <w:gridCol w:w="2612"/>
        <w:gridCol w:w="1299"/>
      </w:tblGrid>
      <w:tr w:rsidR="00B02C6E" w14:paraId="182028CE" w14:textId="77777777" w:rsidTr="00453BF8">
        <w:trPr>
          <w:trHeight w:val="510"/>
        </w:trPr>
        <w:tc>
          <w:tcPr>
            <w:tcW w:w="454" w:type="pct"/>
            <w:tcBorders>
              <w:top w:val="single" w:sz="4" w:space="0" w:color="auto"/>
              <w:left w:val="single" w:sz="4" w:space="0" w:color="auto"/>
              <w:bottom w:val="single" w:sz="4" w:space="0" w:color="auto"/>
              <w:right w:val="single" w:sz="4" w:space="0" w:color="auto"/>
            </w:tcBorders>
            <w:vAlign w:val="center"/>
          </w:tcPr>
          <w:p w14:paraId="4C51CDDB" w14:textId="77777777" w:rsidR="00B02C6E" w:rsidRDefault="00B02C6E" w:rsidP="00453BF8">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1254" w:type="pct"/>
            <w:tcBorders>
              <w:top w:val="single" w:sz="4" w:space="0" w:color="auto"/>
              <w:left w:val="single" w:sz="4" w:space="0" w:color="auto"/>
              <w:bottom w:val="single" w:sz="4" w:space="0" w:color="auto"/>
              <w:right w:val="single" w:sz="4" w:space="0" w:color="auto"/>
            </w:tcBorders>
            <w:vAlign w:val="center"/>
          </w:tcPr>
          <w:p w14:paraId="795323CC" w14:textId="77777777" w:rsidR="00B02C6E" w:rsidRDefault="00B02C6E" w:rsidP="00453BF8">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人员类型</w:t>
            </w:r>
          </w:p>
        </w:tc>
        <w:tc>
          <w:tcPr>
            <w:tcW w:w="935" w:type="pct"/>
            <w:tcBorders>
              <w:top w:val="single" w:sz="4" w:space="0" w:color="auto"/>
              <w:left w:val="single" w:sz="4" w:space="0" w:color="auto"/>
              <w:bottom w:val="single" w:sz="4" w:space="0" w:color="auto"/>
              <w:right w:val="single" w:sz="4" w:space="0" w:color="auto"/>
            </w:tcBorders>
            <w:vAlign w:val="center"/>
          </w:tcPr>
          <w:p w14:paraId="05912FC4" w14:textId="77777777" w:rsidR="00B02C6E" w:rsidRDefault="00B02C6E" w:rsidP="00453BF8">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服务</w:t>
            </w:r>
          </w:p>
        </w:tc>
        <w:tc>
          <w:tcPr>
            <w:tcW w:w="1574" w:type="pct"/>
            <w:tcBorders>
              <w:top w:val="single" w:sz="4" w:space="0" w:color="auto"/>
              <w:left w:val="single" w:sz="4" w:space="0" w:color="auto"/>
              <w:bottom w:val="single" w:sz="4" w:space="0" w:color="auto"/>
              <w:right w:val="single" w:sz="4" w:space="0" w:color="auto"/>
            </w:tcBorders>
            <w:vAlign w:val="center"/>
          </w:tcPr>
          <w:p w14:paraId="2DE21FFC" w14:textId="77777777" w:rsidR="00B02C6E" w:rsidRDefault="00B02C6E" w:rsidP="00453BF8">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资质要求</w:t>
            </w:r>
          </w:p>
        </w:tc>
        <w:tc>
          <w:tcPr>
            <w:tcW w:w="783" w:type="pct"/>
            <w:tcBorders>
              <w:top w:val="single" w:sz="4" w:space="0" w:color="auto"/>
              <w:left w:val="single" w:sz="4" w:space="0" w:color="auto"/>
              <w:bottom w:val="single" w:sz="4" w:space="0" w:color="auto"/>
              <w:right w:val="single" w:sz="4" w:space="0" w:color="auto"/>
            </w:tcBorders>
            <w:vAlign w:val="center"/>
          </w:tcPr>
          <w:p w14:paraId="56F1DFB6" w14:textId="77777777" w:rsidR="00B02C6E" w:rsidRDefault="00B02C6E" w:rsidP="00453BF8">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说明</w:t>
            </w:r>
          </w:p>
        </w:tc>
      </w:tr>
      <w:tr w:rsidR="00B02C6E" w14:paraId="5C3BF6E9" w14:textId="77777777" w:rsidTr="00453BF8">
        <w:trPr>
          <w:trHeight w:val="510"/>
        </w:trPr>
        <w:tc>
          <w:tcPr>
            <w:tcW w:w="454" w:type="pct"/>
            <w:tcBorders>
              <w:top w:val="single" w:sz="4" w:space="0" w:color="auto"/>
              <w:left w:val="single" w:sz="4" w:space="0" w:color="auto"/>
              <w:bottom w:val="single" w:sz="4" w:space="0" w:color="auto"/>
              <w:right w:val="single" w:sz="4" w:space="0" w:color="auto"/>
            </w:tcBorders>
            <w:vAlign w:val="center"/>
          </w:tcPr>
          <w:p w14:paraId="24CA1897" w14:textId="77777777" w:rsidR="00B02C6E" w:rsidRDefault="00B02C6E" w:rsidP="00453BF8">
            <w:pPr>
              <w:adjustRightIn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c>
          <w:tcPr>
            <w:tcW w:w="1254" w:type="pct"/>
            <w:tcBorders>
              <w:top w:val="single" w:sz="4" w:space="0" w:color="auto"/>
              <w:left w:val="single" w:sz="4" w:space="0" w:color="auto"/>
              <w:bottom w:val="single" w:sz="4" w:space="0" w:color="auto"/>
              <w:right w:val="single" w:sz="4" w:space="0" w:color="auto"/>
            </w:tcBorders>
            <w:vAlign w:val="center"/>
          </w:tcPr>
          <w:p w14:paraId="781E23B5"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项目经理</w:t>
            </w:r>
          </w:p>
        </w:tc>
        <w:tc>
          <w:tcPr>
            <w:tcW w:w="935" w:type="pct"/>
            <w:tcBorders>
              <w:top w:val="single" w:sz="4" w:space="0" w:color="auto"/>
              <w:left w:val="single" w:sz="4" w:space="0" w:color="auto"/>
              <w:bottom w:val="single" w:sz="4" w:space="0" w:color="auto"/>
              <w:right w:val="single" w:sz="4" w:space="0" w:color="auto"/>
            </w:tcBorders>
            <w:vAlign w:val="center"/>
          </w:tcPr>
          <w:p w14:paraId="374CC234"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负责项目管理与协调</w:t>
            </w:r>
          </w:p>
        </w:tc>
        <w:tc>
          <w:tcPr>
            <w:tcW w:w="1574" w:type="pct"/>
            <w:tcBorders>
              <w:top w:val="single" w:sz="4" w:space="0" w:color="auto"/>
              <w:left w:val="single" w:sz="4" w:space="0" w:color="auto"/>
              <w:bottom w:val="single" w:sz="4" w:space="0" w:color="auto"/>
              <w:right w:val="single" w:sz="4" w:space="0" w:color="auto"/>
            </w:tcBorders>
          </w:tcPr>
          <w:p w14:paraId="16C30AA7" w14:textId="77777777" w:rsidR="00B02C6E" w:rsidRPr="00882CE3" w:rsidRDefault="00B02C6E" w:rsidP="00453BF8">
            <w:pPr>
              <w:adjustRightInd w:val="0"/>
              <w:spacing w:line="560" w:lineRule="exact"/>
              <w:rPr>
                <w:rFonts w:ascii="仿宋_GB2312" w:eastAsia="仿宋_GB2312" w:hAnsi="仿宋_GB2312" w:cs="仿宋_GB2312"/>
                <w:kern w:val="0"/>
                <w:sz w:val="28"/>
                <w:szCs w:val="28"/>
              </w:rPr>
            </w:pPr>
            <w:r w:rsidRPr="00882CE3">
              <w:rPr>
                <w:rFonts w:ascii="仿宋_GB2312" w:eastAsia="仿宋_GB2312" w:hAnsi="仿宋_GB2312" w:cs="仿宋_GB2312"/>
                <w:kern w:val="0"/>
                <w:sz w:val="28"/>
                <w:szCs w:val="28"/>
              </w:rPr>
              <w:t>1、工作年限不低于8年；</w:t>
            </w:r>
          </w:p>
          <w:p w14:paraId="537C6044" w14:textId="77777777" w:rsidR="00B02C6E" w:rsidRPr="00882CE3" w:rsidRDefault="00B02C6E" w:rsidP="00453BF8">
            <w:pPr>
              <w:adjustRightInd w:val="0"/>
              <w:spacing w:line="560" w:lineRule="exact"/>
              <w:rPr>
                <w:rFonts w:ascii="仿宋_GB2312" w:eastAsia="仿宋_GB2312" w:hAnsi="仿宋_GB2312" w:cs="仿宋_GB2312"/>
                <w:kern w:val="0"/>
                <w:sz w:val="28"/>
                <w:szCs w:val="28"/>
              </w:rPr>
            </w:pPr>
            <w:r w:rsidRPr="00882CE3">
              <w:rPr>
                <w:rFonts w:ascii="仿宋_GB2312" w:eastAsia="仿宋_GB2312" w:hAnsi="仿宋_GB2312" w:cs="仿宋_GB2312"/>
                <w:kern w:val="0"/>
                <w:sz w:val="28"/>
                <w:szCs w:val="28"/>
              </w:rPr>
              <w:t>2、在不少于1个跨部门办案信息化系统项目建设经验</w:t>
            </w:r>
            <w:r>
              <w:rPr>
                <w:rFonts w:ascii="仿宋_GB2312" w:eastAsia="仿宋_GB2312" w:hAnsi="仿宋_GB2312" w:cs="仿宋_GB2312" w:hint="eastAsia"/>
                <w:kern w:val="0"/>
                <w:sz w:val="28"/>
                <w:szCs w:val="28"/>
              </w:rPr>
              <w:t>。</w:t>
            </w:r>
          </w:p>
        </w:tc>
        <w:tc>
          <w:tcPr>
            <w:tcW w:w="783" w:type="pct"/>
            <w:vMerge w:val="restart"/>
            <w:tcBorders>
              <w:top w:val="single" w:sz="4" w:space="0" w:color="auto"/>
              <w:left w:val="single" w:sz="4" w:space="0" w:color="auto"/>
              <w:bottom w:val="single" w:sz="4" w:space="0" w:color="auto"/>
              <w:right w:val="single" w:sz="4" w:space="0" w:color="auto"/>
            </w:tcBorders>
            <w:vAlign w:val="center"/>
          </w:tcPr>
          <w:p w14:paraId="6585E200"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项目开发小组必须驻场开发</w:t>
            </w:r>
          </w:p>
        </w:tc>
      </w:tr>
      <w:tr w:rsidR="00B02C6E" w14:paraId="1CD24E94" w14:textId="77777777" w:rsidTr="00453BF8">
        <w:trPr>
          <w:trHeight w:val="488"/>
        </w:trPr>
        <w:tc>
          <w:tcPr>
            <w:tcW w:w="454" w:type="pct"/>
            <w:tcBorders>
              <w:top w:val="single" w:sz="4" w:space="0" w:color="auto"/>
              <w:left w:val="single" w:sz="4" w:space="0" w:color="auto"/>
              <w:bottom w:val="single" w:sz="4" w:space="0" w:color="auto"/>
              <w:right w:val="single" w:sz="4" w:space="0" w:color="auto"/>
            </w:tcBorders>
            <w:vAlign w:val="center"/>
          </w:tcPr>
          <w:p w14:paraId="037C2B7B" w14:textId="77777777" w:rsidR="00B02C6E" w:rsidRDefault="00B02C6E" w:rsidP="00453BF8">
            <w:pPr>
              <w:adjustRightIn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c>
          <w:tcPr>
            <w:tcW w:w="1254" w:type="pct"/>
            <w:tcBorders>
              <w:top w:val="single" w:sz="4" w:space="0" w:color="auto"/>
              <w:left w:val="single" w:sz="4" w:space="0" w:color="auto"/>
              <w:bottom w:val="single" w:sz="4" w:space="0" w:color="auto"/>
              <w:right w:val="single" w:sz="4" w:space="0" w:color="auto"/>
            </w:tcBorders>
            <w:vAlign w:val="center"/>
          </w:tcPr>
          <w:p w14:paraId="4D9CB133"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安全负责人</w:t>
            </w:r>
          </w:p>
        </w:tc>
        <w:tc>
          <w:tcPr>
            <w:tcW w:w="935" w:type="pct"/>
            <w:tcBorders>
              <w:top w:val="single" w:sz="4" w:space="0" w:color="auto"/>
              <w:left w:val="single" w:sz="4" w:space="0" w:color="auto"/>
              <w:bottom w:val="single" w:sz="4" w:space="0" w:color="auto"/>
              <w:right w:val="single" w:sz="4" w:space="0" w:color="auto"/>
            </w:tcBorders>
            <w:vAlign w:val="center"/>
          </w:tcPr>
          <w:p w14:paraId="0F46CF1E"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负责项目安全管理</w:t>
            </w:r>
          </w:p>
        </w:tc>
        <w:tc>
          <w:tcPr>
            <w:tcW w:w="1574" w:type="pct"/>
            <w:vMerge w:val="restart"/>
            <w:tcBorders>
              <w:top w:val="single" w:sz="4" w:space="0" w:color="auto"/>
              <w:left w:val="single" w:sz="4" w:space="0" w:color="auto"/>
              <w:right w:val="single" w:sz="4" w:space="0" w:color="auto"/>
            </w:tcBorders>
          </w:tcPr>
          <w:p w14:paraId="2A84605B" w14:textId="77777777" w:rsidR="00B02C6E" w:rsidRPr="00882CE3" w:rsidRDefault="00B02C6E" w:rsidP="00453BF8">
            <w:pPr>
              <w:adjustRightInd w:val="0"/>
              <w:spacing w:line="560" w:lineRule="exact"/>
              <w:rPr>
                <w:rFonts w:ascii="仿宋_GB2312" w:eastAsia="仿宋_GB2312" w:hAnsi="仿宋_GB2312" w:cs="仿宋_GB2312"/>
                <w:kern w:val="0"/>
                <w:sz w:val="28"/>
                <w:szCs w:val="28"/>
              </w:rPr>
            </w:pPr>
            <w:r w:rsidRPr="00882CE3">
              <w:rPr>
                <w:rFonts w:ascii="仿宋_GB2312" w:eastAsia="仿宋_GB2312" w:hAnsi="仿宋_GB2312" w:cs="仿宋_GB2312" w:hint="eastAsia"/>
                <w:kern w:val="0"/>
                <w:sz w:val="28"/>
                <w:szCs w:val="28"/>
              </w:rPr>
              <w:t>项目人员具备</w:t>
            </w:r>
            <w:r>
              <w:rPr>
                <w:rFonts w:ascii="仿宋_GB2312" w:eastAsia="仿宋_GB2312" w:hAnsi="仿宋_GB2312" w:cs="仿宋_GB2312" w:hint="eastAsia"/>
                <w:kern w:val="0"/>
                <w:sz w:val="28"/>
                <w:szCs w:val="28"/>
              </w:rPr>
              <w:t>工业和信息化部、人力资源和社会保障部颁发的</w:t>
            </w:r>
            <w:r w:rsidRPr="00882CE3">
              <w:rPr>
                <w:rFonts w:ascii="仿宋_GB2312" w:eastAsia="仿宋_GB2312" w:hAnsi="仿宋_GB2312" w:cs="仿宋_GB2312" w:hint="eastAsia"/>
                <w:kern w:val="0"/>
                <w:sz w:val="28"/>
                <w:szCs w:val="28"/>
              </w:rPr>
              <w:t>项目管理类证书</w:t>
            </w:r>
            <w:r>
              <w:rPr>
                <w:rFonts w:ascii="仿宋_GB2312" w:eastAsia="仿宋_GB2312" w:hAnsi="仿宋_GB2312" w:cs="仿宋_GB2312" w:hint="eastAsia"/>
                <w:kern w:val="0"/>
                <w:sz w:val="28"/>
                <w:szCs w:val="28"/>
              </w:rPr>
              <w:t>、</w:t>
            </w:r>
            <w:r w:rsidRPr="00882CE3">
              <w:rPr>
                <w:rFonts w:ascii="仿宋_GB2312" w:eastAsia="仿宋_GB2312" w:hAnsi="仿宋_GB2312" w:cs="仿宋_GB2312" w:hint="eastAsia"/>
                <w:kern w:val="0"/>
                <w:sz w:val="28"/>
                <w:szCs w:val="28"/>
              </w:rPr>
              <w:t>软件开发</w:t>
            </w:r>
            <w:r>
              <w:rPr>
                <w:rFonts w:ascii="仿宋_GB2312" w:eastAsia="仿宋_GB2312" w:hAnsi="仿宋_GB2312" w:cs="仿宋_GB2312" w:hint="eastAsia"/>
                <w:kern w:val="0"/>
                <w:sz w:val="28"/>
                <w:szCs w:val="28"/>
              </w:rPr>
              <w:t>或</w:t>
            </w:r>
            <w:r w:rsidRPr="00882CE3">
              <w:rPr>
                <w:rFonts w:ascii="仿宋_GB2312" w:eastAsia="仿宋_GB2312" w:hAnsi="仿宋_GB2312" w:cs="仿宋_GB2312" w:hint="eastAsia"/>
                <w:kern w:val="0"/>
                <w:sz w:val="28"/>
                <w:szCs w:val="28"/>
              </w:rPr>
              <w:t>软件设计类相关证书</w:t>
            </w:r>
            <w:r>
              <w:rPr>
                <w:rFonts w:ascii="仿宋_GB2312" w:eastAsia="仿宋_GB2312" w:hAnsi="仿宋_GB2312" w:cs="仿宋_GB2312" w:hint="eastAsia"/>
                <w:kern w:val="0"/>
                <w:sz w:val="28"/>
                <w:szCs w:val="28"/>
              </w:rPr>
              <w:t>。</w:t>
            </w:r>
          </w:p>
        </w:tc>
        <w:tc>
          <w:tcPr>
            <w:tcW w:w="783" w:type="pct"/>
            <w:vMerge/>
            <w:tcBorders>
              <w:top w:val="single" w:sz="4" w:space="0" w:color="auto"/>
              <w:left w:val="single" w:sz="4" w:space="0" w:color="auto"/>
              <w:bottom w:val="single" w:sz="4" w:space="0" w:color="auto"/>
              <w:right w:val="single" w:sz="4" w:space="0" w:color="auto"/>
            </w:tcBorders>
            <w:vAlign w:val="center"/>
          </w:tcPr>
          <w:p w14:paraId="33714E36" w14:textId="77777777" w:rsidR="00B02C6E" w:rsidRDefault="00B02C6E" w:rsidP="00453BF8">
            <w:pPr>
              <w:adjustRightInd w:val="0"/>
              <w:spacing w:line="560" w:lineRule="exact"/>
              <w:rPr>
                <w:rFonts w:ascii="仿宋_GB2312" w:eastAsia="仿宋_GB2312" w:hAnsi="仿宋_GB2312" w:cs="仿宋_GB2312"/>
                <w:kern w:val="0"/>
                <w:sz w:val="32"/>
                <w:szCs w:val="32"/>
              </w:rPr>
            </w:pPr>
          </w:p>
        </w:tc>
      </w:tr>
      <w:tr w:rsidR="00B02C6E" w14:paraId="5EE76158" w14:textId="77777777" w:rsidTr="00453BF8">
        <w:trPr>
          <w:trHeight w:val="510"/>
        </w:trPr>
        <w:tc>
          <w:tcPr>
            <w:tcW w:w="454" w:type="pct"/>
            <w:tcBorders>
              <w:top w:val="single" w:sz="4" w:space="0" w:color="auto"/>
              <w:left w:val="single" w:sz="4" w:space="0" w:color="auto"/>
              <w:bottom w:val="single" w:sz="4" w:space="0" w:color="auto"/>
              <w:right w:val="single" w:sz="4" w:space="0" w:color="auto"/>
            </w:tcBorders>
            <w:vAlign w:val="center"/>
          </w:tcPr>
          <w:p w14:paraId="4B1D38E4" w14:textId="77777777" w:rsidR="00B02C6E" w:rsidRDefault="00B02C6E" w:rsidP="00453BF8">
            <w:pPr>
              <w:adjustRightIn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p>
        </w:tc>
        <w:tc>
          <w:tcPr>
            <w:tcW w:w="1254" w:type="pct"/>
            <w:tcBorders>
              <w:top w:val="single" w:sz="4" w:space="0" w:color="auto"/>
              <w:left w:val="single" w:sz="4" w:space="0" w:color="auto"/>
              <w:bottom w:val="single" w:sz="4" w:space="0" w:color="auto"/>
              <w:right w:val="single" w:sz="4" w:space="0" w:color="auto"/>
            </w:tcBorders>
            <w:vAlign w:val="center"/>
          </w:tcPr>
          <w:p w14:paraId="3B1C545A"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系统</w:t>
            </w:r>
            <w:proofErr w:type="gramStart"/>
            <w:r>
              <w:rPr>
                <w:rFonts w:ascii="仿宋_GB2312" w:eastAsia="仿宋_GB2312" w:hAnsi="仿宋_GB2312" w:cs="仿宋_GB2312" w:hint="eastAsia"/>
                <w:kern w:val="0"/>
                <w:sz w:val="32"/>
                <w:szCs w:val="32"/>
              </w:rPr>
              <w:t>架构师</w:t>
            </w:r>
            <w:proofErr w:type="gramEnd"/>
          </w:p>
        </w:tc>
        <w:tc>
          <w:tcPr>
            <w:tcW w:w="935" w:type="pct"/>
            <w:tcBorders>
              <w:top w:val="single" w:sz="4" w:space="0" w:color="auto"/>
              <w:left w:val="single" w:sz="4" w:space="0" w:color="auto"/>
              <w:bottom w:val="single" w:sz="4" w:space="0" w:color="auto"/>
              <w:right w:val="single" w:sz="4" w:space="0" w:color="auto"/>
            </w:tcBorders>
            <w:vAlign w:val="center"/>
          </w:tcPr>
          <w:p w14:paraId="48DCCC26"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系统架构分析、设计</w:t>
            </w:r>
          </w:p>
        </w:tc>
        <w:tc>
          <w:tcPr>
            <w:tcW w:w="1574" w:type="pct"/>
            <w:vMerge/>
            <w:tcBorders>
              <w:left w:val="single" w:sz="4" w:space="0" w:color="auto"/>
              <w:right w:val="single" w:sz="4" w:space="0" w:color="auto"/>
            </w:tcBorders>
          </w:tcPr>
          <w:p w14:paraId="5990A445" w14:textId="77777777" w:rsidR="00B02C6E" w:rsidRDefault="00B02C6E" w:rsidP="00453BF8">
            <w:pPr>
              <w:adjustRightInd w:val="0"/>
              <w:spacing w:line="560" w:lineRule="exact"/>
              <w:rPr>
                <w:rFonts w:ascii="仿宋_GB2312" w:eastAsia="仿宋_GB2312" w:hAnsi="仿宋_GB2312" w:cs="仿宋_GB2312"/>
                <w:kern w:val="0"/>
                <w:sz w:val="32"/>
                <w:szCs w:val="32"/>
              </w:rPr>
            </w:pPr>
          </w:p>
        </w:tc>
        <w:tc>
          <w:tcPr>
            <w:tcW w:w="783" w:type="pct"/>
            <w:vMerge/>
            <w:tcBorders>
              <w:top w:val="single" w:sz="4" w:space="0" w:color="auto"/>
              <w:left w:val="single" w:sz="4" w:space="0" w:color="auto"/>
              <w:bottom w:val="single" w:sz="4" w:space="0" w:color="auto"/>
              <w:right w:val="single" w:sz="4" w:space="0" w:color="auto"/>
            </w:tcBorders>
            <w:vAlign w:val="center"/>
          </w:tcPr>
          <w:p w14:paraId="1CFADC6F" w14:textId="77777777" w:rsidR="00B02C6E" w:rsidRDefault="00B02C6E" w:rsidP="00453BF8">
            <w:pPr>
              <w:adjustRightInd w:val="0"/>
              <w:spacing w:line="560" w:lineRule="exact"/>
              <w:rPr>
                <w:rFonts w:ascii="仿宋_GB2312" w:eastAsia="仿宋_GB2312" w:hAnsi="仿宋_GB2312" w:cs="仿宋_GB2312"/>
                <w:kern w:val="0"/>
                <w:sz w:val="32"/>
                <w:szCs w:val="32"/>
              </w:rPr>
            </w:pPr>
          </w:p>
        </w:tc>
      </w:tr>
      <w:tr w:rsidR="00B02C6E" w14:paraId="5118A6B2" w14:textId="77777777" w:rsidTr="00453BF8">
        <w:trPr>
          <w:trHeight w:val="510"/>
        </w:trPr>
        <w:tc>
          <w:tcPr>
            <w:tcW w:w="454" w:type="pct"/>
            <w:tcBorders>
              <w:top w:val="single" w:sz="4" w:space="0" w:color="auto"/>
              <w:left w:val="single" w:sz="4" w:space="0" w:color="auto"/>
              <w:bottom w:val="single" w:sz="4" w:space="0" w:color="auto"/>
              <w:right w:val="single" w:sz="4" w:space="0" w:color="auto"/>
            </w:tcBorders>
            <w:vAlign w:val="center"/>
          </w:tcPr>
          <w:p w14:paraId="6D8E50B2" w14:textId="77777777" w:rsidR="00B02C6E" w:rsidRDefault="00B02C6E" w:rsidP="00453BF8">
            <w:pPr>
              <w:adjustRightIn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p>
        </w:tc>
        <w:tc>
          <w:tcPr>
            <w:tcW w:w="1254" w:type="pct"/>
            <w:tcBorders>
              <w:top w:val="single" w:sz="4" w:space="0" w:color="auto"/>
              <w:left w:val="single" w:sz="4" w:space="0" w:color="auto"/>
              <w:bottom w:val="single" w:sz="4" w:space="0" w:color="auto"/>
              <w:right w:val="single" w:sz="4" w:space="0" w:color="auto"/>
            </w:tcBorders>
            <w:vAlign w:val="center"/>
          </w:tcPr>
          <w:p w14:paraId="07BAB3CE"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开发工程师</w:t>
            </w:r>
          </w:p>
        </w:tc>
        <w:tc>
          <w:tcPr>
            <w:tcW w:w="935" w:type="pct"/>
            <w:tcBorders>
              <w:top w:val="single" w:sz="4" w:space="0" w:color="auto"/>
              <w:left w:val="single" w:sz="4" w:space="0" w:color="auto"/>
              <w:bottom w:val="single" w:sz="4" w:space="0" w:color="auto"/>
              <w:right w:val="single" w:sz="4" w:space="0" w:color="auto"/>
            </w:tcBorders>
            <w:vAlign w:val="center"/>
          </w:tcPr>
          <w:p w14:paraId="2090921F"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系统功能开发</w:t>
            </w:r>
          </w:p>
        </w:tc>
        <w:tc>
          <w:tcPr>
            <w:tcW w:w="1574" w:type="pct"/>
            <w:vMerge/>
            <w:tcBorders>
              <w:left w:val="single" w:sz="4" w:space="0" w:color="auto"/>
              <w:bottom w:val="single" w:sz="4" w:space="0" w:color="auto"/>
              <w:right w:val="single" w:sz="4" w:space="0" w:color="auto"/>
            </w:tcBorders>
          </w:tcPr>
          <w:p w14:paraId="65427026" w14:textId="77777777" w:rsidR="00B02C6E" w:rsidRDefault="00B02C6E" w:rsidP="00453BF8">
            <w:pPr>
              <w:adjustRightInd w:val="0"/>
              <w:spacing w:line="560" w:lineRule="exact"/>
              <w:rPr>
                <w:rFonts w:ascii="仿宋_GB2312" w:eastAsia="仿宋_GB2312" w:hAnsi="仿宋_GB2312" w:cs="仿宋_GB2312"/>
                <w:kern w:val="0"/>
                <w:sz w:val="32"/>
                <w:szCs w:val="32"/>
              </w:rPr>
            </w:pPr>
          </w:p>
        </w:tc>
        <w:tc>
          <w:tcPr>
            <w:tcW w:w="783" w:type="pct"/>
            <w:vMerge/>
            <w:tcBorders>
              <w:top w:val="single" w:sz="4" w:space="0" w:color="auto"/>
              <w:left w:val="single" w:sz="4" w:space="0" w:color="auto"/>
              <w:bottom w:val="single" w:sz="4" w:space="0" w:color="auto"/>
              <w:right w:val="single" w:sz="4" w:space="0" w:color="auto"/>
            </w:tcBorders>
            <w:vAlign w:val="center"/>
          </w:tcPr>
          <w:p w14:paraId="40D5472F" w14:textId="77777777" w:rsidR="00B02C6E" w:rsidRDefault="00B02C6E" w:rsidP="00453BF8">
            <w:pPr>
              <w:adjustRightInd w:val="0"/>
              <w:spacing w:line="560" w:lineRule="exact"/>
              <w:rPr>
                <w:rFonts w:ascii="仿宋_GB2312" w:eastAsia="仿宋_GB2312" w:hAnsi="仿宋_GB2312" w:cs="仿宋_GB2312"/>
                <w:kern w:val="0"/>
                <w:sz w:val="32"/>
                <w:szCs w:val="32"/>
              </w:rPr>
            </w:pPr>
          </w:p>
        </w:tc>
      </w:tr>
      <w:tr w:rsidR="00B02C6E" w14:paraId="7DBA9BED" w14:textId="77777777" w:rsidTr="00453BF8">
        <w:trPr>
          <w:trHeight w:val="510"/>
        </w:trPr>
        <w:tc>
          <w:tcPr>
            <w:tcW w:w="454" w:type="pct"/>
            <w:tcBorders>
              <w:top w:val="single" w:sz="4" w:space="0" w:color="auto"/>
              <w:left w:val="single" w:sz="4" w:space="0" w:color="auto"/>
              <w:bottom w:val="single" w:sz="4" w:space="0" w:color="auto"/>
              <w:right w:val="single" w:sz="4" w:space="0" w:color="auto"/>
            </w:tcBorders>
            <w:vAlign w:val="center"/>
          </w:tcPr>
          <w:p w14:paraId="39BFE596" w14:textId="77777777" w:rsidR="00B02C6E" w:rsidRDefault="00B02C6E" w:rsidP="00453BF8">
            <w:pPr>
              <w:adjustRightIn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p>
        </w:tc>
        <w:tc>
          <w:tcPr>
            <w:tcW w:w="1254" w:type="pct"/>
            <w:tcBorders>
              <w:top w:val="single" w:sz="4" w:space="0" w:color="auto"/>
              <w:left w:val="single" w:sz="4" w:space="0" w:color="auto"/>
              <w:bottom w:val="single" w:sz="4" w:space="0" w:color="auto"/>
              <w:right w:val="single" w:sz="4" w:space="0" w:color="auto"/>
            </w:tcBorders>
            <w:vAlign w:val="center"/>
          </w:tcPr>
          <w:p w14:paraId="11D78D0D"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驻场工程师</w:t>
            </w:r>
          </w:p>
        </w:tc>
        <w:tc>
          <w:tcPr>
            <w:tcW w:w="935" w:type="pct"/>
            <w:tcBorders>
              <w:top w:val="single" w:sz="4" w:space="0" w:color="auto"/>
              <w:left w:val="single" w:sz="4" w:space="0" w:color="auto"/>
              <w:bottom w:val="single" w:sz="4" w:space="0" w:color="auto"/>
              <w:right w:val="single" w:sz="4" w:space="0" w:color="auto"/>
            </w:tcBorders>
            <w:vAlign w:val="center"/>
          </w:tcPr>
          <w:p w14:paraId="154AF23C"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质保期内的驻场人员</w:t>
            </w:r>
          </w:p>
        </w:tc>
        <w:tc>
          <w:tcPr>
            <w:tcW w:w="1574" w:type="pct"/>
            <w:tcBorders>
              <w:top w:val="single" w:sz="4" w:space="0" w:color="auto"/>
              <w:left w:val="single" w:sz="4" w:space="0" w:color="auto"/>
              <w:bottom w:val="single" w:sz="4" w:space="0" w:color="auto"/>
              <w:right w:val="single" w:sz="4" w:space="0" w:color="auto"/>
            </w:tcBorders>
          </w:tcPr>
          <w:p w14:paraId="773B9859" w14:textId="77777777" w:rsidR="00B02C6E" w:rsidRPr="00882CE3" w:rsidRDefault="00B02C6E" w:rsidP="00453BF8">
            <w:pPr>
              <w:adjustRightInd w:val="0"/>
              <w:spacing w:line="56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sidRPr="00882CE3">
              <w:rPr>
                <w:rFonts w:ascii="仿宋_GB2312" w:eastAsia="仿宋_GB2312" w:hAnsi="仿宋_GB2312" w:cs="仿宋_GB2312" w:hint="eastAsia"/>
                <w:kern w:val="0"/>
                <w:sz w:val="28"/>
                <w:szCs w:val="28"/>
              </w:rPr>
              <w:t>有</w:t>
            </w:r>
            <w:r w:rsidRPr="00882CE3">
              <w:rPr>
                <w:rFonts w:ascii="仿宋_GB2312" w:eastAsia="仿宋_GB2312" w:hAnsi="仿宋_GB2312" w:cs="仿宋_GB2312"/>
                <w:kern w:val="0"/>
                <w:sz w:val="28"/>
                <w:szCs w:val="28"/>
              </w:rPr>
              <w:t>2年及以上信息化项目经验</w:t>
            </w:r>
            <w:r w:rsidRPr="00882CE3">
              <w:rPr>
                <w:rFonts w:ascii="仿宋_GB2312" w:eastAsia="仿宋_GB2312" w:hAnsi="仿宋_GB2312" w:cs="仿宋_GB2312" w:hint="eastAsia"/>
                <w:kern w:val="0"/>
                <w:sz w:val="28"/>
                <w:szCs w:val="28"/>
              </w:rPr>
              <w:t>；</w:t>
            </w:r>
          </w:p>
          <w:p w14:paraId="44508325"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28"/>
                <w:szCs w:val="28"/>
              </w:rPr>
              <w:t>2.</w:t>
            </w:r>
            <w:r w:rsidRPr="00882CE3">
              <w:rPr>
                <w:rFonts w:ascii="仿宋_GB2312" w:eastAsia="仿宋_GB2312" w:hAnsi="仿宋_GB2312" w:cs="仿宋_GB2312" w:hint="eastAsia"/>
                <w:kern w:val="0"/>
                <w:sz w:val="28"/>
                <w:szCs w:val="28"/>
              </w:rPr>
              <w:t>具有</w:t>
            </w:r>
            <w:r>
              <w:rPr>
                <w:rFonts w:ascii="仿宋_GB2312" w:eastAsia="仿宋_GB2312" w:hAnsi="仿宋_GB2312" w:cs="仿宋_GB2312" w:hint="eastAsia"/>
                <w:kern w:val="0"/>
                <w:sz w:val="28"/>
                <w:szCs w:val="28"/>
              </w:rPr>
              <w:t>工业和信息化部、人力资源和社</w:t>
            </w:r>
            <w:r>
              <w:rPr>
                <w:rFonts w:ascii="仿宋_GB2312" w:eastAsia="仿宋_GB2312" w:hAnsi="仿宋_GB2312" w:cs="仿宋_GB2312" w:hint="eastAsia"/>
                <w:kern w:val="0"/>
                <w:sz w:val="28"/>
                <w:szCs w:val="28"/>
              </w:rPr>
              <w:lastRenderedPageBreak/>
              <w:t>会保障部颁发的</w:t>
            </w:r>
            <w:r w:rsidRPr="00882CE3">
              <w:rPr>
                <w:rFonts w:ascii="仿宋_GB2312" w:eastAsia="仿宋_GB2312" w:hAnsi="仿宋_GB2312" w:cs="仿宋_GB2312" w:hint="eastAsia"/>
                <w:kern w:val="0"/>
                <w:sz w:val="28"/>
                <w:szCs w:val="28"/>
              </w:rPr>
              <w:t>项目管理类或项目服务类证书</w:t>
            </w:r>
            <w:proofErr w:type="gramStart"/>
            <w:r w:rsidRPr="00882CE3">
              <w:rPr>
                <w:rFonts w:ascii="仿宋_GB2312" w:eastAsia="仿宋_GB2312" w:hAnsi="仿宋_GB2312" w:cs="仿宋_GB2312" w:hint="eastAsia"/>
                <w:kern w:val="0"/>
                <w:sz w:val="28"/>
                <w:szCs w:val="28"/>
              </w:rPr>
              <w:t>证书</w:t>
            </w:r>
            <w:proofErr w:type="gramEnd"/>
            <w:r w:rsidRPr="00882CE3">
              <w:rPr>
                <w:rFonts w:ascii="仿宋_GB2312" w:eastAsia="仿宋_GB2312" w:hAnsi="仿宋_GB2312" w:cs="仿宋_GB2312" w:hint="eastAsia"/>
                <w:kern w:val="0"/>
                <w:sz w:val="28"/>
                <w:szCs w:val="28"/>
              </w:rPr>
              <w:t>。</w:t>
            </w:r>
          </w:p>
        </w:tc>
        <w:tc>
          <w:tcPr>
            <w:tcW w:w="783" w:type="pct"/>
            <w:tcBorders>
              <w:top w:val="single" w:sz="4" w:space="0" w:color="auto"/>
              <w:left w:val="single" w:sz="4" w:space="0" w:color="auto"/>
              <w:bottom w:val="single" w:sz="4" w:space="0" w:color="auto"/>
              <w:right w:val="single" w:sz="4" w:space="0" w:color="auto"/>
            </w:tcBorders>
            <w:vAlign w:val="center"/>
          </w:tcPr>
          <w:p w14:paraId="5FC4032C"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质保期驻场工程师</w:t>
            </w:r>
          </w:p>
        </w:tc>
      </w:tr>
      <w:tr w:rsidR="00B02C6E" w14:paraId="5F6D63CF" w14:textId="77777777" w:rsidTr="00453BF8">
        <w:trPr>
          <w:trHeight w:val="510"/>
        </w:trPr>
        <w:tc>
          <w:tcPr>
            <w:tcW w:w="454" w:type="pct"/>
            <w:tcBorders>
              <w:top w:val="single" w:sz="4" w:space="0" w:color="auto"/>
              <w:left w:val="single" w:sz="4" w:space="0" w:color="auto"/>
              <w:bottom w:val="single" w:sz="4" w:space="0" w:color="auto"/>
              <w:right w:val="single" w:sz="4" w:space="0" w:color="auto"/>
            </w:tcBorders>
            <w:vAlign w:val="center"/>
          </w:tcPr>
          <w:p w14:paraId="7AFCD758" w14:textId="77777777" w:rsidR="00B02C6E" w:rsidRDefault="00B02C6E" w:rsidP="00453BF8">
            <w:pPr>
              <w:adjustRightIn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p>
        </w:tc>
        <w:tc>
          <w:tcPr>
            <w:tcW w:w="1254" w:type="pct"/>
            <w:tcBorders>
              <w:top w:val="single" w:sz="4" w:space="0" w:color="auto"/>
              <w:left w:val="single" w:sz="4" w:space="0" w:color="auto"/>
              <w:bottom w:val="single" w:sz="4" w:space="0" w:color="auto"/>
              <w:right w:val="single" w:sz="4" w:space="0" w:color="auto"/>
            </w:tcBorders>
            <w:vAlign w:val="center"/>
          </w:tcPr>
          <w:p w14:paraId="50DE3BBC"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项目配置管理员</w:t>
            </w:r>
          </w:p>
        </w:tc>
        <w:tc>
          <w:tcPr>
            <w:tcW w:w="935" w:type="pct"/>
            <w:tcBorders>
              <w:top w:val="single" w:sz="4" w:space="0" w:color="auto"/>
              <w:left w:val="single" w:sz="4" w:space="0" w:color="auto"/>
              <w:bottom w:val="single" w:sz="4" w:space="0" w:color="auto"/>
              <w:right w:val="single" w:sz="4" w:space="0" w:color="auto"/>
            </w:tcBorders>
            <w:vAlign w:val="center"/>
          </w:tcPr>
          <w:p w14:paraId="78A6835E"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负责对项目过程文档进行管理</w:t>
            </w:r>
          </w:p>
        </w:tc>
        <w:tc>
          <w:tcPr>
            <w:tcW w:w="1574" w:type="pct"/>
            <w:tcBorders>
              <w:top w:val="single" w:sz="4" w:space="0" w:color="auto"/>
              <w:left w:val="single" w:sz="4" w:space="0" w:color="auto"/>
              <w:bottom w:val="single" w:sz="4" w:space="0" w:color="auto"/>
              <w:right w:val="single" w:sz="4" w:space="0" w:color="auto"/>
            </w:tcBorders>
          </w:tcPr>
          <w:p w14:paraId="270AB8D1" w14:textId="77777777" w:rsidR="00B02C6E" w:rsidRDefault="00B02C6E" w:rsidP="00453BF8">
            <w:pPr>
              <w:adjustRightInd w:val="0"/>
              <w:spacing w:line="560" w:lineRule="exact"/>
              <w:rPr>
                <w:rFonts w:ascii="仿宋_GB2312" w:eastAsia="仿宋_GB2312" w:hAnsi="仿宋_GB2312" w:cs="仿宋_GB2312"/>
                <w:kern w:val="0"/>
                <w:sz w:val="32"/>
                <w:szCs w:val="32"/>
              </w:rPr>
            </w:pPr>
          </w:p>
        </w:tc>
        <w:tc>
          <w:tcPr>
            <w:tcW w:w="783" w:type="pct"/>
            <w:vMerge w:val="restart"/>
            <w:tcBorders>
              <w:top w:val="single" w:sz="4" w:space="0" w:color="auto"/>
              <w:left w:val="single" w:sz="4" w:space="0" w:color="auto"/>
              <w:bottom w:val="single" w:sz="4" w:space="0" w:color="auto"/>
              <w:right w:val="single" w:sz="4" w:space="0" w:color="auto"/>
            </w:tcBorders>
            <w:vAlign w:val="center"/>
          </w:tcPr>
          <w:p w14:paraId="6160F394"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项目过程介入</w:t>
            </w:r>
          </w:p>
        </w:tc>
      </w:tr>
      <w:tr w:rsidR="00B02C6E" w14:paraId="687C2C56" w14:textId="77777777" w:rsidTr="00453BF8">
        <w:trPr>
          <w:trHeight w:val="510"/>
        </w:trPr>
        <w:tc>
          <w:tcPr>
            <w:tcW w:w="454" w:type="pct"/>
            <w:tcBorders>
              <w:top w:val="single" w:sz="4" w:space="0" w:color="auto"/>
              <w:left w:val="single" w:sz="4" w:space="0" w:color="auto"/>
              <w:bottom w:val="single" w:sz="4" w:space="0" w:color="auto"/>
              <w:right w:val="single" w:sz="4" w:space="0" w:color="auto"/>
            </w:tcBorders>
            <w:vAlign w:val="center"/>
          </w:tcPr>
          <w:p w14:paraId="029ADD63" w14:textId="77777777" w:rsidR="00B02C6E" w:rsidRDefault="00B02C6E" w:rsidP="00453BF8">
            <w:pPr>
              <w:adjustRightIn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w:t>
            </w:r>
          </w:p>
        </w:tc>
        <w:tc>
          <w:tcPr>
            <w:tcW w:w="1254" w:type="pct"/>
            <w:tcBorders>
              <w:top w:val="single" w:sz="4" w:space="0" w:color="auto"/>
              <w:left w:val="single" w:sz="4" w:space="0" w:color="auto"/>
              <w:bottom w:val="single" w:sz="4" w:space="0" w:color="auto"/>
              <w:right w:val="single" w:sz="4" w:space="0" w:color="auto"/>
            </w:tcBorders>
            <w:vAlign w:val="center"/>
          </w:tcPr>
          <w:p w14:paraId="0A2BC2A2" w14:textId="77777777" w:rsidR="00B02C6E" w:rsidRDefault="00B02C6E" w:rsidP="00453BF8">
            <w:pPr>
              <w:pStyle w:val="000"/>
              <w:adjustRightInd w:val="0"/>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网络工程师</w:t>
            </w:r>
          </w:p>
        </w:tc>
        <w:tc>
          <w:tcPr>
            <w:tcW w:w="935" w:type="pct"/>
            <w:vMerge w:val="restart"/>
            <w:tcBorders>
              <w:top w:val="single" w:sz="4" w:space="0" w:color="auto"/>
              <w:left w:val="single" w:sz="4" w:space="0" w:color="auto"/>
              <w:right w:val="single" w:sz="4" w:space="0" w:color="auto"/>
            </w:tcBorders>
            <w:vAlign w:val="center"/>
          </w:tcPr>
          <w:p w14:paraId="4BD68603" w14:textId="77777777" w:rsidR="00B02C6E" w:rsidRDefault="00B02C6E" w:rsidP="00453BF8">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负责对项目信息化基础设施建设</w:t>
            </w:r>
          </w:p>
        </w:tc>
        <w:tc>
          <w:tcPr>
            <w:tcW w:w="1574" w:type="pct"/>
            <w:tcBorders>
              <w:left w:val="single" w:sz="4" w:space="0" w:color="auto"/>
              <w:right w:val="single" w:sz="4" w:space="0" w:color="auto"/>
            </w:tcBorders>
          </w:tcPr>
          <w:p w14:paraId="7FE004A8" w14:textId="77777777" w:rsidR="00B02C6E" w:rsidRDefault="00B02C6E" w:rsidP="00453BF8">
            <w:pPr>
              <w:adjustRightInd w:val="0"/>
              <w:spacing w:line="560" w:lineRule="exact"/>
              <w:rPr>
                <w:rFonts w:ascii="仿宋_GB2312" w:eastAsia="仿宋_GB2312" w:hAnsi="仿宋_GB2312" w:cs="仿宋_GB2312"/>
                <w:kern w:val="0"/>
                <w:sz w:val="32"/>
                <w:szCs w:val="32"/>
              </w:rPr>
            </w:pPr>
          </w:p>
        </w:tc>
        <w:tc>
          <w:tcPr>
            <w:tcW w:w="783" w:type="pct"/>
            <w:vMerge/>
            <w:tcBorders>
              <w:left w:val="single" w:sz="4" w:space="0" w:color="auto"/>
              <w:right w:val="single" w:sz="4" w:space="0" w:color="auto"/>
            </w:tcBorders>
            <w:vAlign w:val="center"/>
          </w:tcPr>
          <w:p w14:paraId="501FA14F" w14:textId="77777777" w:rsidR="00B02C6E" w:rsidRDefault="00B02C6E" w:rsidP="00453BF8">
            <w:pPr>
              <w:adjustRightInd w:val="0"/>
              <w:spacing w:line="560" w:lineRule="exact"/>
              <w:rPr>
                <w:rFonts w:ascii="仿宋_GB2312" w:eastAsia="仿宋_GB2312" w:hAnsi="仿宋_GB2312" w:cs="仿宋_GB2312"/>
                <w:kern w:val="0"/>
                <w:sz w:val="32"/>
                <w:szCs w:val="32"/>
              </w:rPr>
            </w:pPr>
          </w:p>
        </w:tc>
      </w:tr>
      <w:tr w:rsidR="00B02C6E" w14:paraId="37A5E874" w14:textId="77777777" w:rsidTr="00453BF8">
        <w:trPr>
          <w:trHeight w:val="510"/>
        </w:trPr>
        <w:tc>
          <w:tcPr>
            <w:tcW w:w="454" w:type="pct"/>
            <w:tcBorders>
              <w:top w:val="single" w:sz="4" w:space="0" w:color="auto"/>
              <w:left w:val="single" w:sz="4" w:space="0" w:color="auto"/>
              <w:bottom w:val="single" w:sz="4" w:space="0" w:color="auto"/>
              <w:right w:val="single" w:sz="4" w:space="0" w:color="auto"/>
            </w:tcBorders>
            <w:vAlign w:val="center"/>
          </w:tcPr>
          <w:p w14:paraId="7EBDDADF" w14:textId="77777777" w:rsidR="00B02C6E" w:rsidRDefault="00B02C6E" w:rsidP="00453BF8">
            <w:pPr>
              <w:adjustRightIn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w:t>
            </w:r>
          </w:p>
        </w:tc>
        <w:tc>
          <w:tcPr>
            <w:tcW w:w="1254" w:type="pct"/>
            <w:tcBorders>
              <w:top w:val="single" w:sz="4" w:space="0" w:color="auto"/>
              <w:left w:val="single" w:sz="4" w:space="0" w:color="auto"/>
              <w:bottom w:val="single" w:sz="4" w:space="0" w:color="auto"/>
              <w:right w:val="single" w:sz="4" w:space="0" w:color="auto"/>
            </w:tcBorders>
            <w:vAlign w:val="center"/>
          </w:tcPr>
          <w:p w14:paraId="548291F9" w14:textId="77777777" w:rsidR="00B02C6E" w:rsidRDefault="00B02C6E" w:rsidP="00453BF8">
            <w:pPr>
              <w:pStyle w:val="000"/>
              <w:adjustRightInd w:val="0"/>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信息安全工程师</w:t>
            </w:r>
          </w:p>
        </w:tc>
        <w:tc>
          <w:tcPr>
            <w:tcW w:w="935" w:type="pct"/>
            <w:vMerge/>
            <w:tcBorders>
              <w:left w:val="single" w:sz="4" w:space="0" w:color="auto"/>
              <w:right w:val="single" w:sz="4" w:space="0" w:color="auto"/>
            </w:tcBorders>
            <w:vAlign w:val="center"/>
          </w:tcPr>
          <w:p w14:paraId="3026EC21" w14:textId="77777777" w:rsidR="00B02C6E" w:rsidRDefault="00B02C6E" w:rsidP="00453BF8">
            <w:pPr>
              <w:pStyle w:val="af9"/>
              <w:spacing w:line="560" w:lineRule="exact"/>
              <w:ind w:firstLine="640"/>
              <w:rPr>
                <w:rFonts w:ascii="仿宋_GB2312" w:eastAsia="仿宋_GB2312" w:hAnsi="仿宋_GB2312" w:cs="仿宋_GB2312"/>
                <w:sz w:val="32"/>
                <w:szCs w:val="32"/>
              </w:rPr>
            </w:pPr>
          </w:p>
        </w:tc>
        <w:tc>
          <w:tcPr>
            <w:tcW w:w="1574" w:type="pct"/>
            <w:tcBorders>
              <w:left w:val="single" w:sz="4" w:space="0" w:color="auto"/>
              <w:right w:val="single" w:sz="4" w:space="0" w:color="auto"/>
            </w:tcBorders>
          </w:tcPr>
          <w:p w14:paraId="603D6C54" w14:textId="77777777" w:rsidR="00B02C6E" w:rsidRDefault="00B02C6E" w:rsidP="00453BF8">
            <w:pPr>
              <w:adjustRightInd w:val="0"/>
              <w:spacing w:line="560" w:lineRule="exact"/>
              <w:rPr>
                <w:rFonts w:ascii="仿宋_GB2312" w:eastAsia="仿宋_GB2312" w:hAnsi="仿宋_GB2312" w:cs="仿宋_GB2312"/>
                <w:kern w:val="0"/>
                <w:sz w:val="32"/>
                <w:szCs w:val="32"/>
              </w:rPr>
            </w:pPr>
          </w:p>
        </w:tc>
        <w:tc>
          <w:tcPr>
            <w:tcW w:w="783" w:type="pct"/>
            <w:vMerge/>
            <w:tcBorders>
              <w:left w:val="single" w:sz="4" w:space="0" w:color="auto"/>
              <w:right w:val="single" w:sz="4" w:space="0" w:color="auto"/>
            </w:tcBorders>
            <w:vAlign w:val="center"/>
          </w:tcPr>
          <w:p w14:paraId="2F71B127" w14:textId="77777777" w:rsidR="00B02C6E" w:rsidRDefault="00B02C6E" w:rsidP="00453BF8">
            <w:pPr>
              <w:adjustRightInd w:val="0"/>
              <w:spacing w:line="560" w:lineRule="exact"/>
              <w:rPr>
                <w:rFonts w:ascii="仿宋_GB2312" w:eastAsia="仿宋_GB2312" w:hAnsi="仿宋_GB2312" w:cs="仿宋_GB2312"/>
                <w:kern w:val="0"/>
                <w:sz w:val="32"/>
                <w:szCs w:val="32"/>
              </w:rPr>
            </w:pPr>
          </w:p>
        </w:tc>
      </w:tr>
      <w:tr w:rsidR="00B02C6E" w14:paraId="56DEAC73" w14:textId="77777777" w:rsidTr="00453BF8">
        <w:trPr>
          <w:trHeight w:val="510"/>
        </w:trPr>
        <w:tc>
          <w:tcPr>
            <w:tcW w:w="454" w:type="pct"/>
            <w:tcBorders>
              <w:top w:val="single" w:sz="4" w:space="0" w:color="auto"/>
              <w:left w:val="single" w:sz="4" w:space="0" w:color="auto"/>
              <w:bottom w:val="single" w:sz="4" w:space="0" w:color="auto"/>
              <w:right w:val="single" w:sz="4" w:space="0" w:color="auto"/>
            </w:tcBorders>
            <w:vAlign w:val="center"/>
          </w:tcPr>
          <w:p w14:paraId="72D38853" w14:textId="77777777" w:rsidR="00B02C6E" w:rsidRDefault="00B02C6E" w:rsidP="00453BF8">
            <w:pPr>
              <w:adjustRightIn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w:t>
            </w:r>
          </w:p>
        </w:tc>
        <w:tc>
          <w:tcPr>
            <w:tcW w:w="1254" w:type="pct"/>
            <w:tcBorders>
              <w:top w:val="single" w:sz="4" w:space="0" w:color="auto"/>
              <w:left w:val="single" w:sz="4" w:space="0" w:color="auto"/>
              <w:bottom w:val="single" w:sz="4" w:space="0" w:color="auto"/>
              <w:right w:val="single" w:sz="4" w:space="0" w:color="auto"/>
            </w:tcBorders>
            <w:vAlign w:val="center"/>
          </w:tcPr>
          <w:p w14:paraId="3821BE5B" w14:textId="77777777" w:rsidR="00B02C6E" w:rsidRDefault="00B02C6E" w:rsidP="00453BF8">
            <w:pPr>
              <w:pStyle w:val="000"/>
              <w:adjustRightInd w:val="0"/>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安全服务人员</w:t>
            </w:r>
          </w:p>
        </w:tc>
        <w:tc>
          <w:tcPr>
            <w:tcW w:w="935" w:type="pct"/>
            <w:vMerge/>
            <w:tcBorders>
              <w:left w:val="single" w:sz="4" w:space="0" w:color="auto"/>
              <w:bottom w:val="single" w:sz="4" w:space="0" w:color="auto"/>
              <w:right w:val="single" w:sz="4" w:space="0" w:color="auto"/>
            </w:tcBorders>
            <w:vAlign w:val="center"/>
          </w:tcPr>
          <w:p w14:paraId="0190799C" w14:textId="77777777" w:rsidR="00B02C6E" w:rsidRDefault="00B02C6E" w:rsidP="00453BF8">
            <w:pPr>
              <w:pStyle w:val="af9"/>
              <w:spacing w:line="560" w:lineRule="exact"/>
              <w:ind w:firstLine="640"/>
              <w:rPr>
                <w:rFonts w:ascii="仿宋_GB2312" w:eastAsia="仿宋_GB2312" w:hAnsi="仿宋_GB2312" w:cs="仿宋_GB2312"/>
                <w:sz w:val="32"/>
                <w:szCs w:val="32"/>
              </w:rPr>
            </w:pPr>
          </w:p>
        </w:tc>
        <w:tc>
          <w:tcPr>
            <w:tcW w:w="1574" w:type="pct"/>
            <w:tcBorders>
              <w:left w:val="single" w:sz="4" w:space="0" w:color="auto"/>
              <w:right w:val="single" w:sz="4" w:space="0" w:color="auto"/>
            </w:tcBorders>
          </w:tcPr>
          <w:p w14:paraId="1E961344" w14:textId="77777777" w:rsidR="00B02C6E" w:rsidRDefault="00B02C6E" w:rsidP="00453BF8">
            <w:pPr>
              <w:adjustRightInd w:val="0"/>
              <w:spacing w:line="560" w:lineRule="exact"/>
              <w:rPr>
                <w:rFonts w:ascii="仿宋_GB2312" w:eastAsia="仿宋_GB2312" w:hAnsi="仿宋_GB2312" w:cs="仿宋_GB2312"/>
                <w:kern w:val="0"/>
                <w:sz w:val="32"/>
                <w:szCs w:val="32"/>
              </w:rPr>
            </w:pPr>
          </w:p>
        </w:tc>
        <w:tc>
          <w:tcPr>
            <w:tcW w:w="783" w:type="pct"/>
            <w:vMerge/>
            <w:tcBorders>
              <w:left w:val="single" w:sz="4" w:space="0" w:color="auto"/>
              <w:right w:val="single" w:sz="4" w:space="0" w:color="auto"/>
            </w:tcBorders>
            <w:vAlign w:val="center"/>
          </w:tcPr>
          <w:p w14:paraId="7E6DD704" w14:textId="77777777" w:rsidR="00B02C6E" w:rsidRDefault="00B02C6E" w:rsidP="00453BF8">
            <w:pPr>
              <w:adjustRightInd w:val="0"/>
              <w:spacing w:line="560" w:lineRule="exact"/>
              <w:rPr>
                <w:rFonts w:ascii="仿宋_GB2312" w:eastAsia="仿宋_GB2312" w:hAnsi="仿宋_GB2312" w:cs="仿宋_GB2312"/>
                <w:kern w:val="0"/>
                <w:sz w:val="32"/>
                <w:szCs w:val="32"/>
              </w:rPr>
            </w:pPr>
          </w:p>
        </w:tc>
      </w:tr>
      <w:tr w:rsidR="00B02C6E" w14:paraId="54761D31" w14:textId="77777777" w:rsidTr="00453BF8">
        <w:trPr>
          <w:trHeight w:val="510"/>
        </w:trPr>
        <w:tc>
          <w:tcPr>
            <w:tcW w:w="454" w:type="pct"/>
            <w:tcBorders>
              <w:top w:val="single" w:sz="4" w:space="0" w:color="auto"/>
              <w:left w:val="single" w:sz="4" w:space="0" w:color="auto"/>
              <w:bottom w:val="single" w:sz="4" w:space="0" w:color="auto"/>
              <w:right w:val="single" w:sz="4" w:space="0" w:color="auto"/>
            </w:tcBorders>
            <w:vAlign w:val="center"/>
          </w:tcPr>
          <w:p w14:paraId="378AA0E7" w14:textId="77777777" w:rsidR="00B02C6E" w:rsidRDefault="00B02C6E" w:rsidP="00453BF8">
            <w:pPr>
              <w:adjustRightIn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w:t>
            </w:r>
          </w:p>
        </w:tc>
        <w:tc>
          <w:tcPr>
            <w:tcW w:w="1254" w:type="pct"/>
            <w:tcBorders>
              <w:top w:val="single" w:sz="4" w:space="0" w:color="auto"/>
              <w:left w:val="single" w:sz="4" w:space="0" w:color="auto"/>
              <w:bottom w:val="single" w:sz="4" w:space="0" w:color="auto"/>
              <w:right w:val="single" w:sz="4" w:space="0" w:color="auto"/>
            </w:tcBorders>
            <w:vAlign w:val="center"/>
          </w:tcPr>
          <w:p w14:paraId="5C4B91B0"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系统测试员</w:t>
            </w:r>
          </w:p>
        </w:tc>
        <w:tc>
          <w:tcPr>
            <w:tcW w:w="935" w:type="pct"/>
            <w:tcBorders>
              <w:top w:val="single" w:sz="4" w:space="0" w:color="auto"/>
              <w:left w:val="single" w:sz="4" w:space="0" w:color="auto"/>
              <w:bottom w:val="single" w:sz="4" w:space="0" w:color="auto"/>
              <w:right w:val="single" w:sz="4" w:space="0" w:color="auto"/>
            </w:tcBorders>
            <w:vAlign w:val="center"/>
          </w:tcPr>
          <w:p w14:paraId="5A20E99F"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负责系统测试</w:t>
            </w:r>
          </w:p>
        </w:tc>
        <w:tc>
          <w:tcPr>
            <w:tcW w:w="1574" w:type="pct"/>
            <w:tcBorders>
              <w:top w:val="single" w:sz="4" w:space="0" w:color="auto"/>
              <w:left w:val="single" w:sz="4" w:space="0" w:color="auto"/>
              <w:bottom w:val="single" w:sz="4" w:space="0" w:color="auto"/>
              <w:right w:val="single" w:sz="4" w:space="0" w:color="auto"/>
            </w:tcBorders>
          </w:tcPr>
          <w:p w14:paraId="3BAF6D0D" w14:textId="77777777" w:rsidR="00B02C6E" w:rsidRDefault="00B02C6E" w:rsidP="00453BF8">
            <w:pPr>
              <w:adjustRightInd w:val="0"/>
              <w:spacing w:line="560" w:lineRule="exact"/>
              <w:rPr>
                <w:rFonts w:ascii="仿宋_GB2312" w:eastAsia="仿宋_GB2312" w:hAnsi="仿宋_GB2312" w:cs="仿宋_GB2312"/>
                <w:kern w:val="0"/>
                <w:sz w:val="32"/>
                <w:szCs w:val="32"/>
              </w:rPr>
            </w:pPr>
          </w:p>
        </w:tc>
        <w:tc>
          <w:tcPr>
            <w:tcW w:w="783" w:type="pct"/>
            <w:vMerge/>
            <w:tcBorders>
              <w:top w:val="single" w:sz="4" w:space="0" w:color="auto"/>
              <w:left w:val="single" w:sz="4" w:space="0" w:color="auto"/>
              <w:bottom w:val="single" w:sz="4" w:space="0" w:color="auto"/>
              <w:right w:val="single" w:sz="4" w:space="0" w:color="auto"/>
            </w:tcBorders>
            <w:vAlign w:val="center"/>
          </w:tcPr>
          <w:p w14:paraId="53F761F7" w14:textId="77777777" w:rsidR="00B02C6E" w:rsidRDefault="00B02C6E" w:rsidP="00453BF8">
            <w:pPr>
              <w:adjustRightInd w:val="0"/>
              <w:spacing w:line="560" w:lineRule="exact"/>
              <w:rPr>
                <w:rFonts w:ascii="仿宋_GB2312" w:eastAsia="仿宋_GB2312" w:hAnsi="仿宋_GB2312" w:cs="仿宋_GB2312"/>
                <w:kern w:val="0"/>
                <w:sz w:val="32"/>
                <w:szCs w:val="32"/>
              </w:rPr>
            </w:pPr>
          </w:p>
        </w:tc>
      </w:tr>
      <w:tr w:rsidR="00B02C6E" w14:paraId="5AA845A6" w14:textId="77777777" w:rsidTr="00453BF8">
        <w:trPr>
          <w:trHeight w:val="510"/>
        </w:trPr>
        <w:tc>
          <w:tcPr>
            <w:tcW w:w="454" w:type="pct"/>
            <w:tcBorders>
              <w:top w:val="single" w:sz="4" w:space="0" w:color="auto"/>
              <w:left w:val="single" w:sz="4" w:space="0" w:color="auto"/>
              <w:bottom w:val="single" w:sz="4" w:space="0" w:color="auto"/>
              <w:right w:val="single" w:sz="4" w:space="0" w:color="auto"/>
            </w:tcBorders>
            <w:vAlign w:val="center"/>
          </w:tcPr>
          <w:p w14:paraId="524AC02F" w14:textId="77777777" w:rsidR="00B02C6E" w:rsidRDefault="00B02C6E" w:rsidP="00453BF8">
            <w:pPr>
              <w:adjustRightIn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w:t>
            </w:r>
          </w:p>
        </w:tc>
        <w:tc>
          <w:tcPr>
            <w:tcW w:w="1254" w:type="pct"/>
            <w:tcBorders>
              <w:top w:val="single" w:sz="4" w:space="0" w:color="auto"/>
              <w:left w:val="single" w:sz="4" w:space="0" w:color="auto"/>
              <w:bottom w:val="single" w:sz="4" w:space="0" w:color="auto"/>
              <w:right w:val="single" w:sz="4" w:space="0" w:color="auto"/>
            </w:tcBorders>
            <w:vAlign w:val="center"/>
          </w:tcPr>
          <w:p w14:paraId="18BBADAF"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系统运维</w:t>
            </w:r>
          </w:p>
        </w:tc>
        <w:tc>
          <w:tcPr>
            <w:tcW w:w="935" w:type="pct"/>
            <w:tcBorders>
              <w:top w:val="single" w:sz="4" w:space="0" w:color="auto"/>
              <w:left w:val="single" w:sz="4" w:space="0" w:color="auto"/>
              <w:bottom w:val="single" w:sz="4" w:space="0" w:color="auto"/>
              <w:right w:val="single" w:sz="4" w:space="0" w:color="auto"/>
            </w:tcBorders>
            <w:vAlign w:val="center"/>
          </w:tcPr>
          <w:p w14:paraId="7302C78C"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负责系统日常运行维护</w:t>
            </w:r>
          </w:p>
        </w:tc>
        <w:tc>
          <w:tcPr>
            <w:tcW w:w="1574" w:type="pct"/>
            <w:tcBorders>
              <w:top w:val="single" w:sz="4" w:space="0" w:color="auto"/>
              <w:left w:val="single" w:sz="4" w:space="0" w:color="auto"/>
              <w:right w:val="single" w:sz="4" w:space="0" w:color="auto"/>
            </w:tcBorders>
          </w:tcPr>
          <w:p w14:paraId="4CAE2FCF" w14:textId="77777777" w:rsidR="00B02C6E" w:rsidRDefault="00B02C6E" w:rsidP="00453BF8">
            <w:pPr>
              <w:adjustRightInd w:val="0"/>
              <w:spacing w:line="560" w:lineRule="exact"/>
              <w:rPr>
                <w:rFonts w:ascii="仿宋_GB2312" w:eastAsia="仿宋_GB2312" w:hAnsi="仿宋_GB2312" w:cs="仿宋_GB2312"/>
                <w:kern w:val="0"/>
                <w:sz w:val="32"/>
                <w:szCs w:val="32"/>
              </w:rPr>
            </w:pPr>
          </w:p>
        </w:tc>
        <w:tc>
          <w:tcPr>
            <w:tcW w:w="783" w:type="pct"/>
            <w:vMerge w:val="restart"/>
            <w:tcBorders>
              <w:top w:val="single" w:sz="4" w:space="0" w:color="auto"/>
              <w:left w:val="single" w:sz="4" w:space="0" w:color="auto"/>
              <w:right w:val="single" w:sz="4" w:space="0" w:color="auto"/>
            </w:tcBorders>
            <w:vAlign w:val="center"/>
          </w:tcPr>
          <w:p w14:paraId="516CEC0B"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由中标人派遣</w:t>
            </w:r>
          </w:p>
        </w:tc>
      </w:tr>
      <w:tr w:rsidR="00B02C6E" w14:paraId="3EF17E45" w14:textId="77777777" w:rsidTr="00453BF8">
        <w:trPr>
          <w:trHeight w:val="510"/>
        </w:trPr>
        <w:tc>
          <w:tcPr>
            <w:tcW w:w="454" w:type="pct"/>
            <w:tcBorders>
              <w:top w:val="single" w:sz="4" w:space="0" w:color="auto"/>
              <w:left w:val="single" w:sz="4" w:space="0" w:color="auto"/>
              <w:bottom w:val="single" w:sz="4" w:space="0" w:color="auto"/>
              <w:right w:val="single" w:sz="4" w:space="0" w:color="auto"/>
            </w:tcBorders>
            <w:vAlign w:val="center"/>
          </w:tcPr>
          <w:p w14:paraId="0484E17A" w14:textId="77777777" w:rsidR="00B02C6E" w:rsidRDefault="00B02C6E" w:rsidP="00453BF8">
            <w:pPr>
              <w:adjustRightIn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w:t>
            </w:r>
          </w:p>
        </w:tc>
        <w:tc>
          <w:tcPr>
            <w:tcW w:w="1254" w:type="pct"/>
            <w:tcBorders>
              <w:top w:val="single" w:sz="4" w:space="0" w:color="auto"/>
              <w:left w:val="single" w:sz="4" w:space="0" w:color="auto"/>
              <w:bottom w:val="single" w:sz="4" w:space="0" w:color="auto"/>
              <w:right w:val="single" w:sz="4" w:space="0" w:color="auto"/>
            </w:tcBorders>
            <w:vAlign w:val="center"/>
          </w:tcPr>
          <w:p w14:paraId="78CAB592"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系统培训和业务指导</w:t>
            </w:r>
          </w:p>
        </w:tc>
        <w:tc>
          <w:tcPr>
            <w:tcW w:w="935" w:type="pct"/>
            <w:tcBorders>
              <w:top w:val="single" w:sz="4" w:space="0" w:color="auto"/>
              <w:left w:val="single" w:sz="4" w:space="0" w:color="auto"/>
              <w:bottom w:val="single" w:sz="4" w:space="0" w:color="auto"/>
              <w:right w:val="single" w:sz="4" w:space="0" w:color="auto"/>
            </w:tcBorders>
            <w:vAlign w:val="center"/>
          </w:tcPr>
          <w:p w14:paraId="13A4A158" w14:textId="77777777" w:rsidR="00B02C6E" w:rsidRDefault="00B02C6E" w:rsidP="00453BF8">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负责系统培训及业务操作过程的咨询与指导</w:t>
            </w:r>
          </w:p>
        </w:tc>
        <w:tc>
          <w:tcPr>
            <w:tcW w:w="1574" w:type="pct"/>
            <w:tcBorders>
              <w:left w:val="single" w:sz="4" w:space="0" w:color="auto"/>
              <w:right w:val="single" w:sz="4" w:space="0" w:color="auto"/>
            </w:tcBorders>
          </w:tcPr>
          <w:p w14:paraId="2DCE77D3" w14:textId="77777777" w:rsidR="00B02C6E" w:rsidRDefault="00B02C6E" w:rsidP="00453BF8">
            <w:pPr>
              <w:adjustRightInd w:val="0"/>
              <w:spacing w:line="560" w:lineRule="exact"/>
              <w:ind w:firstLine="640"/>
              <w:rPr>
                <w:rFonts w:ascii="仿宋_GB2312" w:eastAsia="仿宋_GB2312" w:hAnsi="仿宋_GB2312" w:cs="仿宋_GB2312"/>
                <w:sz w:val="32"/>
                <w:szCs w:val="32"/>
              </w:rPr>
            </w:pPr>
          </w:p>
        </w:tc>
        <w:tc>
          <w:tcPr>
            <w:tcW w:w="783" w:type="pct"/>
            <w:vMerge/>
            <w:tcBorders>
              <w:left w:val="single" w:sz="4" w:space="0" w:color="auto"/>
              <w:right w:val="single" w:sz="4" w:space="0" w:color="auto"/>
            </w:tcBorders>
            <w:vAlign w:val="center"/>
          </w:tcPr>
          <w:p w14:paraId="64D79EBC" w14:textId="77777777" w:rsidR="00B02C6E" w:rsidRDefault="00B02C6E" w:rsidP="00453BF8">
            <w:pPr>
              <w:adjustRightInd w:val="0"/>
              <w:spacing w:line="560" w:lineRule="exact"/>
              <w:ind w:firstLine="640"/>
              <w:rPr>
                <w:rFonts w:ascii="仿宋_GB2312" w:eastAsia="仿宋_GB2312" w:hAnsi="仿宋_GB2312" w:cs="仿宋_GB2312"/>
                <w:sz w:val="32"/>
                <w:szCs w:val="32"/>
              </w:rPr>
            </w:pPr>
          </w:p>
        </w:tc>
      </w:tr>
    </w:tbl>
    <w:p w14:paraId="5185ED17" w14:textId="77777777" w:rsidR="00B02C6E" w:rsidRDefault="00B02C6E" w:rsidP="00B02C6E">
      <w:pPr>
        <w:spacing w:line="560" w:lineRule="exact"/>
        <w:ind w:firstLine="640"/>
        <w:rPr>
          <w:rFonts w:ascii="仿宋_GB2312" w:eastAsia="仿宋_GB2312" w:hAnsi="仿宋_GB2312" w:cs="仿宋_GB2312"/>
          <w:sz w:val="32"/>
          <w:szCs w:val="28"/>
        </w:rPr>
      </w:pPr>
      <w:bookmarkStart w:id="52" w:name="_Hlk117523156"/>
      <w:r>
        <w:rPr>
          <w:rFonts w:ascii="仿宋_GB2312" w:eastAsia="仿宋_GB2312" w:hAnsi="仿宋_GB2312" w:cs="仿宋_GB2312" w:hint="eastAsia"/>
          <w:sz w:val="32"/>
          <w:szCs w:val="28"/>
        </w:rPr>
        <w:t>★投标人需提供承诺</w:t>
      </w:r>
      <w:proofErr w:type="gramStart"/>
      <w:r>
        <w:rPr>
          <w:rFonts w:ascii="仿宋_GB2312" w:eastAsia="仿宋_GB2312" w:hAnsi="仿宋_GB2312" w:cs="仿宋_GB2312" w:hint="eastAsia"/>
          <w:sz w:val="32"/>
          <w:szCs w:val="28"/>
        </w:rPr>
        <w:t>函承诺本</w:t>
      </w:r>
      <w:proofErr w:type="gramEnd"/>
      <w:r>
        <w:rPr>
          <w:rFonts w:ascii="仿宋_GB2312" w:eastAsia="仿宋_GB2312" w:hAnsi="仿宋_GB2312" w:cs="仿宋_GB2312" w:hint="eastAsia"/>
          <w:sz w:val="32"/>
          <w:szCs w:val="28"/>
        </w:rPr>
        <w:t>项目驻场人员包括项目开发小组、质保期驻场工程师，项目开发人员需在合同签订</w:t>
      </w:r>
      <w:r>
        <w:rPr>
          <w:rFonts w:ascii="仿宋_GB2312" w:eastAsia="仿宋_GB2312" w:hAnsi="仿宋_GB2312" w:cs="仿宋_GB2312" w:hint="eastAsia"/>
          <w:sz w:val="32"/>
          <w:szCs w:val="28"/>
        </w:rPr>
        <w:lastRenderedPageBreak/>
        <w:t>后15个工作日内开始驻场，质保期驻场工程师在整体责任维护期开始之日起驻场。上述人员在参与本期项目前，需经采购人审核资质、能力等方面要求后方可开展工作，如未达到采购人要求，需在5个工作日内更换人员，更换期视为驻场人员缺勤。如在整个合同执行期间，驻场人员无法胜任项目工作要求，采购人有权要求中标供应商调换。中标供应商需在投标时</w:t>
      </w:r>
      <w:proofErr w:type="gramStart"/>
      <w:r>
        <w:rPr>
          <w:rFonts w:ascii="仿宋_GB2312" w:eastAsia="仿宋_GB2312" w:hAnsi="仿宋_GB2312" w:cs="仿宋_GB2312" w:hint="eastAsia"/>
          <w:sz w:val="32"/>
          <w:szCs w:val="28"/>
        </w:rPr>
        <w:t>作出</w:t>
      </w:r>
      <w:proofErr w:type="gramEnd"/>
      <w:r>
        <w:rPr>
          <w:rFonts w:ascii="仿宋_GB2312" w:eastAsia="仿宋_GB2312" w:hAnsi="仿宋_GB2312" w:cs="仿宋_GB2312" w:hint="eastAsia"/>
          <w:sz w:val="32"/>
          <w:szCs w:val="28"/>
        </w:rPr>
        <w:t>承诺。驻场人员的相关费用由中标人支出，在没有采购人的认可下，不能更换驻场人员，若需更换人员的，必须提前15个工作日报采购人批准后方可更换，替代人员必须具有与</w:t>
      </w:r>
      <w:proofErr w:type="gramStart"/>
      <w:r>
        <w:rPr>
          <w:rFonts w:ascii="仿宋_GB2312" w:eastAsia="仿宋_GB2312" w:hAnsi="仿宋_GB2312" w:cs="仿宋_GB2312" w:hint="eastAsia"/>
          <w:sz w:val="32"/>
          <w:szCs w:val="28"/>
        </w:rPr>
        <w:t>原人员</w:t>
      </w:r>
      <w:proofErr w:type="gramEnd"/>
      <w:r>
        <w:rPr>
          <w:rFonts w:ascii="仿宋_GB2312" w:eastAsia="仿宋_GB2312" w:hAnsi="仿宋_GB2312" w:cs="仿宋_GB2312" w:hint="eastAsia"/>
          <w:sz w:val="32"/>
          <w:szCs w:val="28"/>
        </w:rPr>
        <w:t>相当或更高的资质和能力。驻场人员要服从采购人的管理和工作、事务安排，除按采购人管理人员的作息制度上下班外，还必须保持通信畅通，做好7x24小时的备勤工作，即使在节假日，在接到的通知后，必须在一个小时到达现场。驻场人员的相关费用由中标人支出。接受采购人的考核，考核采用每月考核制，分为技能、问题处理、责任心、备勤工作等方面考核，考核采用百分制，考核在60分以下的，采购人有权对中标供应商给予处罚。如有连续3次考核在60分以下，或驻场人员缺勤超过1人月，或未经采购人同意更换驻场人员等情况，采购人将按合同违约条款，终止合同，并报监管部门处理，由此引起的一切后果，由中标人承担。</w:t>
      </w:r>
    </w:p>
    <w:p w14:paraId="19E564E6" w14:textId="77777777" w:rsidR="00B02C6E" w:rsidRDefault="00B02C6E" w:rsidP="00B02C6E">
      <w:pPr>
        <w:pStyle w:val="2"/>
        <w:numPr>
          <w:ilvl w:val="1"/>
          <w:numId w:val="0"/>
        </w:numPr>
        <w:spacing w:before="0" w:after="0" w:line="560" w:lineRule="exact"/>
      </w:pPr>
      <w:r>
        <w:rPr>
          <w:rFonts w:hint="eastAsia"/>
        </w:rPr>
        <w:t>九、实施要求</w:t>
      </w:r>
    </w:p>
    <w:p w14:paraId="105C815B"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w:t>
      </w:r>
      <w:proofErr w:type="gramStart"/>
      <w:r>
        <w:rPr>
          <w:rFonts w:ascii="仿宋_GB2312" w:eastAsia="仿宋_GB2312" w:hAnsi="仿宋_GB2312" w:cs="仿宋_GB2312" w:hint="eastAsia"/>
          <w:sz w:val="32"/>
          <w:szCs w:val="28"/>
        </w:rPr>
        <w:t>一</w:t>
      </w:r>
      <w:proofErr w:type="gramEnd"/>
      <w:r>
        <w:rPr>
          <w:rFonts w:ascii="仿宋_GB2312" w:eastAsia="仿宋_GB2312" w:hAnsi="仿宋_GB2312" w:cs="仿宋_GB2312" w:hint="eastAsia"/>
          <w:sz w:val="32"/>
          <w:szCs w:val="28"/>
        </w:rPr>
        <w:t>)实施总体要求</w:t>
      </w:r>
    </w:p>
    <w:p w14:paraId="47DB4392"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1.中标人不得以任何方式转包或分包本项目。</w:t>
      </w:r>
    </w:p>
    <w:p w14:paraId="41BC04C4"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lastRenderedPageBreak/>
        <w:t>2中标人应按照投标文件要求成立项目实施小组，承担整个项目施工任务。</w:t>
      </w:r>
    </w:p>
    <w:p w14:paraId="650FAD0A"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3.项目小组进场后，中标人应将项目组成员资质、</w:t>
      </w:r>
      <w:proofErr w:type="gramStart"/>
      <w:r>
        <w:rPr>
          <w:rFonts w:ascii="仿宋_GB2312" w:eastAsia="仿宋_GB2312" w:hAnsi="仿宋_GB2312" w:cs="仿宋_GB2312" w:hint="eastAsia"/>
          <w:sz w:val="32"/>
          <w:szCs w:val="28"/>
        </w:rPr>
        <w:t>社保证明</w:t>
      </w:r>
      <w:proofErr w:type="gramEnd"/>
      <w:r>
        <w:rPr>
          <w:rFonts w:ascii="仿宋_GB2312" w:eastAsia="仿宋_GB2312" w:hAnsi="仿宋_GB2312" w:cs="仿宋_GB2312" w:hint="eastAsia"/>
          <w:sz w:val="32"/>
          <w:szCs w:val="28"/>
        </w:rPr>
        <w:t>提交监理单位审核，发现与投标清单不符且无正当理由的，每人次罚款1000元。</w:t>
      </w:r>
    </w:p>
    <w:p w14:paraId="256E50AB"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4.项目正式启动后，项目小组应全面开展需求调研，编写相应的需求方案，经业主盖章确认后，作为整个项目实施的依据之一。</w:t>
      </w:r>
    </w:p>
    <w:p w14:paraId="14198983"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5.项目实施过程中，中标人应建立健全全面的质量管理体系，严格按照软件开发、网络工程、信息安全工程相关要求，设置各级技术管理和质量检查人员，并严格按照技术标准进行测试和检查，对不符合合同要求的或达不到相关技术性能的，中标人须返工，直至达到要求为止。</w:t>
      </w:r>
    </w:p>
    <w:p w14:paraId="32BD34D1"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6.在项目实时的每个阶段，中标人都需要配合用户和监理单位进行节点验收。对于中标人自身原因造成的工期延误，用户可根据合同要求追究中标人责任，造成的损失，由中标人承担。</w:t>
      </w:r>
    </w:p>
    <w:p w14:paraId="1FA001AE"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7.合同要求提供的所有设备必须在进场前一到两天通知用户和监理单位，并在设备进场时配合用户和监理单位对设备进行进场验收，在通过验收以后，方可将其投入使用。</w:t>
      </w:r>
    </w:p>
    <w:p w14:paraId="586D3C30"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8.硬件设备出现故障，中标人接报障后须排出资深技术人员于1小时内到达故障现场，2小时内排除故障，如2小时不能解决，则4小时内提供性能、型号不低于故障设备的备机供业主使用。质保期结束之前，返修的设备如果再次出</w:t>
      </w:r>
      <w:r>
        <w:rPr>
          <w:rFonts w:ascii="仿宋_GB2312" w:eastAsia="仿宋_GB2312" w:hAnsi="仿宋_GB2312" w:cs="仿宋_GB2312" w:hint="eastAsia"/>
          <w:sz w:val="32"/>
          <w:szCs w:val="28"/>
        </w:rPr>
        <w:lastRenderedPageBreak/>
        <w:t>现任何故障，中标人必须无条件免费更换为新设备。</w:t>
      </w:r>
    </w:p>
    <w:p w14:paraId="71AADE51"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9.从开工之日起，直至项目通过广州市信息化主管部门验收后将工程移交给用户止，中标人对所有项目有关的材料、产品和配套设备负责保管。但对那些已办理中间接收手续并交付用户的工程，从办理接收手续之日起，此保管责任移交用户。</w:t>
      </w:r>
    </w:p>
    <w:p w14:paraId="431FC44F"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10.本项目施工过程中，本项目设备的所有存储介质、光盘、u盘等</w:t>
      </w:r>
      <w:proofErr w:type="gramStart"/>
      <w:r>
        <w:rPr>
          <w:rFonts w:ascii="仿宋_GB2312" w:eastAsia="仿宋_GB2312" w:hAnsi="仿宋_GB2312" w:cs="仿宋_GB2312" w:hint="eastAsia"/>
          <w:sz w:val="32"/>
          <w:szCs w:val="28"/>
        </w:rPr>
        <w:t>不</w:t>
      </w:r>
      <w:proofErr w:type="gramEnd"/>
      <w:r>
        <w:rPr>
          <w:rFonts w:ascii="仿宋_GB2312" w:eastAsia="仿宋_GB2312" w:hAnsi="仿宋_GB2312" w:cs="仿宋_GB2312" w:hint="eastAsia"/>
          <w:sz w:val="32"/>
          <w:szCs w:val="28"/>
        </w:rPr>
        <w:t>返还。</w:t>
      </w:r>
    </w:p>
    <w:p w14:paraId="34BAE058"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11.维护期内，驻场人员负责所有设备的日常维护及备件的管理，要对所有设备及其的安放位置认真核对，并进行拍照、登记造册，配合好招标方对固定资产的管理工作，对日常保障中更换的设备，做好更换登记并及时</w:t>
      </w:r>
      <w:proofErr w:type="gramStart"/>
      <w:r>
        <w:rPr>
          <w:rFonts w:ascii="仿宋_GB2312" w:eastAsia="仿宋_GB2312" w:hAnsi="仿宋_GB2312" w:cs="仿宋_GB2312" w:hint="eastAsia"/>
          <w:sz w:val="32"/>
          <w:szCs w:val="28"/>
        </w:rPr>
        <w:t>找相关</w:t>
      </w:r>
      <w:proofErr w:type="gramEnd"/>
      <w:r>
        <w:rPr>
          <w:rFonts w:ascii="仿宋_GB2312" w:eastAsia="仿宋_GB2312" w:hAnsi="仿宋_GB2312" w:cs="仿宋_GB2312" w:hint="eastAsia"/>
          <w:sz w:val="32"/>
          <w:szCs w:val="28"/>
        </w:rPr>
        <w:t>负责人进行签名确认。</w:t>
      </w:r>
    </w:p>
    <w:p w14:paraId="003D5B0D"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12.安全、文明施工，施工现场必须听从现场管理人员的安排，需要协调的事项及时与采购人反馈，施工结束后及时清理施工现场，保持好施工现场的卫生。</w:t>
      </w:r>
    </w:p>
    <w:p w14:paraId="4CDAB559"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(二)工程进度管理</w:t>
      </w:r>
    </w:p>
    <w:p w14:paraId="7D6BF6F0"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1.投标方应根据项目总体进度要求、设计方案和实施程序制定项目进度计划表，且满足招标文件的时限规定，明确各节点的工程内容和考核指标。</w:t>
      </w:r>
    </w:p>
    <w:p w14:paraId="31ED5B16"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2.中标人必须严格按照投标文件所制定的进度计划按期按质完成每一阶段的施工任务。</w:t>
      </w:r>
    </w:p>
    <w:p w14:paraId="79CC253E"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3.因涉及与用户协调导致工程工期延误的，应及时报监理单位备案，并提出补救措施。</w:t>
      </w:r>
      <w:proofErr w:type="gramStart"/>
      <w:r>
        <w:rPr>
          <w:rFonts w:ascii="仿宋_GB2312" w:eastAsia="仿宋_GB2312" w:hAnsi="仿宋_GB2312" w:cs="仿宋_GB2312" w:hint="eastAsia"/>
          <w:sz w:val="32"/>
          <w:szCs w:val="28"/>
        </w:rPr>
        <w:t>报用户</w:t>
      </w:r>
      <w:proofErr w:type="gramEnd"/>
      <w:r>
        <w:rPr>
          <w:rFonts w:ascii="仿宋_GB2312" w:eastAsia="仿宋_GB2312" w:hAnsi="仿宋_GB2312" w:cs="仿宋_GB2312" w:hint="eastAsia"/>
          <w:sz w:val="32"/>
          <w:szCs w:val="28"/>
        </w:rPr>
        <w:t>同意后，工期可顺延。</w:t>
      </w:r>
    </w:p>
    <w:p w14:paraId="27BDBBF4"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lastRenderedPageBreak/>
        <w:t>4.因不可抗拒因素导致工程延缓的，应报监理单位备案，并提供相关文件说明。中标人预计工期将延时，应提早报告监理单位，并提出补救措施。</w:t>
      </w:r>
    </w:p>
    <w:p w14:paraId="34E04001"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5.因工程质量原因需要（或造成）返工，导致工期延误的，其责任由中标人承担。</w:t>
      </w:r>
    </w:p>
    <w:p w14:paraId="1A044154"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(三)项目监理和管理</w:t>
      </w:r>
    </w:p>
    <w:p w14:paraId="304AFAA0"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本项目实施项目监理制，投标人须承诺，无条件配合项目监理的总体管理。交付的成果须经监理单位审查和见证。</w:t>
      </w:r>
    </w:p>
    <w:p w14:paraId="477D8E10" w14:textId="77777777" w:rsidR="00B02C6E" w:rsidRDefault="00B02C6E" w:rsidP="00B02C6E">
      <w:pPr>
        <w:pStyle w:val="2"/>
        <w:numPr>
          <w:ilvl w:val="1"/>
          <w:numId w:val="0"/>
        </w:numPr>
        <w:spacing w:before="0" w:after="0" w:line="560" w:lineRule="exact"/>
        <w:rPr>
          <w:b/>
          <w:bCs w:val="0"/>
          <w:sz w:val="32"/>
          <w:szCs w:val="36"/>
        </w:rPr>
      </w:pPr>
      <w:r>
        <w:rPr>
          <w:rFonts w:hint="eastAsia"/>
        </w:rPr>
        <w:t>十、设备及产品安装、测试与开箱检查要求</w:t>
      </w:r>
    </w:p>
    <w:p w14:paraId="36BFCFA8"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（一）设备安装</w:t>
      </w:r>
    </w:p>
    <w:p w14:paraId="778E43AF"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投标人必须向采购人提供本项目采购的所有硬件的安装和维护服务的全部内容，并在需要的时候配合设备使用单位完成整个系统的网络联调工作。若本项目采购的设备产品等方面的配置或要求中出现不合理或不完整的问题时，投标人有责任和义务在投标文件中提出补充修改方案并征得采购人同意后付诸实施。</w:t>
      </w:r>
    </w:p>
    <w:p w14:paraId="27C780BE"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对投标人要求：</w:t>
      </w:r>
    </w:p>
    <w:p w14:paraId="2BA2CFB8"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1.要求投标人必须具有良好信誉和相关实力的技术队伍。</w:t>
      </w:r>
    </w:p>
    <w:p w14:paraId="20077F64"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2.投标人应本着认真负责态度，组织技术队伍，做好投标的整体方案，并书面提出长期保修、维护、服务以及今后技术支持的措施计划和承诺。</w:t>
      </w:r>
    </w:p>
    <w:p w14:paraId="5AAEE5FC"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3.安装调试在设备到货后3个工作日内开始进行。</w:t>
      </w:r>
    </w:p>
    <w:p w14:paraId="02B9D968"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4.所有设备均须由投标人送货上门并安装调试。采购人</w:t>
      </w:r>
      <w:r>
        <w:rPr>
          <w:rFonts w:ascii="仿宋_GB2312" w:eastAsia="仿宋_GB2312" w:hAnsi="仿宋_GB2312" w:cs="仿宋_GB2312" w:hint="eastAsia"/>
          <w:sz w:val="32"/>
          <w:szCs w:val="28"/>
        </w:rPr>
        <w:lastRenderedPageBreak/>
        <w:t>不再支付任何费用。</w:t>
      </w:r>
    </w:p>
    <w:p w14:paraId="2ED60AA1"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5.自系统安装工作一开始，投标人应允许采购人的工作人员一起参与系统的安装、测试、诊断及解决遇到的问题等各项工作。</w:t>
      </w:r>
    </w:p>
    <w:p w14:paraId="64627D88"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（二）测试和开箱检查</w:t>
      </w:r>
    </w:p>
    <w:p w14:paraId="3176C058"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投标人应根据所提交的验收方案和实施办法，自行组织设备和人员，并在使用单位、监理单位监督下现场进行测试和验收。</w:t>
      </w:r>
    </w:p>
    <w:p w14:paraId="33BDC610"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1.开箱检查</w:t>
      </w:r>
    </w:p>
    <w:p w14:paraId="12642257"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所有设备、器材在开箱时必须完好，无破损。配置与装箱单相符。数量、质量及性能不低于合同要求。</w:t>
      </w:r>
    </w:p>
    <w:p w14:paraId="268624DF"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拆箱后，投标人应对其全部产品、零件、配件、采购人许可证书、资料、介质造册登记，并与装箱单对比，如有出入应立即书面记录，由供应商解决，如影响安装则按合同有关条款处理。登记册作为验收文档之一。</w:t>
      </w:r>
    </w:p>
    <w:p w14:paraId="03413A82"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2.系统测试</w:t>
      </w:r>
    </w:p>
    <w:p w14:paraId="786E493E"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系统安装完成后，按照系统要求的基本功能逐一测试。</w:t>
      </w:r>
    </w:p>
    <w:p w14:paraId="39FCBC53"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单项测试：单项产品安装完成后，由投标人进行产品自身性能的测试。设备通电测试应单台进行，所有设备通电自</w:t>
      </w:r>
      <w:proofErr w:type="gramStart"/>
      <w:r>
        <w:rPr>
          <w:rFonts w:ascii="仿宋_GB2312" w:eastAsia="仿宋_GB2312" w:hAnsi="仿宋_GB2312" w:cs="仿宋_GB2312" w:hint="eastAsia"/>
          <w:sz w:val="32"/>
          <w:szCs w:val="28"/>
        </w:rPr>
        <w:t>检正常</w:t>
      </w:r>
      <w:proofErr w:type="gramEnd"/>
      <w:r>
        <w:rPr>
          <w:rFonts w:ascii="仿宋_GB2312" w:eastAsia="仿宋_GB2312" w:hAnsi="仿宋_GB2312" w:cs="仿宋_GB2312" w:hint="eastAsia"/>
          <w:sz w:val="32"/>
          <w:szCs w:val="28"/>
        </w:rPr>
        <w:t>后，才能相互联结。</w:t>
      </w:r>
    </w:p>
    <w:p w14:paraId="2FD17CD1"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网络联机测试：网络系统安装完成后，由投标人和设备使用单位对所有采购的产品进行联网运行，并进行相应的联机测试。</w:t>
      </w:r>
    </w:p>
    <w:p w14:paraId="12AE2E67"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系统运行正常，联机测试通过。</w:t>
      </w:r>
    </w:p>
    <w:p w14:paraId="3F36DC0B"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lastRenderedPageBreak/>
        <w:t>如开箱检验或系统测试中发现设备性能指标或功能上不符合标书和合同时，将被看作性能不合格，设备使用单位有权拒收并要求赔偿。</w:t>
      </w:r>
    </w:p>
    <w:p w14:paraId="36A4556F"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投标人应负责在项目验收时将系统的全部有关产品说明书、原厂家安装手册、技术文件、资料、及安装、验收报告等文档交付设备使用单位。</w:t>
      </w:r>
    </w:p>
    <w:p w14:paraId="596E4915"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（三）开箱检查要求</w:t>
      </w:r>
    </w:p>
    <w:p w14:paraId="76F68896"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中标供应商完成交货、安装调试结束，在货物数量、规格、质量及各项功能应用满足合同要求后，由中标供应商、采购人双方共同签字验收。采购人组成的验收小组按国家有关规定、规范进行验收，经检验货物以及安装质量无任何问题，由采购人组成的验收小组签署验收报告。因货物质量问题发生争议时，由本地质量技术监督部门鉴定。货物符合质量技术标准的，鉴定费由采购人承担；否则鉴定费由中标供应商承担。</w:t>
      </w:r>
    </w:p>
    <w:p w14:paraId="6AE2DA26"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 xml:space="preserve">2.凡列入《中华人民共和国实施强制性产品认证的产品目录》的产品在验收时须出具CCC认证证书复印件，并以在产品外部加施认证标志作为验收依据之一。投标人需负责在项目验收时将系统的全部有关产品说明书、原厂家安装手册、技术文件、资料、及安装、验收报告等文档汇集成册，交付设备使用单位。设备安装、调测所需工具、仪表及安装材料均由中标人提供。 </w:t>
      </w:r>
    </w:p>
    <w:p w14:paraId="1BD7E728"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3.所有货物在验收时必须完好无破损，数量、质量及指标不低于投标文件要求，验收时如发现所交付的设备有短缺、</w:t>
      </w:r>
      <w:r>
        <w:rPr>
          <w:rFonts w:ascii="仿宋_GB2312" w:eastAsia="仿宋_GB2312" w:hAnsi="仿宋_GB2312" w:cs="仿宋_GB2312" w:hint="eastAsia"/>
          <w:sz w:val="32"/>
          <w:szCs w:val="28"/>
        </w:rPr>
        <w:lastRenderedPageBreak/>
        <w:t>次品、损坏或其他不符合合同、招标文件、投标文件规定之情形者，采购人应</w:t>
      </w:r>
      <w:proofErr w:type="gramStart"/>
      <w:r>
        <w:rPr>
          <w:rFonts w:ascii="仿宋_GB2312" w:eastAsia="仿宋_GB2312" w:hAnsi="仿宋_GB2312" w:cs="仿宋_GB2312" w:hint="eastAsia"/>
          <w:sz w:val="32"/>
          <w:szCs w:val="28"/>
        </w:rPr>
        <w:t>作出</w:t>
      </w:r>
      <w:proofErr w:type="gramEnd"/>
      <w:r>
        <w:rPr>
          <w:rFonts w:ascii="仿宋_GB2312" w:eastAsia="仿宋_GB2312" w:hAnsi="仿宋_GB2312" w:cs="仿宋_GB2312" w:hint="eastAsia"/>
          <w:sz w:val="32"/>
          <w:szCs w:val="28"/>
        </w:rPr>
        <w:t>详尽的现场记录，或由采购人和中标供应</w:t>
      </w:r>
      <w:proofErr w:type="gramStart"/>
      <w:r>
        <w:rPr>
          <w:rFonts w:ascii="仿宋_GB2312" w:eastAsia="仿宋_GB2312" w:hAnsi="仿宋_GB2312" w:cs="仿宋_GB2312" w:hint="eastAsia"/>
          <w:sz w:val="32"/>
          <w:szCs w:val="28"/>
        </w:rPr>
        <w:t>商双方</w:t>
      </w:r>
      <w:proofErr w:type="gramEnd"/>
      <w:r>
        <w:rPr>
          <w:rFonts w:ascii="仿宋_GB2312" w:eastAsia="仿宋_GB2312" w:hAnsi="仿宋_GB2312" w:cs="仿宋_GB2312" w:hint="eastAsia"/>
          <w:sz w:val="32"/>
          <w:szCs w:val="28"/>
        </w:rPr>
        <w:t>签署备忘录。此现场记录或备忘录可用作补充、缺失和更换部件的有效证据。由此产生的有关费用由中标供应商承担。</w:t>
      </w:r>
    </w:p>
    <w:p w14:paraId="44CBAD0B"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4.如果合同设备运输和安装调试过程中因事故造成货物短缺、损坏，中标供应商应及时安排换货，以保证合同货物成功完整支付。换货的相关费用由中标供应商承担。</w:t>
      </w:r>
    </w:p>
    <w:p w14:paraId="54BA4BB9"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5.采购人有权单方面对中标供应商提供的设备进行检测。如货物质量达不到投标文件的要求，则拒绝收货，采购人与中标供应商因设备的质量问题而发生争议，由采购人单方面交质量监督检测单位按投标文件技术性能要求检测，如检测结果不符合投标文件要求，采购人有权单方面要求中标供应商在5个工作日内对全部已到货货物进行更换。更换的货物必须完成规定检测过程并取得符合投标文件要求的检测合格报告。如中标供应商更换后货物仍无法按要求取得达到投标文件技术性能要求的检测合格报告，采购人有权单方面中止采购合同。所涉及的检测费、运输费及其他发生的相关费用及责任，除由采购人的人为原因而出现的，均由中标供应商负责并追索中标供应商违约责任，同时可报财政局对投标单位虚假投标做出处理，如按照采购人要求对中标供应商所提供设备交质量监督检测单位检测后设备符合投标文件的要求，检测费用由采购人承担。</w:t>
      </w:r>
    </w:p>
    <w:p w14:paraId="09F7D20D"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6.如果投标人所提供的设备被有关部门认定为违反国</w:t>
      </w:r>
      <w:r>
        <w:rPr>
          <w:rFonts w:ascii="仿宋_GB2312" w:eastAsia="仿宋_GB2312" w:hAnsi="仿宋_GB2312" w:cs="仿宋_GB2312" w:hint="eastAsia"/>
          <w:sz w:val="32"/>
          <w:szCs w:val="28"/>
        </w:rPr>
        <w:lastRenderedPageBreak/>
        <w:t>家有关行业安全和质量规定及违法侵权等，由此而引起的一切后果和责任均由投标人负全责。</w:t>
      </w:r>
    </w:p>
    <w:p w14:paraId="0341E809"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7.若中标供应商提供的产品发生知识产权纠纷的，由中标供应商与原知识产权所有者协商解决，采购人不承担与之相关的任何经济和法律责任。</w:t>
      </w:r>
    </w:p>
    <w:p w14:paraId="126F544C" w14:textId="77777777" w:rsidR="00B02C6E" w:rsidRDefault="00B02C6E" w:rsidP="00B02C6E">
      <w:pPr>
        <w:pStyle w:val="2"/>
        <w:numPr>
          <w:ilvl w:val="1"/>
          <w:numId w:val="0"/>
        </w:numPr>
        <w:spacing w:before="0" w:after="0" w:line="560" w:lineRule="exact"/>
      </w:pPr>
      <w:r>
        <w:rPr>
          <w:rFonts w:hint="eastAsia"/>
        </w:rPr>
        <w:t>十一、违约责任与赔偿损失</w:t>
      </w:r>
    </w:p>
    <w:p w14:paraId="5401B5D6"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（一）中标人提供的服务不符合采购文件、报价文件或合同规定的，采购人有权拒收，并且中标人须向采购人支付合同总价10%的违约金，并退还采购人已支付的合同金额。</w:t>
      </w:r>
    </w:p>
    <w:p w14:paraId="60A9B57F" w14:textId="77777777" w:rsidR="00B02C6E" w:rsidRDefault="00B02C6E" w:rsidP="00B02C6E">
      <w:pPr>
        <w:spacing w:line="560" w:lineRule="exact"/>
        <w:ind w:firstLine="640"/>
      </w:pPr>
      <w:r>
        <w:rPr>
          <w:rFonts w:ascii="仿宋_GB2312" w:eastAsia="仿宋_GB2312" w:hAnsi="仿宋_GB2312" w:cs="仿宋_GB2312" w:hint="eastAsia"/>
          <w:sz w:val="32"/>
          <w:szCs w:val="28"/>
        </w:rPr>
        <w:t>（二）中标人如果不能按进度计划规定的节点完成阶段任务，从逾期之日起每日按合同总价5‰的数额向采购人支付违约金；逾期半个月以上的，采购人有权单方终止合同，并退还采购人已支付的合同金额。由此造成的采购人一切损失由投标人承担。</w:t>
      </w:r>
    </w:p>
    <w:bookmarkEnd w:id="52"/>
    <w:p w14:paraId="69A4B269" w14:textId="77777777" w:rsidR="00B02C6E" w:rsidRDefault="00B02C6E" w:rsidP="00B02C6E">
      <w:pPr>
        <w:ind w:firstLine="482"/>
        <w:rPr>
          <w:b/>
        </w:rPr>
      </w:pPr>
      <w:r>
        <w:rPr>
          <w:rFonts w:hint="eastAsia"/>
          <w:b/>
        </w:rPr>
        <w:br w:type="page"/>
      </w:r>
    </w:p>
    <w:p w14:paraId="6E5D47D9" w14:textId="77777777" w:rsidR="00B02C6E" w:rsidRDefault="00B02C6E" w:rsidP="00B02C6E">
      <w:pPr>
        <w:pStyle w:val="1"/>
        <w:numPr>
          <w:ilvl w:val="0"/>
          <w:numId w:val="0"/>
        </w:numPr>
        <w:spacing w:line="560" w:lineRule="exact"/>
        <w:jc w:val="center"/>
        <w:rPr>
          <w:b/>
          <w:bCs w:val="0"/>
        </w:rPr>
      </w:pPr>
      <w:r>
        <w:rPr>
          <w:rFonts w:hint="eastAsia"/>
          <w:b/>
          <w:bCs w:val="0"/>
        </w:rPr>
        <w:lastRenderedPageBreak/>
        <w:t>第四部分 其他要求</w:t>
      </w:r>
    </w:p>
    <w:p w14:paraId="0B9A4AA5" w14:textId="77777777" w:rsidR="00B02C6E" w:rsidRDefault="00B02C6E" w:rsidP="00B02C6E">
      <w:pPr>
        <w:pStyle w:val="2"/>
        <w:numPr>
          <w:ilvl w:val="1"/>
          <w:numId w:val="0"/>
        </w:numPr>
        <w:spacing w:line="560" w:lineRule="exact"/>
        <w:ind w:left="575"/>
        <w:rPr>
          <w:rFonts w:ascii="宋体" w:hAnsi="宋体"/>
        </w:rPr>
      </w:pPr>
      <w:r>
        <w:rPr>
          <w:rFonts w:ascii="宋体" w:hAnsi="宋体" w:hint="eastAsia"/>
        </w:rPr>
        <w:t>一、★投标人应对以下项目要求内容做出承诺：</w:t>
      </w:r>
    </w:p>
    <w:p w14:paraId="392E4454"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（一）信息安全等级保护要求：中标人需配合采购方安排的安全测评机构完成测评相关工作，并根据测评公司提出的具体意见修改系统并通过测评。</w:t>
      </w:r>
    </w:p>
    <w:p w14:paraId="3F0020AF"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（二）协同流转指标体系设计：对于协同业务流程完善升级内容，中标人需配合采购方完成业务、数据、管理指标体系的设计工作。</w:t>
      </w:r>
    </w:p>
    <w:p w14:paraId="02F2AF12"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（三）商用密码应用服务：根据市委政法委提供的商用密码应用服务运行控件，中标人配合完成市委政法委中心平台商用密码应用改造集成工作。</w:t>
      </w:r>
    </w:p>
    <w:p w14:paraId="333302AF" w14:textId="77777777" w:rsidR="00B02C6E" w:rsidRDefault="00B02C6E" w:rsidP="00B02C6E">
      <w:pPr>
        <w:pStyle w:val="2"/>
        <w:numPr>
          <w:ilvl w:val="1"/>
          <w:numId w:val="0"/>
        </w:numPr>
        <w:spacing w:line="560" w:lineRule="exact"/>
        <w:ind w:left="575"/>
      </w:pPr>
      <w:r>
        <w:rPr>
          <w:rFonts w:hint="eastAsia"/>
        </w:rPr>
        <w:t>二、保密要求</w:t>
      </w:r>
    </w:p>
    <w:p w14:paraId="46FAAF72" w14:textId="77777777" w:rsidR="00B02C6E" w:rsidRDefault="00B02C6E" w:rsidP="00B02C6E">
      <w:pPr>
        <w:spacing w:line="560" w:lineRule="exact"/>
        <w:ind w:firstLine="640"/>
        <w:rPr>
          <w:rFonts w:ascii="仿宋_GB2312" w:eastAsia="仿宋_GB2312" w:hAnsi="仿宋_GB2312" w:cs="仿宋_GB2312"/>
          <w:sz w:val="32"/>
          <w:szCs w:val="28"/>
        </w:rPr>
      </w:pPr>
      <w:bookmarkStart w:id="53" w:name="_Hlk117523651"/>
      <w:r>
        <w:rPr>
          <w:rFonts w:ascii="仿宋_GB2312" w:eastAsia="仿宋_GB2312" w:hAnsi="仿宋_GB2312" w:cs="仿宋_GB2312" w:hint="eastAsia"/>
          <w:sz w:val="32"/>
          <w:szCs w:val="28"/>
        </w:rPr>
        <w:t>中标人在合同期内或合同终止后，未经采购人书面许可，中标人不可向第三方泄露本项目及本合同业务有关的一切资料（法律和管理机构要求的除外）。否则，采购人有权视情况按照法律、法规、规则、制度和本合同，追究中标人的相应责任，并由中标人赔偿由此造成的损失</w:t>
      </w:r>
      <w:bookmarkEnd w:id="53"/>
      <w:r>
        <w:rPr>
          <w:rFonts w:ascii="仿宋_GB2312" w:eastAsia="仿宋_GB2312" w:hAnsi="仿宋_GB2312" w:cs="仿宋_GB2312" w:hint="eastAsia"/>
          <w:sz w:val="32"/>
          <w:szCs w:val="28"/>
        </w:rPr>
        <w:t>。</w:t>
      </w:r>
    </w:p>
    <w:p w14:paraId="1A2977EA" w14:textId="77777777" w:rsidR="00B02C6E" w:rsidRDefault="00B02C6E" w:rsidP="00B02C6E">
      <w:pPr>
        <w:pStyle w:val="2"/>
        <w:numPr>
          <w:ilvl w:val="1"/>
          <w:numId w:val="0"/>
        </w:numPr>
        <w:spacing w:line="560" w:lineRule="exact"/>
        <w:ind w:left="575"/>
        <w:rPr>
          <w:rFonts w:eastAsia="宋体"/>
        </w:rPr>
      </w:pPr>
      <w:r>
        <w:rPr>
          <w:rFonts w:hint="eastAsia"/>
        </w:rPr>
        <w:t>三、知识产权要求</w:t>
      </w:r>
    </w:p>
    <w:p w14:paraId="43EA1B22"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（一）中标人保证，采购方在中国使用该产品或产品的任何一部分时，免受第三方提出侵犯其知识产权主张的。如发生此类纠纷，由中标人承担一切责任。</w:t>
      </w:r>
    </w:p>
    <w:p w14:paraId="071FBA00"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（二）★本项目研究成果及其技术文档所有权由采购方</w:t>
      </w:r>
      <w:r>
        <w:rPr>
          <w:rFonts w:ascii="仿宋_GB2312" w:eastAsia="仿宋_GB2312" w:hAnsi="仿宋_GB2312" w:cs="仿宋_GB2312" w:hint="eastAsia"/>
          <w:sz w:val="32"/>
          <w:szCs w:val="28"/>
        </w:rPr>
        <w:lastRenderedPageBreak/>
        <w:t>享有，包括系统、数据及其技术文档等所有研究开发成果；需向采购人交付涉案财物信息流转处置深化应用、智能执法监督系统的源代码，未经采购方许可，中标人不得透露给任何第三方，不得自行使用或者许可任何第三方使用。</w:t>
      </w:r>
    </w:p>
    <w:p w14:paraId="672F52E3"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（三）如采购方对本项目研究成果需要申请知识产权，中标人需配合采购方提供相关技术材料。</w:t>
      </w:r>
    </w:p>
    <w:p w14:paraId="1D8BB3D8" w14:textId="77777777" w:rsidR="00B02C6E" w:rsidRDefault="00B02C6E" w:rsidP="00B02C6E">
      <w:pPr>
        <w:pStyle w:val="2"/>
        <w:numPr>
          <w:ilvl w:val="1"/>
          <w:numId w:val="0"/>
        </w:numPr>
        <w:ind w:left="575"/>
      </w:pPr>
      <w:r>
        <w:rPr>
          <w:rFonts w:hint="eastAsia"/>
        </w:rPr>
        <w:t>四、协调配合要求</w:t>
      </w:r>
    </w:p>
    <w:p w14:paraId="137F3618"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★中标人所需原系统相关技术资料及相关协调工作由采购人负责提供，</w:t>
      </w:r>
      <w:proofErr w:type="gramStart"/>
      <w:r>
        <w:rPr>
          <w:rFonts w:ascii="仿宋_GB2312" w:eastAsia="仿宋_GB2312" w:hAnsi="仿宋_GB2312" w:cs="仿宋_GB2312" w:hint="eastAsia"/>
          <w:sz w:val="32"/>
          <w:szCs w:val="28"/>
        </w:rPr>
        <w:t>因协调</w:t>
      </w:r>
      <w:proofErr w:type="gramEnd"/>
      <w:r>
        <w:rPr>
          <w:rFonts w:ascii="仿宋_GB2312" w:eastAsia="仿宋_GB2312" w:hAnsi="仿宋_GB2312" w:cs="仿宋_GB2312" w:hint="eastAsia"/>
          <w:sz w:val="32"/>
          <w:szCs w:val="28"/>
        </w:rPr>
        <w:t>配合产生的费用由中标人承担。（提供承诺函，格式自拟）</w:t>
      </w:r>
    </w:p>
    <w:p w14:paraId="124AFB48" w14:textId="77777777" w:rsidR="00B02C6E" w:rsidRDefault="00B02C6E" w:rsidP="00B02C6E">
      <w:pPr>
        <w:spacing w:line="560" w:lineRule="exact"/>
        <w:ind w:firstLine="640"/>
        <w:rPr>
          <w:rFonts w:ascii="仿宋_GB2312" w:eastAsia="仿宋_GB2312" w:hAnsi="仿宋_GB2312" w:cs="仿宋_GB2312"/>
          <w:sz w:val="32"/>
          <w:szCs w:val="28"/>
        </w:rPr>
      </w:pPr>
    </w:p>
    <w:p w14:paraId="6196B459" w14:textId="77777777" w:rsidR="00B02C6E" w:rsidRDefault="00B02C6E" w:rsidP="00B02C6E">
      <w:pPr>
        <w:pStyle w:val="1"/>
        <w:numPr>
          <w:ilvl w:val="0"/>
          <w:numId w:val="0"/>
        </w:numPr>
        <w:spacing w:line="560" w:lineRule="exact"/>
        <w:jc w:val="center"/>
        <w:rPr>
          <w:b/>
          <w:bCs w:val="0"/>
        </w:rPr>
      </w:pPr>
      <w:r>
        <w:rPr>
          <w:rFonts w:hint="eastAsia"/>
          <w:b/>
          <w:bCs w:val="0"/>
        </w:rPr>
        <w:t>第五部分 付款方式</w:t>
      </w:r>
    </w:p>
    <w:p w14:paraId="6D91A733" w14:textId="77777777" w:rsidR="00B02C6E" w:rsidRDefault="00B02C6E" w:rsidP="00B02C6E">
      <w:pPr>
        <w:spacing w:line="560" w:lineRule="exact"/>
        <w:ind w:firstLine="640"/>
        <w:rPr>
          <w:rFonts w:ascii="仿宋_GB2312" w:eastAsia="仿宋_GB2312" w:hAnsi="仿宋_GB2312" w:cs="仿宋_GB2312"/>
          <w:sz w:val="32"/>
          <w:szCs w:val="28"/>
        </w:rPr>
      </w:pPr>
      <w:bookmarkStart w:id="54" w:name="OLE_LINK1"/>
      <w:bookmarkStart w:id="55" w:name="OLE_LINK2"/>
      <w:r>
        <w:rPr>
          <w:rFonts w:ascii="仿宋_GB2312" w:eastAsia="仿宋_GB2312" w:hAnsi="仿宋_GB2312" w:cs="仿宋_GB2312" w:hint="eastAsia"/>
          <w:sz w:val="32"/>
          <w:szCs w:val="28"/>
        </w:rPr>
        <w:t>一、第一笔款：</w:t>
      </w:r>
    </w:p>
    <w:p w14:paraId="07C84CD0"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合同签订后，完成项目实施方案评审后15天内，中标供应商向采购人提交支付申请，采购人对支付申请进行审核确认后，在5个工作日内向广州市财政局递交支付通知，由广州市财政局向中标供应商支付合同总额的35%作为第一笔款。</w:t>
      </w:r>
    </w:p>
    <w:p w14:paraId="2A376FA7"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申请付款时中标供应商应提供如下凭证：</w:t>
      </w:r>
    </w:p>
    <w:p w14:paraId="2BC313F7"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（一）中标供应商向采购人提出的付款申请及监理方的工程款支付意见；</w:t>
      </w:r>
    </w:p>
    <w:p w14:paraId="75E1AA57"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（二）中标供应商提交的商业发票；</w:t>
      </w:r>
    </w:p>
    <w:p w14:paraId="6D50D3F9"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（三）中标通知书复印件。</w:t>
      </w:r>
    </w:p>
    <w:p w14:paraId="50E0E7C6"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二、第二笔款：</w:t>
      </w:r>
    </w:p>
    <w:p w14:paraId="5F287B8F"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lastRenderedPageBreak/>
        <w:t>中标供应商达到初验条件，并经采购人初步验收通过后，向采购人提交支付申请，采购人对支付申请进行审核确认后，5个工作日内向广州市财政局递交支付通知，由广州市财政局向中标供应商支付合同总额35%作为第二笔款；</w:t>
      </w:r>
    </w:p>
    <w:p w14:paraId="2F18F49E"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申请付款时中标供应商应提供如下凭证：</w:t>
      </w:r>
    </w:p>
    <w:p w14:paraId="6B6D18CE"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（一）中标供应商向采购人提出的付款申请及监理方的工程款支付意见；</w:t>
      </w:r>
    </w:p>
    <w:p w14:paraId="535D74A5"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（二）中标供应商提交的商业发票；</w:t>
      </w:r>
    </w:p>
    <w:p w14:paraId="4350C7AA"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（三）监理签发的“初步验收合格证书”；</w:t>
      </w:r>
    </w:p>
    <w:p w14:paraId="0D08A9EA"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（四）合同复印件各一份。</w:t>
      </w:r>
    </w:p>
    <w:p w14:paraId="206B31BA"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三、第三笔款：</w:t>
      </w:r>
    </w:p>
    <w:p w14:paraId="4B5F7D7E"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合同验收通过后，中标供应商应向采购人提交支付申请，采购人对支付申请进行审核确认后，在5个工作日内向广州市财政局递交支付通知，由广州市财政局向中标供应商支付合同总额30%作为第三笔款；</w:t>
      </w:r>
    </w:p>
    <w:p w14:paraId="295E2B35"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申请付款时中标供应商应提供如下凭证：</w:t>
      </w:r>
    </w:p>
    <w:p w14:paraId="1CAC6154"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（一）中标供应商向采购人提出的付款申请及监理方的工程款支付意见；</w:t>
      </w:r>
    </w:p>
    <w:p w14:paraId="1C1E9B86"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（二）中标供应</w:t>
      </w:r>
      <w:proofErr w:type="gramStart"/>
      <w:r>
        <w:rPr>
          <w:rFonts w:ascii="仿宋_GB2312" w:eastAsia="仿宋_GB2312" w:hAnsi="仿宋_GB2312" w:cs="仿宋_GB2312" w:hint="eastAsia"/>
          <w:sz w:val="32"/>
          <w:szCs w:val="28"/>
        </w:rPr>
        <w:t>商服务质保承诺</w:t>
      </w:r>
      <w:proofErr w:type="gramEnd"/>
      <w:r>
        <w:rPr>
          <w:rFonts w:ascii="仿宋_GB2312" w:eastAsia="仿宋_GB2312" w:hAnsi="仿宋_GB2312" w:cs="仿宋_GB2312" w:hint="eastAsia"/>
          <w:sz w:val="32"/>
          <w:szCs w:val="28"/>
        </w:rPr>
        <w:t>书；</w:t>
      </w:r>
    </w:p>
    <w:p w14:paraId="5D412C82"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（三）监理签发的“合同验收合格证书”；</w:t>
      </w:r>
    </w:p>
    <w:p w14:paraId="28556659"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（四）合同复印件各一份。</w:t>
      </w:r>
    </w:p>
    <w:p w14:paraId="6F44261E" w14:textId="77777777" w:rsidR="00B02C6E" w:rsidRDefault="00B02C6E" w:rsidP="00B02C6E">
      <w:pPr>
        <w:spacing w:line="56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采购人的支付时间期限是采购人向广州市财政局申请办理合同款支付的时间，广州市财政局审查及实际支付时间不纳入支付时间期限。项目所涉及经费为广州市财政投资信</w:t>
      </w:r>
      <w:r>
        <w:rPr>
          <w:rFonts w:ascii="仿宋_GB2312" w:eastAsia="仿宋_GB2312" w:hAnsi="仿宋_GB2312" w:cs="仿宋_GB2312" w:hint="eastAsia"/>
          <w:sz w:val="32"/>
          <w:szCs w:val="28"/>
        </w:rPr>
        <w:lastRenderedPageBreak/>
        <w:t>息化项目建设经费，付款时间需以收到财政经费为准。如当年广州市财政投资安排经费不足以支付当期全额应付款时，采购方应先告知乙方当期可支付金额，在乙方提供可支付金额发票后支付等额费用予乙方，差额部分甲方应在下一年度予以支付，乙方不得以此提出延期付款索赔要求</w:t>
      </w:r>
      <w:bookmarkEnd w:id="54"/>
      <w:bookmarkEnd w:id="55"/>
      <w:r>
        <w:rPr>
          <w:rFonts w:ascii="仿宋_GB2312" w:eastAsia="仿宋_GB2312" w:hAnsi="仿宋_GB2312" w:cs="仿宋_GB2312" w:hint="eastAsia"/>
          <w:sz w:val="32"/>
          <w:szCs w:val="28"/>
        </w:rPr>
        <w:t>。</w:t>
      </w:r>
    </w:p>
    <w:p w14:paraId="57C49D5A" w14:textId="77777777" w:rsidR="004C41D9" w:rsidRPr="00B02C6E" w:rsidRDefault="004C41D9"/>
    <w:sectPr w:rsidR="004C41D9" w:rsidRPr="00B02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New Roman (Body CS)">
    <w:altName w:val="Times New Roman"/>
    <w:charset w:val="00"/>
    <w:family w:val="auto"/>
    <w:pitch w:val="default"/>
    <w:sig w:usb0="00000000" w:usb1="00000000" w:usb2="00000000" w:usb3="00000000" w:csb0="00040001" w:csb1="00000000"/>
  </w:font>
  <w:font w:name="MingLiU-ExtB">
    <w:panose1 w:val="02020500000000000000"/>
    <w:charset w:val="88"/>
    <w:family w:val="roman"/>
    <w:pitch w:val="variable"/>
    <w:sig w:usb0="8000002F" w:usb1="0A080008" w:usb2="00000010" w:usb3="00000000" w:csb0="0010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2D3751"/>
    <w:multiLevelType w:val="singleLevel"/>
    <w:tmpl w:val="B92D3751"/>
    <w:lvl w:ilvl="0">
      <w:start w:val="1"/>
      <w:numFmt w:val="decimal"/>
      <w:suff w:val="nothing"/>
      <w:lvlText w:val="%1、"/>
      <w:lvlJc w:val="left"/>
    </w:lvl>
  </w:abstractNum>
  <w:abstractNum w:abstractNumId="1" w15:restartNumberingAfterBreak="0">
    <w:nsid w:val="C700DA3C"/>
    <w:multiLevelType w:val="singleLevel"/>
    <w:tmpl w:val="C700DA3C"/>
    <w:lvl w:ilvl="0">
      <w:start w:val="1"/>
      <w:numFmt w:val="decimal"/>
      <w:suff w:val="nothing"/>
      <w:lvlText w:val="（%1）"/>
      <w:lvlJc w:val="left"/>
    </w:lvl>
  </w:abstractNum>
  <w:abstractNum w:abstractNumId="2" w15:restartNumberingAfterBreak="0">
    <w:nsid w:val="CEA43F8F"/>
    <w:multiLevelType w:val="multilevel"/>
    <w:tmpl w:val="CEA43F8F"/>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3" w15:restartNumberingAfterBreak="0">
    <w:nsid w:val="DAF96709"/>
    <w:multiLevelType w:val="singleLevel"/>
    <w:tmpl w:val="DAF96709"/>
    <w:lvl w:ilvl="0">
      <w:start w:val="1"/>
      <w:numFmt w:val="decimal"/>
      <w:suff w:val="nothing"/>
      <w:lvlText w:val="%1、"/>
      <w:lvlJc w:val="left"/>
    </w:lvl>
  </w:abstractNum>
  <w:abstractNum w:abstractNumId="4" w15:restartNumberingAfterBreak="0">
    <w:nsid w:val="E3CA7DE9"/>
    <w:multiLevelType w:val="multilevel"/>
    <w:tmpl w:val="E3CA7DE9"/>
    <w:lvl w:ilvl="0">
      <w:start w:val="1"/>
      <w:numFmt w:val="decimal"/>
      <w:pStyle w:val="a"/>
      <w:lvlText w:val="图 %1"/>
      <w:lvlJc w:val="left"/>
      <w:pPr>
        <w:tabs>
          <w:tab w:val="left" w:pos="680"/>
        </w:tabs>
        <w:ind w:left="68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20A3A18"/>
    <w:multiLevelType w:val="singleLevel"/>
    <w:tmpl w:val="220A3A18"/>
    <w:lvl w:ilvl="0">
      <w:start w:val="1"/>
      <w:numFmt w:val="chineseCounting"/>
      <w:suff w:val="nothing"/>
      <w:lvlText w:val="%1、"/>
      <w:lvlJc w:val="left"/>
      <w:rPr>
        <w:rFonts w:hint="eastAsia"/>
      </w:rPr>
    </w:lvl>
  </w:abstractNum>
  <w:abstractNum w:abstractNumId="6" w15:restartNumberingAfterBreak="0">
    <w:nsid w:val="58EE7C73"/>
    <w:multiLevelType w:val="multilevel"/>
    <w:tmpl w:val="58EE7C7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7D8F7B6C"/>
    <w:multiLevelType w:val="singleLevel"/>
    <w:tmpl w:val="7D8F7B6C"/>
    <w:lvl w:ilvl="0">
      <w:start w:val="1"/>
      <w:numFmt w:val="decimal"/>
      <w:suff w:val="nothing"/>
      <w:lvlText w:val="%1、"/>
      <w:lvlJc w:val="left"/>
    </w:lvl>
  </w:abstractNum>
  <w:num w:numId="1" w16cid:durableId="250243918">
    <w:abstractNumId w:val="2"/>
  </w:num>
  <w:num w:numId="2" w16cid:durableId="2130005417">
    <w:abstractNumId w:val="4"/>
  </w:num>
  <w:num w:numId="3" w16cid:durableId="1785229428">
    <w:abstractNumId w:val="0"/>
  </w:num>
  <w:num w:numId="4" w16cid:durableId="502550314">
    <w:abstractNumId w:val="6"/>
  </w:num>
  <w:num w:numId="5" w16cid:durableId="103499026">
    <w:abstractNumId w:val="1"/>
  </w:num>
  <w:num w:numId="6" w16cid:durableId="337854486">
    <w:abstractNumId w:val="7"/>
  </w:num>
  <w:num w:numId="7" w16cid:durableId="887650290">
    <w:abstractNumId w:val="5"/>
  </w:num>
  <w:num w:numId="8" w16cid:durableId="430668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6E"/>
    <w:rsid w:val="004C41D9"/>
    <w:rsid w:val="00642C3B"/>
    <w:rsid w:val="00B02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7C83"/>
  <w15:chartTrackingRefBased/>
  <w15:docId w15:val="{48C96C81-3155-429A-AF53-BF59DA8C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02C6E"/>
    <w:pPr>
      <w:widowControl w:val="0"/>
      <w:jc w:val="both"/>
    </w:pPr>
    <w:rPr>
      <w:rFonts w:ascii="Calibri" w:eastAsia="宋体" w:hAnsi="Calibri" w:cs="黑体"/>
      <w:szCs w:val="24"/>
    </w:rPr>
  </w:style>
  <w:style w:type="paragraph" w:styleId="1">
    <w:name w:val="heading 1"/>
    <w:basedOn w:val="a0"/>
    <w:next w:val="a0"/>
    <w:link w:val="10"/>
    <w:qFormat/>
    <w:rsid w:val="00B02C6E"/>
    <w:pPr>
      <w:keepNext/>
      <w:keepLines/>
      <w:numPr>
        <w:numId w:val="1"/>
      </w:numPr>
      <w:spacing w:line="360" w:lineRule="auto"/>
      <w:ind w:firstLine="0"/>
      <w:jc w:val="left"/>
      <w:outlineLvl w:val="0"/>
    </w:pPr>
    <w:rPr>
      <w:rFonts w:ascii="黑体" w:eastAsia="黑体" w:hAnsi="黑体"/>
      <w:bCs/>
      <w:kern w:val="44"/>
      <w:sz w:val="32"/>
      <w:szCs w:val="44"/>
    </w:rPr>
  </w:style>
  <w:style w:type="paragraph" w:styleId="2">
    <w:name w:val="heading 2"/>
    <w:basedOn w:val="a0"/>
    <w:next w:val="a0"/>
    <w:link w:val="20"/>
    <w:unhideWhenUsed/>
    <w:qFormat/>
    <w:rsid w:val="00B02C6E"/>
    <w:pPr>
      <w:keepNext/>
      <w:keepLines/>
      <w:numPr>
        <w:ilvl w:val="1"/>
        <w:numId w:val="1"/>
      </w:numPr>
      <w:spacing w:before="260" w:after="260" w:line="360" w:lineRule="auto"/>
      <w:ind w:firstLine="0"/>
      <w:jc w:val="left"/>
      <w:outlineLvl w:val="1"/>
    </w:pPr>
    <w:rPr>
      <w:rFonts w:ascii="黑体" w:eastAsia="黑体" w:hAnsi="黑体"/>
      <w:bCs/>
      <w:sz w:val="30"/>
      <w:szCs w:val="32"/>
    </w:rPr>
  </w:style>
  <w:style w:type="paragraph" w:styleId="3">
    <w:name w:val="heading 3"/>
    <w:basedOn w:val="a0"/>
    <w:next w:val="a0"/>
    <w:link w:val="30"/>
    <w:unhideWhenUsed/>
    <w:qFormat/>
    <w:rsid w:val="00B02C6E"/>
    <w:pPr>
      <w:keepNext/>
      <w:keepLines/>
      <w:numPr>
        <w:ilvl w:val="2"/>
        <w:numId w:val="1"/>
      </w:numPr>
      <w:adjustRightInd w:val="0"/>
      <w:spacing w:before="260" w:after="260" w:line="360" w:lineRule="auto"/>
      <w:ind w:firstLine="0"/>
      <w:jc w:val="left"/>
      <w:outlineLvl w:val="2"/>
    </w:pPr>
    <w:rPr>
      <w:rFonts w:ascii="黑体" w:eastAsia="黑体" w:hAnsi="黑体"/>
      <w:bCs/>
      <w:sz w:val="28"/>
      <w:szCs w:val="32"/>
    </w:rPr>
  </w:style>
  <w:style w:type="paragraph" w:styleId="4">
    <w:name w:val="heading 4"/>
    <w:basedOn w:val="a0"/>
    <w:next w:val="a0"/>
    <w:link w:val="40"/>
    <w:unhideWhenUsed/>
    <w:qFormat/>
    <w:rsid w:val="00B02C6E"/>
    <w:pPr>
      <w:keepNext/>
      <w:keepLines/>
      <w:numPr>
        <w:ilvl w:val="3"/>
        <w:numId w:val="1"/>
      </w:numPr>
      <w:spacing w:before="280" w:after="290" w:line="360" w:lineRule="auto"/>
      <w:ind w:firstLine="0"/>
      <w:jc w:val="left"/>
      <w:outlineLvl w:val="3"/>
    </w:pPr>
    <w:rPr>
      <w:rFonts w:ascii="黑体" w:eastAsia="黑体" w:hAnsi="黑体"/>
      <w:bCs/>
      <w:sz w:val="24"/>
      <w:szCs w:val="28"/>
    </w:rPr>
  </w:style>
  <w:style w:type="paragraph" w:styleId="5">
    <w:name w:val="heading 5"/>
    <w:basedOn w:val="a0"/>
    <w:next w:val="a0"/>
    <w:link w:val="50"/>
    <w:unhideWhenUsed/>
    <w:qFormat/>
    <w:rsid w:val="00B02C6E"/>
    <w:pPr>
      <w:keepNext/>
      <w:keepLines/>
      <w:numPr>
        <w:ilvl w:val="4"/>
        <w:numId w:val="1"/>
      </w:numPr>
      <w:spacing w:before="280" w:after="290" w:line="360" w:lineRule="auto"/>
      <w:ind w:firstLine="0"/>
      <w:jc w:val="left"/>
      <w:outlineLvl w:val="4"/>
    </w:pPr>
    <w:rPr>
      <w:rFonts w:ascii="黑体" w:eastAsia="黑体" w:hAnsi="黑体"/>
      <w:bCs/>
      <w:sz w:val="24"/>
      <w:szCs w:val="28"/>
    </w:rPr>
  </w:style>
  <w:style w:type="paragraph" w:styleId="6">
    <w:name w:val="heading 6"/>
    <w:basedOn w:val="a0"/>
    <w:next w:val="a0"/>
    <w:link w:val="60"/>
    <w:unhideWhenUsed/>
    <w:qFormat/>
    <w:rsid w:val="00B02C6E"/>
    <w:pPr>
      <w:keepNext/>
      <w:keepLines/>
      <w:numPr>
        <w:ilvl w:val="5"/>
        <w:numId w:val="1"/>
      </w:numPr>
      <w:spacing w:before="240" w:after="64" w:line="360" w:lineRule="auto"/>
      <w:ind w:firstLine="0"/>
      <w:jc w:val="left"/>
      <w:outlineLvl w:val="5"/>
    </w:pPr>
    <w:rPr>
      <w:rFonts w:ascii="黑体" w:eastAsia="黑体" w:hAnsi="黑体"/>
      <w:bCs/>
      <w:sz w:val="24"/>
    </w:rPr>
  </w:style>
  <w:style w:type="paragraph" w:styleId="7">
    <w:name w:val="heading 7"/>
    <w:basedOn w:val="a0"/>
    <w:next w:val="a0"/>
    <w:link w:val="70"/>
    <w:qFormat/>
    <w:rsid w:val="00B02C6E"/>
    <w:pPr>
      <w:keepNext/>
      <w:keepLines/>
      <w:numPr>
        <w:ilvl w:val="6"/>
        <w:numId w:val="1"/>
      </w:numPr>
      <w:spacing w:before="240" w:after="120"/>
      <w:ind w:firstLine="0"/>
      <w:outlineLvl w:val="6"/>
    </w:pPr>
    <w:rPr>
      <w:rFonts w:ascii="黑体" w:eastAsia="黑体"/>
      <w:bCs/>
      <w:sz w:val="24"/>
    </w:rPr>
  </w:style>
  <w:style w:type="paragraph" w:styleId="8">
    <w:name w:val="heading 8"/>
    <w:basedOn w:val="a0"/>
    <w:next w:val="a0"/>
    <w:link w:val="80"/>
    <w:uiPriority w:val="9"/>
    <w:qFormat/>
    <w:rsid w:val="00B02C6E"/>
    <w:pPr>
      <w:keepNext/>
      <w:keepLines/>
      <w:numPr>
        <w:ilvl w:val="7"/>
        <w:numId w:val="1"/>
      </w:numPr>
      <w:spacing w:before="240" w:after="120"/>
      <w:ind w:firstLine="0"/>
      <w:outlineLvl w:val="7"/>
    </w:pPr>
    <w:rPr>
      <w:rFonts w:ascii="黑体" w:eastAsia="黑体" w:hAnsi="Calibri Light" w:cs="Times New Roman"/>
      <w:sz w:val="24"/>
    </w:rPr>
  </w:style>
  <w:style w:type="paragraph" w:styleId="9">
    <w:name w:val="heading 9"/>
    <w:basedOn w:val="a0"/>
    <w:next w:val="a0"/>
    <w:link w:val="90"/>
    <w:qFormat/>
    <w:rsid w:val="00B02C6E"/>
    <w:pPr>
      <w:keepNext/>
      <w:keepLines/>
      <w:numPr>
        <w:ilvl w:val="8"/>
        <w:numId w:val="1"/>
      </w:numPr>
      <w:spacing w:before="240" w:after="120"/>
      <w:ind w:firstLine="0"/>
      <w:outlineLvl w:val="8"/>
    </w:pPr>
    <w:rPr>
      <w:rFonts w:ascii="黑体" w:eastAsia="黑体" w:hAnsi="Calibri Light" w:cs="Times New Roman"/>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B02C6E"/>
    <w:rPr>
      <w:rFonts w:ascii="黑体" w:eastAsia="黑体" w:hAnsi="黑体" w:cs="黑体"/>
      <w:bCs/>
      <w:kern w:val="44"/>
      <w:sz w:val="32"/>
      <w:szCs w:val="44"/>
    </w:rPr>
  </w:style>
  <w:style w:type="character" w:customStyle="1" w:styleId="20">
    <w:name w:val="标题 2 字符"/>
    <w:basedOn w:val="a1"/>
    <w:link w:val="2"/>
    <w:qFormat/>
    <w:rsid w:val="00B02C6E"/>
    <w:rPr>
      <w:rFonts w:ascii="黑体" w:eastAsia="黑体" w:hAnsi="黑体" w:cs="黑体"/>
      <w:bCs/>
      <w:sz w:val="30"/>
      <w:szCs w:val="32"/>
    </w:rPr>
  </w:style>
  <w:style w:type="character" w:customStyle="1" w:styleId="30">
    <w:name w:val="标题 3 字符"/>
    <w:basedOn w:val="a1"/>
    <w:link w:val="3"/>
    <w:qFormat/>
    <w:rsid w:val="00B02C6E"/>
    <w:rPr>
      <w:rFonts w:ascii="黑体" w:eastAsia="黑体" w:hAnsi="黑体" w:cs="黑体"/>
      <w:bCs/>
      <w:sz w:val="28"/>
      <w:szCs w:val="32"/>
    </w:rPr>
  </w:style>
  <w:style w:type="character" w:customStyle="1" w:styleId="40">
    <w:name w:val="标题 4 字符"/>
    <w:basedOn w:val="a1"/>
    <w:link w:val="4"/>
    <w:qFormat/>
    <w:rsid w:val="00B02C6E"/>
    <w:rPr>
      <w:rFonts w:ascii="黑体" w:eastAsia="黑体" w:hAnsi="黑体" w:cs="黑体"/>
      <w:bCs/>
      <w:sz w:val="24"/>
      <w:szCs w:val="28"/>
    </w:rPr>
  </w:style>
  <w:style w:type="character" w:customStyle="1" w:styleId="50">
    <w:name w:val="标题 5 字符"/>
    <w:basedOn w:val="a1"/>
    <w:link w:val="5"/>
    <w:qFormat/>
    <w:rsid w:val="00B02C6E"/>
    <w:rPr>
      <w:rFonts w:ascii="黑体" w:eastAsia="黑体" w:hAnsi="黑体" w:cs="黑体"/>
      <w:bCs/>
      <w:sz w:val="24"/>
      <w:szCs w:val="28"/>
    </w:rPr>
  </w:style>
  <w:style w:type="character" w:customStyle="1" w:styleId="60">
    <w:name w:val="标题 6 字符"/>
    <w:basedOn w:val="a1"/>
    <w:link w:val="6"/>
    <w:qFormat/>
    <w:rsid w:val="00B02C6E"/>
    <w:rPr>
      <w:rFonts w:ascii="黑体" w:eastAsia="黑体" w:hAnsi="黑体" w:cs="黑体"/>
      <w:bCs/>
      <w:sz w:val="24"/>
      <w:szCs w:val="24"/>
    </w:rPr>
  </w:style>
  <w:style w:type="character" w:customStyle="1" w:styleId="70">
    <w:name w:val="标题 7 字符"/>
    <w:basedOn w:val="a1"/>
    <w:link w:val="7"/>
    <w:qFormat/>
    <w:rsid w:val="00B02C6E"/>
    <w:rPr>
      <w:rFonts w:ascii="黑体" w:eastAsia="黑体" w:hAnsi="Calibri" w:cs="黑体"/>
      <w:bCs/>
      <w:sz w:val="24"/>
      <w:szCs w:val="24"/>
    </w:rPr>
  </w:style>
  <w:style w:type="character" w:customStyle="1" w:styleId="80">
    <w:name w:val="标题 8 字符"/>
    <w:basedOn w:val="a1"/>
    <w:link w:val="8"/>
    <w:uiPriority w:val="9"/>
    <w:qFormat/>
    <w:rsid w:val="00B02C6E"/>
    <w:rPr>
      <w:rFonts w:ascii="黑体" w:eastAsia="黑体" w:hAnsi="Calibri Light" w:cs="Times New Roman"/>
      <w:sz w:val="24"/>
      <w:szCs w:val="24"/>
    </w:rPr>
  </w:style>
  <w:style w:type="character" w:customStyle="1" w:styleId="90">
    <w:name w:val="标题 9 字符"/>
    <w:basedOn w:val="a1"/>
    <w:link w:val="9"/>
    <w:qFormat/>
    <w:rsid w:val="00B02C6E"/>
    <w:rPr>
      <w:rFonts w:ascii="黑体" w:eastAsia="黑体" w:hAnsi="Calibri Light" w:cs="Times New Roman"/>
      <w:sz w:val="24"/>
      <w:szCs w:val="21"/>
    </w:rPr>
  </w:style>
  <w:style w:type="paragraph" w:styleId="TOC7">
    <w:name w:val="toc 7"/>
    <w:basedOn w:val="a0"/>
    <w:next w:val="a0"/>
    <w:uiPriority w:val="39"/>
    <w:unhideWhenUsed/>
    <w:qFormat/>
    <w:rsid w:val="00B02C6E"/>
    <w:pPr>
      <w:adjustRightInd w:val="0"/>
      <w:spacing w:line="400" w:lineRule="exact"/>
      <w:ind w:left="1440" w:firstLineChars="200" w:firstLine="200"/>
      <w:jc w:val="left"/>
    </w:pPr>
    <w:rPr>
      <w:rFonts w:eastAsia="仿宋_GB2312" w:cs="Calibri"/>
      <w:sz w:val="18"/>
      <w:szCs w:val="18"/>
    </w:rPr>
  </w:style>
  <w:style w:type="paragraph" w:styleId="a4">
    <w:name w:val="Normal Indent"/>
    <w:basedOn w:val="a0"/>
    <w:link w:val="a5"/>
    <w:uiPriority w:val="99"/>
    <w:qFormat/>
    <w:rsid w:val="00B02C6E"/>
    <w:pPr>
      <w:adjustRightInd w:val="0"/>
      <w:snapToGrid w:val="0"/>
      <w:spacing w:line="360" w:lineRule="auto"/>
      <w:ind w:firstLineChars="200" w:firstLine="420"/>
      <w:textAlignment w:val="baseline"/>
    </w:pPr>
    <w:rPr>
      <w:rFonts w:ascii="等线" w:eastAsia="仿宋_GB2312" w:hAnsi="等线" w:cs="Times New Roman"/>
      <w:kern w:val="0"/>
      <w:sz w:val="24"/>
      <w:szCs w:val="20"/>
    </w:rPr>
  </w:style>
  <w:style w:type="paragraph" w:styleId="a6">
    <w:name w:val="caption"/>
    <w:basedOn w:val="a0"/>
    <w:next w:val="a0"/>
    <w:link w:val="a7"/>
    <w:uiPriority w:val="35"/>
    <w:unhideWhenUsed/>
    <w:qFormat/>
    <w:rsid w:val="00B02C6E"/>
    <w:pPr>
      <w:spacing w:line="360" w:lineRule="auto"/>
      <w:jc w:val="center"/>
    </w:pPr>
    <w:rPr>
      <w:rFonts w:ascii="黑体" w:eastAsia="黑体" w:hAnsi="黑体"/>
      <w:sz w:val="20"/>
      <w:szCs w:val="20"/>
    </w:rPr>
  </w:style>
  <w:style w:type="paragraph" w:styleId="a8">
    <w:name w:val="annotation text"/>
    <w:basedOn w:val="a0"/>
    <w:link w:val="a9"/>
    <w:uiPriority w:val="99"/>
    <w:unhideWhenUsed/>
    <w:qFormat/>
    <w:rsid w:val="00B02C6E"/>
    <w:pPr>
      <w:spacing w:line="360" w:lineRule="auto"/>
      <w:ind w:firstLineChars="200" w:firstLine="200"/>
      <w:jc w:val="left"/>
    </w:pPr>
    <w:rPr>
      <w:rFonts w:ascii="Times New Roman" w:hAnsi="Times New Roman"/>
      <w:sz w:val="24"/>
      <w:szCs w:val="22"/>
    </w:rPr>
  </w:style>
  <w:style w:type="character" w:customStyle="1" w:styleId="a9">
    <w:name w:val="批注文字 字符"/>
    <w:basedOn w:val="a1"/>
    <w:link w:val="a8"/>
    <w:uiPriority w:val="99"/>
    <w:qFormat/>
    <w:rsid w:val="00B02C6E"/>
    <w:rPr>
      <w:rFonts w:ascii="Times New Roman" w:eastAsia="宋体" w:hAnsi="Times New Roman" w:cs="黑体"/>
      <w:sz w:val="24"/>
    </w:rPr>
  </w:style>
  <w:style w:type="paragraph" w:styleId="aa">
    <w:name w:val="Body Text"/>
    <w:basedOn w:val="a0"/>
    <w:next w:val="TOC2"/>
    <w:link w:val="ab"/>
    <w:uiPriority w:val="99"/>
    <w:qFormat/>
    <w:rsid w:val="00B02C6E"/>
    <w:pPr>
      <w:autoSpaceDE w:val="0"/>
      <w:autoSpaceDN w:val="0"/>
      <w:spacing w:line="360" w:lineRule="auto"/>
      <w:ind w:firstLineChars="200" w:firstLine="200"/>
      <w:jc w:val="left"/>
    </w:pPr>
    <w:rPr>
      <w:rFonts w:ascii="宋体" w:hAnsi="微软雅黑" w:cs="微软雅黑"/>
      <w:kern w:val="0"/>
      <w:sz w:val="24"/>
      <w:lang w:val="zh-CN" w:bidi="zh-CN"/>
    </w:rPr>
  </w:style>
  <w:style w:type="character" w:customStyle="1" w:styleId="ab">
    <w:name w:val="正文文本 字符"/>
    <w:basedOn w:val="a1"/>
    <w:link w:val="aa"/>
    <w:uiPriority w:val="99"/>
    <w:qFormat/>
    <w:rsid w:val="00B02C6E"/>
    <w:rPr>
      <w:rFonts w:ascii="宋体" w:eastAsia="宋体" w:hAnsi="微软雅黑" w:cs="微软雅黑"/>
      <w:kern w:val="0"/>
      <w:sz w:val="24"/>
      <w:szCs w:val="24"/>
      <w:lang w:val="zh-CN" w:bidi="zh-CN"/>
    </w:rPr>
  </w:style>
  <w:style w:type="paragraph" w:styleId="TOC2">
    <w:name w:val="toc 2"/>
    <w:basedOn w:val="a0"/>
    <w:next w:val="a0"/>
    <w:link w:val="TOC20"/>
    <w:uiPriority w:val="39"/>
    <w:unhideWhenUsed/>
    <w:qFormat/>
    <w:rsid w:val="00B02C6E"/>
    <w:pPr>
      <w:spacing w:line="360" w:lineRule="auto"/>
      <w:ind w:leftChars="100" w:left="100"/>
      <w:jc w:val="left"/>
    </w:pPr>
    <w:rPr>
      <w:rFonts w:cs="Calibri"/>
      <w:smallCaps/>
      <w:sz w:val="20"/>
      <w:szCs w:val="20"/>
    </w:rPr>
  </w:style>
  <w:style w:type="paragraph" w:styleId="ac">
    <w:name w:val="Body Text Indent"/>
    <w:basedOn w:val="a0"/>
    <w:link w:val="ad"/>
    <w:uiPriority w:val="99"/>
    <w:unhideWhenUsed/>
    <w:qFormat/>
    <w:rsid w:val="00B02C6E"/>
    <w:pPr>
      <w:adjustRightInd w:val="0"/>
      <w:spacing w:after="120" w:line="400" w:lineRule="exact"/>
      <w:ind w:leftChars="200" w:left="420" w:firstLineChars="200" w:firstLine="200"/>
    </w:pPr>
    <w:rPr>
      <w:rFonts w:ascii="Times New Roman" w:eastAsia="仿宋_GB2312" w:hAnsi="Times New Roman"/>
      <w:sz w:val="24"/>
      <w:szCs w:val="22"/>
    </w:rPr>
  </w:style>
  <w:style w:type="character" w:customStyle="1" w:styleId="ad">
    <w:name w:val="正文文本缩进 字符"/>
    <w:basedOn w:val="a1"/>
    <w:link w:val="ac"/>
    <w:uiPriority w:val="99"/>
    <w:qFormat/>
    <w:rsid w:val="00B02C6E"/>
    <w:rPr>
      <w:rFonts w:ascii="Times New Roman" w:eastAsia="仿宋_GB2312" w:hAnsi="Times New Roman" w:cs="黑体"/>
      <w:sz w:val="24"/>
    </w:rPr>
  </w:style>
  <w:style w:type="paragraph" w:styleId="TOC5">
    <w:name w:val="toc 5"/>
    <w:basedOn w:val="a0"/>
    <w:next w:val="a0"/>
    <w:uiPriority w:val="39"/>
    <w:unhideWhenUsed/>
    <w:qFormat/>
    <w:rsid w:val="00B02C6E"/>
    <w:pPr>
      <w:adjustRightInd w:val="0"/>
      <w:spacing w:line="400" w:lineRule="exact"/>
      <w:ind w:leftChars="400" w:left="400"/>
      <w:jc w:val="left"/>
    </w:pPr>
    <w:rPr>
      <w:rFonts w:eastAsia="仿宋_GB2312" w:cs="Calibri"/>
      <w:sz w:val="18"/>
      <w:szCs w:val="18"/>
    </w:rPr>
  </w:style>
  <w:style w:type="paragraph" w:styleId="TOC3">
    <w:name w:val="toc 3"/>
    <w:basedOn w:val="a0"/>
    <w:next w:val="a0"/>
    <w:uiPriority w:val="39"/>
    <w:unhideWhenUsed/>
    <w:qFormat/>
    <w:rsid w:val="00B02C6E"/>
    <w:pPr>
      <w:adjustRightInd w:val="0"/>
      <w:spacing w:line="400" w:lineRule="exact"/>
      <w:ind w:leftChars="200" w:left="200"/>
      <w:jc w:val="left"/>
    </w:pPr>
    <w:rPr>
      <w:rFonts w:eastAsia="仿宋_GB2312" w:cs="Calibri"/>
      <w:i/>
      <w:iCs/>
      <w:sz w:val="20"/>
      <w:szCs w:val="20"/>
    </w:rPr>
  </w:style>
  <w:style w:type="paragraph" w:styleId="TOC8">
    <w:name w:val="toc 8"/>
    <w:basedOn w:val="a0"/>
    <w:next w:val="a0"/>
    <w:uiPriority w:val="39"/>
    <w:unhideWhenUsed/>
    <w:qFormat/>
    <w:rsid w:val="00B02C6E"/>
    <w:pPr>
      <w:adjustRightInd w:val="0"/>
      <w:spacing w:line="400" w:lineRule="exact"/>
      <w:ind w:left="1680" w:firstLineChars="200" w:firstLine="200"/>
      <w:jc w:val="left"/>
    </w:pPr>
    <w:rPr>
      <w:rFonts w:eastAsia="仿宋_GB2312" w:cs="Calibri"/>
      <w:sz w:val="18"/>
      <w:szCs w:val="18"/>
    </w:rPr>
  </w:style>
  <w:style w:type="paragraph" w:styleId="51">
    <w:name w:val="List Continue 5"/>
    <w:basedOn w:val="a0"/>
    <w:uiPriority w:val="99"/>
    <w:unhideWhenUsed/>
    <w:qFormat/>
    <w:rsid w:val="00B02C6E"/>
    <w:pPr>
      <w:adjustRightInd w:val="0"/>
      <w:spacing w:after="120" w:line="400" w:lineRule="exact"/>
      <w:ind w:leftChars="1000" w:left="2100" w:firstLineChars="200" w:firstLine="200"/>
      <w:contextualSpacing/>
    </w:pPr>
    <w:rPr>
      <w:rFonts w:ascii="Times New Roman" w:eastAsia="仿宋_GB2312" w:hAnsi="Times New Roman"/>
      <w:sz w:val="24"/>
      <w:szCs w:val="22"/>
    </w:rPr>
  </w:style>
  <w:style w:type="paragraph" w:styleId="ae">
    <w:name w:val="Balloon Text"/>
    <w:basedOn w:val="a0"/>
    <w:link w:val="af"/>
    <w:uiPriority w:val="99"/>
    <w:unhideWhenUsed/>
    <w:qFormat/>
    <w:rsid w:val="00B02C6E"/>
    <w:pPr>
      <w:spacing w:line="360" w:lineRule="auto"/>
      <w:ind w:firstLineChars="200" w:firstLine="200"/>
    </w:pPr>
    <w:rPr>
      <w:rFonts w:ascii="Times New Roman" w:hAnsi="Times New Roman"/>
      <w:sz w:val="18"/>
      <w:szCs w:val="18"/>
    </w:rPr>
  </w:style>
  <w:style w:type="character" w:customStyle="1" w:styleId="af">
    <w:name w:val="批注框文本 字符"/>
    <w:basedOn w:val="a1"/>
    <w:link w:val="ae"/>
    <w:uiPriority w:val="99"/>
    <w:qFormat/>
    <w:rsid w:val="00B02C6E"/>
    <w:rPr>
      <w:rFonts w:ascii="Times New Roman" w:eastAsia="宋体" w:hAnsi="Times New Roman" w:cs="黑体"/>
      <w:sz w:val="18"/>
      <w:szCs w:val="18"/>
    </w:rPr>
  </w:style>
  <w:style w:type="paragraph" w:styleId="af0">
    <w:name w:val="footer"/>
    <w:basedOn w:val="a0"/>
    <w:link w:val="af1"/>
    <w:uiPriority w:val="99"/>
    <w:qFormat/>
    <w:rsid w:val="00B02C6E"/>
    <w:pPr>
      <w:tabs>
        <w:tab w:val="center" w:pos="4153"/>
        <w:tab w:val="right" w:pos="8306"/>
      </w:tabs>
      <w:snapToGrid w:val="0"/>
      <w:jc w:val="left"/>
    </w:pPr>
    <w:rPr>
      <w:sz w:val="18"/>
      <w:szCs w:val="18"/>
    </w:rPr>
  </w:style>
  <w:style w:type="character" w:customStyle="1" w:styleId="af1">
    <w:name w:val="页脚 字符"/>
    <w:basedOn w:val="a1"/>
    <w:link w:val="af0"/>
    <w:uiPriority w:val="99"/>
    <w:qFormat/>
    <w:rsid w:val="00B02C6E"/>
    <w:rPr>
      <w:rFonts w:ascii="Calibri" w:eastAsia="宋体" w:hAnsi="Calibri" w:cs="黑体"/>
      <w:sz w:val="18"/>
      <w:szCs w:val="18"/>
    </w:rPr>
  </w:style>
  <w:style w:type="paragraph" w:styleId="af2">
    <w:name w:val="header"/>
    <w:basedOn w:val="a0"/>
    <w:link w:val="af3"/>
    <w:uiPriority w:val="99"/>
    <w:qFormat/>
    <w:rsid w:val="00B02C6E"/>
    <w:pPr>
      <w:tabs>
        <w:tab w:val="center" w:pos="4153"/>
        <w:tab w:val="right" w:pos="8306"/>
      </w:tabs>
      <w:snapToGrid w:val="0"/>
      <w:jc w:val="center"/>
    </w:pPr>
    <w:rPr>
      <w:sz w:val="18"/>
      <w:szCs w:val="18"/>
    </w:rPr>
  </w:style>
  <w:style w:type="character" w:customStyle="1" w:styleId="af3">
    <w:name w:val="页眉 字符"/>
    <w:basedOn w:val="a1"/>
    <w:link w:val="af2"/>
    <w:uiPriority w:val="99"/>
    <w:qFormat/>
    <w:rsid w:val="00B02C6E"/>
    <w:rPr>
      <w:rFonts w:ascii="Calibri" w:eastAsia="宋体" w:hAnsi="Calibri" w:cs="黑体"/>
      <w:sz w:val="18"/>
      <w:szCs w:val="18"/>
    </w:rPr>
  </w:style>
  <w:style w:type="paragraph" w:styleId="TOC1">
    <w:name w:val="toc 1"/>
    <w:basedOn w:val="a0"/>
    <w:next w:val="a0"/>
    <w:uiPriority w:val="39"/>
    <w:unhideWhenUsed/>
    <w:qFormat/>
    <w:rsid w:val="00B02C6E"/>
    <w:pPr>
      <w:adjustRightInd w:val="0"/>
      <w:spacing w:line="400" w:lineRule="exact"/>
      <w:jc w:val="left"/>
    </w:pPr>
    <w:rPr>
      <w:rFonts w:eastAsia="仿宋_GB2312" w:cs="Calibri"/>
      <w:b/>
      <w:bCs/>
      <w:caps/>
      <w:sz w:val="20"/>
      <w:szCs w:val="20"/>
    </w:rPr>
  </w:style>
  <w:style w:type="paragraph" w:styleId="TOC4">
    <w:name w:val="toc 4"/>
    <w:basedOn w:val="a0"/>
    <w:next w:val="a0"/>
    <w:uiPriority w:val="39"/>
    <w:unhideWhenUsed/>
    <w:qFormat/>
    <w:rsid w:val="00B02C6E"/>
    <w:pPr>
      <w:adjustRightInd w:val="0"/>
      <w:spacing w:line="400" w:lineRule="exact"/>
      <w:ind w:leftChars="300" w:left="300"/>
      <w:jc w:val="left"/>
    </w:pPr>
    <w:rPr>
      <w:rFonts w:eastAsia="仿宋_GB2312" w:cs="Calibri"/>
      <w:sz w:val="18"/>
      <w:szCs w:val="18"/>
    </w:rPr>
  </w:style>
  <w:style w:type="paragraph" w:styleId="52">
    <w:name w:val="List Number 5"/>
    <w:basedOn w:val="a0"/>
    <w:next w:val="a0"/>
    <w:qFormat/>
    <w:rsid w:val="00B02C6E"/>
    <w:pPr>
      <w:tabs>
        <w:tab w:val="left" w:pos="360"/>
        <w:tab w:val="left" w:pos="2040"/>
      </w:tabs>
      <w:spacing w:line="400" w:lineRule="exact"/>
      <w:jc w:val="center"/>
    </w:pPr>
    <w:rPr>
      <w:rFonts w:ascii="Times New Roman" w:eastAsia="仿宋_GB2312" w:hAnsi="Times New Roman" w:cs="Times New Roman"/>
      <w:sz w:val="24"/>
      <w:szCs w:val="20"/>
    </w:rPr>
  </w:style>
  <w:style w:type="paragraph" w:styleId="TOC6">
    <w:name w:val="toc 6"/>
    <w:basedOn w:val="a0"/>
    <w:next w:val="a0"/>
    <w:uiPriority w:val="39"/>
    <w:unhideWhenUsed/>
    <w:qFormat/>
    <w:rsid w:val="00B02C6E"/>
    <w:pPr>
      <w:adjustRightInd w:val="0"/>
      <w:spacing w:line="400" w:lineRule="exact"/>
      <w:ind w:left="1200" w:firstLineChars="200" w:firstLine="200"/>
      <w:jc w:val="left"/>
    </w:pPr>
    <w:rPr>
      <w:rFonts w:eastAsia="仿宋_GB2312" w:cs="Calibri"/>
      <w:sz w:val="18"/>
      <w:szCs w:val="18"/>
    </w:rPr>
  </w:style>
  <w:style w:type="paragraph" w:styleId="TOC9">
    <w:name w:val="toc 9"/>
    <w:basedOn w:val="a0"/>
    <w:next w:val="a0"/>
    <w:uiPriority w:val="39"/>
    <w:unhideWhenUsed/>
    <w:qFormat/>
    <w:rsid w:val="00B02C6E"/>
    <w:pPr>
      <w:adjustRightInd w:val="0"/>
      <w:spacing w:line="400" w:lineRule="exact"/>
      <w:ind w:left="1920" w:firstLineChars="200" w:firstLine="200"/>
      <w:jc w:val="left"/>
    </w:pPr>
    <w:rPr>
      <w:rFonts w:eastAsia="仿宋_GB2312" w:cs="Calibri"/>
      <w:sz w:val="18"/>
      <w:szCs w:val="18"/>
    </w:rPr>
  </w:style>
  <w:style w:type="paragraph" w:styleId="af4">
    <w:name w:val="Normal (Web)"/>
    <w:basedOn w:val="a0"/>
    <w:uiPriority w:val="99"/>
    <w:unhideWhenUsed/>
    <w:qFormat/>
    <w:rsid w:val="00B02C6E"/>
    <w:pPr>
      <w:spacing w:line="360" w:lineRule="auto"/>
      <w:ind w:firstLineChars="200" w:firstLine="200"/>
    </w:pPr>
    <w:rPr>
      <w:rFonts w:ascii="Times New Roman" w:hAnsi="Times New Roman"/>
      <w:sz w:val="24"/>
      <w:szCs w:val="22"/>
    </w:rPr>
  </w:style>
  <w:style w:type="paragraph" w:styleId="af5">
    <w:name w:val="Title"/>
    <w:basedOn w:val="a0"/>
    <w:next w:val="a0"/>
    <w:link w:val="af6"/>
    <w:uiPriority w:val="10"/>
    <w:qFormat/>
    <w:rsid w:val="00B02C6E"/>
    <w:pPr>
      <w:adjustRightInd w:val="0"/>
      <w:spacing w:before="240" w:after="60" w:line="400" w:lineRule="exact"/>
      <w:ind w:firstLineChars="200" w:firstLine="200"/>
      <w:jc w:val="center"/>
      <w:outlineLvl w:val="0"/>
    </w:pPr>
    <w:rPr>
      <w:rFonts w:ascii="Calibri Light" w:hAnsi="Calibri Light"/>
      <w:b/>
      <w:bCs/>
      <w:sz w:val="32"/>
      <w:szCs w:val="32"/>
    </w:rPr>
  </w:style>
  <w:style w:type="character" w:customStyle="1" w:styleId="af6">
    <w:name w:val="标题 字符"/>
    <w:basedOn w:val="a1"/>
    <w:link w:val="af5"/>
    <w:uiPriority w:val="10"/>
    <w:qFormat/>
    <w:rsid w:val="00B02C6E"/>
    <w:rPr>
      <w:rFonts w:ascii="Calibri Light" w:eastAsia="宋体" w:hAnsi="Calibri Light" w:cs="黑体"/>
      <w:b/>
      <w:bCs/>
      <w:sz w:val="32"/>
      <w:szCs w:val="32"/>
    </w:rPr>
  </w:style>
  <w:style w:type="paragraph" w:styleId="af7">
    <w:name w:val="annotation subject"/>
    <w:basedOn w:val="a8"/>
    <w:next w:val="a8"/>
    <w:link w:val="af8"/>
    <w:uiPriority w:val="99"/>
    <w:unhideWhenUsed/>
    <w:qFormat/>
    <w:rsid w:val="00B02C6E"/>
    <w:rPr>
      <w:b/>
      <w:bCs/>
    </w:rPr>
  </w:style>
  <w:style w:type="character" w:customStyle="1" w:styleId="af8">
    <w:name w:val="批注主题 字符"/>
    <w:basedOn w:val="a9"/>
    <w:link w:val="af7"/>
    <w:uiPriority w:val="99"/>
    <w:qFormat/>
    <w:rsid w:val="00B02C6E"/>
    <w:rPr>
      <w:rFonts w:ascii="Times New Roman" w:eastAsia="宋体" w:hAnsi="Times New Roman" w:cs="黑体"/>
      <w:b/>
      <w:bCs/>
      <w:sz w:val="24"/>
    </w:rPr>
  </w:style>
  <w:style w:type="paragraph" w:styleId="af9">
    <w:name w:val="Body Text First Indent"/>
    <w:basedOn w:val="aa"/>
    <w:link w:val="afa"/>
    <w:uiPriority w:val="99"/>
    <w:unhideWhenUsed/>
    <w:qFormat/>
    <w:rsid w:val="00B02C6E"/>
  </w:style>
  <w:style w:type="character" w:customStyle="1" w:styleId="afa">
    <w:name w:val="正文文本首行缩进 字符"/>
    <w:basedOn w:val="ab"/>
    <w:link w:val="af9"/>
    <w:uiPriority w:val="99"/>
    <w:qFormat/>
    <w:rsid w:val="00B02C6E"/>
    <w:rPr>
      <w:rFonts w:ascii="宋体" w:eastAsia="宋体" w:hAnsi="微软雅黑" w:cs="微软雅黑"/>
      <w:kern w:val="0"/>
      <w:sz w:val="24"/>
      <w:szCs w:val="24"/>
      <w:lang w:val="zh-CN" w:bidi="zh-CN"/>
    </w:rPr>
  </w:style>
  <w:style w:type="paragraph" w:styleId="21">
    <w:name w:val="Body Text First Indent 2"/>
    <w:basedOn w:val="ac"/>
    <w:link w:val="22"/>
    <w:unhideWhenUsed/>
    <w:qFormat/>
    <w:rsid w:val="00B02C6E"/>
    <w:pPr>
      <w:widowControl/>
      <w:adjustRightInd/>
      <w:spacing w:line="360" w:lineRule="auto"/>
      <w:ind w:firstLine="420"/>
      <w:jc w:val="left"/>
    </w:pPr>
    <w:rPr>
      <w:rFonts w:eastAsia="宋体" w:cs="Times New Roman"/>
      <w:kern w:val="0"/>
      <w:szCs w:val="24"/>
    </w:rPr>
  </w:style>
  <w:style w:type="character" w:customStyle="1" w:styleId="22">
    <w:name w:val="正文文本首行缩进 2 字符"/>
    <w:basedOn w:val="ad"/>
    <w:link w:val="21"/>
    <w:qFormat/>
    <w:rsid w:val="00B02C6E"/>
    <w:rPr>
      <w:rFonts w:ascii="Times New Roman" w:eastAsia="宋体" w:hAnsi="Times New Roman" w:cs="Times New Roman"/>
      <w:kern w:val="0"/>
      <w:sz w:val="24"/>
      <w:szCs w:val="24"/>
    </w:rPr>
  </w:style>
  <w:style w:type="table" w:styleId="afb">
    <w:name w:val="Table Grid"/>
    <w:basedOn w:val="a2"/>
    <w:uiPriority w:val="39"/>
    <w:qFormat/>
    <w:rsid w:val="00B02C6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sid w:val="00B02C6E"/>
    <w:rPr>
      <w:b/>
      <w:bCs/>
    </w:rPr>
  </w:style>
  <w:style w:type="character" w:styleId="afd">
    <w:name w:val="FollowedHyperlink"/>
    <w:basedOn w:val="a1"/>
    <w:uiPriority w:val="99"/>
    <w:unhideWhenUsed/>
    <w:qFormat/>
    <w:rsid w:val="00B02C6E"/>
    <w:rPr>
      <w:color w:val="800080"/>
      <w:u w:val="single"/>
    </w:rPr>
  </w:style>
  <w:style w:type="character" w:styleId="afe">
    <w:name w:val="Hyperlink"/>
    <w:uiPriority w:val="99"/>
    <w:unhideWhenUsed/>
    <w:qFormat/>
    <w:rsid w:val="00B02C6E"/>
    <w:rPr>
      <w:color w:val="0563C1"/>
      <w:u w:val="single"/>
    </w:rPr>
  </w:style>
  <w:style w:type="character" w:styleId="aff">
    <w:name w:val="annotation reference"/>
    <w:basedOn w:val="a1"/>
    <w:uiPriority w:val="99"/>
    <w:unhideWhenUsed/>
    <w:qFormat/>
    <w:rsid w:val="00B02C6E"/>
    <w:rPr>
      <w:sz w:val="21"/>
      <w:szCs w:val="21"/>
    </w:rPr>
  </w:style>
  <w:style w:type="paragraph" w:customStyle="1" w:styleId="aff0">
    <w:name w:val="文档正文"/>
    <w:basedOn w:val="a0"/>
    <w:qFormat/>
    <w:rsid w:val="00B02C6E"/>
    <w:pPr>
      <w:spacing w:line="360" w:lineRule="auto"/>
      <w:ind w:firstLineChars="200" w:firstLine="200"/>
    </w:pPr>
    <w:rPr>
      <w:rFonts w:ascii="Times New Roman" w:hAnsi="Times New Roman"/>
      <w:sz w:val="24"/>
      <w:szCs w:val="22"/>
    </w:rPr>
  </w:style>
  <w:style w:type="paragraph" w:customStyle="1" w:styleId="a">
    <w:name w:val="图"/>
    <w:basedOn w:val="a0"/>
    <w:next w:val="aff0"/>
    <w:qFormat/>
    <w:rsid w:val="00B02C6E"/>
    <w:pPr>
      <w:numPr>
        <w:numId w:val="2"/>
      </w:numPr>
      <w:adjustRightInd w:val="0"/>
      <w:spacing w:line="400" w:lineRule="exact"/>
      <w:ind w:left="0" w:firstLineChars="200" w:firstLine="0"/>
      <w:jc w:val="center"/>
    </w:pPr>
    <w:rPr>
      <w:rFonts w:ascii="Times New Roman" w:eastAsia="黑体" w:hAnsi="Times New Roman"/>
      <w:b/>
      <w:sz w:val="24"/>
      <w:szCs w:val="22"/>
    </w:rPr>
  </w:style>
  <w:style w:type="paragraph" w:customStyle="1" w:styleId="aff1">
    <w:name w:val="表格文字"/>
    <w:basedOn w:val="a0"/>
    <w:qFormat/>
    <w:rsid w:val="00B02C6E"/>
    <w:pPr>
      <w:autoSpaceDE w:val="0"/>
      <w:snapToGrid w:val="0"/>
      <w:spacing w:beforeLines="25" w:before="25" w:afterLines="25" w:after="25"/>
      <w:ind w:firstLineChars="200" w:firstLine="200"/>
    </w:pPr>
    <w:rPr>
      <w:rFonts w:ascii="宋体" w:hAnsi="宋体" w:cs="宋体"/>
      <w:snapToGrid w:val="0"/>
      <w:spacing w:val="10"/>
    </w:rPr>
  </w:style>
  <w:style w:type="paragraph" w:customStyle="1" w:styleId="11">
    <w:name w:val="列表段落1"/>
    <w:basedOn w:val="a0"/>
    <w:link w:val="aff2"/>
    <w:uiPriority w:val="34"/>
    <w:qFormat/>
    <w:rsid w:val="00B02C6E"/>
    <w:pPr>
      <w:spacing w:line="360" w:lineRule="auto"/>
      <w:ind w:firstLineChars="200" w:firstLine="420"/>
    </w:pPr>
    <w:rPr>
      <w:rFonts w:ascii="Times New Roman" w:hAnsi="Times New Roman"/>
      <w:sz w:val="24"/>
      <w:szCs w:val="22"/>
    </w:rPr>
  </w:style>
  <w:style w:type="paragraph" w:customStyle="1" w:styleId="null3">
    <w:name w:val="null3"/>
    <w:hidden/>
    <w:qFormat/>
    <w:rsid w:val="00B02C6E"/>
    <w:rPr>
      <w:rFonts w:ascii="Calibri" w:eastAsia="宋体" w:hAnsi="Calibri" w:cs="黑体" w:hint="eastAsia"/>
      <w:kern w:val="0"/>
      <w:sz w:val="20"/>
      <w:szCs w:val="20"/>
    </w:rPr>
  </w:style>
  <w:style w:type="paragraph" w:customStyle="1" w:styleId="12">
    <w:name w:val="无间隔1"/>
    <w:link w:val="aff3"/>
    <w:uiPriority w:val="1"/>
    <w:qFormat/>
    <w:rsid w:val="00B02C6E"/>
    <w:pPr>
      <w:widowControl w:val="0"/>
      <w:ind w:firstLineChars="200" w:firstLine="200"/>
      <w:jc w:val="both"/>
    </w:pPr>
    <w:rPr>
      <w:rFonts w:ascii="Times New Roman" w:eastAsia="宋体" w:hAnsi="Times New Roman" w:cs="黑体"/>
      <w:sz w:val="24"/>
    </w:rPr>
  </w:style>
  <w:style w:type="paragraph" w:customStyle="1" w:styleId="aff4">
    <w:name w:val="高发正文"/>
    <w:basedOn w:val="a0"/>
    <w:link w:val="aff5"/>
    <w:qFormat/>
    <w:rsid w:val="00B02C6E"/>
    <w:pPr>
      <w:widowControl/>
      <w:adjustRightInd w:val="0"/>
      <w:snapToGrid w:val="0"/>
      <w:spacing w:line="360" w:lineRule="auto"/>
      <w:ind w:firstLineChars="200" w:firstLine="200"/>
    </w:pPr>
    <w:rPr>
      <w:rFonts w:ascii="宋体" w:hAnsi="宋体" w:cs="宋体"/>
      <w:color w:val="000000"/>
      <w:kern w:val="0"/>
      <w:sz w:val="24"/>
    </w:rPr>
  </w:style>
  <w:style w:type="paragraph" w:customStyle="1" w:styleId="aff6">
    <w:name w:val="方案正文"/>
    <w:basedOn w:val="a0"/>
    <w:link w:val="Char"/>
    <w:qFormat/>
    <w:rsid w:val="00B02C6E"/>
    <w:pPr>
      <w:widowControl/>
      <w:adjustRightInd w:val="0"/>
      <w:snapToGrid w:val="0"/>
      <w:spacing w:line="360" w:lineRule="auto"/>
      <w:ind w:firstLineChars="200" w:firstLine="480"/>
    </w:pPr>
    <w:rPr>
      <w:rFonts w:ascii="宋体" w:hAnsi="宋体" w:cs="Times New Roman"/>
      <w:color w:val="000000"/>
      <w:kern w:val="0"/>
      <w:sz w:val="24"/>
    </w:rPr>
  </w:style>
  <w:style w:type="paragraph" w:customStyle="1" w:styleId="TableParagraph">
    <w:name w:val="Table Paragraph"/>
    <w:basedOn w:val="a0"/>
    <w:uiPriority w:val="1"/>
    <w:qFormat/>
    <w:rsid w:val="00B02C6E"/>
    <w:pPr>
      <w:autoSpaceDE w:val="0"/>
      <w:autoSpaceDN w:val="0"/>
      <w:jc w:val="left"/>
    </w:pPr>
    <w:rPr>
      <w:rFonts w:ascii="宋体" w:hAnsi="宋体" w:cs="宋体"/>
      <w:kern w:val="0"/>
      <w:sz w:val="22"/>
      <w:szCs w:val="22"/>
      <w:lang w:val="zh-CN" w:bidi="zh-CN"/>
    </w:rPr>
  </w:style>
  <w:style w:type="paragraph" w:customStyle="1" w:styleId="New">
    <w:name w:val="正文 New"/>
    <w:qFormat/>
    <w:rsid w:val="00B02C6E"/>
    <w:pPr>
      <w:widowControl w:val="0"/>
      <w:jc w:val="both"/>
    </w:pPr>
    <w:rPr>
      <w:rFonts w:ascii="Times New Roman" w:eastAsia="宋体" w:hAnsi="Times New Roman" w:cs="Times New Roman"/>
      <w:szCs w:val="24"/>
    </w:rPr>
  </w:style>
  <w:style w:type="paragraph" w:customStyle="1" w:styleId="0">
    <w:name w:val="0段落文字"/>
    <w:basedOn w:val="a0"/>
    <w:link w:val="0Char"/>
    <w:qFormat/>
    <w:rsid w:val="00B02C6E"/>
    <w:pPr>
      <w:spacing w:line="360" w:lineRule="auto"/>
      <w:ind w:firstLineChars="200" w:firstLine="480"/>
    </w:pPr>
    <w:rPr>
      <w:rFonts w:ascii="Times New Roman" w:hAnsi="Times New Roman" w:cs="Times New Roman"/>
      <w:sz w:val="24"/>
      <w:szCs w:val="21"/>
    </w:rPr>
  </w:style>
  <w:style w:type="paragraph" w:customStyle="1" w:styleId="00">
    <w:name w:val="0图序"/>
    <w:basedOn w:val="a0"/>
    <w:next w:val="a0"/>
    <w:qFormat/>
    <w:rsid w:val="00B02C6E"/>
    <w:pPr>
      <w:snapToGrid w:val="0"/>
      <w:spacing w:line="360" w:lineRule="auto"/>
      <w:jc w:val="center"/>
    </w:pPr>
    <w:rPr>
      <w:rFonts w:ascii="Times New Roman" w:hAnsi="Times New Roman" w:cs="Times New Roman"/>
      <w:sz w:val="24"/>
      <w:szCs w:val="21"/>
    </w:rPr>
  </w:style>
  <w:style w:type="paragraph" w:customStyle="1" w:styleId="01">
    <w:name w:val="0表序"/>
    <w:basedOn w:val="a0"/>
    <w:qFormat/>
    <w:rsid w:val="00B02C6E"/>
    <w:pPr>
      <w:snapToGrid w:val="0"/>
      <w:spacing w:line="360" w:lineRule="auto"/>
      <w:jc w:val="center"/>
    </w:pPr>
    <w:rPr>
      <w:rFonts w:ascii="Times New Roman" w:hAnsi="Times New Roman" w:cs="Times New Roman"/>
      <w:sz w:val="24"/>
      <w:szCs w:val="21"/>
    </w:rPr>
  </w:style>
  <w:style w:type="paragraph" w:customStyle="1" w:styleId="02">
    <w:name w:val="0表格标题"/>
    <w:basedOn w:val="a0"/>
    <w:qFormat/>
    <w:rsid w:val="00B02C6E"/>
    <w:pPr>
      <w:spacing w:line="360" w:lineRule="auto"/>
      <w:jc w:val="center"/>
    </w:pPr>
    <w:rPr>
      <w:rFonts w:ascii="Times New Roman" w:hAnsi="Times New Roman" w:cs="Times New Roman"/>
      <w:b/>
      <w:sz w:val="24"/>
      <w:szCs w:val="21"/>
    </w:rPr>
  </w:style>
  <w:style w:type="paragraph" w:customStyle="1" w:styleId="13">
    <w:name w:val="表格正文1"/>
    <w:basedOn w:val="a0"/>
    <w:qFormat/>
    <w:rsid w:val="00B02C6E"/>
    <w:pPr>
      <w:spacing w:line="360" w:lineRule="auto"/>
    </w:pPr>
    <w:rPr>
      <w:rFonts w:ascii="Times New Roman" w:hAnsi="Times New Roman" w:cs="宋体"/>
      <w:kern w:val="0"/>
    </w:rPr>
  </w:style>
  <w:style w:type="paragraph" w:customStyle="1" w:styleId="aff7">
    <w:name w:val="表序"/>
    <w:basedOn w:val="a0"/>
    <w:next w:val="13"/>
    <w:qFormat/>
    <w:rsid w:val="00B02C6E"/>
    <w:pPr>
      <w:spacing w:line="360" w:lineRule="auto"/>
      <w:jc w:val="center"/>
    </w:pPr>
    <w:rPr>
      <w:rFonts w:ascii="Times New Roman" w:hAnsi="Times New Roman" w:cs="Times New Roman"/>
      <w:b/>
      <w:bCs/>
      <w:szCs w:val="21"/>
    </w:rPr>
  </w:style>
  <w:style w:type="paragraph" w:customStyle="1" w:styleId="aff8">
    <w:name w:val="正文格式"/>
    <w:basedOn w:val="a0"/>
    <w:qFormat/>
    <w:rsid w:val="00B02C6E"/>
    <w:pPr>
      <w:spacing w:beforeLines="50" w:afterLines="50" w:line="400" w:lineRule="atLeast"/>
      <w:ind w:firstLineChars="200" w:firstLine="560"/>
    </w:pPr>
    <w:rPr>
      <w:rFonts w:ascii="Times New Roman" w:hAnsi="Times New Roman"/>
      <w:sz w:val="24"/>
    </w:rPr>
  </w:style>
  <w:style w:type="paragraph" w:customStyle="1" w:styleId="03">
    <w:name w:val="正文_0"/>
    <w:qFormat/>
    <w:rsid w:val="00B02C6E"/>
    <w:pPr>
      <w:widowControl w:val="0"/>
      <w:jc w:val="both"/>
    </w:pPr>
    <w:rPr>
      <w:rFonts w:ascii="Calibri" w:eastAsia="宋体" w:hAnsi="Calibri" w:cs="Times New Roman"/>
    </w:rPr>
  </w:style>
  <w:style w:type="paragraph" w:customStyle="1" w:styleId="TOC10">
    <w:name w:val="TOC 标题1"/>
    <w:basedOn w:val="1"/>
    <w:next w:val="a0"/>
    <w:uiPriority w:val="39"/>
    <w:unhideWhenUsed/>
    <w:qFormat/>
    <w:rsid w:val="00B02C6E"/>
    <w:pPr>
      <w:widowControl/>
      <w:numPr>
        <w:numId w:val="0"/>
      </w:numPr>
      <w:spacing w:before="240" w:line="259" w:lineRule="auto"/>
      <w:outlineLvl w:val="9"/>
    </w:pPr>
    <w:rPr>
      <w:rFonts w:ascii="Calibri Light" w:eastAsia="宋体" w:hAnsi="Calibri Light"/>
      <w:b/>
      <w:bCs w:val="0"/>
      <w:color w:val="2D73B3"/>
      <w:kern w:val="0"/>
      <w:szCs w:val="32"/>
    </w:rPr>
  </w:style>
  <w:style w:type="paragraph" w:customStyle="1" w:styleId="aff9">
    <w:name w:val="表格正文"/>
    <w:basedOn w:val="a0"/>
    <w:qFormat/>
    <w:rsid w:val="00B02C6E"/>
    <w:pPr>
      <w:tabs>
        <w:tab w:val="left" w:pos="1418"/>
      </w:tabs>
      <w:adjustRightInd w:val="0"/>
      <w:spacing w:line="400" w:lineRule="exact"/>
    </w:pPr>
    <w:rPr>
      <w:rFonts w:ascii="Times New Roman" w:eastAsia="仿宋_GB2312" w:hAnsi="Times New Roman"/>
      <w:sz w:val="24"/>
      <w:szCs w:val="22"/>
    </w:rPr>
  </w:style>
  <w:style w:type="paragraph" w:customStyle="1" w:styleId="14">
    <w:name w:val="修订1"/>
    <w:hidden/>
    <w:uiPriority w:val="99"/>
    <w:qFormat/>
    <w:rsid w:val="00B02C6E"/>
    <w:rPr>
      <w:rFonts w:ascii="Times New Roman" w:eastAsia="仿宋_GB2312" w:hAnsi="Times New Roman" w:cs="黑体"/>
      <w:sz w:val="24"/>
    </w:rPr>
  </w:style>
  <w:style w:type="paragraph" w:customStyle="1" w:styleId="04">
    <w:name w:val="0表格样式"/>
    <w:basedOn w:val="a0"/>
    <w:qFormat/>
    <w:rsid w:val="00B02C6E"/>
    <w:pPr>
      <w:widowControl/>
      <w:spacing w:line="400" w:lineRule="exact"/>
      <w:jc w:val="left"/>
    </w:pPr>
    <w:rPr>
      <w:rFonts w:ascii="Times New Roman" w:eastAsia="仿宋_GB2312" w:hAnsi="Times New Roman" w:cs="Times New Roman"/>
      <w:kern w:val="0"/>
      <w:sz w:val="24"/>
      <w:szCs w:val="21"/>
    </w:rPr>
  </w:style>
  <w:style w:type="paragraph" w:customStyle="1" w:styleId="53">
    <w:name w:val="样式5"/>
    <w:basedOn w:val="a0"/>
    <w:next w:val="a0"/>
    <w:link w:val="5Char"/>
    <w:qFormat/>
    <w:rsid w:val="00B02C6E"/>
    <w:pPr>
      <w:tabs>
        <w:tab w:val="left" w:pos="360"/>
      </w:tabs>
      <w:spacing w:beforeLines="50" w:line="360" w:lineRule="auto"/>
      <w:ind w:left="425" w:hanging="425"/>
      <w:jc w:val="left"/>
      <w:outlineLvl w:val="4"/>
    </w:pPr>
    <w:rPr>
      <w:rFonts w:ascii="宋体" w:eastAsia="黑体" w:hAnsi="宋体"/>
      <w:b/>
      <w:kern w:val="0"/>
      <w:sz w:val="28"/>
      <w:szCs w:val="28"/>
    </w:rPr>
  </w:style>
  <w:style w:type="paragraph" w:customStyle="1" w:styleId="41">
    <w:name w:val="样式4"/>
    <w:basedOn w:val="a0"/>
    <w:next w:val="a0"/>
    <w:link w:val="4Char"/>
    <w:qFormat/>
    <w:rsid w:val="00B02C6E"/>
    <w:pPr>
      <w:tabs>
        <w:tab w:val="left" w:pos="360"/>
      </w:tabs>
      <w:spacing w:beforeLines="50" w:line="360" w:lineRule="auto"/>
      <w:ind w:left="425" w:hanging="425"/>
      <w:jc w:val="left"/>
      <w:outlineLvl w:val="3"/>
    </w:pPr>
    <w:rPr>
      <w:rFonts w:ascii="宋体" w:eastAsia="黑体" w:hAnsi="宋体"/>
      <w:b/>
      <w:kern w:val="0"/>
      <w:sz w:val="28"/>
      <w:szCs w:val="28"/>
    </w:rPr>
  </w:style>
  <w:style w:type="paragraph" w:customStyle="1" w:styleId="15">
    <w:name w:val="引用1"/>
    <w:basedOn w:val="a0"/>
    <w:next w:val="a0"/>
    <w:link w:val="affa"/>
    <w:uiPriority w:val="29"/>
    <w:qFormat/>
    <w:rsid w:val="00B02C6E"/>
    <w:pPr>
      <w:adjustRightInd w:val="0"/>
      <w:spacing w:before="200" w:after="160" w:line="400" w:lineRule="exact"/>
      <w:ind w:left="864" w:right="864" w:firstLineChars="200" w:firstLine="200"/>
      <w:jc w:val="center"/>
    </w:pPr>
    <w:rPr>
      <w:rFonts w:ascii="Times New Roman" w:eastAsia="仿宋_GB2312" w:hAnsi="Times New Roman"/>
      <w:i/>
      <w:iCs/>
      <w:color w:val="3F3F3F"/>
      <w:sz w:val="24"/>
      <w:szCs w:val="22"/>
    </w:rPr>
  </w:style>
  <w:style w:type="paragraph" w:customStyle="1" w:styleId="05">
    <w:name w:val="0表头样式"/>
    <w:basedOn w:val="04"/>
    <w:qFormat/>
    <w:locked/>
    <w:rsid w:val="00B02C6E"/>
    <w:pPr>
      <w:jc w:val="center"/>
    </w:pPr>
    <w:rPr>
      <w:b/>
    </w:rPr>
  </w:style>
  <w:style w:type="paragraph" w:customStyle="1" w:styleId="06">
    <w:name w:val="0图序、图名"/>
    <w:basedOn w:val="a0"/>
    <w:qFormat/>
    <w:locked/>
    <w:rsid w:val="00B02C6E"/>
    <w:pPr>
      <w:widowControl/>
      <w:spacing w:before="120" w:after="240" w:line="360" w:lineRule="auto"/>
      <w:jc w:val="center"/>
    </w:pPr>
    <w:rPr>
      <w:rFonts w:ascii="等线" w:hAnsi="等线" w:cs="Times New Roman"/>
      <w:kern w:val="0"/>
      <w:sz w:val="24"/>
      <w:szCs w:val="21"/>
    </w:rPr>
  </w:style>
  <w:style w:type="paragraph" w:customStyle="1" w:styleId="affb">
    <w:name w:val="封面项目名称"/>
    <w:basedOn w:val="a0"/>
    <w:link w:val="Char0"/>
    <w:qFormat/>
    <w:rsid w:val="00B02C6E"/>
    <w:pPr>
      <w:jc w:val="center"/>
    </w:pPr>
    <w:rPr>
      <w:rFonts w:ascii="仿宋_GB2312" w:eastAsia="方正小标宋_GBK"/>
      <w:kern w:val="0"/>
      <w:sz w:val="48"/>
      <w:szCs w:val="21"/>
    </w:rPr>
  </w:style>
  <w:style w:type="paragraph" w:customStyle="1" w:styleId="affc">
    <w:name w:val="*正文"/>
    <w:basedOn w:val="affd"/>
    <w:link w:val="Char1"/>
    <w:qFormat/>
    <w:rsid w:val="00B02C6E"/>
    <w:pPr>
      <w:widowControl w:val="0"/>
      <w:spacing w:line="360" w:lineRule="auto"/>
      <w:ind w:firstLine="480"/>
    </w:pPr>
    <w:rPr>
      <w:rFonts w:cs="Times New Roman"/>
      <w:kern w:val="2"/>
      <w:szCs w:val="24"/>
    </w:rPr>
  </w:style>
  <w:style w:type="paragraph" w:customStyle="1" w:styleId="affd">
    <w:name w:val="正文样式"/>
    <w:next w:val="a0"/>
    <w:qFormat/>
    <w:locked/>
    <w:rsid w:val="00B02C6E"/>
    <w:pPr>
      <w:spacing w:line="400" w:lineRule="exact"/>
      <w:ind w:firstLineChars="200" w:firstLine="200"/>
      <w:jc w:val="both"/>
    </w:pPr>
    <w:rPr>
      <w:rFonts w:ascii="Times New Roman" w:eastAsia="宋体" w:hAnsi="Times New Roman" w:cs="仿宋_GB2312"/>
      <w:kern w:val="0"/>
      <w:sz w:val="24"/>
      <w:szCs w:val="28"/>
    </w:rPr>
  </w:style>
  <w:style w:type="paragraph" w:customStyle="1" w:styleId="affe">
    <w:name w:val="封面项目方案"/>
    <w:basedOn w:val="a0"/>
    <w:qFormat/>
    <w:rsid w:val="00B02C6E"/>
    <w:pPr>
      <w:jc w:val="center"/>
    </w:pPr>
    <w:rPr>
      <w:rFonts w:ascii="仿宋_GB2312" w:eastAsia="黑体" w:hAnsi="Times New Roman" w:cs="Times New Roman"/>
      <w:sz w:val="72"/>
      <w:szCs w:val="21"/>
    </w:rPr>
  </w:style>
  <w:style w:type="paragraph" w:customStyle="1" w:styleId="afff">
    <w:name w:val="封面编制单位"/>
    <w:basedOn w:val="affe"/>
    <w:qFormat/>
    <w:rsid w:val="00B02C6E"/>
    <w:rPr>
      <w:sz w:val="32"/>
    </w:rPr>
  </w:style>
  <w:style w:type="paragraph" w:customStyle="1" w:styleId="afff0">
    <w:name w:val="封面编制日期"/>
    <w:basedOn w:val="a0"/>
    <w:qFormat/>
    <w:rsid w:val="00B02C6E"/>
    <w:pPr>
      <w:jc w:val="center"/>
    </w:pPr>
    <w:rPr>
      <w:rFonts w:ascii="仿宋_GB2312" w:eastAsia="仿宋_GB2312" w:hAnsi="仿宋_GB2312" w:cs="仿宋_GB2312"/>
      <w:sz w:val="32"/>
      <w:szCs w:val="21"/>
    </w:rPr>
  </w:style>
  <w:style w:type="paragraph" w:customStyle="1" w:styleId="07">
    <w:name w:val="0~投标正文"/>
    <w:basedOn w:val="a0"/>
    <w:unhideWhenUsed/>
    <w:qFormat/>
    <w:rsid w:val="00B02C6E"/>
    <w:pPr>
      <w:spacing w:line="400" w:lineRule="exact"/>
      <w:ind w:firstLineChars="200" w:firstLine="200"/>
    </w:pPr>
    <w:rPr>
      <w:rFonts w:ascii="仿宋_GB2312" w:eastAsia="仿宋_GB2312" w:hAnsi="Times New Roman" w:cs="Times New Roman"/>
      <w:sz w:val="28"/>
      <w:szCs w:val="21"/>
    </w:rPr>
  </w:style>
  <w:style w:type="paragraph" w:customStyle="1" w:styleId="afff1">
    <w:name w:val="段落正文"/>
    <w:basedOn w:val="a0"/>
    <w:next w:val="a0"/>
    <w:qFormat/>
    <w:rsid w:val="00B02C6E"/>
    <w:pPr>
      <w:spacing w:line="400" w:lineRule="exact"/>
      <w:ind w:firstLineChars="200" w:firstLine="200"/>
    </w:pPr>
    <w:rPr>
      <w:rFonts w:ascii="仿宋_GB2312" w:hAnsi="Times New Roman" w:cs="Times New Roman"/>
      <w:sz w:val="24"/>
      <w:szCs w:val="21"/>
    </w:rPr>
  </w:style>
  <w:style w:type="paragraph" w:customStyle="1" w:styleId="-">
    <w:name w:val="正文-方案"/>
    <w:basedOn w:val="a0"/>
    <w:qFormat/>
    <w:rsid w:val="00B02C6E"/>
    <w:pPr>
      <w:ind w:firstLineChars="200" w:firstLine="200"/>
    </w:pPr>
    <w:rPr>
      <w:rFonts w:ascii="仿宋_GB2312" w:eastAsia="仿宋_GB2312" w:hAnsi="Times New Roman"/>
      <w:sz w:val="28"/>
      <w:szCs w:val="21"/>
    </w:rPr>
  </w:style>
  <w:style w:type="paragraph" w:customStyle="1" w:styleId="110">
    <w:name w:val="列出段落11"/>
    <w:basedOn w:val="a0"/>
    <w:uiPriority w:val="34"/>
    <w:qFormat/>
    <w:rsid w:val="00B02C6E"/>
    <w:pPr>
      <w:ind w:firstLineChars="200" w:firstLine="420"/>
    </w:pPr>
    <w:rPr>
      <w:rFonts w:eastAsia="仿宋_GB2312" w:cs="Times New Roman"/>
      <w:szCs w:val="21"/>
    </w:rPr>
  </w:style>
  <w:style w:type="paragraph" w:customStyle="1" w:styleId="WPSOffice1">
    <w:name w:val="WPSOffice手动目录 1"/>
    <w:qFormat/>
    <w:rsid w:val="00B02C6E"/>
    <w:rPr>
      <w:rFonts w:ascii="Times New Roman" w:eastAsia="宋体" w:hAnsi="Times New Roman" w:cs="Times New Roman"/>
      <w:kern w:val="0"/>
      <w:sz w:val="20"/>
      <w:szCs w:val="20"/>
    </w:rPr>
  </w:style>
  <w:style w:type="paragraph" w:customStyle="1" w:styleId="WPSOffice2">
    <w:name w:val="WPSOffice手动目录 2"/>
    <w:qFormat/>
    <w:rsid w:val="00B02C6E"/>
    <w:pPr>
      <w:ind w:leftChars="200" w:left="200"/>
    </w:pPr>
    <w:rPr>
      <w:rFonts w:ascii="Times New Roman" w:eastAsia="宋体" w:hAnsi="Times New Roman" w:cs="Times New Roman"/>
      <w:kern w:val="0"/>
      <w:sz w:val="20"/>
      <w:szCs w:val="20"/>
    </w:rPr>
  </w:style>
  <w:style w:type="paragraph" w:customStyle="1" w:styleId="WPSOffice3">
    <w:name w:val="WPSOffice手动目录 3"/>
    <w:qFormat/>
    <w:rsid w:val="00B02C6E"/>
    <w:pPr>
      <w:ind w:leftChars="400" w:left="400"/>
    </w:pPr>
    <w:rPr>
      <w:rFonts w:ascii="Times New Roman" w:eastAsia="宋体" w:hAnsi="Times New Roman" w:cs="Times New Roman"/>
      <w:kern w:val="0"/>
      <w:sz w:val="20"/>
      <w:szCs w:val="20"/>
    </w:rPr>
  </w:style>
  <w:style w:type="paragraph" w:customStyle="1" w:styleId="afff2">
    <w:name w:val="图题注"/>
    <w:basedOn w:val="aff6"/>
    <w:next w:val="a0"/>
    <w:qFormat/>
    <w:rsid w:val="00B02C6E"/>
    <w:pPr>
      <w:widowControl w:val="0"/>
      <w:adjustRightInd/>
      <w:snapToGrid/>
      <w:spacing w:line="560" w:lineRule="exact"/>
      <w:ind w:firstLineChars="0" w:firstLine="0"/>
      <w:jc w:val="center"/>
    </w:pPr>
    <w:rPr>
      <w:rFonts w:ascii="黑体" w:eastAsia="黑体" w:hAnsi="黑体"/>
      <w:kern w:val="2"/>
      <w:sz w:val="21"/>
      <w:szCs w:val="21"/>
    </w:rPr>
  </w:style>
  <w:style w:type="paragraph" w:customStyle="1" w:styleId="TOC11">
    <w:name w:val="TOC 标题11"/>
    <w:basedOn w:val="1"/>
    <w:next w:val="a0"/>
    <w:uiPriority w:val="39"/>
    <w:unhideWhenUsed/>
    <w:qFormat/>
    <w:rsid w:val="00B02C6E"/>
    <w:pPr>
      <w:widowControl/>
      <w:numPr>
        <w:numId w:val="0"/>
      </w:numPr>
      <w:spacing w:before="240" w:line="259" w:lineRule="auto"/>
      <w:outlineLvl w:val="9"/>
    </w:pPr>
    <w:rPr>
      <w:rFonts w:ascii="Calibri Light" w:eastAsia="宋体" w:hAnsi="Calibri Light"/>
      <w:bCs w:val="0"/>
      <w:color w:val="2D73B3"/>
      <w:kern w:val="0"/>
      <w:szCs w:val="32"/>
    </w:rPr>
  </w:style>
  <w:style w:type="paragraph" w:customStyle="1" w:styleId="08">
    <w:name w:val="0表格内容"/>
    <w:basedOn w:val="a0"/>
    <w:qFormat/>
    <w:rsid w:val="00B02C6E"/>
    <w:pPr>
      <w:snapToGrid w:val="0"/>
      <w:spacing w:line="400" w:lineRule="exact"/>
      <w:ind w:firstLineChars="200" w:firstLine="420"/>
    </w:pPr>
    <w:rPr>
      <w:rFonts w:ascii="等线" w:eastAsia="仿宋_GB2312" w:hAnsi="等线" w:cs="Times New Roman"/>
      <w:sz w:val="24"/>
      <w:szCs w:val="21"/>
    </w:rPr>
  </w:style>
  <w:style w:type="paragraph" w:customStyle="1" w:styleId="09">
    <w:name w:val="0图片样式"/>
    <w:qFormat/>
    <w:rsid w:val="00B02C6E"/>
    <w:pPr>
      <w:jc w:val="center"/>
    </w:pPr>
    <w:rPr>
      <w:rFonts w:ascii="Calibri" w:eastAsia="宋体" w:hAnsi="Calibri" w:cs="仿宋_GB2312"/>
      <w:b/>
      <w:sz w:val="24"/>
      <w:szCs w:val="28"/>
    </w:rPr>
  </w:style>
  <w:style w:type="paragraph" w:customStyle="1" w:styleId="0a">
    <w:name w:val="0图序样式"/>
    <w:basedOn w:val="a0"/>
    <w:qFormat/>
    <w:rsid w:val="00B02C6E"/>
    <w:pPr>
      <w:snapToGrid w:val="0"/>
      <w:spacing w:before="120" w:after="240" w:line="400" w:lineRule="exact"/>
      <w:ind w:firstLineChars="200" w:firstLine="420"/>
      <w:jc w:val="center"/>
    </w:pPr>
    <w:rPr>
      <w:rFonts w:ascii="等线" w:eastAsia="仿宋_GB2312" w:hAnsi="等线" w:cs="Times New Roman"/>
      <w:sz w:val="24"/>
      <w:szCs w:val="21"/>
    </w:rPr>
  </w:style>
  <w:style w:type="paragraph" w:customStyle="1" w:styleId="111">
    <w:name w:val="列表段落11"/>
    <w:basedOn w:val="a0"/>
    <w:uiPriority w:val="34"/>
    <w:qFormat/>
    <w:rsid w:val="00B02C6E"/>
    <w:pPr>
      <w:snapToGrid w:val="0"/>
      <w:spacing w:line="480" w:lineRule="exact"/>
      <w:ind w:firstLineChars="200" w:firstLine="420"/>
    </w:pPr>
    <w:rPr>
      <w:rFonts w:ascii="Cambria" w:eastAsia="仿宋_GB2312" w:hAnsi="Cambria"/>
      <w:sz w:val="24"/>
      <w:szCs w:val="20"/>
    </w:rPr>
  </w:style>
  <w:style w:type="paragraph" w:customStyle="1" w:styleId="16">
    <w:name w:val="列出段落1"/>
    <w:basedOn w:val="a0"/>
    <w:link w:val="afff3"/>
    <w:uiPriority w:val="34"/>
    <w:qFormat/>
    <w:rsid w:val="00B02C6E"/>
    <w:pPr>
      <w:adjustRightInd w:val="0"/>
      <w:snapToGrid w:val="0"/>
      <w:spacing w:line="400" w:lineRule="exact"/>
      <w:ind w:firstLineChars="200" w:firstLine="200"/>
    </w:pPr>
    <w:rPr>
      <w:rFonts w:ascii="等线" w:eastAsia="仿宋_GB2312" w:hAnsi="等线"/>
      <w:sz w:val="24"/>
      <w:szCs w:val="22"/>
    </w:rPr>
  </w:style>
  <w:style w:type="paragraph" w:customStyle="1" w:styleId="afff4">
    <w:name w:val="图名图序"/>
    <w:basedOn w:val="a6"/>
    <w:qFormat/>
    <w:rsid w:val="00B02C6E"/>
    <w:pPr>
      <w:widowControl/>
      <w:adjustRightInd w:val="0"/>
      <w:snapToGrid w:val="0"/>
      <w:spacing w:line="400" w:lineRule="exact"/>
      <w:ind w:firstLineChars="200" w:firstLine="420"/>
    </w:pPr>
    <w:rPr>
      <w:rFonts w:ascii="Calibri" w:eastAsia="仿宋_GB2312" w:hAnsi="宋体" w:cs="Times New Roman"/>
      <w:kern w:val="0"/>
      <w:sz w:val="24"/>
      <w:szCs w:val="24"/>
    </w:rPr>
  </w:style>
  <w:style w:type="paragraph" w:customStyle="1" w:styleId="0b">
    <w:name w:val="样式 首行缩进:  0 字符"/>
    <w:basedOn w:val="a0"/>
    <w:link w:val="0Char0"/>
    <w:uiPriority w:val="99"/>
    <w:qFormat/>
    <w:rsid w:val="00B02C6E"/>
    <w:pPr>
      <w:snapToGrid w:val="0"/>
      <w:spacing w:line="360" w:lineRule="auto"/>
      <w:ind w:firstLineChars="200" w:firstLine="200"/>
    </w:pPr>
    <w:rPr>
      <w:rFonts w:ascii="Arial" w:eastAsia="仿宋_GB2312" w:hAnsi="Arial" w:cs="Times New Roman"/>
      <w:kern w:val="0"/>
      <w:sz w:val="24"/>
      <w:szCs w:val="20"/>
    </w:rPr>
  </w:style>
  <w:style w:type="paragraph" w:customStyle="1" w:styleId="23">
    <w:name w:val="正文_2"/>
    <w:qFormat/>
    <w:rsid w:val="00B02C6E"/>
    <w:pPr>
      <w:widowControl w:val="0"/>
      <w:jc w:val="both"/>
    </w:pPr>
    <w:rPr>
      <w:rFonts w:ascii="Calibri" w:eastAsia="宋体" w:hAnsi="Calibri" w:cs="Times New Roman"/>
    </w:rPr>
  </w:style>
  <w:style w:type="paragraph" w:customStyle="1" w:styleId="17">
    <w:name w:val="正文1"/>
    <w:qFormat/>
    <w:rsid w:val="00B02C6E"/>
    <w:pPr>
      <w:jc w:val="both"/>
    </w:pPr>
    <w:rPr>
      <w:rFonts w:ascii="Times New Roman" w:eastAsia="宋体" w:hAnsi="Times New Roman" w:cs="Times New Roman"/>
      <w:szCs w:val="21"/>
    </w:rPr>
  </w:style>
  <w:style w:type="paragraph" w:customStyle="1" w:styleId="-SUTPC">
    <w:name w:val="正文-SUTPC"/>
    <w:basedOn w:val="a0"/>
    <w:link w:val="-SUTPC0"/>
    <w:qFormat/>
    <w:rsid w:val="00B02C6E"/>
    <w:pPr>
      <w:widowControl/>
      <w:snapToGrid w:val="0"/>
      <w:spacing w:line="360" w:lineRule="auto"/>
      <w:ind w:firstLineChars="200" w:firstLine="480"/>
      <w:jc w:val="left"/>
    </w:pPr>
    <w:rPr>
      <w:rFonts w:ascii="等线" w:eastAsia="仿宋_GB2312" w:hAnsi="等线" w:cs="Times New Roman"/>
      <w:kern w:val="0"/>
      <w:sz w:val="24"/>
      <w:szCs w:val="20"/>
    </w:rPr>
  </w:style>
  <w:style w:type="paragraph" w:customStyle="1" w:styleId="-0">
    <w:name w:val="正文-政法"/>
    <w:basedOn w:val="a0"/>
    <w:qFormat/>
    <w:rsid w:val="00B02C6E"/>
    <w:pPr>
      <w:snapToGrid w:val="0"/>
      <w:spacing w:line="400" w:lineRule="exact"/>
      <w:ind w:firstLineChars="200" w:firstLine="480"/>
    </w:pPr>
    <w:rPr>
      <w:rFonts w:ascii="等线" w:eastAsia="仿宋_GB2312" w:hAnsi="等线" w:cs="宋体"/>
      <w:sz w:val="24"/>
      <w:szCs w:val="20"/>
    </w:rPr>
  </w:style>
  <w:style w:type="paragraph" w:customStyle="1" w:styleId="TOC21">
    <w:name w:val="TOC 标题2"/>
    <w:basedOn w:val="1"/>
    <w:next w:val="a0"/>
    <w:uiPriority w:val="39"/>
    <w:unhideWhenUsed/>
    <w:qFormat/>
    <w:rsid w:val="00B02C6E"/>
    <w:pPr>
      <w:widowControl/>
      <w:numPr>
        <w:numId w:val="0"/>
      </w:numPr>
      <w:spacing w:before="240" w:line="259" w:lineRule="auto"/>
      <w:outlineLvl w:val="9"/>
    </w:pPr>
    <w:rPr>
      <w:rFonts w:ascii="Calibri Light" w:eastAsia="宋体" w:hAnsi="Calibri Light"/>
      <w:bCs w:val="0"/>
      <w:color w:val="2D73B3"/>
      <w:kern w:val="0"/>
      <w:szCs w:val="32"/>
    </w:rPr>
  </w:style>
  <w:style w:type="paragraph" w:customStyle="1" w:styleId="24">
    <w:name w:val="修订2"/>
    <w:hidden/>
    <w:uiPriority w:val="99"/>
    <w:semiHidden/>
    <w:qFormat/>
    <w:rsid w:val="00B02C6E"/>
    <w:rPr>
      <w:rFonts w:ascii="Times New Roman" w:eastAsia="仿宋_GB2312" w:hAnsi="Times New Roman" w:cs="黑体"/>
      <w:sz w:val="24"/>
    </w:rPr>
  </w:style>
  <w:style w:type="paragraph" w:customStyle="1" w:styleId="210">
    <w:name w:val="目录 21"/>
    <w:basedOn w:val="a0"/>
    <w:next w:val="a0"/>
    <w:semiHidden/>
    <w:qFormat/>
    <w:rsid w:val="00B02C6E"/>
    <w:pPr>
      <w:widowControl/>
      <w:snapToGrid w:val="0"/>
      <w:spacing w:before="100" w:beforeAutospacing="1" w:after="100" w:line="256" w:lineRule="auto"/>
      <w:ind w:left="220" w:firstLineChars="200" w:firstLine="420"/>
      <w:jc w:val="left"/>
    </w:pPr>
    <w:rPr>
      <w:rFonts w:ascii="等线" w:eastAsia="仿宋_GB2312" w:hAnsi="等线" w:cs="Times New Roman"/>
      <w:kern w:val="0"/>
      <w:sz w:val="22"/>
      <w:szCs w:val="22"/>
    </w:rPr>
  </w:style>
  <w:style w:type="paragraph" w:customStyle="1" w:styleId="220">
    <w:name w:val="目录 22"/>
    <w:basedOn w:val="a0"/>
    <w:next w:val="a0"/>
    <w:semiHidden/>
    <w:qFormat/>
    <w:rsid w:val="00B02C6E"/>
    <w:pPr>
      <w:widowControl/>
      <w:snapToGrid w:val="0"/>
      <w:spacing w:before="100" w:beforeAutospacing="1" w:after="100" w:line="256" w:lineRule="auto"/>
      <w:ind w:left="220" w:firstLineChars="200" w:firstLine="420"/>
      <w:jc w:val="left"/>
    </w:pPr>
    <w:rPr>
      <w:rFonts w:ascii="等线" w:eastAsia="仿宋_GB2312" w:hAnsi="等线" w:cs="Times New Roman"/>
      <w:kern w:val="0"/>
      <w:sz w:val="22"/>
      <w:szCs w:val="22"/>
    </w:rPr>
  </w:style>
  <w:style w:type="paragraph" w:customStyle="1" w:styleId="211">
    <w:name w:val="修订21"/>
    <w:hidden/>
    <w:uiPriority w:val="99"/>
    <w:semiHidden/>
    <w:qFormat/>
    <w:rsid w:val="00B02C6E"/>
    <w:rPr>
      <w:rFonts w:ascii="等线" w:eastAsia="仿宋_GB2312" w:hAnsi="等线" w:cs="Times New Roman"/>
      <w:sz w:val="24"/>
      <w:szCs w:val="21"/>
    </w:rPr>
  </w:style>
  <w:style w:type="paragraph" w:customStyle="1" w:styleId="31">
    <w:name w:val="修订3"/>
    <w:hidden/>
    <w:uiPriority w:val="99"/>
    <w:semiHidden/>
    <w:qFormat/>
    <w:rsid w:val="00B02C6E"/>
    <w:rPr>
      <w:rFonts w:ascii="等线" w:eastAsia="仿宋_GB2312" w:hAnsi="等线" w:cs="Times New Roman"/>
      <w:sz w:val="24"/>
      <w:szCs w:val="21"/>
    </w:rPr>
  </w:style>
  <w:style w:type="paragraph" w:customStyle="1" w:styleId="42">
    <w:name w:val="修订4"/>
    <w:hidden/>
    <w:uiPriority w:val="99"/>
    <w:semiHidden/>
    <w:qFormat/>
    <w:rsid w:val="00B02C6E"/>
    <w:rPr>
      <w:rFonts w:ascii="等线" w:eastAsia="仿宋_GB2312" w:hAnsi="等线" w:cs="Times New Roman"/>
      <w:sz w:val="24"/>
      <w:szCs w:val="21"/>
    </w:rPr>
  </w:style>
  <w:style w:type="paragraph" w:customStyle="1" w:styleId="54">
    <w:name w:val="修订5"/>
    <w:hidden/>
    <w:uiPriority w:val="99"/>
    <w:semiHidden/>
    <w:qFormat/>
    <w:rsid w:val="00B02C6E"/>
    <w:rPr>
      <w:rFonts w:ascii="等线" w:eastAsia="仿宋_GB2312" w:hAnsi="等线" w:cs="Times New Roman"/>
      <w:sz w:val="24"/>
      <w:szCs w:val="21"/>
    </w:rPr>
  </w:style>
  <w:style w:type="paragraph" w:customStyle="1" w:styleId="61">
    <w:name w:val="修订6"/>
    <w:hidden/>
    <w:uiPriority w:val="99"/>
    <w:qFormat/>
    <w:rsid w:val="00B02C6E"/>
    <w:rPr>
      <w:rFonts w:ascii="等线" w:eastAsia="仿宋_GB2312" w:hAnsi="等线" w:cs="Times New Roman"/>
      <w:sz w:val="24"/>
      <w:szCs w:val="21"/>
    </w:rPr>
  </w:style>
  <w:style w:type="paragraph" w:customStyle="1" w:styleId="18">
    <w:name w:val="标题1"/>
    <w:basedOn w:val="a0"/>
    <w:next w:val="a0"/>
    <w:uiPriority w:val="10"/>
    <w:qFormat/>
    <w:rsid w:val="00B02C6E"/>
    <w:pPr>
      <w:adjustRightInd w:val="0"/>
      <w:spacing w:before="240" w:after="60" w:line="400" w:lineRule="exact"/>
      <w:ind w:firstLineChars="200" w:firstLine="200"/>
      <w:jc w:val="center"/>
      <w:outlineLvl w:val="0"/>
    </w:pPr>
    <w:rPr>
      <w:rFonts w:ascii="等线 Light" w:hAnsi="等线 Light" w:cs="Times New Roman"/>
      <w:b/>
      <w:bCs/>
      <w:sz w:val="32"/>
      <w:szCs w:val="32"/>
    </w:rPr>
  </w:style>
  <w:style w:type="paragraph" w:customStyle="1" w:styleId="112">
    <w:name w:val="引用11"/>
    <w:basedOn w:val="a0"/>
    <w:next w:val="a0"/>
    <w:uiPriority w:val="29"/>
    <w:qFormat/>
    <w:rsid w:val="00B02C6E"/>
    <w:pPr>
      <w:adjustRightInd w:val="0"/>
      <w:spacing w:before="200" w:after="160" w:line="400" w:lineRule="exact"/>
      <w:ind w:left="864" w:right="864" w:firstLineChars="200" w:firstLine="200"/>
      <w:jc w:val="center"/>
    </w:pPr>
    <w:rPr>
      <w:rFonts w:ascii="Times New Roman" w:eastAsia="仿宋_GB2312" w:hAnsi="Times New Roman"/>
      <w:i/>
      <w:iCs/>
      <w:color w:val="404040"/>
      <w:sz w:val="24"/>
      <w:szCs w:val="22"/>
    </w:rPr>
  </w:style>
  <w:style w:type="paragraph" w:customStyle="1" w:styleId="71">
    <w:name w:val="修订7"/>
    <w:hidden/>
    <w:uiPriority w:val="99"/>
    <w:semiHidden/>
    <w:qFormat/>
    <w:rsid w:val="00B02C6E"/>
    <w:rPr>
      <w:rFonts w:ascii="Times New Roman" w:eastAsia="仿宋_GB2312" w:hAnsi="Times New Roman" w:cs="黑体"/>
      <w:sz w:val="24"/>
    </w:rPr>
  </w:style>
  <w:style w:type="paragraph" w:customStyle="1" w:styleId="81">
    <w:name w:val="修订8"/>
    <w:hidden/>
    <w:uiPriority w:val="99"/>
    <w:semiHidden/>
    <w:qFormat/>
    <w:rsid w:val="00B02C6E"/>
    <w:rPr>
      <w:rFonts w:ascii="Times New Roman" w:eastAsia="仿宋_GB2312" w:hAnsi="Times New Roman" w:cs="黑体"/>
      <w:sz w:val="24"/>
    </w:rPr>
  </w:style>
  <w:style w:type="paragraph" w:customStyle="1" w:styleId="msonormal0">
    <w:name w:val="msonormal"/>
    <w:basedOn w:val="a0"/>
    <w:qFormat/>
    <w:rsid w:val="00B02C6E"/>
    <w:pPr>
      <w:widowControl/>
      <w:spacing w:before="100" w:beforeAutospacing="1" w:after="100" w:afterAutospacing="1"/>
      <w:jc w:val="left"/>
    </w:pPr>
    <w:rPr>
      <w:rFonts w:ascii="宋体" w:hAnsi="宋体" w:cs="宋体"/>
      <w:kern w:val="0"/>
      <w:sz w:val="24"/>
    </w:rPr>
  </w:style>
  <w:style w:type="paragraph" w:customStyle="1" w:styleId="font0">
    <w:name w:val="font0"/>
    <w:basedOn w:val="a0"/>
    <w:qFormat/>
    <w:rsid w:val="00B02C6E"/>
    <w:pPr>
      <w:widowControl/>
      <w:spacing w:before="100" w:beforeAutospacing="1" w:after="100" w:afterAutospacing="1"/>
      <w:jc w:val="left"/>
    </w:pPr>
    <w:rPr>
      <w:rFonts w:ascii="仿宋_GB2312" w:eastAsia="仿宋_GB2312" w:hAnsi="宋体" w:cs="宋体"/>
      <w:color w:val="000000"/>
      <w:kern w:val="0"/>
      <w:sz w:val="22"/>
      <w:szCs w:val="22"/>
    </w:rPr>
  </w:style>
  <w:style w:type="paragraph" w:customStyle="1" w:styleId="font1">
    <w:name w:val="font1"/>
    <w:basedOn w:val="a0"/>
    <w:qFormat/>
    <w:rsid w:val="00B02C6E"/>
    <w:pPr>
      <w:widowControl/>
      <w:spacing w:before="100" w:beforeAutospacing="1" w:after="100" w:afterAutospacing="1"/>
      <w:jc w:val="left"/>
    </w:pPr>
    <w:rPr>
      <w:rFonts w:ascii="仿宋_GB2312" w:eastAsia="仿宋_GB2312" w:hAnsi="宋体" w:cs="宋体"/>
      <w:b/>
      <w:bCs/>
      <w:color w:val="000000"/>
      <w:kern w:val="0"/>
      <w:sz w:val="22"/>
      <w:szCs w:val="22"/>
    </w:rPr>
  </w:style>
  <w:style w:type="paragraph" w:customStyle="1" w:styleId="font2">
    <w:name w:val="font2"/>
    <w:basedOn w:val="a0"/>
    <w:qFormat/>
    <w:rsid w:val="00B02C6E"/>
    <w:pPr>
      <w:widowControl/>
      <w:spacing w:before="100" w:beforeAutospacing="1" w:after="100" w:afterAutospacing="1"/>
      <w:jc w:val="left"/>
    </w:pPr>
    <w:rPr>
      <w:rFonts w:ascii="等线" w:eastAsia="等线" w:hAnsi="等线" w:cs="宋体"/>
      <w:color w:val="000000"/>
      <w:kern w:val="0"/>
      <w:sz w:val="22"/>
      <w:szCs w:val="22"/>
    </w:rPr>
  </w:style>
  <w:style w:type="paragraph" w:customStyle="1" w:styleId="font3">
    <w:name w:val="font3"/>
    <w:basedOn w:val="a0"/>
    <w:qFormat/>
    <w:rsid w:val="00B02C6E"/>
    <w:pPr>
      <w:widowControl/>
      <w:spacing w:before="100" w:beforeAutospacing="1" w:after="100" w:afterAutospacing="1"/>
      <w:jc w:val="left"/>
    </w:pPr>
    <w:rPr>
      <w:rFonts w:ascii="仿宋_GB2312" w:eastAsia="仿宋_GB2312" w:hAnsi="宋体" w:cs="宋体"/>
      <w:color w:val="000000"/>
      <w:kern w:val="0"/>
      <w:szCs w:val="21"/>
    </w:rPr>
  </w:style>
  <w:style w:type="paragraph" w:customStyle="1" w:styleId="et5">
    <w:name w:val="et5"/>
    <w:basedOn w:val="a0"/>
    <w:qFormat/>
    <w:rsid w:val="00B02C6E"/>
    <w:pPr>
      <w:widowControl/>
      <w:spacing w:before="100" w:beforeAutospacing="1" w:after="100" w:afterAutospacing="1"/>
      <w:jc w:val="center"/>
    </w:pPr>
    <w:rPr>
      <w:rFonts w:ascii="宋体" w:hAnsi="宋体" w:cs="宋体"/>
      <w:kern w:val="0"/>
      <w:sz w:val="24"/>
    </w:rPr>
  </w:style>
  <w:style w:type="paragraph" w:customStyle="1" w:styleId="et6">
    <w:name w:val="et6"/>
    <w:basedOn w:val="a0"/>
    <w:qFormat/>
    <w:rsid w:val="00B02C6E"/>
    <w:pPr>
      <w:widowControl/>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jc w:val="center"/>
      <w:textAlignment w:val="center"/>
    </w:pPr>
    <w:rPr>
      <w:rFonts w:ascii="仿宋_GB2312" w:eastAsia="仿宋_GB2312" w:hAnsi="宋体" w:cs="宋体"/>
      <w:b/>
      <w:bCs/>
      <w:color w:val="000000"/>
      <w:kern w:val="0"/>
      <w:sz w:val="24"/>
    </w:rPr>
  </w:style>
  <w:style w:type="paragraph" w:customStyle="1" w:styleId="et8">
    <w:name w:val="et8"/>
    <w:basedOn w:val="a0"/>
    <w:qFormat/>
    <w:rsid w:val="00B02C6E"/>
    <w:pPr>
      <w:widowControl/>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jc w:val="left"/>
      <w:textAlignment w:val="center"/>
    </w:pPr>
    <w:rPr>
      <w:rFonts w:ascii="仿宋_GB2312" w:eastAsia="仿宋_GB2312" w:hAnsi="宋体" w:cs="宋体"/>
      <w:b/>
      <w:bCs/>
      <w:color w:val="000000"/>
      <w:kern w:val="0"/>
      <w:sz w:val="24"/>
    </w:rPr>
  </w:style>
  <w:style w:type="paragraph" w:customStyle="1" w:styleId="et9">
    <w:name w:val="et9"/>
    <w:basedOn w:val="a0"/>
    <w:qFormat/>
    <w:rsid w:val="00B02C6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_GB2312" w:eastAsia="仿宋_GB2312" w:hAnsi="宋体" w:cs="宋体"/>
      <w:color w:val="000000"/>
      <w:kern w:val="0"/>
      <w:sz w:val="24"/>
    </w:rPr>
  </w:style>
  <w:style w:type="paragraph" w:customStyle="1" w:styleId="et10">
    <w:name w:val="et10"/>
    <w:basedOn w:val="a0"/>
    <w:qFormat/>
    <w:rsid w:val="00B02C6E"/>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1">
    <w:name w:val="et11"/>
    <w:basedOn w:val="a0"/>
    <w:qFormat/>
    <w:rsid w:val="00B02C6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_GB2312" w:eastAsia="仿宋_GB2312" w:hAnsi="宋体" w:cs="宋体"/>
      <w:color w:val="000000"/>
      <w:kern w:val="0"/>
      <w:szCs w:val="21"/>
    </w:rPr>
  </w:style>
  <w:style w:type="paragraph" w:customStyle="1" w:styleId="et12">
    <w:name w:val="et12"/>
    <w:basedOn w:val="a0"/>
    <w:qFormat/>
    <w:rsid w:val="00B02C6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4">
    <w:name w:val="et14"/>
    <w:basedOn w:val="a0"/>
    <w:qFormat/>
    <w:rsid w:val="00B02C6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4">
    <w:name w:val="et4"/>
    <w:basedOn w:val="a0"/>
    <w:qFormat/>
    <w:rsid w:val="00B02C6E"/>
    <w:pPr>
      <w:widowControl/>
      <w:spacing w:before="100" w:beforeAutospacing="1" w:after="100" w:afterAutospacing="1"/>
      <w:jc w:val="center"/>
    </w:pPr>
    <w:rPr>
      <w:rFonts w:ascii="宋体" w:hAnsi="宋体" w:cs="宋体"/>
      <w:kern w:val="0"/>
      <w:sz w:val="24"/>
    </w:rPr>
  </w:style>
  <w:style w:type="paragraph" w:customStyle="1" w:styleId="et13">
    <w:name w:val="et13"/>
    <w:basedOn w:val="a0"/>
    <w:qFormat/>
    <w:rsid w:val="00B02C6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_GB2312" w:eastAsia="仿宋_GB2312" w:hAnsi="宋体" w:cs="宋体"/>
      <w:kern w:val="0"/>
      <w:sz w:val="24"/>
    </w:rPr>
  </w:style>
  <w:style w:type="paragraph" w:customStyle="1" w:styleId="et3">
    <w:name w:val="et3"/>
    <w:basedOn w:val="a0"/>
    <w:qFormat/>
    <w:rsid w:val="00B02C6E"/>
    <w:pPr>
      <w:widowControl/>
      <w:spacing w:before="100" w:beforeAutospacing="1" w:after="100" w:afterAutospacing="1"/>
      <w:jc w:val="left"/>
    </w:pPr>
    <w:rPr>
      <w:rFonts w:ascii="宋体" w:hAnsi="宋体" w:cs="宋体"/>
      <w:kern w:val="0"/>
      <w:sz w:val="24"/>
    </w:rPr>
  </w:style>
  <w:style w:type="paragraph" w:customStyle="1" w:styleId="et7">
    <w:name w:val="et7"/>
    <w:basedOn w:val="a0"/>
    <w:qFormat/>
    <w:rsid w:val="00B02C6E"/>
    <w:pPr>
      <w:widowControl/>
      <w:pBdr>
        <w:top w:val="single" w:sz="4" w:space="0" w:color="000000"/>
        <w:bottom w:val="single" w:sz="4" w:space="0" w:color="000000"/>
        <w:right w:val="single" w:sz="4" w:space="0" w:color="000000"/>
      </w:pBdr>
      <w:shd w:val="clear" w:color="auto" w:fill="D9D9D9"/>
      <w:spacing w:before="100" w:beforeAutospacing="1" w:after="100" w:afterAutospacing="1"/>
      <w:jc w:val="left"/>
      <w:textAlignment w:val="center"/>
    </w:pPr>
    <w:rPr>
      <w:rFonts w:ascii="仿宋_GB2312" w:eastAsia="仿宋_GB2312" w:hAnsi="宋体" w:cs="宋体"/>
      <w:b/>
      <w:bCs/>
      <w:color w:val="000000"/>
      <w:kern w:val="0"/>
      <w:sz w:val="24"/>
    </w:rPr>
  </w:style>
  <w:style w:type="paragraph" w:customStyle="1" w:styleId="et15">
    <w:name w:val="et15"/>
    <w:basedOn w:val="a0"/>
    <w:qFormat/>
    <w:rsid w:val="00B02C6E"/>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810">
    <w:name w:val="修订81"/>
    <w:hidden/>
    <w:uiPriority w:val="99"/>
    <w:semiHidden/>
    <w:qFormat/>
    <w:rsid w:val="00B02C6E"/>
    <w:rPr>
      <w:rFonts w:ascii="Times New Roman" w:eastAsia="仿宋_GB2312" w:hAnsi="Times New Roman" w:cs="黑体"/>
      <w:sz w:val="24"/>
    </w:rPr>
  </w:style>
  <w:style w:type="paragraph" w:customStyle="1" w:styleId="91">
    <w:name w:val="修订9"/>
    <w:hidden/>
    <w:uiPriority w:val="99"/>
    <w:semiHidden/>
    <w:qFormat/>
    <w:rsid w:val="00B02C6E"/>
    <w:rPr>
      <w:rFonts w:ascii="Times New Roman" w:eastAsia="仿宋_GB2312" w:hAnsi="Times New Roman" w:cs="黑体"/>
      <w:sz w:val="24"/>
    </w:rPr>
  </w:style>
  <w:style w:type="paragraph" w:customStyle="1" w:styleId="font5">
    <w:name w:val="font5"/>
    <w:basedOn w:val="a0"/>
    <w:qFormat/>
    <w:rsid w:val="00B02C6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B02C6E"/>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0"/>
    <w:qFormat/>
    <w:rsid w:val="00B02C6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70">
    <w:name w:val="xl70"/>
    <w:basedOn w:val="a0"/>
    <w:qFormat/>
    <w:rsid w:val="00B02C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kern w:val="0"/>
      <w:sz w:val="24"/>
    </w:rPr>
  </w:style>
  <w:style w:type="paragraph" w:customStyle="1" w:styleId="xl71">
    <w:name w:val="xl71"/>
    <w:basedOn w:val="a0"/>
    <w:qFormat/>
    <w:rsid w:val="00B02C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72">
    <w:name w:val="xl72"/>
    <w:basedOn w:val="a0"/>
    <w:qFormat/>
    <w:rsid w:val="00B02C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73">
    <w:name w:val="xl73"/>
    <w:basedOn w:val="a0"/>
    <w:qFormat/>
    <w:rsid w:val="00B02C6E"/>
    <w:pPr>
      <w:widowControl/>
      <w:pBdr>
        <w:left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74">
    <w:name w:val="xl74"/>
    <w:basedOn w:val="a0"/>
    <w:qFormat/>
    <w:rsid w:val="00B02C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75">
    <w:name w:val="xl75"/>
    <w:basedOn w:val="a0"/>
    <w:qFormat/>
    <w:rsid w:val="00B02C6E"/>
    <w:pPr>
      <w:widowControl/>
      <w:spacing w:before="100" w:beforeAutospacing="1" w:after="100" w:afterAutospacing="1"/>
      <w:jc w:val="center"/>
      <w:textAlignment w:val="center"/>
    </w:pPr>
    <w:rPr>
      <w:rFonts w:ascii="宋体" w:hAnsi="宋体" w:cs="宋体"/>
      <w:kern w:val="0"/>
      <w:sz w:val="24"/>
    </w:rPr>
  </w:style>
  <w:style w:type="paragraph" w:customStyle="1" w:styleId="xl76">
    <w:name w:val="xl76"/>
    <w:basedOn w:val="a0"/>
    <w:qFormat/>
    <w:rsid w:val="00B02C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77">
    <w:name w:val="xl77"/>
    <w:basedOn w:val="a0"/>
    <w:qFormat/>
    <w:rsid w:val="00B02C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67">
    <w:name w:val="xl67"/>
    <w:basedOn w:val="a0"/>
    <w:qFormat/>
    <w:rsid w:val="00B02C6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68">
    <w:name w:val="xl68"/>
    <w:basedOn w:val="a0"/>
    <w:qFormat/>
    <w:rsid w:val="00B02C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kern w:val="0"/>
      <w:sz w:val="24"/>
    </w:rPr>
  </w:style>
  <w:style w:type="paragraph" w:customStyle="1" w:styleId="100">
    <w:name w:val="修订10"/>
    <w:hidden/>
    <w:uiPriority w:val="99"/>
    <w:semiHidden/>
    <w:qFormat/>
    <w:rsid w:val="00B02C6E"/>
    <w:rPr>
      <w:rFonts w:ascii="Times New Roman" w:eastAsia="仿宋_GB2312" w:hAnsi="Times New Roman" w:cs="黑体"/>
      <w:sz w:val="24"/>
    </w:rPr>
  </w:style>
  <w:style w:type="paragraph" w:customStyle="1" w:styleId="TOC30">
    <w:name w:val="TOC 标题3"/>
    <w:basedOn w:val="1"/>
    <w:next w:val="a0"/>
    <w:uiPriority w:val="39"/>
    <w:unhideWhenUsed/>
    <w:qFormat/>
    <w:rsid w:val="00B02C6E"/>
    <w:pPr>
      <w:widowControl/>
      <w:numPr>
        <w:numId w:val="0"/>
      </w:numPr>
      <w:spacing w:before="240" w:line="259" w:lineRule="auto"/>
      <w:outlineLvl w:val="9"/>
    </w:pPr>
    <w:rPr>
      <w:rFonts w:ascii="Calibri Light" w:eastAsia="宋体" w:hAnsi="Calibri Light"/>
      <w:bCs w:val="0"/>
      <w:color w:val="2D73B3"/>
      <w:kern w:val="0"/>
      <w:szCs w:val="32"/>
    </w:rPr>
  </w:style>
  <w:style w:type="paragraph" w:customStyle="1" w:styleId="TOC31">
    <w:name w:val="TOC 标题31"/>
    <w:basedOn w:val="1"/>
    <w:next w:val="a0"/>
    <w:uiPriority w:val="39"/>
    <w:unhideWhenUsed/>
    <w:qFormat/>
    <w:rsid w:val="00B02C6E"/>
    <w:pPr>
      <w:widowControl/>
      <w:numPr>
        <w:numId w:val="0"/>
      </w:numPr>
      <w:spacing w:before="240" w:line="259" w:lineRule="auto"/>
      <w:outlineLvl w:val="9"/>
    </w:pPr>
    <w:rPr>
      <w:rFonts w:ascii="Calibri Light" w:eastAsia="宋体" w:hAnsi="Calibri Light"/>
      <w:bCs w:val="0"/>
      <w:color w:val="2D73B3"/>
      <w:kern w:val="0"/>
      <w:szCs w:val="32"/>
    </w:rPr>
  </w:style>
  <w:style w:type="paragraph" w:customStyle="1" w:styleId="113">
    <w:name w:val="修订11"/>
    <w:hidden/>
    <w:uiPriority w:val="99"/>
    <w:semiHidden/>
    <w:qFormat/>
    <w:rsid w:val="00B02C6E"/>
    <w:rPr>
      <w:rFonts w:ascii="Times New Roman" w:eastAsia="仿宋_GB2312" w:hAnsi="Times New Roman" w:cs="黑体"/>
      <w:sz w:val="24"/>
    </w:rPr>
  </w:style>
  <w:style w:type="paragraph" w:customStyle="1" w:styleId="120">
    <w:name w:val="修订12"/>
    <w:hidden/>
    <w:uiPriority w:val="99"/>
    <w:semiHidden/>
    <w:qFormat/>
    <w:rsid w:val="00B02C6E"/>
    <w:rPr>
      <w:rFonts w:ascii="Times New Roman" w:eastAsia="仿宋_GB2312" w:hAnsi="Times New Roman" w:cs="黑体"/>
      <w:sz w:val="24"/>
    </w:rPr>
  </w:style>
  <w:style w:type="paragraph" w:customStyle="1" w:styleId="130">
    <w:name w:val="修订13"/>
    <w:hidden/>
    <w:uiPriority w:val="99"/>
    <w:semiHidden/>
    <w:qFormat/>
    <w:rsid w:val="00B02C6E"/>
    <w:rPr>
      <w:rFonts w:ascii="Times New Roman" w:eastAsia="仿宋_GB2312" w:hAnsi="Times New Roman" w:cs="黑体"/>
      <w:sz w:val="24"/>
    </w:rPr>
  </w:style>
  <w:style w:type="paragraph" w:customStyle="1" w:styleId="font7">
    <w:name w:val="font7"/>
    <w:basedOn w:val="a0"/>
    <w:qFormat/>
    <w:rsid w:val="00B02C6E"/>
    <w:pPr>
      <w:widowControl/>
      <w:spacing w:before="100" w:beforeAutospacing="1" w:after="100" w:afterAutospacing="1"/>
      <w:jc w:val="left"/>
    </w:pPr>
    <w:rPr>
      <w:rFonts w:ascii="Microsoft YaHei UI" w:eastAsia="Microsoft YaHei UI" w:hAnsi="Microsoft YaHei UI" w:cs="宋体"/>
      <w:color w:val="000000"/>
      <w:kern w:val="0"/>
      <w:sz w:val="22"/>
      <w:szCs w:val="22"/>
    </w:rPr>
  </w:style>
  <w:style w:type="paragraph" w:customStyle="1" w:styleId="xl78">
    <w:name w:val="xl78"/>
    <w:basedOn w:val="a0"/>
    <w:qFormat/>
    <w:rsid w:val="00B02C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xl79">
    <w:name w:val="xl79"/>
    <w:basedOn w:val="a0"/>
    <w:qFormat/>
    <w:rsid w:val="00B02C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kern w:val="0"/>
      <w:sz w:val="24"/>
    </w:rPr>
  </w:style>
  <w:style w:type="paragraph" w:customStyle="1" w:styleId="xl80">
    <w:name w:val="xl80"/>
    <w:basedOn w:val="a0"/>
    <w:qFormat/>
    <w:rsid w:val="00B02C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xl81">
    <w:name w:val="xl81"/>
    <w:basedOn w:val="a0"/>
    <w:qFormat/>
    <w:rsid w:val="00B02C6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82">
    <w:name w:val="xl82"/>
    <w:basedOn w:val="a0"/>
    <w:qFormat/>
    <w:rsid w:val="00B02C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3">
    <w:name w:val="xl83"/>
    <w:basedOn w:val="a0"/>
    <w:qFormat/>
    <w:rsid w:val="00B02C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
    <w:name w:val="xl84"/>
    <w:basedOn w:val="a0"/>
    <w:qFormat/>
    <w:rsid w:val="00B02C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85">
    <w:name w:val="xl85"/>
    <w:basedOn w:val="a0"/>
    <w:qFormat/>
    <w:rsid w:val="00B02C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86">
    <w:name w:val="xl86"/>
    <w:basedOn w:val="a0"/>
    <w:qFormat/>
    <w:rsid w:val="00B02C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140">
    <w:name w:val="修订14"/>
    <w:hidden/>
    <w:uiPriority w:val="99"/>
    <w:semiHidden/>
    <w:qFormat/>
    <w:rsid w:val="00B02C6E"/>
    <w:rPr>
      <w:rFonts w:ascii="Times New Roman" w:eastAsia="仿宋_GB2312" w:hAnsi="Times New Roman" w:cs="黑体"/>
      <w:sz w:val="24"/>
    </w:rPr>
  </w:style>
  <w:style w:type="paragraph" w:customStyle="1" w:styleId="font8">
    <w:name w:val="font8"/>
    <w:basedOn w:val="a0"/>
    <w:qFormat/>
    <w:rsid w:val="00B02C6E"/>
    <w:pPr>
      <w:widowControl/>
      <w:spacing w:before="100" w:beforeAutospacing="1" w:after="100" w:afterAutospacing="1"/>
      <w:jc w:val="left"/>
    </w:pPr>
    <w:rPr>
      <w:rFonts w:ascii="Microsoft YaHei UI" w:eastAsia="Microsoft YaHei UI" w:hAnsi="Microsoft YaHei UI" w:cs="宋体"/>
      <w:color w:val="000000"/>
      <w:kern w:val="0"/>
      <w:sz w:val="22"/>
      <w:szCs w:val="22"/>
    </w:rPr>
  </w:style>
  <w:style w:type="paragraph" w:customStyle="1" w:styleId="xl87">
    <w:name w:val="xl87"/>
    <w:basedOn w:val="a0"/>
    <w:qFormat/>
    <w:rsid w:val="00B02C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88">
    <w:name w:val="xl88"/>
    <w:basedOn w:val="a0"/>
    <w:qFormat/>
    <w:rsid w:val="00B02C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89">
    <w:name w:val="xl89"/>
    <w:basedOn w:val="a0"/>
    <w:qFormat/>
    <w:rsid w:val="00B02C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90">
    <w:name w:val="xl90"/>
    <w:basedOn w:val="a0"/>
    <w:qFormat/>
    <w:rsid w:val="00B02C6E"/>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91">
    <w:name w:val="xl91"/>
    <w:basedOn w:val="a0"/>
    <w:qFormat/>
    <w:rsid w:val="00B02C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92">
    <w:name w:val="xl92"/>
    <w:basedOn w:val="a0"/>
    <w:qFormat/>
    <w:rsid w:val="00B02C6E"/>
    <w:pPr>
      <w:widowControl/>
      <w:shd w:val="clear" w:color="000000" w:fill="FFFFFF"/>
      <w:spacing w:before="100" w:beforeAutospacing="1" w:after="100" w:afterAutospacing="1"/>
      <w:jc w:val="left"/>
    </w:pPr>
    <w:rPr>
      <w:rFonts w:ascii="宋体" w:hAnsi="宋体" w:cs="宋体"/>
      <w:kern w:val="0"/>
      <w:sz w:val="24"/>
    </w:rPr>
  </w:style>
  <w:style w:type="paragraph" w:customStyle="1" w:styleId="xl93">
    <w:name w:val="xl93"/>
    <w:basedOn w:val="a0"/>
    <w:qFormat/>
    <w:rsid w:val="00B02C6E"/>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仿宋_GB2312" w:eastAsia="仿宋_GB2312" w:hAnsi="宋体" w:cs="宋体"/>
      <w:color w:val="000000"/>
      <w:kern w:val="0"/>
      <w:sz w:val="24"/>
    </w:rPr>
  </w:style>
  <w:style w:type="paragraph" w:customStyle="1" w:styleId="xl94">
    <w:name w:val="xl94"/>
    <w:basedOn w:val="a0"/>
    <w:qFormat/>
    <w:rsid w:val="00B02C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color w:val="000000"/>
      <w:kern w:val="0"/>
      <w:sz w:val="24"/>
    </w:rPr>
  </w:style>
  <w:style w:type="paragraph" w:customStyle="1" w:styleId="xl95">
    <w:name w:val="xl95"/>
    <w:basedOn w:val="a0"/>
    <w:qFormat/>
    <w:rsid w:val="00B02C6E"/>
    <w:pPr>
      <w:widowControl/>
      <w:pBdr>
        <w:top w:val="single" w:sz="4" w:space="0" w:color="auto"/>
        <w:left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24"/>
    </w:rPr>
  </w:style>
  <w:style w:type="paragraph" w:customStyle="1" w:styleId="xl96">
    <w:name w:val="xl96"/>
    <w:basedOn w:val="a0"/>
    <w:qFormat/>
    <w:rsid w:val="00B02C6E"/>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仿宋_GB2312" w:eastAsia="仿宋_GB2312" w:hAnsi="宋体" w:cs="宋体"/>
      <w:color w:val="000000"/>
      <w:kern w:val="0"/>
      <w:sz w:val="24"/>
    </w:rPr>
  </w:style>
  <w:style w:type="paragraph" w:customStyle="1" w:styleId="xl97">
    <w:name w:val="xl97"/>
    <w:basedOn w:val="a0"/>
    <w:qFormat/>
    <w:rsid w:val="00B02C6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icrosoft YaHei UI" w:eastAsia="Microsoft YaHei UI" w:hAnsi="Microsoft YaHei UI" w:cs="宋体"/>
      <w:b/>
      <w:bCs/>
      <w:kern w:val="0"/>
      <w:sz w:val="24"/>
    </w:rPr>
  </w:style>
  <w:style w:type="paragraph" w:customStyle="1" w:styleId="xl98">
    <w:name w:val="xl98"/>
    <w:basedOn w:val="a0"/>
    <w:qFormat/>
    <w:rsid w:val="00B02C6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4"/>
    </w:rPr>
  </w:style>
  <w:style w:type="paragraph" w:customStyle="1" w:styleId="xl99">
    <w:name w:val="xl99"/>
    <w:basedOn w:val="a0"/>
    <w:qFormat/>
    <w:rsid w:val="00B02C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100">
    <w:name w:val="xl100"/>
    <w:basedOn w:val="a0"/>
    <w:qFormat/>
    <w:rsid w:val="00B02C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4"/>
    </w:rPr>
  </w:style>
  <w:style w:type="paragraph" w:customStyle="1" w:styleId="xl101">
    <w:name w:val="xl101"/>
    <w:basedOn w:val="a0"/>
    <w:qFormat/>
    <w:rsid w:val="00B02C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4"/>
    </w:rPr>
  </w:style>
  <w:style w:type="paragraph" w:customStyle="1" w:styleId="xl102">
    <w:name w:val="xl102"/>
    <w:basedOn w:val="a0"/>
    <w:qFormat/>
    <w:rsid w:val="00B02C6E"/>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03">
    <w:name w:val="xl103"/>
    <w:basedOn w:val="a0"/>
    <w:qFormat/>
    <w:rsid w:val="00B02C6E"/>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04">
    <w:name w:val="xl104"/>
    <w:basedOn w:val="a0"/>
    <w:qFormat/>
    <w:rsid w:val="00B02C6E"/>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05">
    <w:name w:val="xl105"/>
    <w:basedOn w:val="a0"/>
    <w:qFormat/>
    <w:rsid w:val="00B02C6E"/>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6">
    <w:name w:val="xl106"/>
    <w:basedOn w:val="a0"/>
    <w:qFormat/>
    <w:rsid w:val="00B02C6E"/>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7">
    <w:name w:val="xl107"/>
    <w:basedOn w:val="a0"/>
    <w:qFormat/>
    <w:rsid w:val="00B02C6E"/>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108">
    <w:name w:val="xl108"/>
    <w:basedOn w:val="a0"/>
    <w:qFormat/>
    <w:rsid w:val="00B02C6E"/>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109">
    <w:name w:val="xl109"/>
    <w:basedOn w:val="a0"/>
    <w:qFormat/>
    <w:rsid w:val="00B02C6E"/>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10">
    <w:name w:val="xl110"/>
    <w:basedOn w:val="a0"/>
    <w:qFormat/>
    <w:rsid w:val="00B02C6E"/>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11">
    <w:name w:val="xl111"/>
    <w:basedOn w:val="a0"/>
    <w:qFormat/>
    <w:rsid w:val="00B02C6E"/>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12">
    <w:name w:val="xl112"/>
    <w:basedOn w:val="a0"/>
    <w:qFormat/>
    <w:rsid w:val="00B02C6E"/>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13">
    <w:name w:val="xl113"/>
    <w:basedOn w:val="a0"/>
    <w:qFormat/>
    <w:rsid w:val="00B02C6E"/>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14">
    <w:name w:val="xl114"/>
    <w:basedOn w:val="a0"/>
    <w:qFormat/>
    <w:rsid w:val="00B02C6E"/>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15">
    <w:name w:val="xl115"/>
    <w:basedOn w:val="a0"/>
    <w:qFormat/>
    <w:rsid w:val="00B02C6E"/>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116">
    <w:name w:val="xl116"/>
    <w:basedOn w:val="a0"/>
    <w:qFormat/>
    <w:rsid w:val="00B02C6E"/>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17">
    <w:name w:val="xl117"/>
    <w:basedOn w:val="a0"/>
    <w:qFormat/>
    <w:rsid w:val="00B02C6E"/>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18">
    <w:name w:val="xl118"/>
    <w:basedOn w:val="a0"/>
    <w:qFormat/>
    <w:rsid w:val="00B02C6E"/>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19">
    <w:name w:val="xl119"/>
    <w:basedOn w:val="a0"/>
    <w:qFormat/>
    <w:rsid w:val="00B02C6E"/>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120">
    <w:name w:val="xl120"/>
    <w:basedOn w:val="a0"/>
    <w:qFormat/>
    <w:rsid w:val="00B02C6E"/>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121">
    <w:name w:val="xl121"/>
    <w:basedOn w:val="a0"/>
    <w:qFormat/>
    <w:rsid w:val="00B02C6E"/>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122">
    <w:name w:val="xl122"/>
    <w:basedOn w:val="a0"/>
    <w:qFormat/>
    <w:rsid w:val="00B02C6E"/>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123">
    <w:name w:val="xl123"/>
    <w:basedOn w:val="a0"/>
    <w:qFormat/>
    <w:rsid w:val="00B02C6E"/>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124">
    <w:name w:val="xl124"/>
    <w:basedOn w:val="a0"/>
    <w:qFormat/>
    <w:rsid w:val="00B02C6E"/>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125">
    <w:name w:val="xl125"/>
    <w:basedOn w:val="a0"/>
    <w:qFormat/>
    <w:rsid w:val="00B02C6E"/>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126">
    <w:name w:val="xl126"/>
    <w:basedOn w:val="a0"/>
    <w:qFormat/>
    <w:rsid w:val="00B02C6E"/>
    <w:pPr>
      <w:widowControl/>
      <w:pBdr>
        <w:top w:val="single" w:sz="4" w:space="0" w:color="auto"/>
        <w:left w:val="single" w:sz="4" w:space="0" w:color="auto"/>
        <w:right w:val="single" w:sz="4" w:space="0" w:color="auto"/>
      </w:pBdr>
      <w:shd w:val="clear" w:color="000000" w:fill="FF0000"/>
      <w:spacing w:before="100" w:beforeAutospacing="1" w:after="100" w:afterAutospacing="1"/>
      <w:jc w:val="left"/>
    </w:pPr>
    <w:rPr>
      <w:rFonts w:ascii="仿宋_GB2312" w:eastAsia="仿宋_GB2312" w:hAnsi="宋体" w:cs="宋体"/>
      <w:kern w:val="0"/>
      <w:sz w:val="24"/>
    </w:rPr>
  </w:style>
  <w:style w:type="paragraph" w:customStyle="1" w:styleId="xl127">
    <w:name w:val="xl127"/>
    <w:basedOn w:val="a0"/>
    <w:qFormat/>
    <w:rsid w:val="00B02C6E"/>
    <w:pPr>
      <w:widowControl/>
      <w:pBdr>
        <w:left w:val="single" w:sz="4" w:space="0" w:color="auto"/>
        <w:right w:val="single" w:sz="4" w:space="0" w:color="auto"/>
      </w:pBdr>
      <w:shd w:val="clear" w:color="000000" w:fill="FF0000"/>
      <w:spacing w:before="100" w:beforeAutospacing="1" w:after="100" w:afterAutospacing="1"/>
      <w:jc w:val="left"/>
    </w:pPr>
    <w:rPr>
      <w:rFonts w:ascii="仿宋_GB2312" w:eastAsia="仿宋_GB2312" w:hAnsi="宋体" w:cs="宋体"/>
      <w:kern w:val="0"/>
      <w:sz w:val="24"/>
    </w:rPr>
  </w:style>
  <w:style w:type="paragraph" w:customStyle="1" w:styleId="xl128">
    <w:name w:val="xl128"/>
    <w:basedOn w:val="a0"/>
    <w:qFormat/>
    <w:rsid w:val="00B02C6E"/>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pPr>
    <w:rPr>
      <w:rFonts w:ascii="仿宋_GB2312" w:eastAsia="仿宋_GB2312" w:hAnsi="宋体" w:cs="宋体"/>
      <w:kern w:val="0"/>
      <w:sz w:val="24"/>
    </w:rPr>
  </w:style>
  <w:style w:type="paragraph" w:customStyle="1" w:styleId="xl129">
    <w:name w:val="xl129"/>
    <w:basedOn w:val="a0"/>
    <w:qFormat/>
    <w:rsid w:val="00B02C6E"/>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30">
    <w:name w:val="xl130"/>
    <w:basedOn w:val="a0"/>
    <w:qFormat/>
    <w:rsid w:val="00B02C6E"/>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31">
    <w:name w:val="xl131"/>
    <w:basedOn w:val="a0"/>
    <w:qFormat/>
    <w:rsid w:val="00B02C6E"/>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32">
    <w:name w:val="xl132"/>
    <w:basedOn w:val="a0"/>
    <w:qFormat/>
    <w:rsid w:val="00B02C6E"/>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仿宋_GB2312" w:eastAsia="仿宋_GB2312" w:hAnsi="宋体" w:cs="宋体"/>
      <w:kern w:val="0"/>
      <w:sz w:val="24"/>
    </w:rPr>
  </w:style>
  <w:style w:type="paragraph" w:customStyle="1" w:styleId="xl133">
    <w:name w:val="xl133"/>
    <w:basedOn w:val="a0"/>
    <w:qFormat/>
    <w:rsid w:val="00B02C6E"/>
    <w:pPr>
      <w:widowControl/>
      <w:pBdr>
        <w:top w:val="single" w:sz="4" w:space="0" w:color="auto"/>
        <w:bottom w:val="single" w:sz="4" w:space="0" w:color="auto"/>
      </w:pBdr>
      <w:shd w:val="clear" w:color="000000" w:fill="D9D9D9"/>
      <w:spacing w:before="100" w:beforeAutospacing="1" w:after="100" w:afterAutospacing="1"/>
      <w:jc w:val="center"/>
    </w:pPr>
    <w:rPr>
      <w:rFonts w:ascii="仿宋_GB2312" w:eastAsia="仿宋_GB2312" w:hAnsi="宋体" w:cs="宋体"/>
      <w:kern w:val="0"/>
      <w:sz w:val="24"/>
    </w:rPr>
  </w:style>
  <w:style w:type="paragraph" w:customStyle="1" w:styleId="xl134">
    <w:name w:val="xl134"/>
    <w:basedOn w:val="a0"/>
    <w:qFormat/>
    <w:rsid w:val="00B02C6E"/>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ascii="仿宋_GB2312" w:eastAsia="仿宋_GB2312" w:hAnsi="宋体" w:cs="宋体"/>
      <w:kern w:val="0"/>
      <w:sz w:val="24"/>
    </w:rPr>
  </w:style>
  <w:style w:type="paragraph" w:customStyle="1" w:styleId="xl135">
    <w:name w:val="xl135"/>
    <w:basedOn w:val="a0"/>
    <w:qFormat/>
    <w:rsid w:val="00B02C6E"/>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36">
    <w:name w:val="xl136"/>
    <w:basedOn w:val="a0"/>
    <w:qFormat/>
    <w:rsid w:val="00B02C6E"/>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37">
    <w:name w:val="xl137"/>
    <w:basedOn w:val="a0"/>
    <w:qFormat/>
    <w:rsid w:val="00B02C6E"/>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38">
    <w:name w:val="xl138"/>
    <w:basedOn w:val="a0"/>
    <w:qFormat/>
    <w:rsid w:val="00B02C6E"/>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139">
    <w:name w:val="xl139"/>
    <w:basedOn w:val="a0"/>
    <w:qFormat/>
    <w:rsid w:val="00B02C6E"/>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140">
    <w:name w:val="xl140"/>
    <w:basedOn w:val="a0"/>
    <w:qFormat/>
    <w:rsid w:val="00B02C6E"/>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141">
    <w:name w:val="xl141"/>
    <w:basedOn w:val="a0"/>
    <w:qFormat/>
    <w:rsid w:val="00B02C6E"/>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42">
    <w:name w:val="xl142"/>
    <w:basedOn w:val="a0"/>
    <w:qFormat/>
    <w:rsid w:val="00B02C6E"/>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43">
    <w:name w:val="xl143"/>
    <w:basedOn w:val="a0"/>
    <w:qFormat/>
    <w:rsid w:val="00B02C6E"/>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44">
    <w:name w:val="xl144"/>
    <w:basedOn w:val="a0"/>
    <w:qFormat/>
    <w:rsid w:val="00B02C6E"/>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145">
    <w:name w:val="xl145"/>
    <w:basedOn w:val="a0"/>
    <w:qFormat/>
    <w:rsid w:val="00B02C6E"/>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146">
    <w:name w:val="xl146"/>
    <w:basedOn w:val="a0"/>
    <w:qFormat/>
    <w:rsid w:val="00B02C6E"/>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147">
    <w:name w:val="xl147"/>
    <w:basedOn w:val="a0"/>
    <w:qFormat/>
    <w:rsid w:val="00B02C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48">
    <w:name w:val="xl148"/>
    <w:basedOn w:val="a0"/>
    <w:qFormat/>
    <w:rsid w:val="00B02C6E"/>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pPr>
    <w:rPr>
      <w:rFonts w:ascii="宋体" w:hAnsi="宋体" w:cs="宋体"/>
      <w:color w:val="000000"/>
      <w:kern w:val="0"/>
      <w:sz w:val="24"/>
    </w:rPr>
  </w:style>
  <w:style w:type="paragraph" w:customStyle="1" w:styleId="xl149">
    <w:name w:val="xl149"/>
    <w:basedOn w:val="a0"/>
    <w:qFormat/>
    <w:rsid w:val="00B02C6E"/>
    <w:pPr>
      <w:widowControl/>
      <w:pBdr>
        <w:top w:val="single" w:sz="4" w:space="0" w:color="auto"/>
        <w:bottom w:val="single" w:sz="4" w:space="0" w:color="auto"/>
        <w:right w:val="single" w:sz="4" w:space="0" w:color="auto"/>
      </w:pBdr>
      <w:shd w:val="clear" w:color="000000" w:fill="FF0000"/>
      <w:spacing w:before="100" w:beforeAutospacing="1" w:after="100" w:afterAutospacing="1"/>
      <w:jc w:val="center"/>
    </w:pPr>
    <w:rPr>
      <w:rFonts w:ascii="仿宋_GB2312" w:eastAsia="仿宋_GB2312" w:hAnsi="宋体" w:cs="宋体"/>
      <w:color w:val="000000"/>
      <w:kern w:val="0"/>
      <w:sz w:val="24"/>
    </w:rPr>
  </w:style>
  <w:style w:type="paragraph" w:customStyle="1" w:styleId="150">
    <w:name w:val="修订15"/>
    <w:hidden/>
    <w:uiPriority w:val="99"/>
    <w:semiHidden/>
    <w:qFormat/>
    <w:rsid w:val="00B02C6E"/>
    <w:rPr>
      <w:rFonts w:ascii="Times New Roman" w:eastAsia="仿宋_GB2312" w:hAnsi="Times New Roman" w:cs="黑体"/>
      <w:sz w:val="24"/>
    </w:rPr>
  </w:style>
  <w:style w:type="paragraph" w:customStyle="1" w:styleId="160">
    <w:name w:val="修订16"/>
    <w:hidden/>
    <w:uiPriority w:val="99"/>
    <w:semiHidden/>
    <w:qFormat/>
    <w:rsid w:val="00B02C6E"/>
    <w:rPr>
      <w:rFonts w:ascii="Times New Roman" w:eastAsia="仿宋_GB2312" w:hAnsi="Times New Roman" w:cs="黑体"/>
      <w:sz w:val="24"/>
    </w:rPr>
  </w:style>
  <w:style w:type="paragraph" w:customStyle="1" w:styleId="xl150">
    <w:name w:val="xl150"/>
    <w:basedOn w:val="a0"/>
    <w:qFormat/>
    <w:rsid w:val="00B02C6E"/>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51">
    <w:name w:val="xl151"/>
    <w:basedOn w:val="a0"/>
    <w:qFormat/>
    <w:rsid w:val="00B02C6E"/>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152">
    <w:name w:val="xl152"/>
    <w:basedOn w:val="a0"/>
    <w:qFormat/>
    <w:rsid w:val="00B02C6E"/>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153">
    <w:name w:val="xl153"/>
    <w:basedOn w:val="a0"/>
    <w:qFormat/>
    <w:rsid w:val="00B02C6E"/>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154">
    <w:name w:val="xl154"/>
    <w:basedOn w:val="a0"/>
    <w:qFormat/>
    <w:rsid w:val="00B02C6E"/>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55">
    <w:name w:val="xl155"/>
    <w:basedOn w:val="a0"/>
    <w:qFormat/>
    <w:rsid w:val="00B02C6E"/>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56">
    <w:name w:val="xl156"/>
    <w:basedOn w:val="a0"/>
    <w:qFormat/>
    <w:rsid w:val="00B02C6E"/>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57">
    <w:name w:val="xl157"/>
    <w:basedOn w:val="a0"/>
    <w:qFormat/>
    <w:rsid w:val="00B02C6E"/>
    <w:pPr>
      <w:widowControl/>
      <w:pBdr>
        <w:top w:val="single" w:sz="4" w:space="0" w:color="auto"/>
        <w:left w:val="single" w:sz="4" w:space="0" w:color="auto"/>
        <w:right w:val="single" w:sz="4" w:space="0" w:color="auto"/>
      </w:pBdr>
      <w:shd w:val="clear" w:color="000000" w:fill="FF0000"/>
      <w:spacing w:before="100" w:beforeAutospacing="1" w:after="100" w:afterAutospacing="1"/>
      <w:jc w:val="left"/>
    </w:pPr>
    <w:rPr>
      <w:rFonts w:ascii="仿宋_GB2312" w:eastAsia="仿宋_GB2312" w:hAnsi="宋体" w:cs="宋体"/>
      <w:kern w:val="0"/>
      <w:sz w:val="24"/>
    </w:rPr>
  </w:style>
  <w:style w:type="paragraph" w:customStyle="1" w:styleId="xl158">
    <w:name w:val="xl158"/>
    <w:basedOn w:val="a0"/>
    <w:qFormat/>
    <w:rsid w:val="00B02C6E"/>
    <w:pPr>
      <w:widowControl/>
      <w:pBdr>
        <w:left w:val="single" w:sz="4" w:space="0" w:color="auto"/>
        <w:right w:val="single" w:sz="4" w:space="0" w:color="auto"/>
      </w:pBdr>
      <w:shd w:val="clear" w:color="000000" w:fill="FF0000"/>
      <w:spacing w:before="100" w:beforeAutospacing="1" w:after="100" w:afterAutospacing="1"/>
      <w:jc w:val="left"/>
    </w:pPr>
    <w:rPr>
      <w:rFonts w:ascii="仿宋_GB2312" w:eastAsia="仿宋_GB2312" w:hAnsi="宋体" w:cs="宋体"/>
      <w:kern w:val="0"/>
      <w:sz w:val="24"/>
    </w:rPr>
  </w:style>
  <w:style w:type="paragraph" w:customStyle="1" w:styleId="xl159">
    <w:name w:val="xl159"/>
    <w:basedOn w:val="a0"/>
    <w:qFormat/>
    <w:rsid w:val="00B02C6E"/>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pPr>
    <w:rPr>
      <w:rFonts w:ascii="仿宋_GB2312" w:eastAsia="仿宋_GB2312" w:hAnsi="宋体" w:cs="宋体"/>
      <w:kern w:val="0"/>
      <w:sz w:val="24"/>
    </w:rPr>
  </w:style>
  <w:style w:type="paragraph" w:customStyle="1" w:styleId="xl160">
    <w:name w:val="xl160"/>
    <w:basedOn w:val="a0"/>
    <w:qFormat/>
    <w:rsid w:val="00B02C6E"/>
    <w:pPr>
      <w:widowControl/>
      <w:pBdr>
        <w:top w:val="single" w:sz="4" w:space="0" w:color="auto"/>
        <w:left w:val="single" w:sz="4" w:space="0" w:color="auto"/>
        <w:right w:val="single" w:sz="4" w:space="0" w:color="auto"/>
      </w:pBdr>
      <w:shd w:val="clear" w:color="000000" w:fill="D9D9D9"/>
      <w:spacing w:before="100" w:beforeAutospacing="1" w:after="100" w:afterAutospacing="1"/>
      <w:jc w:val="left"/>
    </w:pPr>
    <w:rPr>
      <w:rFonts w:ascii="仿宋_GB2312" w:eastAsia="仿宋_GB2312" w:hAnsi="宋体" w:cs="宋体"/>
      <w:kern w:val="0"/>
      <w:sz w:val="24"/>
    </w:rPr>
  </w:style>
  <w:style w:type="paragraph" w:customStyle="1" w:styleId="xl161">
    <w:name w:val="xl161"/>
    <w:basedOn w:val="a0"/>
    <w:qFormat/>
    <w:rsid w:val="00B02C6E"/>
    <w:pPr>
      <w:widowControl/>
      <w:pBdr>
        <w:left w:val="single" w:sz="4" w:space="0" w:color="auto"/>
        <w:right w:val="single" w:sz="4" w:space="0" w:color="auto"/>
      </w:pBdr>
      <w:shd w:val="clear" w:color="000000" w:fill="D9D9D9"/>
      <w:spacing w:before="100" w:beforeAutospacing="1" w:after="100" w:afterAutospacing="1"/>
      <w:jc w:val="left"/>
    </w:pPr>
    <w:rPr>
      <w:rFonts w:ascii="仿宋_GB2312" w:eastAsia="仿宋_GB2312" w:hAnsi="宋体" w:cs="宋体"/>
      <w:kern w:val="0"/>
      <w:sz w:val="24"/>
    </w:rPr>
  </w:style>
  <w:style w:type="paragraph" w:customStyle="1" w:styleId="xl162">
    <w:name w:val="xl162"/>
    <w:basedOn w:val="a0"/>
    <w:qFormat/>
    <w:rsid w:val="00B02C6E"/>
    <w:pPr>
      <w:widowControl/>
      <w:pBdr>
        <w:left w:val="single" w:sz="4" w:space="0" w:color="auto"/>
        <w:bottom w:val="single" w:sz="4" w:space="0" w:color="auto"/>
        <w:right w:val="single" w:sz="4" w:space="0" w:color="auto"/>
      </w:pBdr>
      <w:shd w:val="clear" w:color="000000" w:fill="D9D9D9"/>
      <w:spacing w:before="100" w:beforeAutospacing="1" w:after="100" w:afterAutospacing="1"/>
      <w:jc w:val="left"/>
    </w:pPr>
    <w:rPr>
      <w:rFonts w:ascii="仿宋_GB2312" w:eastAsia="仿宋_GB2312" w:hAnsi="宋体" w:cs="宋体"/>
      <w:kern w:val="0"/>
      <w:sz w:val="24"/>
    </w:rPr>
  </w:style>
  <w:style w:type="paragraph" w:customStyle="1" w:styleId="xl163">
    <w:name w:val="xl163"/>
    <w:basedOn w:val="a0"/>
    <w:qFormat/>
    <w:rsid w:val="00B02C6E"/>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64">
    <w:name w:val="xl164"/>
    <w:basedOn w:val="a0"/>
    <w:qFormat/>
    <w:rsid w:val="00B02C6E"/>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65">
    <w:name w:val="xl165"/>
    <w:basedOn w:val="a0"/>
    <w:qFormat/>
    <w:rsid w:val="00B02C6E"/>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66">
    <w:name w:val="xl166"/>
    <w:basedOn w:val="a0"/>
    <w:qFormat/>
    <w:rsid w:val="00B02C6E"/>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167">
    <w:name w:val="xl167"/>
    <w:basedOn w:val="a0"/>
    <w:qFormat/>
    <w:rsid w:val="00B02C6E"/>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168">
    <w:name w:val="xl168"/>
    <w:basedOn w:val="a0"/>
    <w:qFormat/>
    <w:rsid w:val="00B02C6E"/>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169">
    <w:name w:val="xl169"/>
    <w:basedOn w:val="a0"/>
    <w:qFormat/>
    <w:rsid w:val="00B02C6E"/>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170">
    <w:name w:val="xl170"/>
    <w:basedOn w:val="a0"/>
    <w:qFormat/>
    <w:rsid w:val="00B02C6E"/>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171">
    <w:name w:val="xl171"/>
    <w:basedOn w:val="a0"/>
    <w:qFormat/>
    <w:rsid w:val="00B02C6E"/>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172">
    <w:name w:val="xl172"/>
    <w:basedOn w:val="a0"/>
    <w:qFormat/>
    <w:rsid w:val="00B02C6E"/>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73">
    <w:name w:val="xl173"/>
    <w:basedOn w:val="a0"/>
    <w:qFormat/>
    <w:rsid w:val="00B02C6E"/>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74">
    <w:name w:val="xl174"/>
    <w:basedOn w:val="a0"/>
    <w:qFormat/>
    <w:rsid w:val="00B02C6E"/>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TOC40">
    <w:name w:val="TOC 标题4"/>
    <w:basedOn w:val="1"/>
    <w:next w:val="a0"/>
    <w:uiPriority w:val="39"/>
    <w:unhideWhenUsed/>
    <w:qFormat/>
    <w:rsid w:val="00B02C6E"/>
    <w:pPr>
      <w:widowControl/>
      <w:numPr>
        <w:numId w:val="0"/>
      </w:numPr>
      <w:spacing w:before="240" w:line="259" w:lineRule="auto"/>
      <w:outlineLvl w:val="9"/>
    </w:pPr>
    <w:rPr>
      <w:rFonts w:ascii="Calibri Light" w:eastAsia="宋体" w:hAnsi="Calibri Light"/>
      <w:bCs w:val="0"/>
      <w:color w:val="2D73B3"/>
      <w:kern w:val="0"/>
      <w:szCs w:val="32"/>
    </w:rPr>
  </w:style>
  <w:style w:type="paragraph" w:customStyle="1" w:styleId="000">
    <w:name w:val="正文_0_0"/>
    <w:qFormat/>
    <w:rsid w:val="00B02C6E"/>
    <w:pPr>
      <w:widowControl w:val="0"/>
      <w:jc w:val="both"/>
    </w:pPr>
    <w:rPr>
      <w:rFonts w:ascii="Times New Roman" w:eastAsia="宋体" w:hAnsi="Times New Roman" w:cs="Times New Roman"/>
      <w:szCs w:val="24"/>
    </w:rPr>
  </w:style>
  <w:style w:type="paragraph" w:customStyle="1" w:styleId="170">
    <w:name w:val="修订17"/>
    <w:hidden/>
    <w:uiPriority w:val="99"/>
    <w:semiHidden/>
    <w:qFormat/>
    <w:rsid w:val="00B02C6E"/>
    <w:rPr>
      <w:rFonts w:ascii="Times New Roman" w:eastAsia="宋体" w:hAnsi="Times New Roman" w:cs="黑体"/>
      <w:sz w:val="24"/>
    </w:rPr>
  </w:style>
  <w:style w:type="paragraph" w:customStyle="1" w:styleId="p0">
    <w:name w:val="p0"/>
    <w:basedOn w:val="a0"/>
    <w:qFormat/>
    <w:rsid w:val="00B02C6E"/>
    <w:pPr>
      <w:widowControl/>
    </w:pPr>
    <w:rPr>
      <w:rFonts w:ascii="Times New Roman" w:hAnsi="Times New Roman" w:cs="Times New Roman"/>
      <w:kern w:val="0"/>
      <w:szCs w:val="20"/>
    </w:rPr>
  </w:style>
  <w:style w:type="paragraph" w:customStyle="1" w:styleId="afff5">
    <w:name w:val="设计正文"/>
    <w:basedOn w:val="a0"/>
    <w:qFormat/>
    <w:rsid w:val="00B02C6E"/>
    <w:pPr>
      <w:spacing w:line="400" w:lineRule="exact"/>
      <w:ind w:firstLineChars="200" w:firstLine="200"/>
    </w:pPr>
    <w:rPr>
      <w:rFonts w:ascii="仿宋_GB2312" w:hAnsi="仿宋_GB2312"/>
      <w:sz w:val="24"/>
      <w:szCs w:val="22"/>
    </w:rPr>
  </w:style>
  <w:style w:type="paragraph" w:customStyle="1" w:styleId="afff6">
    <w:name w:val="新正文"/>
    <w:basedOn w:val="a0"/>
    <w:qFormat/>
    <w:rsid w:val="00B02C6E"/>
    <w:pPr>
      <w:snapToGrid w:val="0"/>
      <w:spacing w:line="360" w:lineRule="auto"/>
      <w:ind w:firstLineChars="200" w:firstLine="200"/>
    </w:pPr>
    <w:rPr>
      <w:rFonts w:ascii="Arial" w:eastAsia="仿宋_GB2312" w:hAnsi="Arial" w:cs="Times New Roman (Body CS)"/>
      <w:sz w:val="28"/>
      <w:szCs w:val="28"/>
    </w:rPr>
  </w:style>
  <w:style w:type="character" w:customStyle="1" w:styleId="aff5">
    <w:name w:val="高发正文 字符"/>
    <w:basedOn w:val="a1"/>
    <w:link w:val="aff4"/>
    <w:qFormat/>
    <w:rsid w:val="00B02C6E"/>
    <w:rPr>
      <w:rFonts w:ascii="宋体" w:eastAsia="宋体" w:hAnsi="宋体" w:cs="宋体"/>
      <w:color w:val="000000"/>
      <w:kern w:val="0"/>
      <w:sz w:val="24"/>
      <w:szCs w:val="24"/>
    </w:rPr>
  </w:style>
  <w:style w:type="character" w:customStyle="1" w:styleId="Char">
    <w:name w:val="方案正文 Char"/>
    <w:link w:val="aff6"/>
    <w:qFormat/>
    <w:rsid w:val="00B02C6E"/>
    <w:rPr>
      <w:rFonts w:ascii="宋体" w:eastAsia="宋体" w:hAnsi="宋体" w:cs="Times New Roman"/>
      <w:color w:val="000000"/>
      <w:kern w:val="0"/>
      <w:sz w:val="24"/>
      <w:szCs w:val="24"/>
    </w:rPr>
  </w:style>
  <w:style w:type="character" w:customStyle="1" w:styleId="aff3">
    <w:name w:val="无间隔 字符"/>
    <w:basedOn w:val="a1"/>
    <w:link w:val="12"/>
    <w:uiPriority w:val="1"/>
    <w:qFormat/>
    <w:rsid w:val="00B02C6E"/>
    <w:rPr>
      <w:rFonts w:ascii="Times New Roman" w:eastAsia="宋体" w:hAnsi="Times New Roman" w:cs="黑体"/>
      <w:sz w:val="24"/>
    </w:rPr>
  </w:style>
  <w:style w:type="character" w:customStyle="1" w:styleId="aff2">
    <w:name w:val="列表段落 字符"/>
    <w:link w:val="11"/>
    <w:uiPriority w:val="34"/>
    <w:qFormat/>
    <w:rsid w:val="00B02C6E"/>
    <w:rPr>
      <w:rFonts w:ascii="Times New Roman" w:eastAsia="宋体" w:hAnsi="Times New Roman" w:cs="黑体"/>
      <w:sz w:val="24"/>
    </w:rPr>
  </w:style>
  <w:style w:type="character" w:customStyle="1" w:styleId="0Char">
    <w:name w:val="0段落文字 Char"/>
    <w:link w:val="0"/>
    <w:qFormat/>
    <w:rsid w:val="00B02C6E"/>
    <w:rPr>
      <w:rFonts w:ascii="Times New Roman" w:eastAsia="宋体" w:hAnsi="Times New Roman" w:cs="Times New Roman"/>
      <w:sz w:val="24"/>
      <w:szCs w:val="21"/>
    </w:rPr>
  </w:style>
  <w:style w:type="character" w:customStyle="1" w:styleId="font41">
    <w:name w:val="font41"/>
    <w:basedOn w:val="a1"/>
    <w:qFormat/>
    <w:rsid w:val="00B02C6E"/>
    <w:rPr>
      <w:rFonts w:ascii="宋体" w:eastAsia="宋体" w:hAnsi="宋体" w:cs="宋体" w:hint="eastAsia"/>
      <w:color w:val="000000"/>
      <w:sz w:val="21"/>
      <w:szCs w:val="21"/>
      <w:u w:val="none"/>
    </w:rPr>
  </w:style>
  <w:style w:type="character" w:customStyle="1" w:styleId="font81">
    <w:name w:val="font81"/>
    <w:basedOn w:val="a1"/>
    <w:qFormat/>
    <w:rsid w:val="00B02C6E"/>
    <w:rPr>
      <w:rFonts w:ascii="Times New Roman" w:hAnsi="Times New Roman" w:cs="Times New Roman" w:hint="default"/>
      <w:color w:val="000000"/>
      <w:sz w:val="21"/>
      <w:szCs w:val="21"/>
      <w:u w:val="none"/>
    </w:rPr>
  </w:style>
  <w:style w:type="character" w:customStyle="1" w:styleId="font51">
    <w:name w:val="font51"/>
    <w:basedOn w:val="a1"/>
    <w:qFormat/>
    <w:rsid w:val="00B02C6E"/>
    <w:rPr>
      <w:rFonts w:ascii="宋体" w:eastAsia="宋体" w:hAnsi="宋体" w:cs="宋体" w:hint="eastAsia"/>
      <w:color w:val="000000"/>
      <w:sz w:val="21"/>
      <w:szCs w:val="21"/>
      <w:u w:val="none"/>
    </w:rPr>
  </w:style>
  <w:style w:type="character" w:customStyle="1" w:styleId="font91">
    <w:name w:val="font91"/>
    <w:basedOn w:val="a1"/>
    <w:qFormat/>
    <w:rsid w:val="00B02C6E"/>
    <w:rPr>
      <w:rFonts w:ascii="Times New Roman" w:hAnsi="Times New Roman" w:cs="Times New Roman" w:hint="default"/>
      <w:color w:val="000000"/>
      <w:sz w:val="24"/>
      <w:szCs w:val="24"/>
      <w:u w:val="none"/>
    </w:rPr>
  </w:style>
  <w:style w:type="character" w:customStyle="1" w:styleId="font101">
    <w:name w:val="font101"/>
    <w:basedOn w:val="a1"/>
    <w:qFormat/>
    <w:rsid w:val="00B02C6E"/>
    <w:rPr>
      <w:rFonts w:ascii="宋体" w:eastAsia="宋体" w:hAnsi="宋体" w:cs="宋体" w:hint="eastAsia"/>
      <w:color w:val="000000"/>
      <w:sz w:val="24"/>
      <w:szCs w:val="24"/>
      <w:u w:val="none"/>
    </w:rPr>
  </w:style>
  <w:style w:type="character" w:customStyle="1" w:styleId="font11">
    <w:name w:val="font11"/>
    <w:basedOn w:val="a1"/>
    <w:qFormat/>
    <w:rsid w:val="00B02C6E"/>
    <w:rPr>
      <w:rFonts w:ascii="宋体" w:eastAsia="宋体" w:hAnsi="宋体" w:cs="宋体" w:hint="eastAsia"/>
      <w:color w:val="FF0000"/>
      <w:sz w:val="21"/>
      <w:szCs w:val="21"/>
      <w:u w:val="none"/>
    </w:rPr>
  </w:style>
  <w:style w:type="character" w:customStyle="1" w:styleId="font01">
    <w:name w:val="font01"/>
    <w:basedOn w:val="a1"/>
    <w:qFormat/>
    <w:rsid w:val="00B02C6E"/>
    <w:rPr>
      <w:rFonts w:ascii="宋体" w:eastAsia="宋体" w:hAnsi="宋体" w:cs="宋体" w:hint="eastAsia"/>
      <w:color w:val="000000"/>
      <w:sz w:val="22"/>
      <w:szCs w:val="22"/>
      <w:u w:val="none"/>
    </w:rPr>
  </w:style>
  <w:style w:type="character" w:customStyle="1" w:styleId="TOC20">
    <w:name w:val="TOC 2 字符"/>
    <w:link w:val="TOC2"/>
    <w:uiPriority w:val="39"/>
    <w:qFormat/>
    <w:rsid w:val="00B02C6E"/>
    <w:rPr>
      <w:rFonts w:ascii="Calibri" w:eastAsia="宋体" w:hAnsi="Calibri" w:cs="Calibri"/>
      <w:smallCaps/>
      <w:sz w:val="20"/>
      <w:szCs w:val="20"/>
    </w:rPr>
  </w:style>
  <w:style w:type="character" w:customStyle="1" w:styleId="a5">
    <w:name w:val="正文缩进 字符"/>
    <w:link w:val="a4"/>
    <w:uiPriority w:val="99"/>
    <w:qFormat/>
    <w:rsid w:val="00B02C6E"/>
    <w:rPr>
      <w:rFonts w:ascii="等线" w:eastAsia="仿宋_GB2312" w:hAnsi="等线" w:cs="Times New Roman"/>
      <w:kern w:val="0"/>
      <w:sz w:val="24"/>
      <w:szCs w:val="20"/>
    </w:rPr>
  </w:style>
  <w:style w:type="character" w:customStyle="1" w:styleId="a7">
    <w:name w:val="题注 字符"/>
    <w:link w:val="a6"/>
    <w:uiPriority w:val="35"/>
    <w:qFormat/>
    <w:rsid w:val="00B02C6E"/>
    <w:rPr>
      <w:rFonts w:ascii="黑体" w:eastAsia="黑体" w:hAnsi="黑体" w:cs="黑体"/>
      <w:sz w:val="20"/>
      <w:szCs w:val="20"/>
    </w:rPr>
  </w:style>
  <w:style w:type="character" w:customStyle="1" w:styleId="Char2">
    <w:name w:val="页眉 Char2"/>
    <w:uiPriority w:val="99"/>
    <w:qFormat/>
    <w:rsid w:val="00B02C6E"/>
    <w:rPr>
      <w:rFonts w:ascii="Times New Roman" w:eastAsia="宋体" w:hAnsi="Times New Roman"/>
      <w:sz w:val="18"/>
      <w:szCs w:val="18"/>
    </w:rPr>
  </w:style>
  <w:style w:type="character" w:customStyle="1" w:styleId="Char3">
    <w:name w:val="页脚 Char3"/>
    <w:uiPriority w:val="99"/>
    <w:qFormat/>
    <w:rsid w:val="00B02C6E"/>
    <w:rPr>
      <w:rFonts w:ascii="Times New Roman" w:eastAsia="宋体" w:hAnsi="Times New Roman"/>
      <w:sz w:val="18"/>
      <w:szCs w:val="18"/>
    </w:rPr>
  </w:style>
  <w:style w:type="character" w:customStyle="1" w:styleId="5Char">
    <w:name w:val="样式5 Char"/>
    <w:link w:val="53"/>
    <w:qFormat/>
    <w:locked/>
    <w:rsid w:val="00B02C6E"/>
    <w:rPr>
      <w:rFonts w:ascii="宋体" w:eastAsia="黑体" w:hAnsi="宋体" w:cs="黑体"/>
      <w:b/>
      <w:kern w:val="0"/>
      <w:sz w:val="28"/>
      <w:szCs w:val="28"/>
    </w:rPr>
  </w:style>
  <w:style w:type="character" w:customStyle="1" w:styleId="4Char">
    <w:name w:val="样式4 Char"/>
    <w:link w:val="41"/>
    <w:qFormat/>
    <w:locked/>
    <w:rsid w:val="00B02C6E"/>
    <w:rPr>
      <w:rFonts w:ascii="宋体" w:eastAsia="黑体" w:hAnsi="宋体" w:cs="黑体"/>
      <w:b/>
      <w:kern w:val="0"/>
      <w:sz w:val="28"/>
      <w:szCs w:val="28"/>
    </w:rPr>
  </w:style>
  <w:style w:type="character" w:customStyle="1" w:styleId="Char4">
    <w:name w:val="批注文字 Char"/>
    <w:basedOn w:val="a1"/>
    <w:uiPriority w:val="99"/>
    <w:qFormat/>
    <w:rsid w:val="00B02C6E"/>
    <w:rPr>
      <w:rFonts w:ascii="Times New Roman" w:eastAsia="仿宋_GB2312" w:hAnsi="Times New Roman" w:cs="黑体"/>
      <w:sz w:val="24"/>
    </w:rPr>
  </w:style>
  <w:style w:type="character" w:customStyle="1" w:styleId="19">
    <w:name w:val="明显强调1"/>
    <w:basedOn w:val="a1"/>
    <w:uiPriority w:val="21"/>
    <w:qFormat/>
    <w:rsid w:val="00B02C6E"/>
    <w:rPr>
      <w:i/>
      <w:iCs/>
      <w:color w:val="5B9BD5"/>
    </w:rPr>
  </w:style>
  <w:style w:type="character" w:customStyle="1" w:styleId="affa">
    <w:name w:val="引用 字符"/>
    <w:basedOn w:val="a1"/>
    <w:link w:val="15"/>
    <w:uiPriority w:val="29"/>
    <w:qFormat/>
    <w:rsid w:val="00B02C6E"/>
    <w:rPr>
      <w:rFonts w:ascii="Times New Roman" w:eastAsia="仿宋_GB2312" w:hAnsi="Times New Roman" w:cs="黑体"/>
      <w:i/>
      <w:iCs/>
      <w:color w:val="3F3F3F"/>
      <w:sz w:val="24"/>
    </w:rPr>
  </w:style>
  <w:style w:type="character" w:customStyle="1" w:styleId="Char10">
    <w:name w:val="正文首行缩进 Char1"/>
    <w:basedOn w:val="ab"/>
    <w:uiPriority w:val="99"/>
    <w:semiHidden/>
    <w:qFormat/>
    <w:rsid w:val="00B02C6E"/>
    <w:rPr>
      <w:rFonts w:ascii="仿宋_GB2312" w:eastAsia="微软雅黑" w:hAnsi="仿宋_GB2312" w:cs="Times New Roman"/>
      <w:kern w:val="0"/>
      <w:sz w:val="24"/>
      <w:szCs w:val="21"/>
      <w:lang w:val="zh-CN" w:bidi="zh-CN"/>
    </w:rPr>
  </w:style>
  <w:style w:type="character" w:customStyle="1" w:styleId="Char0">
    <w:name w:val="封面项目名称 Char"/>
    <w:link w:val="affb"/>
    <w:qFormat/>
    <w:locked/>
    <w:rsid w:val="00B02C6E"/>
    <w:rPr>
      <w:rFonts w:ascii="仿宋_GB2312" w:eastAsia="方正小标宋_GBK" w:hAnsi="Calibri" w:cs="黑体"/>
      <w:kern w:val="0"/>
      <w:sz w:val="48"/>
      <w:szCs w:val="21"/>
    </w:rPr>
  </w:style>
  <w:style w:type="character" w:customStyle="1" w:styleId="Char1">
    <w:name w:val="*正文 Char"/>
    <w:link w:val="affc"/>
    <w:qFormat/>
    <w:rsid w:val="00B02C6E"/>
    <w:rPr>
      <w:rFonts w:ascii="Times New Roman" w:eastAsia="宋体" w:hAnsi="Times New Roman" w:cs="Times New Roman"/>
      <w:sz w:val="24"/>
      <w:szCs w:val="24"/>
    </w:rPr>
  </w:style>
  <w:style w:type="character" w:customStyle="1" w:styleId="Char40">
    <w:name w:val="批注文字 Char4"/>
    <w:uiPriority w:val="99"/>
    <w:qFormat/>
    <w:rsid w:val="00B02C6E"/>
    <w:rPr>
      <w:rFonts w:cs="黑体"/>
      <w:kern w:val="2"/>
      <w:sz w:val="24"/>
      <w:szCs w:val="22"/>
    </w:rPr>
  </w:style>
  <w:style w:type="character" w:customStyle="1" w:styleId="Char11">
    <w:name w:val="页脚 Char1"/>
    <w:basedOn w:val="a1"/>
    <w:uiPriority w:val="99"/>
    <w:semiHidden/>
    <w:qFormat/>
    <w:rsid w:val="00B02C6E"/>
    <w:rPr>
      <w:rFonts w:eastAsia="仿宋_GB2312" w:cs="黑体"/>
      <w:kern w:val="2"/>
      <w:sz w:val="18"/>
      <w:szCs w:val="18"/>
    </w:rPr>
  </w:style>
  <w:style w:type="character" w:customStyle="1" w:styleId="afff3">
    <w:name w:val="列出段落 字符"/>
    <w:link w:val="16"/>
    <w:uiPriority w:val="34"/>
    <w:qFormat/>
    <w:rsid w:val="00B02C6E"/>
    <w:rPr>
      <w:rFonts w:ascii="等线" w:eastAsia="仿宋_GB2312" w:hAnsi="等线" w:cs="黑体"/>
      <w:sz w:val="24"/>
    </w:rPr>
  </w:style>
  <w:style w:type="character" w:customStyle="1" w:styleId="0Char0">
    <w:name w:val="样式 首行缩进:  0 字符 Char"/>
    <w:link w:val="0b"/>
    <w:uiPriority w:val="99"/>
    <w:qFormat/>
    <w:locked/>
    <w:rsid w:val="00B02C6E"/>
    <w:rPr>
      <w:rFonts w:ascii="Arial" w:eastAsia="仿宋_GB2312" w:hAnsi="Arial" w:cs="Times New Roman"/>
      <w:kern w:val="0"/>
      <w:sz w:val="24"/>
      <w:szCs w:val="20"/>
    </w:rPr>
  </w:style>
  <w:style w:type="character" w:customStyle="1" w:styleId="-SUTPC0">
    <w:name w:val="正文-SUTPC 字符"/>
    <w:link w:val="-SUTPC"/>
    <w:qFormat/>
    <w:rsid w:val="00B02C6E"/>
    <w:rPr>
      <w:rFonts w:ascii="等线" w:eastAsia="仿宋_GB2312" w:hAnsi="等线" w:cs="Times New Roman"/>
      <w:kern w:val="0"/>
      <w:sz w:val="24"/>
      <w:szCs w:val="20"/>
    </w:rPr>
  </w:style>
  <w:style w:type="character" w:customStyle="1" w:styleId="1a">
    <w:name w:val="标题 字符1"/>
    <w:basedOn w:val="a1"/>
    <w:uiPriority w:val="10"/>
    <w:qFormat/>
    <w:rsid w:val="00B02C6E"/>
    <w:rPr>
      <w:rFonts w:ascii="等线 Light" w:eastAsia="等线 Light" w:hAnsi="等线 Light" w:cs="Times New Roman"/>
      <w:b/>
      <w:bCs/>
      <w:sz w:val="32"/>
      <w:szCs w:val="32"/>
    </w:rPr>
  </w:style>
  <w:style w:type="character" w:customStyle="1" w:styleId="1b">
    <w:name w:val="引用 字符1"/>
    <w:basedOn w:val="a1"/>
    <w:uiPriority w:val="29"/>
    <w:qFormat/>
    <w:rsid w:val="00B02C6E"/>
    <w:rPr>
      <w:rFonts w:ascii="Times New Roman" w:eastAsia="宋体" w:hAnsi="Times New Roman" w:cs="Times New Roman"/>
      <w:i/>
      <w:iCs/>
      <w:color w:val="404040"/>
    </w:rPr>
  </w:style>
  <w:style w:type="character" w:customStyle="1" w:styleId="font61">
    <w:name w:val="font61"/>
    <w:basedOn w:val="a1"/>
    <w:qFormat/>
    <w:rsid w:val="00B02C6E"/>
    <w:rPr>
      <w:rFonts w:ascii="仿宋_GB2312" w:eastAsia="仿宋_GB2312" w:cs="仿宋_GB2312" w:hint="eastAsia"/>
      <w:color w:val="000000"/>
      <w:sz w:val="24"/>
      <w:szCs w:val="24"/>
      <w:u w:val="none"/>
    </w:rPr>
  </w:style>
  <w:style w:type="character" w:customStyle="1" w:styleId="font21">
    <w:name w:val="font21"/>
    <w:basedOn w:val="a1"/>
    <w:qFormat/>
    <w:rsid w:val="00B02C6E"/>
    <w:rPr>
      <w:rFonts w:ascii="等线" w:eastAsia="等线" w:hAnsi="等线" w:cs="等线" w:hint="eastAsia"/>
      <w:color w:val="000000"/>
      <w:sz w:val="24"/>
      <w:szCs w:val="24"/>
      <w:u w:val="none"/>
    </w:rPr>
  </w:style>
  <w:style w:type="character" w:customStyle="1" w:styleId="font31">
    <w:name w:val="font31"/>
    <w:basedOn w:val="a1"/>
    <w:qFormat/>
    <w:rsid w:val="00B02C6E"/>
    <w:rPr>
      <w:rFonts w:ascii="仿宋_GB2312" w:eastAsia="仿宋_GB2312" w:cs="仿宋_GB2312" w:hint="eastAsia"/>
      <w:color w:val="000000"/>
      <w:sz w:val="24"/>
      <w:szCs w:val="24"/>
      <w:u w:val="none"/>
    </w:rPr>
  </w:style>
  <w:style w:type="character" w:customStyle="1" w:styleId="font71">
    <w:name w:val="font71"/>
    <w:basedOn w:val="a1"/>
    <w:qFormat/>
    <w:rsid w:val="00B02C6E"/>
    <w:rPr>
      <w:rFonts w:ascii="仿宋_GB2312" w:eastAsia="仿宋_GB2312" w:hint="eastAsia"/>
      <w:color w:val="000000"/>
      <w:sz w:val="24"/>
      <w:szCs w:val="24"/>
      <w:u w:val="none"/>
    </w:rPr>
  </w:style>
  <w:style w:type="character" w:customStyle="1" w:styleId="1c">
    <w:name w:val="未处理的提及1"/>
    <w:basedOn w:val="a1"/>
    <w:uiPriority w:val="99"/>
    <w:unhideWhenUsed/>
    <w:qFormat/>
    <w:rsid w:val="00B02C6E"/>
    <w:rPr>
      <w:color w:val="605E5C"/>
      <w:shd w:val="clear" w:color="auto" w:fill="E1DFDD"/>
    </w:rPr>
  </w:style>
  <w:style w:type="character" w:customStyle="1" w:styleId="114">
    <w:name w:val="未处理的提及11"/>
    <w:basedOn w:val="a1"/>
    <w:uiPriority w:val="99"/>
    <w:unhideWhenUsed/>
    <w:qFormat/>
    <w:rsid w:val="00B02C6E"/>
    <w:rPr>
      <w:color w:val="605E5C"/>
      <w:shd w:val="clear" w:color="auto" w:fill="E1DFDD"/>
    </w:rPr>
  </w:style>
  <w:style w:type="character" w:customStyle="1" w:styleId="25">
    <w:name w:val="未处理的提及2"/>
    <w:basedOn w:val="a1"/>
    <w:uiPriority w:val="99"/>
    <w:unhideWhenUsed/>
    <w:qFormat/>
    <w:rsid w:val="00B02C6E"/>
    <w:rPr>
      <w:color w:val="605E5C"/>
      <w:shd w:val="clear" w:color="auto" w:fill="E1DFDD"/>
    </w:rPr>
  </w:style>
  <w:style w:type="character" w:customStyle="1" w:styleId="32">
    <w:name w:val="未处理的提及3"/>
    <w:basedOn w:val="a1"/>
    <w:uiPriority w:val="99"/>
    <w:unhideWhenUsed/>
    <w:qFormat/>
    <w:rsid w:val="00B02C6E"/>
    <w:rPr>
      <w:color w:val="605E5C"/>
      <w:shd w:val="clear" w:color="auto" w:fill="E1DFDD"/>
    </w:rPr>
  </w:style>
  <w:style w:type="character" w:customStyle="1" w:styleId="43">
    <w:name w:val="未处理的提及4"/>
    <w:basedOn w:val="a1"/>
    <w:uiPriority w:val="99"/>
    <w:unhideWhenUsed/>
    <w:qFormat/>
    <w:rsid w:val="00B02C6E"/>
    <w:rPr>
      <w:color w:val="605E5C"/>
      <w:shd w:val="clear" w:color="auto" w:fill="E1DFDD"/>
    </w:rPr>
  </w:style>
  <w:style w:type="character" w:customStyle="1" w:styleId="55">
    <w:name w:val="未处理的提及5"/>
    <w:basedOn w:val="a1"/>
    <w:uiPriority w:val="99"/>
    <w:unhideWhenUsed/>
    <w:qFormat/>
    <w:rsid w:val="00B02C6E"/>
    <w:rPr>
      <w:color w:val="605E5C"/>
      <w:shd w:val="clear" w:color="auto" w:fill="E1DFDD"/>
    </w:rPr>
  </w:style>
  <w:style w:type="character" w:customStyle="1" w:styleId="font151">
    <w:name w:val="font151"/>
    <w:basedOn w:val="a1"/>
    <w:qFormat/>
    <w:rsid w:val="00B02C6E"/>
    <w:rPr>
      <w:rFonts w:ascii="MingLiU-ExtB" w:eastAsia="MingLiU-ExtB" w:hAnsi="MingLiU-ExtB" w:cs="MingLiU-ExtB"/>
      <w:color w:val="000000"/>
      <w:sz w:val="20"/>
      <w:szCs w:val="20"/>
      <w:u w:val="none"/>
    </w:rPr>
  </w:style>
  <w:style w:type="character" w:customStyle="1" w:styleId="font112">
    <w:name w:val="font112"/>
    <w:basedOn w:val="a1"/>
    <w:qFormat/>
    <w:rsid w:val="00B02C6E"/>
    <w:rPr>
      <w:rFonts w:ascii="宋体" w:eastAsia="宋体" w:hAnsi="宋体" w:cs="宋体" w:hint="eastAsia"/>
      <w:color w:val="000000"/>
      <w:sz w:val="21"/>
      <w:szCs w:val="21"/>
      <w:u w:val="none"/>
    </w:rPr>
  </w:style>
  <w:style w:type="character" w:customStyle="1" w:styleId="font121">
    <w:name w:val="font121"/>
    <w:basedOn w:val="a1"/>
    <w:qFormat/>
    <w:rsid w:val="00B02C6E"/>
    <w:rPr>
      <w:rFonts w:ascii="Calibri" w:hAnsi="Calibri" w:cs="Calibri" w:hint="default"/>
      <w:color w:val="000000"/>
      <w:sz w:val="21"/>
      <w:szCs w:val="21"/>
      <w:u w:val="none"/>
    </w:rPr>
  </w:style>
  <w:style w:type="character" w:customStyle="1" w:styleId="font131">
    <w:name w:val="font131"/>
    <w:basedOn w:val="a1"/>
    <w:qFormat/>
    <w:rsid w:val="00B02C6E"/>
    <w:rPr>
      <w:rFonts w:ascii="Calibri" w:hAnsi="Calibri" w:cs="Calibri" w:hint="default"/>
      <w:color w:val="FF0000"/>
      <w:sz w:val="21"/>
      <w:szCs w:val="21"/>
      <w:u w:val="none"/>
    </w:rPr>
  </w:style>
  <w:style w:type="table" w:customStyle="1" w:styleId="TableNormal">
    <w:name w:val="Table Normal"/>
    <w:uiPriority w:val="2"/>
    <w:unhideWhenUsed/>
    <w:qFormat/>
    <w:rsid w:val="00B02C6E"/>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1d">
    <w:name w:val="表格样式一1"/>
    <w:basedOn w:val="a2"/>
    <w:uiPriority w:val="39"/>
    <w:qFormat/>
    <w:rsid w:val="00B02C6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样式一2"/>
    <w:basedOn w:val="a2"/>
    <w:uiPriority w:val="39"/>
    <w:qFormat/>
    <w:rsid w:val="00B02C6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样式一3"/>
    <w:basedOn w:val="a2"/>
    <w:uiPriority w:val="39"/>
    <w:qFormat/>
    <w:rsid w:val="00B02C6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uiPriority w:val="39"/>
    <w:qFormat/>
    <w:rsid w:val="00B02C6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2"/>
    <w:uiPriority w:val="99"/>
    <w:qFormat/>
    <w:rsid w:val="00B02C6E"/>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样式一11"/>
    <w:basedOn w:val="a2"/>
    <w:uiPriority w:val="39"/>
    <w:qFormat/>
    <w:rsid w:val="00B02C6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样式一21"/>
    <w:basedOn w:val="a2"/>
    <w:uiPriority w:val="39"/>
    <w:qFormat/>
    <w:rsid w:val="00B02C6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样式一31"/>
    <w:basedOn w:val="a2"/>
    <w:uiPriority w:val="39"/>
    <w:qFormat/>
    <w:rsid w:val="00B02C6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2"/>
    <w:uiPriority w:val="39"/>
    <w:qFormat/>
    <w:rsid w:val="00B02C6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定制网格型1"/>
    <w:basedOn w:val="a2"/>
    <w:uiPriority w:val="39"/>
    <w:qFormat/>
    <w:rsid w:val="00B02C6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0">
    <w:name w:val="修订18"/>
    <w:hidden/>
    <w:uiPriority w:val="99"/>
    <w:unhideWhenUsed/>
    <w:qFormat/>
    <w:rsid w:val="00B02C6E"/>
    <w:rPr>
      <w:rFonts w:ascii="Calibri" w:eastAsia="宋体" w:hAnsi="Calibri" w:cs="黑体"/>
      <w:szCs w:val="24"/>
    </w:rPr>
  </w:style>
  <w:style w:type="paragraph" w:customStyle="1" w:styleId="190">
    <w:name w:val="修订19"/>
    <w:hidden/>
    <w:uiPriority w:val="99"/>
    <w:unhideWhenUsed/>
    <w:qFormat/>
    <w:rsid w:val="00B02C6E"/>
    <w:rPr>
      <w:rFonts w:ascii="Calibri" w:eastAsia="宋体" w:hAnsi="Calibri" w:cs="黑体"/>
      <w:szCs w:val="24"/>
    </w:rPr>
  </w:style>
  <w:style w:type="paragraph" w:customStyle="1" w:styleId="200">
    <w:name w:val="修订20"/>
    <w:hidden/>
    <w:uiPriority w:val="99"/>
    <w:unhideWhenUsed/>
    <w:qFormat/>
    <w:rsid w:val="00B02C6E"/>
    <w:rPr>
      <w:rFonts w:ascii="Calibri" w:eastAsia="宋体" w:hAnsi="Calibri" w:cs="黑体"/>
      <w:szCs w:val="24"/>
    </w:rPr>
  </w:style>
  <w:style w:type="paragraph" w:styleId="afff7">
    <w:name w:val="Revision"/>
    <w:hidden/>
    <w:uiPriority w:val="99"/>
    <w:unhideWhenUsed/>
    <w:rsid w:val="00B02C6E"/>
    <w:rPr>
      <w:rFonts w:ascii="Calibri" w:eastAsia="宋体" w:hAnsi="Calibri" w:cs="黑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107</Pages>
  <Words>7688</Words>
  <Characters>43828</Characters>
  <Application>Microsoft Office Word</Application>
  <DocSecurity>0</DocSecurity>
  <Lines>365</Lines>
  <Paragraphs>102</Paragraphs>
  <ScaleCrop>false</ScaleCrop>
  <Company/>
  <LinksUpToDate>false</LinksUpToDate>
  <CharactersWithSpaces>51414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冯西韵</dc:creator>
  <cp:keywords/>
  <dc:description/>
  <cp:lastModifiedBy>冯西韵</cp:lastModifiedBy>
  <cp:revision>1</cp:revision>
  <dcterms:created xsi:type="dcterms:W3CDTF">2024-07-11T07:54:00Z</dcterms:created>
  <dcterms:modified xsi:type="dcterms:W3CDTF">2024-07-11T07:54:00Z</dcterms:modified>
</cp:coreProperties>
</file>