
<file path=[Content_Types].xml><?xml version="1.0" encoding="utf-8"?>
<Types xmlns="http://schemas.openxmlformats.org/package/2006/content-types">
  <Default Extension="xml" ContentType="application/xml"/>
  <Default Extension="jpeg" ContentType="image/jpeg"/>
  <Default Extension="JPG" ContentType="image/.jp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2D434E">
      <w:pPr>
        <w:jc w:val="right"/>
        <w:rPr>
          <w:rFonts w:ascii="宋体" w:hAnsi="宋体"/>
          <w:sz w:val="36"/>
          <w:szCs w:val="36"/>
          <w:highlight w:val="none"/>
        </w:rPr>
      </w:pPr>
      <w:bookmarkStart w:id="0" w:name="_Toc251569647"/>
      <w:bookmarkStart w:id="1" w:name="_Toc197843635"/>
      <w:bookmarkStart w:id="2" w:name="_Toc288578279"/>
    </w:p>
    <w:p w14:paraId="0DA17F77">
      <w:pPr>
        <w:jc w:val="center"/>
        <w:rPr>
          <w:rFonts w:hint="eastAsia" w:ascii="宋体" w:hAnsi="宋体" w:eastAsia="宋体"/>
          <w:sz w:val="32"/>
          <w:szCs w:val="32"/>
          <w:highlight w:val="none"/>
          <w:lang w:eastAsia="zh-CN"/>
        </w:rPr>
      </w:pPr>
      <w:r>
        <w:rPr>
          <w:rFonts w:hint="eastAsia" w:ascii="宋体" w:hAnsi="宋体"/>
          <w:b/>
          <w:sz w:val="52"/>
          <w:szCs w:val="52"/>
          <w:highlight w:val="none"/>
          <w:lang w:eastAsia="zh-CN"/>
        </w:rPr>
        <w:t>黄埔区刘村消防站建设工程、黄埔区深井消防站建设工程、萝岗区天鹿湖消防站第三方检测服务</w:t>
      </w:r>
    </w:p>
    <w:p w14:paraId="3A372AAF">
      <w:pPr>
        <w:spacing w:line="400" w:lineRule="exact"/>
        <w:jc w:val="center"/>
        <w:rPr>
          <w:rFonts w:ascii="宋体" w:hAnsi="宋体"/>
          <w:sz w:val="32"/>
          <w:szCs w:val="32"/>
          <w:highlight w:val="none"/>
        </w:rPr>
      </w:pPr>
    </w:p>
    <w:p w14:paraId="7E04FE3C">
      <w:pPr>
        <w:jc w:val="center"/>
        <w:rPr>
          <w:rFonts w:ascii="宋体" w:hAnsi="宋体"/>
          <w:sz w:val="32"/>
          <w:szCs w:val="32"/>
          <w:highlight w:val="none"/>
          <w:u w:val="single"/>
        </w:rPr>
      </w:pPr>
    </w:p>
    <w:p w14:paraId="38CBB766">
      <w:pPr>
        <w:jc w:val="center"/>
        <w:rPr>
          <w:rFonts w:ascii="宋体" w:hAnsi="宋体"/>
          <w:sz w:val="32"/>
          <w:szCs w:val="32"/>
          <w:highlight w:val="none"/>
          <w:u w:val="single"/>
        </w:rPr>
      </w:pPr>
    </w:p>
    <w:p w14:paraId="78E640E5">
      <w:pPr>
        <w:jc w:val="center"/>
        <w:rPr>
          <w:rFonts w:ascii="宋体" w:hAnsi="宋体"/>
          <w:sz w:val="32"/>
          <w:szCs w:val="32"/>
          <w:highlight w:val="none"/>
          <w:u w:val="single"/>
        </w:rPr>
      </w:pPr>
    </w:p>
    <w:p w14:paraId="3DB2C9F7">
      <w:pPr>
        <w:jc w:val="center"/>
        <w:rPr>
          <w:rFonts w:ascii="宋体" w:hAnsi="宋体"/>
          <w:sz w:val="72"/>
          <w:szCs w:val="72"/>
          <w:highlight w:val="none"/>
        </w:rPr>
      </w:pPr>
      <w:r>
        <w:rPr>
          <w:rFonts w:hint="eastAsia" w:ascii="宋体" w:hAnsi="宋体"/>
          <w:sz w:val="72"/>
          <w:szCs w:val="72"/>
          <w:highlight w:val="none"/>
        </w:rPr>
        <w:t>招标文件</w:t>
      </w:r>
    </w:p>
    <w:p w14:paraId="1CF0920E">
      <w:pPr>
        <w:jc w:val="center"/>
        <w:rPr>
          <w:rFonts w:ascii="宋体" w:hAnsi="宋体"/>
          <w:sz w:val="32"/>
          <w:szCs w:val="32"/>
          <w:highlight w:val="none"/>
          <w:u w:val="single"/>
        </w:rPr>
      </w:pPr>
    </w:p>
    <w:p w14:paraId="74674C8C">
      <w:pPr>
        <w:jc w:val="center"/>
        <w:rPr>
          <w:rFonts w:ascii="宋体" w:hAnsi="宋体"/>
          <w:sz w:val="32"/>
          <w:szCs w:val="32"/>
          <w:highlight w:val="none"/>
          <w:u w:val="single"/>
        </w:rPr>
      </w:pPr>
    </w:p>
    <w:p w14:paraId="01E89565">
      <w:pPr>
        <w:jc w:val="center"/>
        <w:rPr>
          <w:rFonts w:ascii="宋体" w:hAnsi="宋体"/>
          <w:sz w:val="32"/>
          <w:szCs w:val="32"/>
          <w:highlight w:val="none"/>
          <w:u w:val="single"/>
        </w:rPr>
      </w:pPr>
    </w:p>
    <w:p w14:paraId="09858879">
      <w:pPr>
        <w:jc w:val="center"/>
        <w:rPr>
          <w:rFonts w:ascii="宋体" w:hAnsi="宋体"/>
          <w:sz w:val="32"/>
          <w:szCs w:val="32"/>
          <w:highlight w:val="none"/>
          <w:u w:val="single"/>
        </w:rPr>
      </w:pPr>
    </w:p>
    <w:p w14:paraId="5F110AAD">
      <w:pPr>
        <w:rPr>
          <w:rFonts w:ascii="宋体" w:hAnsi="宋体"/>
          <w:sz w:val="32"/>
          <w:szCs w:val="32"/>
          <w:highlight w:val="none"/>
          <w:u w:val="single"/>
        </w:rPr>
      </w:pPr>
    </w:p>
    <w:p w14:paraId="73F8BDD8">
      <w:pPr>
        <w:rPr>
          <w:rFonts w:ascii="宋体" w:hAnsi="宋体"/>
          <w:sz w:val="32"/>
          <w:szCs w:val="32"/>
          <w:highlight w:val="none"/>
          <w:u w:val="single"/>
        </w:rPr>
      </w:pPr>
    </w:p>
    <w:p w14:paraId="719A5EDD">
      <w:pPr>
        <w:jc w:val="center"/>
        <w:rPr>
          <w:rFonts w:ascii="宋体" w:hAnsi="宋体"/>
          <w:sz w:val="32"/>
          <w:szCs w:val="32"/>
          <w:highlight w:val="none"/>
          <w:u w:val="single"/>
        </w:rPr>
      </w:pPr>
    </w:p>
    <w:p w14:paraId="7A535579">
      <w:pPr>
        <w:tabs>
          <w:tab w:val="left" w:pos="1050"/>
        </w:tabs>
        <w:snapToGrid w:val="0"/>
        <w:spacing w:line="360" w:lineRule="auto"/>
        <w:jc w:val="center"/>
        <w:rPr>
          <w:rFonts w:ascii="宋体" w:hAnsi="宋体"/>
          <w:b/>
          <w:sz w:val="28"/>
          <w:szCs w:val="24"/>
          <w:highlight w:val="none"/>
          <w:u w:val="single"/>
        </w:rPr>
      </w:pPr>
      <w:r>
        <w:rPr>
          <w:rFonts w:hint="eastAsia" w:ascii="宋体" w:hAnsi="宋体"/>
          <w:b/>
          <w:sz w:val="28"/>
          <w:szCs w:val="24"/>
          <w:highlight w:val="none"/>
        </w:rPr>
        <w:t>招标人：</w:t>
      </w:r>
      <w:r>
        <w:rPr>
          <w:rFonts w:hint="eastAsia" w:ascii="宋体" w:hAnsi="宋体"/>
          <w:b/>
          <w:sz w:val="28"/>
          <w:szCs w:val="24"/>
          <w:highlight w:val="none"/>
          <w:u w:val="single"/>
        </w:rPr>
        <w:t>广州开发区财政投资建设项目管理中心</w:t>
      </w:r>
      <w:r>
        <w:rPr>
          <w:rFonts w:hint="eastAsia" w:ascii="宋体" w:hAnsi="宋体"/>
          <w:b/>
          <w:sz w:val="28"/>
          <w:szCs w:val="24"/>
          <w:highlight w:val="none"/>
        </w:rPr>
        <w:t>（盖单位章）</w:t>
      </w:r>
    </w:p>
    <w:p w14:paraId="5739F2E1">
      <w:pPr>
        <w:tabs>
          <w:tab w:val="left" w:pos="1050"/>
        </w:tabs>
        <w:snapToGrid w:val="0"/>
        <w:spacing w:line="360" w:lineRule="auto"/>
        <w:ind w:firstLine="1063" w:firstLineChars="378"/>
        <w:jc w:val="left"/>
        <w:rPr>
          <w:rFonts w:ascii="宋体" w:hAnsi="宋体"/>
          <w:b/>
          <w:sz w:val="28"/>
          <w:szCs w:val="24"/>
          <w:highlight w:val="none"/>
        </w:rPr>
      </w:pPr>
      <w:r>
        <w:rPr>
          <w:rFonts w:hint="eastAsia" w:ascii="宋体" w:hAnsi="宋体"/>
          <w:b/>
          <w:sz w:val="28"/>
          <w:szCs w:val="24"/>
          <w:highlight w:val="none"/>
        </w:rPr>
        <w:t>招标代理机构：</w:t>
      </w:r>
      <w:r>
        <w:rPr>
          <w:rFonts w:hint="eastAsia" w:ascii="宋体" w:hAnsi="宋体"/>
          <w:b/>
          <w:sz w:val="28"/>
          <w:szCs w:val="24"/>
          <w:highlight w:val="none"/>
          <w:u w:val="single"/>
          <w:lang w:eastAsia="zh-CN"/>
        </w:rPr>
        <w:t>广州珠江监理咨询集团有限公司</w:t>
      </w:r>
      <w:r>
        <w:rPr>
          <w:rFonts w:hint="eastAsia" w:ascii="宋体" w:hAnsi="宋体"/>
          <w:b/>
          <w:sz w:val="28"/>
          <w:szCs w:val="24"/>
          <w:highlight w:val="none"/>
        </w:rPr>
        <w:t>（盖单位章）</w:t>
      </w:r>
    </w:p>
    <w:p w14:paraId="589A3AA1">
      <w:pPr>
        <w:snapToGrid w:val="0"/>
        <w:spacing w:line="360" w:lineRule="auto"/>
        <w:jc w:val="center"/>
        <w:rPr>
          <w:rFonts w:ascii="宋体" w:hAnsi="宋体"/>
          <w:b/>
          <w:sz w:val="28"/>
          <w:szCs w:val="24"/>
          <w:highlight w:val="none"/>
        </w:rPr>
      </w:pPr>
      <w:r>
        <w:rPr>
          <w:rFonts w:hint="eastAsia" w:ascii="宋体" w:hAnsi="宋体"/>
          <w:b/>
          <w:sz w:val="28"/>
          <w:szCs w:val="24"/>
          <w:highlight w:val="none"/>
          <w:u w:val="single"/>
        </w:rPr>
        <w:t>202</w:t>
      </w:r>
      <w:r>
        <w:rPr>
          <w:rFonts w:hint="eastAsia" w:ascii="宋体" w:hAnsi="宋体"/>
          <w:b/>
          <w:sz w:val="28"/>
          <w:szCs w:val="24"/>
          <w:highlight w:val="none"/>
          <w:u w:val="single"/>
          <w:lang w:val="en-US" w:eastAsia="zh-CN"/>
        </w:rPr>
        <w:t>4</w:t>
      </w:r>
      <w:r>
        <w:rPr>
          <w:rFonts w:hint="eastAsia" w:ascii="宋体" w:hAnsi="宋体"/>
          <w:b/>
          <w:sz w:val="28"/>
          <w:szCs w:val="24"/>
          <w:highlight w:val="none"/>
        </w:rPr>
        <w:t>年</w:t>
      </w:r>
      <w:r>
        <w:rPr>
          <w:rFonts w:hint="eastAsia" w:ascii="宋体" w:hAnsi="宋体"/>
          <w:b/>
          <w:sz w:val="28"/>
          <w:szCs w:val="24"/>
          <w:highlight w:val="none"/>
          <w:u w:val="single"/>
          <w:lang w:val="en-US" w:eastAsia="zh-CN"/>
        </w:rPr>
        <w:t>7</w:t>
      </w:r>
      <w:r>
        <w:rPr>
          <w:rFonts w:hint="eastAsia" w:ascii="宋体" w:hAnsi="宋体"/>
          <w:b/>
          <w:sz w:val="28"/>
          <w:szCs w:val="24"/>
          <w:highlight w:val="none"/>
        </w:rPr>
        <w:t>月</w:t>
      </w:r>
    </w:p>
    <w:p w14:paraId="312CD1A3">
      <w:pPr>
        <w:spacing w:line="360" w:lineRule="auto"/>
        <w:jc w:val="center"/>
        <w:rPr>
          <w:rFonts w:ascii="宋体" w:hAnsi="宋体" w:cs="宋体"/>
          <w:b/>
          <w:sz w:val="28"/>
          <w:highlight w:val="none"/>
        </w:rPr>
        <w:sectPr>
          <w:footerReference r:id="rId3" w:type="even"/>
          <w:pgSz w:w="11906" w:h="16838"/>
          <w:pgMar w:top="1440" w:right="1080" w:bottom="1440" w:left="1080" w:header="851" w:footer="1020" w:gutter="0"/>
          <w:pgNumType w:start="0"/>
          <w:cols w:space="720" w:num="1"/>
          <w:titlePg/>
          <w:docGrid w:type="lines" w:linePitch="312" w:charSpace="0"/>
        </w:sectPr>
      </w:pPr>
    </w:p>
    <w:p w14:paraId="40666D0D">
      <w:pPr>
        <w:spacing w:line="360" w:lineRule="auto"/>
        <w:jc w:val="center"/>
        <w:rPr>
          <w:rFonts w:ascii="宋体" w:hAnsi="宋体"/>
          <w:bCs/>
          <w:sz w:val="52"/>
          <w:highlight w:val="none"/>
        </w:rPr>
      </w:pPr>
      <w:r>
        <w:rPr>
          <w:rFonts w:hint="eastAsia" w:ascii="宋体" w:hAnsi="宋体"/>
          <w:bCs/>
          <w:sz w:val="52"/>
          <w:highlight w:val="none"/>
        </w:rPr>
        <w:t>重要提示</w:t>
      </w:r>
    </w:p>
    <w:p w14:paraId="4461C694">
      <w:pPr>
        <w:spacing w:line="360" w:lineRule="auto"/>
        <w:ind w:firstLine="537" w:firstLineChars="224"/>
        <w:jc w:val="center"/>
        <w:rPr>
          <w:rFonts w:ascii="宋体" w:hAnsi="宋体"/>
          <w:bCs/>
          <w:sz w:val="24"/>
          <w:highlight w:val="none"/>
        </w:rPr>
      </w:pPr>
    </w:p>
    <w:p w14:paraId="06C10CCB">
      <w:pPr>
        <w:spacing w:line="360" w:lineRule="auto"/>
        <w:ind w:firstLine="480" w:firstLineChars="200"/>
        <w:rPr>
          <w:rFonts w:ascii="宋体" w:hAnsi="宋体"/>
          <w:sz w:val="24"/>
          <w:highlight w:val="none"/>
        </w:rPr>
      </w:pPr>
      <w:r>
        <w:rPr>
          <w:rFonts w:hint="eastAsia" w:ascii="宋体" w:hAnsi="宋体"/>
          <w:sz w:val="24"/>
          <w:highlight w:val="none"/>
        </w:rPr>
        <w:t>本项目实施电子招投标，投标人应先认真阅读</w:t>
      </w:r>
      <w:r>
        <w:rPr>
          <w:rFonts w:hint="eastAsia" w:ascii="宋体" w:hAnsi="宋体"/>
          <w:sz w:val="24"/>
          <w:szCs w:val="24"/>
          <w:highlight w:val="none"/>
        </w:rPr>
        <w:t>最新指引</w:t>
      </w:r>
      <w:r>
        <w:rPr>
          <w:rFonts w:hint="eastAsia" w:ascii="宋体" w:hAnsi="宋体"/>
          <w:sz w:val="24"/>
          <w:highlight w:val="none"/>
        </w:rPr>
        <w:t>。</w:t>
      </w:r>
    </w:p>
    <w:p w14:paraId="48E6EFBB">
      <w:pPr>
        <w:jc w:val="center"/>
        <w:rPr>
          <w:rFonts w:ascii="宋体" w:hAnsi="宋体"/>
          <w:b/>
          <w:sz w:val="28"/>
          <w:szCs w:val="28"/>
          <w:highlight w:val="none"/>
        </w:rPr>
      </w:pPr>
    </w:p>
    <w:p w14:paraId="05EEBB76">
      <w:pPr>
        <w:spacing w:line="360" w:lineRule="auto"/>
        <w:ind w:firstLine="1164" w:firstLineChars="224"/>
        <w:jc w:val="center"/>
        <w:rPr>
          <w:rFonts w:ascii="宋体" w:hAnsi="宋体"/>
          <w:bCs/>
          <w:sz w:val="52"/>
          <w:highlight w:val="none"/>
        </w:rPr>
        <w:sectPr>
          <w:footerReference r:id="rId4" w:type="default"/>
          <w:pgSz w:w="11906" w:h="16838"/>
          <w:pgMar w:top="1440" w:right="1080" w:bottom="1440" w:left="1080" w:header="851" w:footer="1020" w:gutter="0"/>
          <w:pgNumType w:start="1"/>
          <w:cols w:space="720" w:num="1"/>
          <w:docGrid w:type="lines" w:linePitch="312" w:charSpace="0"/>
        </w:sectPr>
      </w:pPr>
    </w:p>
    <w:p w14:paraId="60BE2582">
      <w:pPr>
        <w:jc w:val="center"/>
        <w:rPr>
          <w:rFonts w:ascii="宋体" w:hAnsi="宋体"/>
          <w:b/>
          <w:bCs/>
          <w:sz w:val="48"/>
          <w:szCs w:val="48"/>
          <w:highlight w:val="none"/>
        </w:rPr>
      </w:pPr>
      <w:r>
        <w:rPr>
          <w:rFonts w:hint="eastAsia" w:ascii="宋体" w:hAnsi="宋体"/>
          <w:b/>
          <w:bCs/>
          <w:sz w:val="48"/>
          <w:szCs w:val="48"/>
          <w:highlight w:val="none"/>
        </w:rPr>
        <w:t>目录</w:t>
      </w:r>
    </w:p>
    <w:p w14:paraId="5D0AAA73">
      <w:pPr>
        <w:pStyle w:val="22"/>
        <w:tabs>
          <w:tab w:val="right" w:leader="dot" w:pos="9062"/>
        </w:tabs>
        <w:rPr>
          <w:rFonts w:asciiTheme="minorHAnsi" w:hAnsiTheme="minorHAnsi" w:eastAsiaTheme="minorEastAsia" w:cstheme="minorBidi"/>
          <w:highlight w:val="none"/>
        </w:rPr>
      </w:pPr>
      <w:r>
        <w:rPr>
          <w:rFonts w:ascii="宋体" w:hAnsi="宋体"/>
          <w:sz w:val="28"/>
          <w:szCs w:val="28"/>
          <w:highlight w:val="none"/>
        </w:rPr>
        <w:fldChar w:fldCharType="begin"/>
      </w:r>
      <w:r>
        <w:rPr>
          <w:rFonts w:ascii="宋体" w:hAnsi="宋体"/>
          <w:sz w:val="28"/>
          <w:szCs w:val="28"/>
          <w:highlight w:val="none"/>
        </w:rPr>
        <w:instrText xml:space="preserve">TOC \o "1-3" \h \u </w:instrText>
      </w:r>
      <w:r>
        <w:rPr>
          <w:rFonts w:ascii="宋体" w:hAnsi="宋体"/>
          <w:sz w:val="28"/>
          <w:szCs w:val="28"/>
          <w:highlight w:val="none"/>
        </w:rPr>
        <w:fldChar w:fldCharType="separate"/>
      </w:r>
      <w:r>
        <w:rPr>
          <w:highlight w:val="none"/>
        </w:rPr>
        <w:fldChar w:fldCharType="begin"/>
      </w:r>
      <w:r>
        <w:rPr>
          <w:highlight w:val="none"/>
        </w:rPr>
        <w:instrText xml:space="preserve"> HYPERLINK \l "_Toc103592005" </w:instrText>
      </w:r>
      <w:r>
        <w:rPr>
          <w:highlight w:val="none"/>
        </w:rPr>
        <w:fldChar w:fldCharType="separate"/>
      </w:r>
      <w:r>
        <w:rPr>
          <w:rStyle w:val="31"/>
          <w:color w:val="auto"/>
          <w:highlight w:val="none"/>
        </w:rPr>
        <w:t>第一卷</w:t>
      </w:r>
      <w:r>
        <w:rPr>
          <w:highlight w:val="none"/>
        </w:rPr>
        <w:tab/>
      </w:r>
      <w:r>
        <w:rPr>
          <w:highlight w:val="none"/>
        </w:rPr>
        <w:fldChar w:fldCharType="begin"/>
      </w:r>
      <w:r>
        <w:rPr>
          <w:highlight w:val="none"/>
        </w:rPr>
        <w:instrText xml:space="preserve"> PAGEREF _Toc103592005 \h </w:instrText>
      </w:r>
      <w:r>
        <w:rPr>
          <w:highlight w:val="none"/>
        </w:rPr>
        <w:fldChar w:fldCharType="separate"/>
      </w:r>
      <w:r>
        <w:rPr>
          <w:highlight w:val="none"/>
        </w:rPr>
        <w:t>3</w:t>
      </w:r>
      <w:r>
        <w:rPr>
          <w:highlight w:val="none"/>
        </w:rPr>
        <w:fldChar w:fldCharType="end"/>
      </w:r>
      <w:r>
        <w:rPr>
          <w:highlight w:val="none"/>
        </w:rPr>
        <w:fldChar w:fldCharType="end"/>
      </w:r>
    </w:p>
    <w:p w14:paraId="6C68721D">
      <w:pPr>
        <w:pStyle w:val="22"/>
        <w:tabs>
          <w:tab w:val="right" w:leader="dot" w:pos="9062"/>
        </w:tabs>
        <w:rPr>
          <w:rFonts w:asciiTheme="minorHAnsi" w:hAnsiTheme="minorHAnsi" w:eastAsiaTheme="minorEastAsia" w:cstheme="minorBidi"/>
          <w:highlight w:val="none"/>
        </w:rPr>
      </w:pPr>
      <w:r>
        <w:rPr>
          <w:highlight w:val="none"/>
        </w:rPr>
        <w:fldChar w:fldCharType="begin"/>
      </w:r>
      <w:r>
        <w:rPr>
          <w:highlight w:val="none"/>
        </w:rPr>
        <w:instrText xml:space="preserve"> HYPERLINK \l "_Toc103592006" </w:instrText>
      </w:r>
      <w:r>
        <w:rPr>
          <w:highlight w:val="none"/>
        </w:rPr>
        <w:fldChar w:fldCharType="separate"/>
      </w:r>
      <w:r>
        <w:rPr>
          <w:rStyle w:val="31"/>
          <w:color w:val="auto"/>
          <w:highlight w:val="none"/>
        </w:rPr>
        <w:t>第一章  招标公告</w:t>
      </w:r>
      <w:r>
        <w:rPr>
          <w:highlight w:val="none"/>
        </w:rPr>
        <w:tab/>
      </w:r>
      <w:r>
        <w:rPr>
          <w:highlight w:val="none"/>
        </w:rPr>
        <w:fldChar w:fldCharType="begin"/>
      </w:r>
      <w:r>
        <w:rPr>
          <w:highlight w:val="none"/>
        </w:rPr>
        <w:instrText xml:space="preserve"> PAGEREF _Toc103592006 \h </w:instrText>
      </w:r>
      <w:r>
        <w:rPr>
          <w:highlight w:val="none"/>
        </w:rPr>
        <w:fldChar w:fldCharType="separate"/>
      </w:r>
      <w:r>
        <w:rPr>
          <w:highlight w:val="none"/>
        </w:rPr>
        <w:t>3</w:t>
      </w:r>
      <w:r>
        <w:rPr>
          <w:highlight w:val="none"/>
        </w:rPr>
        <w:fldChar w:fldCharType="end"/>
      </w:r>
      <w:r>
        <w:rPr>
          <w:highlight w:val="none"/>
        </w:rPr>
        <w:fldChar w:fldCharType="end"/>
      </w:r>
    </w:p>
    <w:p w14:paraId="2ACCAC2F">
      <w:pPr>
        <w:pStyle w:val="22"/>
        <w:tabs>
          <w:tab w:val="right" w:leader="dot" w:pos="9062"/>
        </w:tabs>
        <w:rPr>
          <w:rFonts w:asciiTheme="minorHAnsi" w:hAnsiTheme="minorHAnsi" w:eastAsiaTheme="minorEastAsia" w:cstheme="minorBidi"/>
          <w:highlight w:val="none"/>
        </w:rPr>
      </w:pPr>
      <w:r>
        <w:rPr>
          <w:highlight w:val="none"/>
        </w:rPr>
        <w:fldChar w:fldCharType="begin"/>
      </w:r>
      <w:r>
        <w:rPr>
          <w:highlight w:val="none"/>
        </w:rPr>
        <w:instrText xml:space="preserve"> HYPERLINK \l "_Toc103592007" </w:instrText>
      </w:r>
      <w:r>
        <w:rPr>
          <w:highlight w:val="none"/>
        </w:rPr>
        <w:fldChar w:fldCharType="separate"/>
      </w:r>
      <w:r>
        <w:rPr>
          <w:rStyle w:val="31"/>
          <w:color w:val="auto"/>
          <w:highlight w:val="none"/>
        </w:rPr>
        <w:t>第二章  投标人须知</w:t>
      </w:r>
      <w:r>
        <w:rPr>
          <w:highlight w:val="none"/>
        </w:rPr>
        <w:tab/>
      </w:r>
      <w:r>
        <w:rPr>
          <w:highlight w:val="none"/>
        </w:rPr>
        <w:fldChar w:fldCharType="begin"/>
      </w:r>
      <w:r>
        <w:rPr>
          <w:highlight w:val="none"/>
        </w:rPr>
        <w:instrText xml:space="preserve"> PAGEREF _Toc103592007 \h </w:instrText>
      </w:r>
      <w:r>
        <w:rPr>
          <w:highlight w:val="none"/>
        </w:rPr>
        <w:fldChar w:fldCharType="separate"/>
      </w:r>
      <w:r>
        <w:rPr>
          <w:highlight w:val="none"/>
        </w:rPr>
        <w:t>10</w:t>
      </w:r>
      <w:r>
        <w:rPr>
          <w:highlight w:val="none"/>
        </w:rPr>
        <w:fldChar w:fldCharType="end"/>
      </w:r>
      <w:r>
        <w:rPr>
          <w:highlight w:val="none"/>
        </w:rPr>
        <w:fldChar w:fldCharType="end"/>
      </w:r>
    </w:p>
    <w:p w14:paraId="67DD0CC6">
      <w:pPr>
        <w:pStyle w:val="23"/>
        <w:tabs>
          <w:tab w:val="right" w:leader="dot" w:pos="9062"/>
        </w:tabs>
        <w:rPr>
          <w:rFonts w:asciiTheme="minorHAnsi" w:hAnsiTheme="minorHAnsi" w:eastAsiaTheme="minorEastAsia" w:cstheme="minorBidi"/>
          <w:highlight w:val="none"/>
        </w:rPr>
      </w:pPr>
      <w:r>
        <w:rPr>
          <w:highlight w:val="none"/>
        </w:rPr>
        <w:fldChar w:fldCharType="begin"/>
      </w:r>
      <w:r>
        <w:rPr>
          <w:highlight w:val="none"/>
        </w:rPr>
        <w:instrText xml:space="preserve"> HYPERLINK \l "_Toc103592008" </w:instrText>
      </w:r>
      <w:r>
        <w:rPr>
          <w:highlight w:val="none"/>
        </w:rPr>
        <w:fldChar w:fldCharType="separate"/>
      </w:r>
      <w:r>
        <w:rPr>
          <w:rStyle w:val="31"/>
          <w:rFonts w:ascii="宋体" w:hAnsi="宋体"/>
          <w:color w:val="auto"/>
          <w:highlight w:val="none"/>
        </w:rPr>
        <w:t>投标人须知前附表</w:t>
      </w:r>
      <w:r>
        <w:rPr>
          <w:highlight w:val="none"/>
        </w:rPr>
        <w:tab/>
      </w:r>
      <w:r>
        <w:rPr>
          <w:highlight w:val="none"/>
        </w:rPr>
        <w:fldChar w:fldCharType="begin"/>
      </w:r>
      <w:r>
        <w:rPr>
          <w:highlight w:val="none"/>
        </w:rPr>
        <w:instrText xml:space="preserve"> PAGEREF _Toc103592008 \h </w:instrText>
      </w:r>
      <w:r>
        <w:rPr>
          <w:highlight w:val="none"/>
        </w:rPr>
        <w:fldChar w:fldCharType="separate"/>
      </w:r>
      <w:r>
        <w:rPr>
          <w:highlight w:val="none"/>
        </w:rPr>
        <w:t>10</w:t>
      </w:r>
      <w:r>
        <w:rPr>
          <w:highlight w:val="none"/>
        </w:rPr>
        <w:fldChar w:fldCharType="end"/>
      </w:r>
      <w:r>
        <w:rPr>
          <w:highlight w:val="none"/>
        </w:rPr>
        <w:fldChar w:fldCharType="end"/>
      </w:r>
    </w:p>
    <w:p w14:paraId="49D32348">
      <w:pPr>
        <w:pStyle w:val="15"/>
        <w:tabs>
          <w:tab w:val="right" w:leader="dot" w:pos="9062"/>
        </w:tabs>
        <w:rPr>
          <w:rFonts w:asciiTheme="minorHAnsi" w:hAnsiTheme="minorHAnsi" w:eastAsiaTheme="minorEastAsia" w:cstheme="minorBidi"/>
          <w:highlight w:val="none"/>
        </w:rPr>
      </w:pPr>
      <w:r>
        <w:rPr>
          <w:highlight w:val="none"/>
        </w:rPr>
        <w:fldChar w:fldCharType="begin"/>
      </w:r>
      <w:r>
        <w:rPr>
          <w:highlight w:val="none"/>
        </w:rPr>
        <w:instrText xml:space="preserve"> HYPERLINK \l "_Toc103592009" </w:instrText>
      </w:r>
      <w:r>
        <w:rPr>
          <w:highlight w:val="none"/>
        </w:rPr>
        <w:fldChar w:fldCharType="separate"/>
      </w:r>
      <w:r>
        <w:rPr>
          <w:rStyle w:val="31"/>
          <w:color w:val="auto"/>
          <w:highlight w:val="none"/>
        </w:rPr>
        <w:t>1. 总则</w:t>
      </w:r>
      <w:r>
        <w:rPr>
          <w:highlight w:val="none"/>
        </w:rPr>
        <w:tab/>
      </w:r>
      <w:r>
        <w:rPr>
          <w:highlight w:val="none"/>
        </w:rPr>
        <w:fldChar w:fldCharType="begin"/>
      </w:r>
      <w:r>
        <w:rPr>
          <w:highlight w:val="none"/>
        </w:rPr>
        <w:instrText xml:space="preserve"> PAGEREF _Toc103592009 \h </w:instrText>
      </w:r>
      <w:r>
        <w:rPr>
          <w:highlight w:val="none"/>
        </w:rPr>
        <w:fldChar w:fldCharType="separate"/>
      </w:r>
      <w:r>
        <w:rPr>
          <w:highlight w:val="none"/>
        </w:rPr>
        <w:t>17</w:t>
      </w:r>
      <w:r>
        <w:rPr>
          <w:highlight w:val="none"/>
        </w:rPr>
        <w:fldChar w:fldCharType="end"/>
      </w:r>
      <w:r>
        <w:rPr>
          <w:highlight w:val="none"/>
        </w:rPr>
        <w:fldChar w:fldCharType="end"/>
      </w:r>
    </w:p>
    <w:p w14:paraId="5994EF83">
      <w:pPr>
        <w:pStyle w:val="15"/>
        <w:tabs>
          <w:tab w:val="right" w:leader="dot" w:pos="9062"/>
        </w:tabs>
        <w:rPr>
          <w:rFonts w:asciiTheme="minorHAnsi" w:hAnsiTheme="minorHAnsi" w:eastAsiaTheme="minorEastAsia" w:cstheme="minorBidi"/>
          <w:highlight w:val="none"/>
        </w:rPr>
      </w:pPr>
      <w:r>
        <w:rPr>
          <w:highlight w:val="none"/>
        </w:rPr>
        <w:fldChar w:fldCharType="begin"/>
      </w:r>
      <w:r>
        <w:rPr>
          <w:highlight w:val="none"/>
        </w:rPr>
        <w:instrText xml:space="preserve"> HYPERLINK \l "_Toc103592010" </w:instrText>
      </w:r>
      <w:r>
        <w:rPr>
          <w:highlight w:val="none"/>
        </w:rPr>
        <w:fldChar w:fldCharType="separate"/>
      </w:r>
      <w:r>
        <w:rPr>
          <w:rStyle w:val="31"/>
          <w:color w:val="auto"/>
          <w:highlight w:val="none"/>
        </w:rPr>
        <w:t>2. 招标文件</w:t>
      </w:r>
      <w:r>
        <w:rPr>
          <w:highlight w:val="none"/>
        </w:rPr>
        <w:tab/>
      </w:r>
      <w:r>
        <w:rPr>
          <w:highlight w:val="none"/>
        </w:rPr>
        <w:fldChar w:fldCharType="begin"/>
      </w:r>
      <w:r>
        <w:rPr>
          <w:highlight w:val="none"/>
        </w:rPr>
        <w:instrText xml:space="preserve"> PAGEREF _Toc103592010 \h </w:instrText>
      </w:r>
      <w:r>
        <w:rPr>
          <w:highlight w:val="none"/>
        </w:rPr>
        <w:fldChar w:fldCharType="separate"/>
      </w:r>
      <w:r>
        <w:rPr>
          <w:highlight w:val="none"/>
        </w:rPr>
        <w:t>19</w:t>
      </w:r>
      <w:r>
        <w:rPr>
          <w:highlight w:val="none"/>
        </w:rPr>
        <w:fldChar w:fldCharType="end"/>
      </w:r>
      <w:r>
        <w:rPr>
          <w:highlight w:val="none"/>
        </w:rPr>
        <w:fldChar w:fldCharType="end"/>
      </w:r>
    </w:p>
    <w:p w14:paraId="08902F50">
      <w:pPr>
        <w:pStyle w:val="15"/>
        <w:tabs>
          <w:tab w:val="right" w:leader="dot" w:pos="9062"/>
        </w:tabs>
        <w:rPr>
          <w:rFonts w:asciiTheme="minorHAnsi" w:hAnsiTheme="minorHAnsi" w:eastAsiaTheme="minorEastAsia" w:cstheme="minorBidi"/>
          <w:highlight w:val="none"/>
        </w:rPr>
      </w:pPr>
      <w:r>
        <w:rPr>
          <w:highlight w:val="none"/>
        </w:rPr>
        <w:fldChar w:fldCharType="begin"/>
      </w:r>
      <w:r>
        <w:rPr>
          <w:highlight w:val="none"/>
        </w:rPr>
        <w:instrText xml:space="preserve"> HYPERLINK \l "_Toc103592011" </w:instrText>
      </w:r>
      <w:r>
        <w:rPr>
          <w:highlight w:val="none"/>
        </w:rPr>
        <w:fldChar w:fldCharType="separate"/>
      </w:r>
      <w:r>
        <w:rPr>
          <w:rStyle w:val="31"/>
          <w:color w:val="auto"/>
          <w:highlight w:val="none"/>
        </w:rPr>
        <w:t>3. 投标文件</w:t>
      </w:r>
      <w:r>
        <w:rPr>
          <w:highlight w:val="none"/>
        </w:rPr>
        <w:tab/>
      </w:r>
      <w:r>
        <w:rPr>
          <w:highlight w:val="none"/>
        </w:rPr>
        <w:fldChar w:fldCharType="begin"/>
      </w:r>
      <w:r>
        <w:rPr>
          <w:highlight w:val="none"/>
        </w:rPr>
        <w:instrText xml:space="preserve"> PAGEREF _Toc103592011 \h </w:instrText>
      </w:r>
      <w:r>
        <w:rPr>
          <w:highlight w:val="none"/>
        </w:rPr>
        <w:fldChar w:fldCharType="separate"/>
      </w:r>
      <w:r>
        <w:rPr>
          <w:highlight w:val="none"/>
        </w:rPr>
        <w:t>20</w:t>
      </w:r>
      <w:r>
        <w:rPr>
          <w:highlight w:val="none"/>
        </w:rPr>
        <w:fldChar w:fldCharType="end"/>
      </w:r>
      <w:r>
        <w:rPr>
          <w:highlight w:val="none"/>
        </w:rPr>
        <w:fldChar w:fldCharType="end"/>
      </w:r>
    </w:p>
    <w:p w14:paraId="0F2DF7F0">
      <w:pPr>
        <w:pStyle w:val="15"/>
        <w:tabs>
          <w:tab w:val="right" w:leader="dot" w:pos="9062"/>
        </w:tabs>
        <w:rPr>
          <w:rFonts w:asciiTheme="minorHAnsi" w:hAnsiTheme="minorHAnsi" w:eastAsiaTheme="minorEastAsia" w:cstheme="minorBidi"/>
          <w:highlight w:val="none"/>
        </w:rPr>
      </w:pPr>
      <w:r>
        <w:rPr>
          <w:highlight w:val="none"/>
        </w:rPr>
        <w:fldChar w:fldCharType="begin"/>
      </w:r>
      <w:r>
        <w:rPr>
          <w:highlight w:val="none"/>
        </w:rPr>
        <w:instrText xml:space="preserve"> HYPERLINK \l "_Toc103592012" </w:instrText>
      </w:r>
      <w:r>
        <w:rPr>
          <w:highlight w:val="none"/>
        </w:rPr>
        <w:fldChar w:fldCharType="separate"/>
      </w:r>
      <w:r>
        <w:rPr>
          <w:rStyle w:val="31"/>
          <w:color w:val="auto"/>
          <w:highlight w:val="none"/>
        </w:rPr>
        <w:t>4. 投标</w:t>
      </w:r>
      <w:r>
        <w:rPr>
          <w:highlight w:val="none"/>
        </w:rPr>
        <w:tab/>
      </w:r>
      <w:r>
        <w:rPr>
          <w:highlight w:val="none"/>
        </w:rPr>
        <w:fldChar w:fldCharType="begin"/>
      </w:r>
      <w:r>
        <w:rPr>
          <w:highlight w:val="none"/>
        </w:rPr>
        <w:instrText xml:space="preserve"> PAGEREF _Toc103592012 \h </w:instrText>
      </w:r>
      <w:r>
        <w:rPr>
          <w:highlight w:val="none"/>
        </w:rPr>
        <w:fldChar w:fldCharType="separate"/>
      </w:r>
      <w:r>
        <w:rPr>
          <w:highlight w:val="none"/>
        </w:rPr>
        <w:t>21</w:t>
      </w:r>
      <w:r>
        <w:rPr>
          <w:highlight w:val="none"/>
        </w:rPr>
        <w:fldChar w:fldCharType="end"/>
      </w:r>
      <w:r>
        <w:rPr>
          <w:highlight w:val="none"/>
        </w:rPr>
        <w:fldChar w:fldCharType="end"/>
      </w:r>
    </w:p>
    <w:p w14:paraId="459CA35E">
      <w:pPr>
        <w:pStyle w:val="15"/>
        <w:tabs>
          <w:tab w:val="right" w:leader="dot" w:pos="9062"/>
        </w:tabs>
        <w:rPr>
          <w:rFonts w:asciiTheme="minorHAnsi" w:hAnsiTheme="minorHAnsi" w:eastAsiaTheme="minorEastAsia" w:cstheme="minorBidi"/>
          <w:highlight w:val="none"/>
        </w:rPr>
      </w:pPr>
      <w:r>
        <w:rPr>
          <w:highlight w:val="none"/>
        </w:rPr>
        <w:fldChar w:fldCharType="begin"/>
      </w:r>
      <w:r>
        <w:rPr>
          <w:highlight w:val="none"/>
        </w:rPr>
        <w:instrText xml:space="preserve"> HYPERLINK \l "_Toc103592013" </w:instrText>
      </w:r>
      <w:r>
        <w:rPr>
          <w:highlight w:val="none"/>
        </w:rPr>
        <w:fldChar w:fldCharType="separate"/>
      </w:r>
      <w:r>
        <w:rPr>
          <w:rStyle w:val="31"/>
          <w:color w:val="auto"/>
          <w:highlight w:val="none"/>
        </w:rPr>
        <w:t>5. 开标</w:t>
      </w:r>
      <w:r>
        <w:rPr>
          <w:highlight w:val="none"/>
        </w:rPr>
        <w:tab/>
      </w:r>
      <w:r>
        <w:rPr>
          <w:highlight w:val="none"/>
        </w:rPr>
        <w:fldChar w:fldCharType="begin"/>
      </w:r>
      <w:r>
        <w:rPr>
          <w:highlight w:val="none"/>
        </w:rPr>
        <w:instrText xml:space="preserve"> PAGEREF _Toc103592013 \h </w:instrText>
      </w:r>
      <w:r>
        <w:rPr>
          <w:highlight w:val="none"/>
        </w:rPr>
        <w:fldChar w:fldCharType="separate"/>
      </w:r>
      <w:r>
        <w:rPr>
          <w:highlight w:val="none"/>
        </w:rPr>
        <w:t>22</w:t>
      </w:r>
      <w:r>
        <w:rPr>
          <w:highlight w:val="none"/>
        </w:rPr>
        <w:fldChar w:fldCharType="end"/>
      </w:r>
      <w:r>
        <w:rPr>
          <w:highlight w:val="none"/>
        </w:rPr>
        <w:fldChar w:fldCharType="end"/>
      </w:r>
    </w:p>
    <w:p w14:paraId="67CD1DA3">
      <w:pPr>
        <w:pStyle w:val="15"/>
        <w:tabs>
          <w:tab w:val="right" w:leader="dot" w:pos="9062"/>
        </w:tabs>
        <w:rPr>
          <w:rFonts w:asciiTheme="minorHAnsi" w:hAnsiTheme="minorHAnsi" w:eastAsiaTheme="minorEastAsia" w:cstheme="minorBidi"/>
          <w:highlight w:val="none"/>
        </w:rPr>
      </w:pPr>
      <w:r>
        <w:rPr>
          <w:highlight w:val="none"/>
        </w:rPr>
        <w:fldChar w:fldCharType="begin"/>
      </w:r>
      <w:r>
        <w:rPr>
          <w:highlight w:val="none"/>
        </w:rPr>
        <w:instrText xml:space="preserve"> HYPERLINK \l "_Toc103592014" </w:instrText>
      </w:r>
      <w:r>
        <w:rPr>
          <w:highlight w:val="none"/>
        </w:rPr>
        <w:fldChar w:fldCharType="separate"/>
      </w:r>
      <w:r>
        <w:rPr>
          <w:rStyle w:val="31"/>
          <w:color w:val="auto"/>
          <w:highlight w:val="none"/>
        </w:rPr>
        <w:t>6. 评标</w:t>
      </w:r>
      <w:r>
        <w:rPr>
          <w:highlight w:val="none"/>
        </w:rPr>
        <w:tab/>
      </w:r>
      <w:r>
        <w:rPr>
          <w:highlight w:val="none"/>
        </w:rPr>
        <w:fldChar w:fldCharType="begin"/>
      </w:r>
      <w:r>
        <w:rPr>
          <w:highlight w:val="none"/>
        </w:rPr>
        <w:instrText xml:space="preserve"> PAGEREF _Toc103592014 \h </w:instrText>
      </w:r>
      <w:r>
        <w:rPr>
          <w:highlight w:val="none"/>
        </w:rPr>
        <w:fldChar w:fldCharType="separate"/>
      </w:r>
      <w:r>
        <w:rPr>
          <w:highlight w:val="none"/>
        </w:rPr>
        <w:t>23</w:t>
      </w:r>
      <w:r>
        <w:rPr>
          <w:highlight w:val="none"/>
        </w:rPr>
        <w:fldChar w:fldCharType="end"/>
      </w:r>
      <w:r>
        <w:rPr>
          <w:highlight w:val="none"/>
        </w:rPr>
        <w:fldChar w:fldCharType="end"/>
      </w:r>
    </w:p>
    <w:p w14:paraId="6DEBF48A">
      <w:pPr>
        <w:pStyle w:val="15"/>
        <w:tabs>
          <w:tab w:val="right" w:leader="dot" w:pos="9062"/>
        </w:tabs>
        <w:rPr>
          <w:rFonts w:asciiTheme="minorHAnsi" w:hAnsiTheme="minorHAnsi" w:eastAsiaTheme="minorEastAsia" w:cstheme="minorBidi"/>
          <w:highlight w:val="none"/>
        </w:rPr>
      </w:pPr>
      <w:r>
        <w:rPr>
          <w:highlight w:val="none"/>
        </w:rPr>
        <w:fldChar w:fldCharType="begin"/>
      </w:r>
      <w:r>
        <w:rPr>
          <w:highlight w:val="none"/>
        </w:rPr>
        <w:instrText xml:space="preserve"> HYPERLINK \l "_Toc103592015" </w:instrText>
      </w:r>
      <w:r>
        <w:rPr>
          <w:highlight w:val="none"/>
        </w:rPr>
        <w:fldChar w:fldCharType="separate"/>
      </w:r>
      <w:r>
        <w:rPr>
          <w:rStyle w:val="31"/>
          <w:color w:val="auto"/>
          <w:highlight w:val="none"/>
        </w:rPr>
        <w:t>7. 合同授予</w:t>
      </w:r>
      <w:r>
        <w:rPr>
          <w:highlight w:val="none"/>
        </w:rPr>
        <w:tab/>
      </w:r>
      <w:r>
        <w:rPr>
          <w:highlight w:val="none"/>
        </w:rPr>
        <w:fldChar w:fldCharType="begin"/>
      </w:r>
      <w:r>
        <w:rPr>
          <w:highlight w:val="none"/>
        </w:rPr>
        <w:instrText xml:space="preserve"> PAGEREF _Toc103592015 \h </w:instrText>
      </w:r>
      <w:r>
        <w:rPr>
          <w:highlight w:val="none"/>
        </w:rPr>
        <w:fldChar w:fldCharType="separate"/>
      </w:r>
      <w:r>
        <w:rPr>
          <w:highlight w:val="none"/>
        </w:rPr>
        <w:t>23</w:t>
      </w:r>
      <w:r>
        <w:rPr>
          <w:highlight w:val="none"/>
        </w:rPr>
        <w:fldChar w:fldCharType="end"/>
      </w:r>
      <w:r>
        <w:rPr>
          <w:highlight w:val="none"/>
        </w:rPr>
        <w:fldChar w:fldCharType="end"/>
      </w:r>
    </w:p>
    <w:p w14:paraId="0776BCEE">
      <w:pPr>
        <w:pStyle w:val="15"/>
        <w:tabs>
          <w:tab w:val="right" w:leader="dot" w:pos="9062"/>
        </w:tabs>
        <w:rPr>
          <w:rFonts w:asciiTheme="minorHAnsi" w:hAnsiTheme="minorHAnsi" w:eastAsiaTheme="minorEastAsia" w:cstheme="minorBidi"/>
          <w:highlight w:val="none"/>
        </w:rPr>
      </w:pPr>
      <w:r>
        <w:rPr>
          <w:highlight w:val="none"/>
        </w:rPr>
        <w:fldChar w:fldCharType="begin"/>
      </w:r>
      <w:r>
        <w:rPr>
          <w:highlight w:val="none"/>
        </w:rPr>
        <w:instrText xml:space="preserve"> HYPERLINK \l "_Toc103592016" </w:instrText>
      </w:r>
      <w:r>
        <w:rPr>
          <w:highlight w:val="none"/>
        </w:rPr>
        <w:fldChar w:fldCharType="separate"/>
      </w:r>
      <w:r>
        <w:rPr>
          <w:rStyle w:val="31"/>
          <w:color w:val="auto"/>
          <w:highlight w:val="none"/>
        </w:rPr>
        <w:t>8. 纪律和监督</w:t>
      </w:r>
      <w:r>
        <w:rPr>
          <w:highlight w:val="none"/>
        </w:rPr>
        <w:tab/>
      </w:r>
      <w:r>
        <w:rPr>
          <w:highlight w:val="none"/>
        </w:rPr>
        <w:fldChar w:fldCharType="begin"/>
      </w:r>
      <w:r>
        <w:rPr>
          <w:highlight w:val="none"/>
        </w:rPr>
        <w:instrText xml:space="preserve"> PAGEREF _Toc103592016 \h </w:instrText>
      </w:r>
      <w:r>
        <w:rPr>
          <w:highlight w:val="none"/>
        </w:rPr>
        <w:fldChar w:fldCharType="separate"/>
      </w:r>
      <w:r>
        <w:rPr>
          <w:highlight w:val="none"/>
        </w:rPr>
        <w:t>24</w:t>
      </w:r>
      <w:r>
        <w:rPr>
          <w:highlight w:val="none"/>
        </w:rPr>
        <w:fldChar w:fldCharType="end"/>
      </w:r>
      <w:r>
        <w:rPr>
          <w:highlight w:val="none"/>
        </w:rPr>
        <w:fldChar w:fldCharType="end"/>
      </w:r>
    </w:p>
    <w:p w14:paraId="4FB3B003">
      <w:pPr>
        <w:pStyle w:val="15"/>
        <w:tabs>
          <w:tab w:val="right" w:leader="dot" w:pos="9062"/>
        </w:tabs>
        <w:rPr>
          <w:rFonts w:asciiTheme="minorHAnsi" w:hAnsiTheme="minorHAnsi" w:eastAsiaTheme="minorEastAsia" w:cstheme="minorBidi"/>
          <w:highlight w:val="none"/>
        </w:rPr>
      </w:pPr>
      <w:r>
        <w:rPr>
          <w:highlight w:val="none"/>
        </w:rPr>
        <w:fldChar w:fldCharType="begin"/>
      </w:r>
      <w:r>
        <w:rPr>
          <w:highlight w:val="none"/>
        </w:rPr>
        <w:instrText xml:space="preserve"> HYPERLINK \l "_Toc103592017" </w:instrText>
      </w:r>
      <w:r>
        <w:rPr>
          <w:highlight w:val="none"/>
        </w:rPr>
        <w:fldChar w:fldCharType="separate"/>
      </w:r>
      <w:r>
        <w:rPr>
          <w:rStyle w:val="31"/>
          <w:color w:val="auto"/>
          <w:highlight w:val="none"/>
        </w:rPr>
        <w:t>9. 是否采用电子招标投标</w:t>
      </w:r>
      <w:r>
        <w:rPr>
          <w:highlight w:val="none"/>
        </w:rPr>
        <w:tab/>
      </w:r>
      <w:r>
        <w:rPr>
          <w:highlight w:val="none"/>
        </w:rPr>
        <w:fldChar w:fldCharType="begin"/>
      </w:r>
      <w:r>
        <w:rPr>
          <w:highlight w:val="none"/>
        </w:rPr>
        <w:instrText xml:space="preserve"> PAGEREF _Toc103592017 \h </w:instrText>
      </w:r>
      <w:r>
        <w:rPr>
          <w:highlight w:val="none"/>
        </w:rPr>
        <w:fldChar w:fldCharType="separate"/>
      </w:r>
      <w:r>
        <w:rPr>
          <w:highlight w:val="none"/>
        </w:rPr>
        <w:t>25</w:t>
      </w:r>
      <w:r>
        <w:rPr>
          <w:highlight w:val="none"/>
        </w:rPr>
        <w:fldChar w:fldCharType="end"/>
      </w:r>
      <w:r>
        <w:rPr>
          <w:highlight w:val="none"/>
        </w:rPr>
        <w:fldChar w:fldCharType="end"/>
      </w:r>
    </w:p>
    <w:p w14:paraId="74CDAE7D">
      <w:pPr>
        <w:pStyle w:val="15"/>
        <w:tabs>
          <w:tab w:val="right" w:leader="dot" w:pos="9062"/>
        </w:tabs>
        <w:rPr>
          <w:rFonts w:asciiTheme="minorHAnsi" w:hAnsiTheme="minorHAnsi" w:eastAsiaTheme="minorEastAsia" w:cstheme="minorBidi"/>
          <w:highlight w:val="none"/>
        </w:rPr>
      </w:pPr>
      <w:r>
        <w:rPr>
          <w:highlight w:val="none"/>
        </w:rPr>
        <w:fldChar w:fldCharType="begin"/>
      </w:r>
      <w:r>
        <w:rPr>
          <w:highlight w:val="none"/>
        </w:rPr>
        <w:instrText xml:space="preserve"> HYPERLINK \l "_Toc103592018" </w:instrText>
      </w:r>
      <w:r>
        <w:rPr>
          <w:highlight w:val="none"/>
        </w:rPr>
        <w:fldChar w:fldCharType="separate"/>
      </w:r>
      <w:r>
        <w:rPr>
          <w:rStyle w:val="31"/>
          <w:color w:val="auto"/>
          <w:highlight w:val="none"/>
        </w:rPr>
        <w:t>10. 需要补充的其他内容</w:t>
      </w:r>
      <w:r>
        <w:rPr>
          <w:highlight w:val="none"/>
        </w:rPr>
        <w:tab/>
      </w:r>
      <w:r>
        <w:rPr>
          <w:highlight w:val="none"/>
        </w:rPr>
        <w:fldChar w:fldCharType="begin"/>
      </w:r>
      <w:r>
        <w:rPr>
          <w:highlight w:val="none"/>
        </w:rPr>
        <w:instrText xml:space="preserve"> PAGEREF _Toc103592018 \h </w:instrText>
      </w:r>
      <w:r>
        <w:rPr>
          <w:highlight w:val="none"/>
        </w:rPr>
        <w:fldChar w:fldCharType="separate"/>
      </w:r>
      <w:r>
        <w:rPr>
          <w:highlight w:val="none"/>
        </w:rPr>
        <w:t>25</w:t>
      </w:r>
      <w:r>
        <w:rPr>
          <w:highlight w:val="none"/>
        </w:rPr>
        <w:fldChar w:fldCharType="end"/>
      </w:r>
      <w:r>
        <w:rPr>
          <w:highlight w:val="none"/>
        </w:rPr>
        <w:fldChar w:fldCharType="end"/>
      </w:r>
    </w:p>
    <w:p w14:paraId="7ED60FAD">
      <w:pPr>
        <w:pStyle w:val="22"/>
        <w:tabs>
          <w:tab w:val="right" w:leader="dot" w:pos="9062"/>
        </w:tabs>
        <w:rPr>
          <w:rFonts w:asciiTheme="minorHAnsi" w:hAnsiTheme="minorHAnsi" w:eastAsiaTheme="minorEastAsia" w:cstheme="minorBidi"/>
          <w:highlight w:val="none"/>
        </w:rPr>
      </w:pPr>
      <w:r>
        <w:rPr>
          <w:highlight w:val="none"/>
        </w:rPr>
        <w:fldChar w:fldCharType="begin"/>
      </w:r>
      <w:r>
        <w:rPr>
          <w:highlight w:val="none"/>
        </w:rPr>
        <w:instrText xml:space="preserve"> HYPERLINK \l "_Toc103592019" </w:instrText>
      </w:r>
      <w:r>
        <w:rPr>
          <w:highlight w:val="none"/>
        </w:rPr>
        <w:fldChar w:fldCharType="separate"/>
      </w:r>
      <w:r>
        <w:rPr>
          <w:rStyle w:val="31"/>
          <w:color w:val="auto"/>
          <w:highlight w:val="none"/>
        </w:rPr>
        <w:t>第三章  评标办法（综合评估法）</w:t>
      </w:r>
      <w:r>
        <w:rPr>
          <w:highlight w:val="none"/>
        </w:rPr>
        <w:tab/>
      </w:r>
      <w:r>
        <w:rPr>
          <w:highlight w:val="none"/>
        </w:rPr>
        <w:fldChar w:fldCharType="begin"/>
      </w:r>
      <w:r>
        <w:rPr>
          <w:highlight w:val="none"/>
        </w:rPr>
        <w:instrText xml:space="preserve"> PAGEREF _Toc103592019 \h </w:instrText>
      </w:r>
      <w:r>
        <w:rPr>
          <w:highlight w:val="none"/>
        </w:rPr>
        <w:fldChar w:fldCharType="separate"/>
      </w:r>
      <w:r>
        <w:rPr>
          <w:highlight w:val="none"/>
        </w:rPr>
        <w:t>26</w:t>
      </w:r>
      <w:r>
        <w:rPr>
          <w:highlight w:val="none"/>
        </w:rPr>
        <w:fldChar w:fldCharType="end"/>
      </w:r>
      <w:r>
        <w:rPr>
          <w:highlight w:val="none"/>
        </w:rPr>
        <w:fldChar w:fldCharType="end"/>
      </w:r>
    </w:p>
    <w:p w14:paraId="2859A635">
      <w:pPr>
        <w:pStyle w:val="23"/>
        <w:tabs>
          <w:tab w:val="right" w:leader="dot" w:pos="9062"/>
        </w:tabs>
        <w:rPr>
          <w:rFonts w:asciiTheme="minorHAnsi" w:hAnsiTheme="minorHAnsi" w:eastAsiaTheme="minorEastAsia" w:cstheme="minorBidi"/>
          <w:highlight w:val="none"/>
        </w:rPr>
      </w:pPr>
      <w:r>
        <w:rPr>
          <w:highlight w:val="none"/>
        </w:rPr>
        <w:fldChar w:fldCharType="begin"/>
      </w:r>
      <w:r>
        <w:rPr>
          <w:highlight w:val="none"/>
        </w:rPr>
        <w:instrText xml:space="preserve"> HYPERLINK \l "_Toc103592020" </w:instrText>
      </w:r>
      <w:r>
        <w:rPr>
          <w:highlight w:val="none"/>
        </w:rPr>
        <w:fldChar w:fldCharType="separate"/>
      </w:r>
      <w:r>
        <w:rPr>
          <w:rStyle w:val="31"/>
          <w:rFonts w:ascii="宋体" w:hAnsi="宋体"/>
          <w:color w:val="auto"/>
          <w:highlight w:val="none"/>
        </w:rPr>
        <w:t>评标办法前附表</w:t>
      </w:r>
      <w:r>
        <w:rPr>
          <w:highlight w:val="none"/>
        </w:rPr>
        <w:tab/>
      </w:r>
      <w:r>
        <w:rPr>
          <w:highlight w:val="none"/>
        </w:rPr>
        <w:fldChar w:fldCharType="begin"/>
      </w:r>
      <w:r>
        <w:rPr>
          <w:highlight w:val="none"/>
        </w:rPr>
        <w:instrText xml:space="preserve"> PAGEREF _Toc103592020 \h </w:instrText>
      </w:r>
      <w:r>
        <w:rPr>
          <w:highlight w:val="none"/>
        </w:rPr>
        <w:fldChar w:fldCharType="separate"/>
      </w:r>
      <w:r>
        <w:rPr>
          <w:highlight w:val="none"/>
        </w:rPr>
        <w:t>26</w:t>
      </w:r>
      <w:r>
        <w:rPr>
          <w:highlight w:val="none"/>
        </w:rPr>
        <w:fldChar w:fldCharType="end"/>
      </w:r>
      <w:r>
        <w:rPr>
          <w:highlight w:val="none"/>
        </w:rPr>
        <w:fldChar w:fldCharType="end"/>
      </w:r>
    </w:p>
    <w:p w14:paraId="1AA25AE3">
      <w:pPr>
        <w:pStyle w:val="15"/>
        <w:tabs>
          <w:tab w:val="right" w:leader="dot" w:pos="9062"/>
        </w:tabs>
        <w:rPr>
          <w:rFonts w:asciiTheme="minorHAnsi" w:hAnsiTheme="minorHAnsi" w:eastAsiaTheme="minorEastAsia" w:cstheme="minorBidi"/>
          <w:highlight w:val="none"/>
        </w:rPr>
      </w:pPr>
      <w:r>
        <w:rPr>
          <w:highlight w:val="none"/>
        </w:rPr>
        <w:fldChar w:fldCharType="begin"/>
      </w:r>
      <w:r>
        <w:rPr>
          <w:highlight w:val="none"/>
        </w:rPr>
        <w:instrText xml:space="preserve"> HYPERLINK \l "_Toc103592021" </w:instrText>
      </w:r>
      <w:r>
        <w:rPr>
          <w:highlight w:val="none"/>
        </w:rPr>
        <w:fldChar w:fldCharType="separate"/>
      </w:r>
      <w:r>
        <w:rPr>
          <w:rStyle w:val="31"/>
          <w:color w:val="auto"/>
          <w:highlight w:val="none"/>
        </w:rPr>
        <w:t>附表一：形式评审表</w:t>
      </w:r>
      <w:r>
        <w:rPr>
          <w:highlight w:val="none"/>
        </w:rPr>
        <w:tab/>
      </w:r>
      <w:r>
        <w:rPr>
          <w:highlight w:val="none"/>
        </w:rPr>
        <w:fldChar w:fldCharType="begin"/>
      </w:r>
      <w:r>
        <w:rPr>
          <w:highlight w:val="none"/>
        </w:rPr>
        <w:instrText xml:space="preserve"> PAGEREF _Toc103592021 \h </w:instrText>
      </w:r>
      <w:r>
        <w:rPr>
          <w:highlight w:val="none"/>
        </w:rPr>
        <w:fldChar w:fldCharType="separate"/>
      </w:r>
      <w:r>
        <w:rPr>
          <w:highlight w:val="none"/>
        </w:rPr>
        <w:t>28</w:t>
      </w:r>
      <w:r>
        <w:rPr>
          <w:highlight w:val="none"/>
        </w:rPr>
        <w:fldChar w:fldCharType="end"/>
      </w:r>
      <w:r>
        <w:rPr>
          <w:highlight w:val="none"/>
        </w:rPr>
        <w:fldChar w:fldCharType="end"/>
      </w:r>
    </w:p>
    <w:p w14:paraId="25F03245">
      <w:pPr>
        <w:pStyle w:val="15"/>
        <w:tabs>
          <w:tab w:val="right" w:leader="dot" w:pos="9062"/>
        </w:tabs>
        <w:rPr>
          <w:rFonts w:asciiTheme="minorHAnsi" w:hAnsiTheme="minorHAnsi" w:eastAsiaTheme="minorEastAsia" w:cstheme="minorBidi"/>
          <w:highlight w:val="none"/>
        </w:rPr>
      </w:pPr>
      <w:r>
        <w:rPr>
          <w:highlight w:val="none"/>
        </w:rPr>
        <w:fldChar w:fldCharType="begin"/>
      </w:r>
      <w:r>
        <w:rPr>
          <w:highlight w:val="none"/>
        </w:rPr>
        <w:instrText xml:space="preserve"> HYPERLINK \l "_Toc103592022" </w:instrText>
      </w:r>
      <w:r>
        <w:rPr>
          <w:highlight w:val="none"/>
        </w:rPr>
        <w:fldChar w:fldCharType="separate"/>
      </w:r>
      <w:r>
        <w:rPr>
          <w:rStyle w:val="31"/>
          <w:color w:val="auto"/>
          <w:highlight w:val="none"/>
        </w:rPr>
        <w:t>附表二：资格评审表</w:t>
      </w:r>
      <w:r>
        <w:rPr>
          <w:highlight w:val="none"/>
        </w:rPr>
        <w:tab/>
      </w:r>
      <w:r>
        <w:rPr>
          <w:highlight w:val="none"/>
        </w:rPr>
        <w:fldChar w:fldCharType="begin"/>
      </w:r>
      <w:r>
        <w:rPr>
          <w:highlight w:val="none"/>
        </w:rPr>
        <w:instrText xml:space="preserve"> PAGEREF _Toc103592022 \h </w:instrText>
      </w:r>
      <w:r>
        <w:rPr>
          <w:highlight w:val="none"/>
        </w:rPr>
        <w:fldChar w:fldCharType="separate"/>
      </w:r>
      <w:r>
        <w:rPr>
          <w:highlight w:val="none"/>
        </w:rPr>
        <w:t>29</w:t>
      </w:r>
      <w:r>
        <w:rPr>
          <w:highlight w:val="none"/>
        </w:rPr>
        <w:fldChar w:fldCharType="end"/>
      </w:r>
      <w:r>
        <w:rPr>
          <w:highlight w:val="none"/>
        </w:rPr>
        <w:fldChar w:fldCharType="end"/>
      </w:r>
    </w:p>
    <w:p w14:paraId="6B4424C6">
      <w:pPr>
        <w:pStyle w:val="15"/>
        <w:tabs>
          <w:tab w:val="right" w:leader="dot" w:pos="9062"/>
        </w:tabs>
        <w:rPr>
          <w:rFonts w:asciiTheme="minorHAnsi" w:hAnsiTheme="minorHAnsi" w:eastAsiaTheme="minorEastAsia" w:cstheme="minorBidi"/>
          <w:highlight w:val="none"/>
        </w:rPr>
      </w:pPr>
      <w:r>
        <w:rPr>
          <w:highlight w:val="none"/>
        </w:rPr>
        <w:fldChar w:fldCharType="begin"/>
      </w:r>
      <w:r>
        <w:rPr>
          <w:highlight w:val="none"/>
        </w:rPr>
        <w:instrText xml:space="preserve"> HYPERLINK \l "_Toc103592023" </w:instrText>
      </w:r>
      <w:r>
        <w:rPr>
          <w:highlight w:val="none"/>
        </w:rPr>
        <w:fldChar w:fldCharType="separate"/>
      </w:r>
      <w:r>
        <w:rPr>
          <w:rStyle w:val="31"/>
          <w:color w:val="auto"/>
          <w:highlight w:val="none"/>
        </w:rPr>
        <w:t>附表三：响应性评审表</w:t>
      </w:r>
      <w:r>
        <w:rPr>
          <w:highlight w:val="none"/>
        </w:rPr>
        <w:tab/>
      </w:r>
      <w:r>
        <w:rPr>
          <w:highlight w:val="none"/>
        </w:rPr>
        <w:fldChar w:fldCharType="begin"/>
      </w:r>
      <w:r>
        <w:rPr>
          <w:highlight w:val="none"/>
        </w:rPr>
        <w:instrText xml:space="preserve"> PAGEREF _Toc103592023 \h </w:instrText>
      </w:r>
      <w:r>
        <w:rPr>
          <w:highlight w:val="none"/>
        </w:rPr>
        <w:fldChar w:fldCharType="separate"/>
      </w:r>
      <w:r>
        <w:rPr>
          <w:highlight w:val="none"/>
        </w:rPr>
        <w:t>30</w:t>
      </w:r>
      <w:r>
        <w:rPr>
          <w:highlight w:val="none"/>
        </w:rPr>
        <w:fldChar w:fldCharType="end"/>
      </w:r>
      <w:r>
        <w:rPr>
          <w:highlight w:val="none"/>
        </w:rPr>
        <w:fldChar w:fldCharType="end"/>
      </w:r>
    </w:p>
    <w:p w14:paraId="1B3C3804">
      <w:pPr>
        <w:pStyle w:val="15"/>
        <w:tabs>
          <w:tab w:val="right" w:leader="dot" w:pos="9062"/>
        </w:tabs>
        <w:rPr>
          <w:rFonts w:asciiTheme="minorHAnsi" w:hAnsiTheme="minorHAnsi" w:eastAsiaTheme="minorEastAsia" w:cstheme="minorBidi"/>
          <w:highlight w:val="none"/>
        </w:rPr>
      </w:pPr>
      <w:r>
        <w:rPr>
          <w:highlight w:val="none"/>
        </w:rPr>
        <w:fldChar w:fldCharType="begin"/>
      </w:r>
      <w:r>
        <w:rPr>
          <w:highlight w:val="none"/>
        </w:rPr>
        <w:instrText xml:space="preserve"> HYPERLINK \l "_Toc103592024" </w:instrText>
      </w:r>
      <w:r>
        <w:rPr>
          <w:highlight w:val="none"/>
        </w:rPr>
        <w:fldChar w:fldCharType="separate"/>
      </w:r>
      <w:r>
        <w:rPr>
          <w:rStyle w:val="31"/>
          <w:color w:val="auto"/>
          <w:highlight w:val="none"/>
        </w:rPr>
        <w:t>附表四：综合评分表</w:t>
      </w:r>
      <w:r>
        <w:rPr>
          <w:highlight w:val="none"/>
        </w:rPr>
        <w:tab/>
      </w:r>
      <w:r>
        <w:rPr>
          <w:highlight w:val="none"/>
        </w:rPr>
        <w:fldChar w:fldCharType="begin"/>
      </w:r>
      <w:r>
        <w:rPr>
          <w:highlight w:val="none"/>
        </w:rPr>
        <w:instrText xml:space="preserve"> PAGEREF _Toc103592024 \h </w:instrText>
      </w:r>
      <w:r>
        <w:rPr>
          <w:highlight w:val="none"/>
        </w:rPr>
        <w:fldChar w:fldCharType="separate"/>
      </w:r>
      <w:r>
        <w:rPr>
          <w:highlight w:val="none"/>
        </w:rPr>
        <w:t>31</w:t>
      </w:r>
      <w:r>
        <w:rPr>
          <w:highlight w:val="none"/>
        </w:rPr>
        <w:fldChar w:fldCharType="end"/>
      </w:r>
      <w:r>
        <w:rPr>
          <w:highlight w:val="none"/>
        </w:rPr>
        <w:fldChar w:fldCharType="end"/>
      </w:r>
    </w:p>
    <w:p w14:paraId="4DBC6C59">
      <w:pPr>
        <w:pStyle w:val="15"/>
        <w:tabs>
          <w:tab w:val="right" w:leader="dot" w:pos="9062"/>
        </w:tabs>
        <w:rPr>
          <w:rFonts w:asciiTheme="minorHAnsi" w:hAnsiTheme="minorHAnsi" w:eastAsiaTheme="minorEastAsia" w:cstheme="minorBidi"/>
          <w:highlight w:val="none"/>
        </w:rPr>
      </w:pPr>
      <w:r>
        <w:rPr>
          <w:highlight w:val="none"/>
        </w:rPr>
        <w:fldChar w:fldCharType="begin"/>
      </w:r>
      <w:r>
        <w:rPr>
          <w:highlight w:val="none"/>
        </w:rPr>
        <w:instrText xml:space="preserve"> HYPERLINK \l "_Toc103592026" </w:instrText>
      </w:r>
      <w:r>
        <w:rPr>
          <w:highlight w:val="none"/>
        </w:rPr>
        <w:fldChar w:fldCharType="separate"/>
      </w:r>
      <w:r>
        <w:rPr>
          <w:rStyle w:val="31"/>
          <w:color w:val="auto"/>
          <w:highlight w:val="none"/>
        </w:rPr>
        <w:t>附表五：算术复核表</w:t>
      </w:r>
      <w:r>
        <w:rPr>
          <w:highlight w:val="none"/>
        </w:rPr>
        <w:tab/>
      </w:r>
      <w:r>
        <w:rPr>
          <w:highlight w:val="none"/>
        </w:rPr>
        <w:fldChar w:fldCharType="begin"/>
      </w:r>
      <w:r>
        <w:rPr>
          <w:highlight w:val="none"/>
        </w:rPr>
        <w:instrText xml:space="preserve"> PAGEREF _Toc103592026 \h </w:instrText>
      </w:r>
      <w:r>
        <w:rPr>
          <w:highlight w:val="none"/>
        </w:rPr>
        <w:fldChar w:fldCharType="separate"/>
      </w:r>
      <w:r>
        <w:rPr>
          <w:highlight w:val="none"/>
        </w:rPr>
        <w:t>34</w:t>
      </w:r>
      <w:r>
        <w:rPr>
          <w:highlight w:val="none"/>
        </w:rPr>
        <w:fldChar w:fldCharType="end"/>
      </w:r>
      <w:r>
        <w:rPr>
          <w:highlight w:val="none"/>
        </w:rPr>
        <w:fldChar w:fldCharType="end"/>
      </w:r>
    </w:p>
    <w:p w14:paraId="19801B4C">
      <w:pPr>
        <w:pStyle w:val="15"/>
        <w:tabs>
          <w:tab w:val="right" w:leader="dot" w:pos="9062"/>
        </w:tabs>
        <w:rPr>
          <w:rFonts w:asciiTheme="minorHAnsi" w:hAnsiTheme="minorHAnsi" w:eastAsiaTheme="minorEastAsia" w:cstheme="minorBidi"/>
          <w:highlight w:val="none"/>
        </w:rPr>
      </w:pPr>
      <w:r>
        <w:rPr>
          <w:highlight w:val="none"/>
        </w:rPr>
        <w:fldChar w:fldCharType="begin"/>
      </w:r>
      <w:r>
        <w:rPr>
          <w:highlight w:val="none"/>
        </w:rPr>
        <w:instrText xml:space="preserve"> HYPERLINK \l "_Toc103592027" </w:instrText>
      </w:r>
      <w:r>
        <w:rPr>
          <w:highlight w:val="none"/>
        </w:rPr>
        <w:fldChar w:fldCharType="separate"/>
      </w:r>
      <w:r>
        <w:rPr>
          <w:rStyle w:val="31"/>
          <w:bCs/>
          <w:color w:val="auto"/>
          <w:highlight w:val="none"/>
        </w:rPr>
        <w:t>附表六：</w:t>
      </w:r>
      <w:r>
        <w:rPr>
          <w:rStyle w:val="31"/>
          <w:color w:val="auto"/>
          <w:highlight w:val="none"/>
        </w:rPr>
        <w:t>报价得分计算表</w:t>
      </w:r>
      <w:r>
        <w:rPr>
          <w:highlight w:val="none"/>
        </w:rPr>
        <w:tab/>
      </w:r>
      <w:r>
        <w:rPr>
          <w:highlight w:val="none"/>
        </w:rPr>
        <w:fldChar w:fldCharType="begin"/>
      </w:r>
      <w:r>
        <w:rPr>
          <w:highlight w:val="none"/>
        </w:rPr>
        <w:instrText xml:space="preserve"> PAGEREF _Toc103592027 \h </w:instrText>
      </w:r>
      <w:r>
        <w:rPr>
          <w:highlight w:val="none"/>
        </w:rPr>
        <w:fldChar w:fldCharType="separate"/>
      </w:r>
      <w:r>
        <w:rPr>
          <w:highlight w:val="none"/>
        </w:rPr>
        <w:t>35</w:t>
      </w:r>
      <w:r>
        <w:rPr>
          <w:highlight w:val="none"/>
        </w:rPr>
        <w:fldChar w:fldCharType="end"/>
      </w:r>
      <w:r>
        <w:rPr>
          <w:highlight w:val="none"/>
        </w:rPr>
        <w:fldChar w:fldCharType="end"/>
      </w:r>
    </w:p>
    <w:p w14:paraId="700CF1E8">
      <w:pPr>
        <w:pStyle w:val="15"/>
        <w:tabs>
          <w:tab w:val="left" w:pos="1260"/>
          <w:tab w:val="right" w:leader="dot" w:pos="9062"/>
        </w:tabs>
        <w:rPr>
          <w:rFonts w:asciiTheme="minorHAnsi" w:hAnsiTheme="minorHAnsi" w:eastAsiaTheme="minorEastAsia" w:cstheme="minorBidi"/>
          <w:highlight w:val="none"/>
        </w:rPr>
      </w:pPr>
      <w:r>
        <w:rPr>
          <w:highlight w:val="none"/>
        </w:rPr>
        <w:fldChar w:fldCharType="begin"/>
      </w:r>
      <w:r>
        <w:rPr>
          <w:highlight w:val="none"/>
        </w:rPr>
        <w:instrText xml:space="preserve"> HYPERLINK \l "_Toc103592028" </w:instrText>
      </w:r>
      <w:r>
        <w:rPr>
          <w:highlight w:val="none"/>
        </w:rPr>
        <w:fldChar w:fldCharType="separate"/>
      </w:r>
      <w:r>
        <w:rPr>
          <w:rStyle w:val="31"/>
          <w:color w:val="auto"/>
          <w:highlight w:val="none"/>
        </w:rPr>
        <w:t>1.</w:t>
      </w:r>
      <w:r>
        <w:rPr>
          <w:rFonts w:asciiTheme="minorHAnsi" w:hAnsiTheme="minorHAnsi" w:eastAsiaTheme="minorEastAsia" w:cstheme="minorBidi"/>
          <w:highlight w:val="none"/>
        </w:rPr>
        <w:tab/>
      </w:r>
      <w:r>
        <w:rPr>
          <w:rStyle w:val="31"/>
          <w:color w:val="auto"/>
          <w:highlight w:val="none"/>
        </w:rPr>
        <w:t>评标方法</w:t>
      </w:r>
      <w:r>
        <w:rPr>
          <w:highlight w:val="none"/>
        </w:rPr>
        <w:tab/>
      </w:r>
      <w:r>
        <w:rPr>
          <w:highlight w:val="none"/>
        </w:rPr>
        <w:fldChar w:fldCharType="begin"/>
      </w:r>
      <w:r>
        <w:rPr>
          <w:highlight w:val="none"/>
        </w:rPr>
        <w:instrText xml:space="preserve"> PAGEREF _Toc103592028 \h </w:instrText>
      </w:r>
      <w:r>
        <w:rPr>
          <w:highlight w:val="none"/>
        </w:rPr>
        <w:fldChar w:fldCharType="separate"/>
      </w:r>
      <w:r>
        <w:rPr>
          <w:highlight w:val="none"/>
        </w:rPr>
        <w:t>36</w:t>
      </w:r>
      <w:r>
        <w:rPr>
          <w:highlight w:val="none"/>
        </w:rPr>
        <w:fldChar w:fldCharType="end"/>
      </w:r>
      <w:r>
        <w:rPr>
          <w:highlight w:val="none"/>
        </w:rPr>
        <w:fldChar w:fldCharType="end"/>
      </w:r>
    </w:p>
    <w:p w14:paraId="311C8F76">
      <w:pPr>
        <w:pStyle w:val="15"/>
        <w:tabs>
          <w:tab w:val="right" w:leader="dot" w:pos="9062"/>
        </w:tabs>
        <w:rPr>
          <w:rFonts w:asciiTheme="minorHAnsi" w:hAnsiTheme="minorHAnsi" w:eastAsiaTheme="minorEastAsia" w:cstheme="minorBidi"/>
          <w:highlight w:val="none"/>
        </w:rPr>
      </w:pPr>
      <w:r>
        <w:rPr>
          <w:highlight w:val="none"/>
        </w:rPr>
        <w:fldChar w:fldCharType="begin"/>
      </w:r>
      <w:r>
        <w:rPr>
          <w:highlight w:val="none"/>
        </w:rPr>
        <w:instrText xml:space="preserve"> HYPERLINK \l "_Toc103592029" </w:instrText>
      </w:r>
      <w:r>
        <w:rPr>
          <w:highlight w:val="none"/>
        </w:rPr>
        <w:fldChar w:fldCharType="separate"/>
      </w:r>
      <w:r>
        <w:rPr>
          <w:rStyle w:val="31"/>
          <w:color w:val="auto"/>
          <w:highlight w:val="none"/>
        </w:rPr>
        <w:t>2. 评审标准</w:t>
      </w:r>
      <w:r>
        <w:rPr>
          <w:highlight w:val="none"/>
        </w:rPr>
        <w:tab/>
      </w:r>
      <w:r>
        <w:rPr>
          <w:highlight w:val="none"/>
        </w:rPr>
        <w:fldChar w:fldCharType="begin"/>
      </w:r>
      <w:r>
        <w:rPr>
          <w:highlight w:val="none"/>
        </w:rPr>
        <w:instrText xml:space="preserve"> PAGEREF _Toc103592029 \h </w:instrText>
      </w:r>
      <w:r>
        <w:rPr>
          <w:highlight w:val="none"/>
        </w:rPr>
        <w:fldChar w:fldCharType="separate"/>
      </w:r>
      <w:r>
        <w:rPr>
          <w:highlight w:val="none"/>
        </w:rPr>
        <w:t>36</w:t>
      </w:r>
      <w:r>
        <w:rPr>
          <w:highlight w:val="none"/>
        </w:rPr>
        <w:fldChar w:fldCharType="end"/>
      </w:r>
      <w:r>
        <w:rPr>
          <w:highlight w:val="none"/>
        </w:rPr>
        <w:fldChar w:fldCharType="end"/>
      </w:r>
    </w:p>
    <w:p w14:paraId="621A75FA">
      <w:pPr>
        <w:pStyle w:val="15"/>
        <w:tabs>
          <w:tab w:val="right" w:leader="dot" w:pos="9062"/>
        </w:tabs>
        <w:rPr>
          <w:rFonts w:asciiTheme="minorHAnsi" w:hAnsiTheme="minorHAnsi" w:eastAsiaTheme="minorEastAsia" w:cstheme="minorBidi"/>
          <w:highlight w:val="none"/>
        </w:rPr>
      </w:pPr>
      <w:r>
        <w:rPr>
          <w:highlight w:val="none"/>
        </w:rPr>
        <w:fldChar w:fldCharType="begin"/>
      </w:r>
      <w:r>
        <w:rPr>
          <w:highlight w:val="none"/>
        </w:rPr>
        <w:instrText xml:space="preserve"> HYPERLINK \l "_Toc103592030" </w:instrText>
      </w:r>
      <w:r>
        <w:rPr>
          <w:highlight w:val="none"/>
        </w:rPr>
        <w:fldChar w:fldCharType="separate"/>
      </w:r>
      <w:r>
        <w:rPr>
          <w:rStyle w:val="31"/>
          <w:color w:val="auto"/>
          <w:highlight w:val="none"/>
        </w:rPr>
        <w:t>3. 评标程序</w:t>
      </w:r>
      <w:r>
        <w:rPr>
          <w:highlight w:val="none"/>
        </w:rPr>
        <w:tab/>
      </w:r>
      <w:r>
        <w:rPr>
          <w:highlight w:val="none"/>
        </w:rPr>
        <w:fldChar w:fldCharType="begin"/>
      </w:r>
      <w:r>
        <w:rPr>
          <w:highlight w:val="none"/>
        </w:rPr>
        <w:instrText xml:space="preserve"> PAGEREF _Toc103592030 \h </w:instrText>
      </w:r>
      <w:r>
        <w:rPr>
          <w:highlight w:val="none"/>
        </w:rPr>
        <w:fldChar w:fldCharType="separate"/>
      </w:r>
      <w:r>
        <w:rPr>
          <w:highlight w:val="none"/>
        </w:rPr>
        <w:t>37</w:t>
      </w:r>
      <w:r>
        <w:rPr>
          <w:highlight w:val="none"/>
        </w:rPr>
        <w:fldChar w:fldCharType="end"/>
      </w:r>
      <w:r>
        <w:rPr>
          <w:highlight w:val="none"/>
        </w:rPr>
        <w:fldChar w:fldCharType="end"/>
      </w:r>
    </w:p>
    <w:p w14:paraId="44D7F364">
      <w:pPr>
        <w:pStyle w:val="22"/>
        <w:tabs>
          <w:tab w:val="right" w:leader="dot" w:pos="9062"/>
        </w:tabs>
        <w:rPr>
          <w:rFonts w:asciiTheme="minorHAnsi" w:hAnsiTheme="minorHAnsi" w:eastAsiaTheme="minorEastAsia" w:cstheme="minorBidi"/>
          <w:highlight w:val="none"/>
        </w:rPr>
      </w:pPr>
      <w:r>
        <w:rPr>
          <w:highlight w:val="none"/>
        </w:rPr>
        <w:fldChar w:fldCharType="begin"/>
      </w:r>
      <w:r>
        <w:rPr>
          <w:highlight w:val="none"/>
        </w:rPr>
        <w:instrText xml:space="preserve"> HYPERLINK \l "_Toc103592031" </w:instrText>
      </w:r>
      <w:r>
        <w:rPr>
          <w:highlight w:val="none"/>
        </w:rPr>
        <w:fldChar w:fldCharType="separate"/>
      </w:r>
      <w:r>
        <w:rPr>
          <w:rStyle w:val="31"/>
          <w:color w:val="auto"/>
          <w:highlight w:val="none"/>
        </w:rPr>
        <w:t>第四章  合同条款及格式</w:t>
      </w:r>
      <w:r>
        <w:rPr>
          <w:highlight w:val="none"/>
        </w:rPr>
        <w:tab/>
      </w:r>
      <w:r>
        <w:rPr>
          <w:highlight w:val="none"/>
        </w:rPr>
        <w:fldChar w:fldCharType="begin"/>
      </w:r>
      <w:r>
        <w:rPr>
          <w:highlight w:val="none"/>
        </w:rPr>
        <w:instrText xml:space="preserve"> PAGEREF _Toc103592031 \h </w:instrText>
      </w:r>
      <w:r>
        <w:rPr>
          <w:highlight w:val="none"/>
        </w:rPr>
        <w:fldChar w:fldCharType="separate"/>
      </w:r>
      <w:r>
        <w:rPr>
          <w:highlight w:val="none"/>
        </w:rPr>
        <w:t>39</w:t>
      </w:r>
      <w:r>
        <w:rPr>
          <w:highlight w:val="none"/>
        </w:rPr>
        <w:fldChar w:fldCharType="end"/>
      </w:r>
      <w:r>
        <w:rPr>
          <w:highlight w:val="none"/>
        </w:rPr>
        <w:fldChar w:fldCharType="end"/>
      </w:r>
    </w:p>
    <w:p w14:paraId="0D267BC1">
      <w:pPr>
        <w:pStyle w:val="22"/>
        <w:tabs>
          <w:tab w:val="right" w:leader="dot" w:pos="9062"/>
        </w:tabs>
        <w:rPr>
          <w:rFonts w:asciiTheme="minorHAnsi" w:hAnsiTheme="minorHAnsi" w:eastAsiaTheme="minorEastAsia" w:cstheme="minorBidi"/>
          <w:highlight w:val="none"/>
        </w:rPr>
      </w:pPr>
      <w:r>
        <w:rPr>
          <w:highlight w:val="none"/>
        </w:rPr>
        <w:fldChar w:fldCharType="begin"/>
      </w:r>
      <w:r>
        <w:rPr>
          <w:highlight w:val="none"/>
        </w:rPr>
        <w:instrText xml:space="preserve"> HYPERLINK \l "_Toc103592032" </w:instrText>
      </w:r>
      <w:r>
        <w:rPr>
          <w:highlight w:val="none"/>
        </w:rPr>
        <w:fldChar w:fldCharType="separate"/>
      </w:r>
      <w:r>
        <w:rPr>
          <w:rStyle w:val="31"/>
          <w:color w:val="auto"/>
          <w:highlight w:val="none"/>
        </w:rPr>
        <w:t>第二卷</w:t>
      </w:r>
      <w:r>
        <w:rPr>
          <w:highlight w:val="none"/>
        </w:rPr>
        <w:tab/>
      </w:r>
      <w:r>
        <w:rPr>
          <w:highlight w:val="none"/>
        </w:rPr>
        <w:fldChar w:fldCharType="begin"/>
      </w:r>
      <w:r>
        <w:rPr>
          <w:highlight w:val="none"/>
        </w:rPr>
        <w:instrText xml:space="preserve"> PAGEREF _Toc103592032 \h </w:instrText>
      </w:r>
      <w:r>
        <w:rPr>
          <w:highlight w:val="none"/>
        </w:rPr>
        <w:fldChar w:fldCharType="separate"/>
      </w:r>
      <w:r>
        <w:rPr>
          <w:highlight w:val="none"/>
        </w:rPr>
        <w:t>60</w:t>
      </w:r>
      <w:r>
        <w:rPr>
          <w:highlight w:val="none"/>
        </w:rPr>
        <w:fldChar w:fldCharType="end"/>
      </w:r>
      <w:r>
        <w:rPr>
          <w:highlight w:val="none"/>
        </w:rPr>
        <w:fldChar w:fldCharType="end"/>
      </w:r>
    </w:p>
    <w:p w14:paraId="3C9502C7">
      <w:pPr>
        <w:pStyle w:val="22"/>
        <w:tabs>
          <w:tab w:val="right" w:leader="dot" w:pos="9062"/>
        </w:tabs>
        <w:rPr>
          <w:rFonts w:asciiTheme="minorHAnsi" w:hAnsiTheme="minorHAnsi" w:eastAsiaTheme="minorEastAsia" w:cstheme="minorBidi"/>
          <w:highlight w:val="none"/>
        </w:rPr>
      </w:pPr>
      <w:r>
        <w:rPr>
          <w:highlight w:val="none"/>
        </w:rPr>
        <w:fldChar w:fldCharType="begin"/>
      </w:r>
      <w:r>
        <w:rPr>
          <w:highlight w:val="none"/>
        </w:rPr>
        <w:instrText xml:space="preserve"> HYPERLINK \l "_Toc103592033" </w:instrText>
      </w:r>
      <w:r>
        <w:rPr>
          <w:highlight w:val="none"/>
        </w:rPr>
        <w:fldChar w:fldCharType="separate"/>
      </w:r>
      <w:r>
        <w:rPr>
          <w:rStyle w:val="31"/>
          <w:color w:val="auto"/>
          <w:highlight w:val="none"/>
        </w:rPr>
        <w:t>第五章 委托人要求</w:t>
      </w:r>
      <w:r>
        <w:rPr>
          <w:highlight w:val="none"/>
        </w:rPr>
        <w:tab/>
      </w:r>
      <w:r>
        <w:rPr>
          <w:highlight w:val="none"/>
        </w:rPr>
        <w:fldChar w:fldCharType="begin"/>
      </w:r>
      <w:r>
        <w:rPr>
          <w:highlight w:val="none"/>
        </w:rPr>
        <w:instrText xml:space="preserve"> PAGEREF _Toc103592033 \h </w:instrText>
      </w:r>
      <w:r>
        <w:rPr>
          <w:highlight w:val="none"/>
        </w:rPr>
        <w:fldChar w:fldCharType="separate"/>
      </w:r>
      <w:r>
        <w:rPr>
          <w:highlight w:val="none"/>
        </w:rPr>
        <w:t>60</w:t>
      </w:r>
      <w:r>
        <w:rPr>
          <w:highlight w:val="none"/>
        </w:rPr>
        <w:fldChar w:fldCharType="end"/>
      </w:r>
      <w:r>
        <w:rPr>
          <w:highlight w:val="none"/>
        </w:rPr>
        <w:fldChar w:fldCharType="end"/>
      </w:r>
    </w:p>
    <w:p w14:paraId="1F433AF9">
      <w:pPr>
        <w:pStyle w:val="22"/>
        <w:tabs>
          <w:tab w:val="right" w:leader="dot" w:pos="9062"/>
        </w:tabs>
        <w:rPr>
          <w:rFonts w:asciiTheme="minorHAnsi" w:hAnsiTheme="minorHAnsi" w:eastAsiaTheme="minorEastAsia" w:cstheme="minorBidi"/>
          <w:highlight w:val="none"/>
        </w:rPr>
      </w:pPr>
      <w:r>
        <w:rPr>
          <w:highlight w:val="none"/>
        </w:rPr>
        <w:fldChar w:fldCharType="begin"/>
      </w:r>
      <w:r>
        <w:rPr>
          <w:highlight w:val="none"/>
        </w:rPr>
        <w:instrText xml:space="preserve"> HYPERLINK \l "_Toc103592034" </w:instrText>
      </w:r>
      <w:r>
        <w:rPr>
          <w:highlight w:val="none"/>
        </w:rPr>
        <w:fldChar w:fldCharType="separate"/>
      </w:r>
      <w:r>
        <w:rPr>
          <w:rStyle w:val="31"/>
          <w:color w:val="auto"/>
          <w:highlight w:val="none"/>
        </w:rPr>
        <w:t>第三卷</w:t>
      </w:r>
      <w:r>
        <w:rPr>
          <w:highlight w:val="none"/>
        </w:rPr>
        <w:tab/>
      </w:r>
      <w:r>
        <w:rPr>
          <w:highlight w:val="none"/>
        </w:rPr>
        <w:fldChar w:fldCharType="begin"/>
      </w:r>
      <w:r>
        <w:rPr>
          <w:highlight w:val="none"/>
        </w:rPr>
        <w:instrText xml:space="preserve"> PAGEREF _Toc103592034 \h </w:instrText>
      </w:r>
      <w:r>
        <w:rPr>
          <w:highlight w:val="none"/>
        </w:rPr>
        <w:fldChar w:fldCharType="separate"/>
      </w:r>
      <w:r>
        <w:rPr>
          <w:highlight w:val="none"/>
        </w:rPr>
        <w:t>65</w:t>
      </w:r>
      <w:r>
        <w:rPr>
          <w:highlight w:val="none"/>
        </w:rPr>
        <w:fldChar w:fldCharType="end"/>
      </w:r>
      <w:r>
        <w:rPr>
          <w:highlight w:val="none"/>
        </w:rPr>
        <w:fldChar w:fldCharType="end"/>
      </w:r>
    </w:p>
    <w:p w14:paraId="165C296E">
      <w:pPr>
        <w:pStyle w:val="22"/>
        <w:tabs>
          <w:tab w:val="right" w:leader="dot" w:pos="9062"/>
        </w:tabs>
        <w:rPr>
          <w:rFonts w:asciiTheme="minorHAnsi" w:hAnsiTheme="minorHAnsi" w:eastAsiaTheme="minorEastAsia" w:cstheme="minorBidi"/>
          <w:highlight w:val="none"/>
        </w:rPr>
      </w:pPr>
      <w:r>
        <w:rPr>
          <w:highlight w:val="none"/>
        </w:rPr>
        <w:fldChar w:fldCharType="begin"/>
      </w:r>
      <w:r>
        <w:rPr>
          <w:highlight w:val="none"/>
        </w:rPr>
        <w:instrText xml:space="preserve"> HYPERLINK \l "_Toc103592035" </w:instrText>
      </w:r>
      <w:r>
        <w:rPr>
          <w:highlight w:val="none"/>
        </w:rPr>
        <w:fldChar w:fldCharType="separate"/>
      </w:r>
      <w:r>
        <w:rPr>
          <w:rStyle w:val="31"/>
          <w:color w:val="auto"/>
          <w:highlight w:val="none"/>
        </w:rPr>
        <w:t>第六章  投标文件格式</w:t>
      </w:r>
      <w:r>
        <w:rPr>
          <w:highlight w:val="none"/>
        </w:rPr>
        <w:tab/>
      </w:r>
      <w:r>
        <w:rPr>
          <w:highlight w:val="none"/>
        </w:rPr>
        <w:fldChar w:fldCharType="begin"/>
      </w:r>
      <w:r>
        <w:rPr>
          <w:highlight w:val="none"/>
        </w:rPr>
        <w:instrText xml:space="preserve"> PAGEREF _Toc103592035 \h </w:instrText>
      </w:r>
      <w:r>
        <w:rPr>
          <w:highlight w:val="none"/>
        </w:rPr>
        <w:fldChar w:fldCharType="separate"/>
      </w:r>
      <w:r>
        <w:rPr>
          <w:highlight w:val="none"/>
        </w:rPr>
        <w:t>65</w:t>
      </w:r>
      <w:r>
        <w:rPr>
          <w:highlight w:val="none"/>
        </w:rPr>
        <w:fldChar w:fldCharType="end"/>
      </w:r>
      <w:r>
        <w:rPr>
          <w:highlight w:val="none"/>
        </w:rPr>
        <w:fldChar w:fldCharType="end"/>
      </w:r>
    </w:p>
    <w:p w14:paraId="504E08E6">
      <w:pPr>
        <w:pStyle w:val="15"/>
        <w:tabs>
          <w:tab w:val="right" w:leader="dot" w:pos="9062"/>
        </w:tabs>
        <w:rPr>
          <w:rFonts w:asciiTheme="minorHAnsi" w:hAnsiTheme="minorHAnsi" w:eastAsiaTheme="minorEastAsia" w:cstheme="minorBidi"/>
          <w:highlight w:val="none"/>
        </w:rPr>
      </w:pPr>
      <w:r>
        <w:rPr>
          <w:highlight w:val="none"/>
        </w:rPr>
        <w:fldChar w:fldCharType="begin"/>
      </w:r>
      <w:r>
        <w:rPr>
          <w:highlight w:val="none"/>
        </w:rPr>
        <w:instrText xml:space="preserve"> HYPERLINK \l "_Toc103592036" </w:instrText>
      </w:r>
      <w:r>
        <w:rPr>
          <w:highlight w:val="none"/>
        </w:rPr>
        <w:fldChar w:fldCharType="separate"/>
      </w:r>
      <w:r>
        <w:rPr>
          <w:rStyle w:val="31"/>
          <w:color w:val="auto"/>
          <w:highlight w:val="none"/>
        </w:rPr>
        <w:t>一、投标函及其附表</w:t>
      </w:r>
      <w:r>
        <w:rPr>
          <w:highlight w:val="none"/>
        </w:rPr>
        <w:tab/>
      </w:r>
      <w:r>
        <w:rPr>
          <w:highlight w:val="none"/>
        </w:rPr>
        <w:fldChar w:fldCharType="begin"/>
      </w:r>
      <w:r>
        <w:rPr>
          <w:highlight w:val="none"/>
        </w:rPr>
        <w:instrText xml:space="preserve"> PAGEREF _Toc103592036 \h </w:instrText>
      </w:r>
      <w:r>
        <w:rPr>
          <w:highlight w:val="none"/>
        </w:rPr>
        <w:fldChar w:fldCharType="separate"/>
      </w:r>
      <w:r>
        <w:rPr>
          <w:highlight w:val="none"/>
        </w:rPr>
        <w:t>66</w:t>
      </w:r>
      <w:r>
        <w:rPr>
          <w:highlight w:val="none"/>
        </w:rPr>
        <w:fldChar w:fldCharType="end"/>
      </w:r>
      <w:r>
        <w:rPr>
          <w:highlight w:val="none"/>
        </w:rPr>
        <w:fldChar w:fldCharType="end"/>
      </w:r>
    </w:p>
    <w:p w14:paraId="52EE9857">
      <w:pPr>
        <w:pStyle w:val="15"/>
        <w:tabs>
          <w:tab w:val="right" w:leader="dot" w:pos="9062"/>
        </w:tabs>
        <w:rPr>
          <w:rFonts w:asciiTheme="minorHAnsi" w:hAnsiTheme="minorHAnsi" w:eastAsiaTheme="minorEastAsia" w:cstheme="minorBidi"/>
          <w:highlight w:val="none"/>
        </w:rPr>
      </w:pPr>
      <w:r>
        <w:rPr>
          <w:highlight w:val="none"/>
        </w:rPr>
        <w:fldChar w:fldCharType="begin"/>
      </w:r>
      <w:r>
        <w:rPr>
          <w:highlight w:val="none"/>
        </w:rPr>
        <w:instrText xml:space="preserve"> HYPERLINK \l "_Toc103592037" </w:instrText>
      </w:r>
      <w:r>
        <w:rPr>
          <w:highlight w:val="none"/>
        </w:rPr>
        <w:fldChar w:fldCharType="separate"/>
      </w:r>
      <w:r>
        <w:rPr>
          <w:rStyle w:val="31"/>
          <w:color w:val="auto"/>
          <w:highlight w:val="none"/>
        </w:rPr>
        <w:t>二、法定代表人证明书及授权委托书</w:t>
      </w:r>
      <w:r>
        <w:rPr>
          <w:highlight w:val="none"/>
        </w:rPr>
        <w:tab/>
      </w:r>
      <w:r>
        <w:rPr>
          <w:highlight w:val="none"/>
        </w:rPr>
        <w:fldChar w:fldCharType="begin"/>
      </w:r>
      <w:r>
        <w:rPr>
          <w:highlight w:val="none"/>
        </w:rPr>
        <w:instrText xml:space="preserve"> PAGEREF _Toc103592037 \h </w:instrText>
      </w:r>
      <w:r>
        <w:rPr>
          <w:highlight w:val="none"/>
        </w:rPr>
        <w:fldChar w:fldCharType="separate"/>
      </w:r>
      <w:r>
        <w:rPr>
          <w:highlight w:val="none"/>
        </w:rPr>
        <w:t>68</w:t>
      </w:r>
      <w:r>
        <w:rPr>
          <w:highlight w:val="none"/>
        </w:rPr>
        <w:fldChar w:fldCharType="end"/>
      </w:r>
      <w:r>
        <w:rPr>
          <w:highlight w:val="none"/>
        </w:rPr>
        <w:fldChar w:fldCharType="end"/>
      </w:r>
    </w:p>
    <w:p w14:paraId="5B57FBFA">
      <w:pPr>
        <w:pStyle w:val="15"/>
        <w:tabs>
          <w:tab w:val="right" w:leader="dot" w:pos="9062"/>
        </w:tabs>
        <w:rPr>
          <w:rFonts w:asciiTheme="minorHAnsi" w:hAnsiTheme="minorHAnsi" w:eastAsiaTheme="minorEastAsia" w:cstheme="minorBidi"/>
          <w:highlight w:val="none"/>
        </w:rPr>
      </w:pPr>
      <w:r>
        <w:rPr>
          <w:highlight w:val="none"/>
        </w:rPr>
        <w:fldChar w:fldCharType="begin"/>
      </w:r>
      <w:r>
        <w:rPr>
          <w:highlight w:val="none"/>
        </w:rPr>
        <w:instrText xml:space="preserve"> HYPERLINK \l "_Toc103592038" </w:instrText>
      </w:r>
      <w:r>
        <w:rPr>
          <w:highlight w:val="none"/>
        </w:rPr>
        <w:fldChar w:fldCharType="separate"/>
      </w:r>
      <w:r>
        <w:rPr>
          <w:rStyle w:val="31"/>
          <w:color w:val="auto"/>
          <w:highlight w:val="none"/>
        </w:rPr>
        <w:t>三、投标保证金凭证</w:t>
      </w:r>
      <w:r>
        <w:rPr>
          <w:highlight w:val="none"/>
        </w:rPr>
        <w:tab/>
      </w:r>
      <w:r>
        <w:rPr>
          <w:highlight w:val="none"/>
        </w:rPr>
        <w:fldChar w:fldCharType="begin"/>
      </w:r>
      <w:r>
        <w:rPr>
          <w:highlight w:val="none"/>
        </w:rPr>
        <w:instrText xml:space="preserve"> PAGEREF _Toc103592038 \h </w:instrText>
      </w:r>
      <w:r>
        <w:rPr>
          <w:highlight w:val="none"/>
        </w:rPr>
        <w:fldChar w:fldCharType="separate"/>
      </w:r>
      <w:r>
        <w:rPr>
          <w:highlight w:val="none"/>
        </w:rPr>
        <w:t>69</w:t>
      </w:r>
      <w:r>
        <w:rPr>
          <w:highlight w:val="none"/>
        </w:rPr>
        <w:fldChar w:fldCharType="end"/>
      </w:r>
      <w:r>
        <w:rPr>
          <w:highlight w:val="none"/>
        </w:rPr>
        <w:fldChar w:fldCharType="end"/>
      </w:r>
    </w:p>
    <w:p w14:paraId="5D221A21">
      <w:pPr>
        <w:pStyle w:val="15"/>
        <w:tabs>
          <w:tab w:val="right" w:leader="dot" w:pos="9062"/>
        </w:tabs>
        <w:rPr>
          <w:rFonts w:asciiTheme="minorHAnsi" w:hAnsiTheme="minorHAnsi" w:eastAsiaTheme="minorEastAsia" w:cstheme="minorBidi"/>
          <w:highlight w:val="none"/>
        </w:rPr>
      </w:pPr>
      <w:r>
        <w:rPr>
          <w:highlight w:val="none"/>
        </w:rPr>
        <w:fldChar w:fldCharType="begin"/>
      </w:r>
      <w:r>
        <w:rPr>
          <w:highlight w:val="none"/>
        </w:rPr>
        <w:instrText xml:space="preserve"> HYPERLINK \l "_Toc103592039" </w:instrText>
      </w:r>
      <w:r>
        <w:rPr>
          <w:highlight w:val="none"/>
        </w:rPr>
        <w:fldChar w:fldCharType="separate"/>
      </w:r>
      <w:r>
        <w:rPr>
          <w:rStyle w:val="31"/>
          <w:color w:val="auto"/>
          <w:highlight w:val="none"/>
        </w:rPr>
        <w:t>四、投标报价书</w:t>
      </w:r>
      <w:r>
        <w:rPr>
          <w:highlight w:val="none"/>
        </w:rPr>
        <w:tab/>
      </w:r>
      <w:r>
        <w:rPr>
          <w:highlight w:val="none"/>
        </w:rPr>
        <w:fldChar w:fldCharType="begin"/>
      </w:r>
      <w:r>
        <w:rPr>
          <w:highlight w:val="none"/>
        </w:rPr>
        <w:instrText xml:space="preserve"> PAGEREF _Toc103592039 \h </w:instrText>
      </w:r>
      <w:r>
        <w:rPr>
          <w:highlight w:val="none"/>
        </w:rPr>
        <w:fldChar w:fldCharType="separate"/>
      </w:r>
      <w:r>
        <w:rPr>
          <w:highlight w:val="none"/>
        </w:rPr>
        <w:t>70</w:t>
      </w:r>
      <w:r>
        <w:rPr>
          <w:highlight w:val="none"/>
        </w:rPr>
        <w:fldChar w:fldCharType="end"/>
      </w:r>
      <w:r>
        <w:rPr>
          <w:highlight w:val="none"/>
        </w:rPr>
        <w:fldChar w:fldCharType="end"/>
      </w:r>
    </w:p>
    <w:p w14:paraId="30036897">
      <w:pPr>
        <w:pStyle w:val="15"/>
        <w:tabs>
          <w:tab w:val="right" w:leader="dot" w:pos="9062"/>
        </w:tabs>
        <w:rPr>
          <w:rFonts w:asciiTheme="minorHAnsi" w:hAnsiTheme="minorHAnsi" w:eastAsiaTheme="minorEastAsia" w:cstheme="minorBidi"/>
          <w:highlight w:val="none"/>
        </w:rPr>
      </w:pPr>
      <w:r>
        <w:rPr>
          <w:highlight w:val="none"/>
        </w:rPr>
        <w:fldChar w:fldCharType="begin"/>
      </w:r>
      <w:r>
        <w:rPr>
          <w:highlight w:val="none"/>
        </w:rPr>
        <w:instrText xml:space="preserve"> HYPERLINK \l "_Toc103592040" </w:instrText>
      </w:r>
      <w:r>
        <w:rPr>
          <w:highlight w:val="none"/>
        </w:rPr>
        <w:fldChar w:fldCharType="separate"/>
      </w:r>
      <w:r>
        <w:rPr>
          <w:rStyle w:val="31"/>
          <w:color w:val="auto"/>
          <w:highlight w:val="none"/>
        </w:rPr>
        <w:t>五、资格审查资料</w:t>
      </w:r>
      <w:r>
        <w:rPr>
          <w:highlight w:val="none"/>
        </w:rPr>
        <w:tab/>
      </w:r>
      <w:r>
        <w:rPr>
          <w:highlight w:val="none"/>
        </w:rPr>
        <w:fldChar w:fldCharType="begin"/>
      </w:r>
      <w:r>
        <w:rPr>
          <w:highlight w:val="none"/>
        </w:rPr>
        <w:instrText xml:space="preserve"> PAGEREF _Toc103592040 \h </w:instrText>
      </w:r>
      <w:r>
        <w:rPr>
          <w:highlight w:val="none"/>
        </w:rPr>
        <w:fldChar w:fldCharType="separate"/>
      </w:r>
      <w:r>
        <w:rPr>
          <w:highlight w:val="none"/>
        </w:rPr>
        <w:t>72</w:t>
      </w:r>
      <w:r>
        <w:rPr>
          <w:highlight w:val="none"/>
        </w:rPr>
        <w:fldChar w:fldCharType="end"/>
      </w:r>
      <w:r>
        <w:rPr>
          <w:highlight w:val="none"/>
        </w:rPr>
        <w:fldChar w:fldCharType="end"/>
      </w:r>
    </w:p>
    <w:p w14:paraId="759181C0">
      <w:pPr>
        <w:pStyle w:val="15"/>
        <w:tabs>
          <w:tab w:val="right" w:leader="dot" w:pos="9062"/>
        </w:tabs>
        <w:rPr>
          <w:rFonts w:asciiTheme="minorHAnsi" w:hAnsiTheme="minorHAnsi" w:eastAsiaTheme="minorEastAsia" w:cstheme="minorBidi"/>
          <w:highlight w:val="none"/>
        </w:rPr>
      </w:pPr>
      <w:r>
        <w:rPr>
          <w:highlight w:val="none"/>
        </w:rPr>
        <w:fldChar w:fldCharType="begin"/>
      </w:r>
      <w:r>
        <w:rPr>
          <w:highlight w:val="none"/>
        </w:rPr>
        <w:instrText xml:space="preserve"> HYPERLINK \l "_Toc103592041" </w:instrText>
      </w:r>
      <w:r>
        <w:rPr>
          <w:highlight w:val="none"/>
        </w:rPr>
        <w:fldChar w:fldCharType="separate"/>
      </w:r>
      <w:r>
        <w:rPr>
          <w:rStyle w:val="31"/>
          <w:color w:val="auto"/>
          <w:highlight w:val="none"/>
        </w:rPr>
        <w:t>六、类似项目业绩表</w:t>
      </w:r>
      <w:r>
        <w:rPr>
          <w:highlight w:val="none"/>
        </w:rPr>
        <w:tab/>
      </w:r>
      <w:r>
        <w:rPr>
          <w:highlight w:val="none"/>
        </w:rPr>
        <w:fldChar w:fldCharType="begin"/>
      </w:r>
      <w:r>
        <w:rPr>
          <w:highlight w:val="none"/>
        </w:rPr>
        <w:instrText xml:space="preserve"> PAGEREF _Toc103592041 \h </w:instrText>
      </w:r>
      <w:r>
        <w:rPr>
          <w:highlight w:val="none"/>
        </w:rPr>
        <w:fldChar w:fldCharType="separate"/>
      </w:r>
      <w:r>
        <w:rPr>
          <w:highlight w:val="none"/>
        </w:rPr>
        <w:t>77</w:t>
      </w:r>
      <w:r>
        <w:rPr>
          <w:highlight w:val="none"/>
        </w:rPr>
        <w:fldChar w:fldCharType="end"/>
      </w:r>
      <w:r>
        <w:rPr>
          <w:highlight w:val="none"/>
        </w:rPr>
        <w:fldChar w:fldCharType="end"/>
      </w:r>
    </w:p>
    <w:p w14:paraId="6065AD9E">
      <w:pPr>
        <w:pStyle w:val="15"/>
        <w:tabs>
          <w:tab w:val="right" w:leader="dot" w:pos="9062"/>
        </w:tabs>
        <w:rPr>
          <w:rFonts w:asciiTheme="minorHAnsi" w:hAnsiTheme="minorHAnsi" w:eastAsiaTheme="minorEastAsia" w:cstheme="minorBidi"/>
          <w:highlight w:val="none"/>
        </w:rPr>
      </w:pPr>
      <w:r>
        <w:rPr>
          <w:highlight w:val="none"/>
        </w:rPr>
        <w:fldChar w:fldCharType="begin"/>
      </w:r>
      <w:r>
        <w:rPr>
          <w:highlight w:val="none"/>
        </w:rPr>
        <w:instrText xml:space="preserve"> HYPERLINK \l "_Toc103592042" </w:instrText>
      </w:r>
      <w:r>
        <w:rPr>
          <w:highlight w:val="none"/>
        </w:rPr>
        <w:fldChar w:fldCharType="separate"/>
      </w:r>
      <w:r>
        <w:rPr>
          <w:rStyle w:val="31"/>
          <w:color w:val="auto"/>
          <w:highlight w:val="none"/>
        </w:rPr>
        <w:t>七、拟投入本项目的检测人员一览表</w:t>
      </w:r>
      <w:r>
        <w:rPr>
          <w:highlight w:val="none"/>
        </w:rPr>
        <w:tab/>
      </w:r>
      <w:r>
        <w:rPr>
          <w:highlight w:val="none"/>
        </w:rPr>
        <w:fldChar w:fldCharType="begin"/>
      </w:r>
      <w:r>
        <w:rPr>
          <w:highlight w:val="none"/>
        </w:rPr>
        <w:instrText xml:space="preserve"> PAGEREF _Toc103592042 \h </w:instrText>
      </w:r>
      <w:r>
        <w:rPr>
          <w:highlight w:val="none"/>
        </w:rPr>
        <w:fldChar w:fldCharType="separate"/>
      </w:r>
      <w:r>
        <w:rPr>
          <w:highlight w:val="none"/>
        </w:rPr>
        <w:t>78</w:t>
      </w:r>
      <w:r>
        <w:rPr>
          <w:highlight w:val="none"/>
        </w:rPr>
        <w:fldChar w:fldCharType="end"/>
      </w:r>
      <w:r>
        <w:rPr>
          <w:highlight w:val="none"/>
        </w:rPr>
        <w:fldChar w:fldCharType="end"/>
      </w:r>
    </w:p>
    <w:p w14:paraId="52C21470">
      <w:pPr>
        <w:pStyle w:val="15"/>
        <w:tabs>
          <w:tab w:val="right" w:leader="dot" w:pos="9062"/>
        </w:tabs>
        <w:rPr>
          <w:rFonts w:asciiTheme="minorHAnsi" w:hAnsiTheme="minorHAnsi" w:eastAsiaTheme="minorEastAsia" w:cstheme="minorBidi"/>
          <w:highlight w:val="none"/>
        </w:rPr>
      </w:pPr>
      <w:r>
        <w:rPr>
          <w:highlight w:val="none"/>
        </w:rPr>
        <w:fldChar w:fldCharType="begin"/>
      </w:r>
      <w:r>
        <w:rPr>
          <w:highlight w:val="none"/>
        </w:rPr>
        <w:instrText xml:space="preserve"> HYPERLINK \l "_Toc103592043" </w:instrText>
      </w:r>
      <w:r>
        <w:rPr>
          <w:highlight w:val="none"/>
        </w:rPr>
        <w:fldChar w:fldCharType="separate"/>
      </w:r>
      <w:r>
        <w:rPr>
          <w:rStyle w:val="31"/>
          <w:color w:val="auto"/>
          <w:highlight w:val="none"/>
        </w:rPr>
        <w:t>八、拟投入本项目的检测人员简历表</w:t>
      </w:r>
      <w:r>
        <w:rPr>
          <w:highlight w:val="none"/>
        </w:rPr>
        <w:tab/>
      </w:r>
      <w:r>
        <w:rPr>
          <w:highlight w:val="none"/>
        </w:rPr>
        <w:fldChar w:fldCharType="begin"/>
      </w:r>
      <w:r>
        <w:rPr>
          <w:highlight w:val="none"/>
        </w:rPr>
        <w:instrText xml:space="preserve"> PAGEREF _Toc103592043 \h </w:instrText>
      </w:r>
      <w:r>
        <w:rPr>
          <w:highlight w:val="none"/>
        </w:rPr>
        <w:fldChar w:fldCharType="separate"/>
      </w:r>
      <w:r>
        <w:rPr>
          <w:highlight w:val="none"/>
        </w:rPr>
        <w:t>79</w:t>
      </w:r>
      <w:r>
        <w:rPr>
          <w:highlight w:val="none"/>
        </w:rPr>
        <w:fldChar w:fldCharType="end"/>
      </w:r>
      <w:r>
        <w:rPr>
          <w:highlight w:val="none"/>
        </w:rPr>
        <w:fldChar w:fldCharType="end"/>
      </w:r>
    </w:p>
    <w:p w14:paraId="5A4ACBEC">
      <w:pPr>
        <w:pStyle w:val="15"/>
        <w:tabs>
          <w:tab w:val="right" w:leader="dot" w:pos="9062"/>
        </w:tabs>
        <w:rPr>
          <w:rFonts w:asciiTheme="minorHAnsi" w:hAnsiTheme="minorHAnsi" w:eastAsiaTheme="minorEastAsia" w:cstheme="minorBidi"/>
          <w:highlight w:val="none"/>
        </w:rPr>
      </w:pPr>
      <w:r>
        <w:rPr>
          <w:highlight w:val="none"/>
        </w:rPr>
        <w:fldChar w:fldCharType="begin"/>
      </w:r>
      <w:r>
        <w:rPr>
          <w:highlight w:val="none"/>
        </w:rPr>
        <w:instrText xml:space="preserve"> HYPERLINK \l "_Toc103592044" </w:instrText>
      </w:r>
      <w:r>
        <w:rPr>
          <w:highlight w:val="none"/>
        </w:rPr>
        <w:fldChar w:fldCharType="separate"/>
      </w:r>
      <w:r>
        <w:rPr>
          <w:rStyle w:val="31"/>
          <w:color w:val="auto"/>
          <w:highlight w:val="none"/>
        </w:rPr>
        <w:t>九、拟投入本项目的主要检测仪器设备一览表</w:t>
      </w:r>
      <w:r>
        <w:rPr>
          <w:highlight w:val="none"/>
        </w:rPr>
        <w:tab/>
      </w:r>
      <w:r>
        <w:rPr>
          <w:highlight w:val="none"/>
        </w:rPr>
        <w:fldChar w:fldCharType="begin"/>
      </w:r>
      <w:r>
        <w:rPr>
          <w:highlight w:val="none"/>
        </w:rPr>
        <w:instrText xml:space="preserve"> PAGEREF _Toc103592044 \h </w:instrText>
      </w:r>
      <w:r>
        <w:rPr>
          <w:highlight w:val="none"/>
        </w:rPr>
        <w:fldChar w:fldCharType="separate"/>
      </w:r>
      <w:r>
        <w:rPr>
          <w:highlight w:val="none"/>
        </w:rPr>
        <w:t>80</w:t>
      </w:r>
      <w:r>
        <w:rPr>
          <w:highlight w:val="none"/>
        </w:rPr>
        <w:fldChar w:fldCharType="end"/>
      </w:r>
      <w:r>
        <w:rPr>
          <w:highlight w:val="none"/>
        </w:rPr>
        <w:fldChar w:fldCharType="end"/>
      </w:r>
    </w:p>
    <w:p w14:paraId="5D85B614">
      <w:pPr>
        <w:pStyle w:val="15"/>
        <w:tabs>
          <w:tab w:val="right" w:leader="dot" w:pos="9062"/>
        </w:tabs>
        <w:rPr>
          <w:rFonts w:asciiTheme="minorHAnsi" w:hAnsiTheme="minorHAnsi" w:eastAsiaTheme="minorEastAsia" w:cstheme="minorBidi"/>
          <w:highlight w:val="none"/>
        </w:rPr>
      </w:pPr>
      <w:r>
        <w:rPr>
          <w:highlight w:val="none"/>
        </w:rPr>
        <w:fldChar w:fldCharType="begin"/>
      </w:r>
      <w:r>
        <w:rPr>
          <w:highlight w:val="none"/>
        </w:rPr>
        <w:instrText xml:space="preserve"> HYPERLINK \l "_Toc103592045" </w:instrText>
      </w:r>
      <w:r>
        <w:rPr>
          <w:highlight w:val="none"/>
        </w:rPr>
        <w:fldChar w:fldCharType="separate"/>
      </w:r>
      <w:r>
        <w:rPr>
          <w:rStyle w:val="31"/>
          <w:color w:val="auto"/>
          <w:highlight w:val="none"/>
        </w:rPr>
        <w:t>十、检测方案</w:t>
      </w:r>
      <w:r>
        <w:rPr>
          <w:highlight w:val="none"/>
        </w:rPr>
        <w:tab/>
      </w:r>
      <w:r>
        <w:rPr>
          <w:highlight w:val="none"/>
        </w:rPr>
        <w:fldChar w:fldCharType="begin"/>
      </w:r>
      <w:r>
        <w:rPr>
          <w:highlight w:val="none"/>
        </w:rPr>
        <w:instrText xml:space="preserve"> PAGEREF _Toc103592045 \h </w:instrText>
      </w:r>
      <w:r>
        <w:rPr>
          <w:highlight w:val="none"/>
        </w:rPr>
        <w:fldChar w:fldCharType="separate"/>
      </w:r>
      <w:r>
        <w:rPr>
          <w:highlight w:val="none"/>
        </w:rPr>
        <w:t>81</w:t>
      </w:r>
      <w:r>
        <w:rPr>
          <w:highlight w:val="none"/>
        </w:rPr>
        <w:fldChar w:fldCharType="end"/>
      </w:r>
      <w:r>
        <w:rPr>
          <w:highlight w:val="none"/>
        </w:rPr>
        <w:fldChar w:fldCharType="end"/>
      </w:r>
    </w:p>
    <w:p w14:paraId="4F152E34">
      <w:pPr>
        <w:pStyle w:val="15"/>
        <w:tabs>
          <w:tab w:val="right" w:leader="dot" w:pos="9062"/>
        </w:tabs>
        <w:rPr>
          <w:rFonts w:asciiTheme="minorHAnsi" w:hAnsiTheme="minorHAnsi" w:eastAsiaTheme="minorEastAsia" w:cstheme="minorBidi"/>
          <w:highlight w:val="none"/>
        </w:rPr>
      </w:pPr>
      <w:r>
        <w:rPr>
          <w:highlight w:val="none"/>
        </w:rPr>
        <w:fldChar w:fldCharType="begin"/>
      </w:r>
      <w:r>
        <w:rPr>
          <w:highlight w:val="none"/>
        </w:rPr>
        <w:instrText xml:space="preserve"> HYPERLINK \l "_Toc103592046" </w:instrText>
      </w:r>
      <w:r>
        <w:rPr>
          <w:highlight w:val="none"/>
        </w:rPr>
        <w:fldChar w:fldCharType="separate"/>
      </w:r>
      <w:r>
        <w:rPr>
          <w:rStyle w:val="31"/>
          <w:color w:val="auto"/>
          <w:highlight w:val="none"/>
        </w:rPr>
        <w:t>十一、其他资料</w:t>
      </w:r>
      <w:r>
        <w:rPr>
          <w:highlight w:val="none"/>
        </w:rPr>
        <w:tab/>
      </w:r>
      <w:r>
        <w:rPr>
          <w:highlight w:val="none"/>
        </w:rPr>
        <w:fldChar w:fldCharType="begin"/>
      </w:r>
      <w:r>
        <w:rPr>
          <w:highlight w:val="none"/>
        </w:rPr>
        <w:instrText xml:space="preserve"> PAGEREF _Toc103592046 \h </w:instrText>
      </w:r>
      <w:r>
        <w:rPr>
          <w:highlight w:val="none"/>
        </w:rPr>
        <w:fldChar w:fldCharType="separate"/>
      </w:r>
      <w:r>
        <w:rPr>
          <w:highlight w:val="none"/>
        </w:rPr>
        <w:t>82</w:t>
      </w:r>
      <w:r>
        <w:rPr>
          <w:highlight w:val="none"/>
        </w:rPr>
        <w:fldChar w:fldCharType="end"/>
      </w:r>
      <w:r>
        <w:rPr>
          <w:highlight w:val="none"/>
        </w:rPr>
        <w:fldChar w:fldCharType="end"/>
      </w:r>
    </w:p>
    <w:p w14:paraId="7B02F248">
      <w:pPr>
        <w:spacing w:line="360" w:lineRule="auto"/>
        <w:ind w:firstLine="420" w:firstLineChars="200"/>
        <w:rPr>
          <w:rFonts w:ascii="宋体" w:hAnsi="宋体"/>
          <w:highlight w:val="none"/>
        </w:rPr>
      </w:pPr>
      <w:r>
        <w:rPr>
          <w:rFonts w:ascii="宋体" w:hAnsi="宋体"/>
          <w:szCs w:val="28"/>
          <w:highlight w:val="none"/>
        </w:rPr>
        <w:fldChar w:fldCharType="end"/>
      </w:r>
      <w:r>
        <w:rPr>
          <w:rFonts w:ascii="宋体" w:hAnsi="宋体"/>
          <w:highlight w:val="none"/>
        </w:rPr>
        <w:br w:type="page"/>
      </w:r>
    </w:p>
    <w:p w14:paraId="734945CF">
      <w:pPr>
        <w:pStyle w:val="3"/>
        <w:ind w:firstLine="470"/>
        <w:rPr>
          <w:highlight w:val="none"/>
        </w:rPr>
      </w:pPr>
      <w:bookmarkStart w:id="3" w:name="_Toc103592005"/>
      <w:r>
        <w:rPr>
          <w:rFonts w:hint="eastAsia"/>
          <w:highlight w:val="none"/>
        </w:rPr>
        <w:t>第一卷</w:t>
      </w:r>
      <w:bookmarkEnd w:id="3"/>
    </w:p>
    <w:p w14:paraId="19FCB44A">
      <w:pPr>
        <w:pStyle w:val="3"/>
        <w:rPr>
          <w:sz w:val="28"/>
          <w:highlight w:val="none"/>
        </w:rPr>
      </w:pPr>
      <w:bookmarkStart w:id="4" w:name="_Toc103592006"/>
      <w:bookmarkStart w:id="5" w:name="_Toc533357306"/>
      <w:r>
        <w:rPr>
          <w:rFonts w:hint="eastAsia"/>
          <w:highlight w:val="none"/>
        </w:rPr>
        <w:t>第一章  招标公告</w:t>
      </w:r>
      <w:bookmarkEnd w:id="4"/>
    </w:p>
    <w:p w14:paraId="72E6EF8F">
      <w:pPr>
        <w:rPr>
          <w:rFonts w:ascii="宋体" w:hAnsi="宋体"/>
          <w:sz w:val="24"/>
          <w:szCs w:val="24"/>
          <w:highlight w:val="none"/>
        </w:rPr>
      </w:pPr>
      <w:r>
        <w:rPr>
          <w:rFonts w:ascii="宋体" w:hAnsi="宋体"/>
          <w:sz w:val="24"/>
          <w:szCs w:val="24"/>
          <w:highlight w:val="none"/>
        </w:rPr>
        <w:br w:type="page"/>
      </w:r>
    </w:p>
    <w:p w14:paraId="47CED455">
      <w:pPr>
        <w:spacing w:line="360" w:lineRule="auto"/>
        <w:jc w:val="center"/>
        <w:rPr>
          <w:rFonts w:hint="eastAsia" w:ascii="宋体" w:hAnsi="宋体" w:cs="宋体"/>
          <w:b/>
          <w:bCs/>
          <w:sz w:val="40"/>
          <w:szCs w:val="52"/>
          <w:highlight w:val="none"/>
          <w:lang w:eastAsia="zh-CN"/>
        </w:rPr>
      </w:pPr>
      <w:r>
        <w:rPr>
          <w:rFonts w:hint="eastAsia" w:ascii="宋体" w:hAnsi="宋体" w:cs="宋体"/>
          <w:b/>
          <w:bCs/>
          <w:sz w:val="40"/>
          <w:szCs w:val="52"/>
          <w:highlight w:val="none"/>
          <w:lang w:eastAsia="zh-CN"/>
        </w:rPr>
        <w:t>黄埔区刘村消防站建设工程、黄埔区深井消防站建设工程、萝岗区天鹿湖消防站第三方检测服务</w:t>
      </w:r>
    </w:p>
    <w:p w14:paraId="092445EC">
      <w:pPr>
        <w:spacing w:line="360" w:lineRule="auto"/>
        <w:jc w:val="center"/>
        <w:rPr>
          <w:rFonts w:ascii="宋体" w:hAnsi="宋体" w:cs="宋体"/>
          <w:b/>
          <w:bCs/>
          <w:sz w:val="40"/>
          <w:szCs w:val="52"/>
          <w:highlight w:val="none"/>
        </w:rPr>
      </w:pPr>
      <w:r>
        <w:rPr>
          <w:rFonts w:hint="eastAsia" w:ascii="宋体" w:hAnsi="宋体" w:cs="宋体"/>
          <w:b/>
          <w:bCs/>
          <w:sz w:val="40"/>
          <w:szCs w:val="52"/>
          <w:highlight w:val="none"/>
        </w:rPr>
        <w:t>招标公告</w:t>
      </w:r>
    </w:p>
    <w:p w14:paraId="0694A728">
      <w:pPr>
        <w:spacing w:line="360" w:lineRule="auto"/>
        <w:outlineLvl w:val="1"/>
        <w:rPr>
          <w:rFonts w:ascii="宋体" w:hAnsi="宋体"/>
          <w:b/>
          <w:sz w:val="32"/>
          <w:szCs w:val="24"/>
          <w:highlight w:val="none"/>
        </w:rPr>
      </w:pPr>
      <w:bookmarkStart w:id="6" w:name="_Toc515033010"/>
      <w:r>
        <w:rPr>
          <w:rFonts w:hint="eastAsia" w:ascii="宋体" w:hAnsi="宋体"/>
          <w:b/>
          <w:sz w:val="32"/>
          <w:szCs w:val="24"/>
          <w:highlight w:val="none"/>
        </w:rPr>
        <w:t>1. 招标条件</w:t>
      </w:r>
      <w:bookmarkEnd w:id="6"/>
    </w:p>
    <w:p w14:paraId="011E01EC">
      <w:pPr>
        <w:spacing w:line="360" w:lineRule="auto"/>
        <w:ind w:firstLine="480" w:firstLineChars="200"/>
        <w:rPr>
          <w:rFonts w:ascii="宋体" w:hAnsi="宋体" w:cs="宋体"/>
          <w:sz w:val="24"/>
          <w:szCs w:val="24"/>
          <w:highlight w:val="none"/>
          <w:u w:val="single"/>
        </w:rPr>
      </w:pPr>
      <w:r>
        <w:rPr>
          <w:rFonts w:hint="eastAsia" w:ascii="宋体" w:hAnsi="宋体" w:cs="宋体"/>
          <w:sz w:val="24"/>
          <w:szCs w:val="24"/>
          <w:highlight w:val="none"/>
        </w:rPr>
        <w:t>本招标项目</w:t>
      </w:r>
      <w:r>
        <w:rPr>
          <w:rFonts w:hint="eastAsia" w:ascii="宋体" w:hAnsi="宋体" w:cs="宋体"/>
          <w:sz w:val="24"/>
          <w:szCs w:val="24"/>
          <w:highlight w:val="none"/>
          <w:u w:val="single"/>
          <w:lang w:eastAsia="zh-CN"/>
        </w:rPr>
        <w:t>黄埔区刘村消防站建设工程、黄埔区深井消防站建设工程、萝岗区天鹿湖消防站</w:t>
      </w:r>
      <w:r>
        <w:rPr>
          <w:rFonts w:hint="eastAsia" w:ascii="宋体" w:hAnsi="宋体" w:cs="宋体"/>
          <w:sz w:val="24"/>
          <w:szCs w:val="24"/>
          <w:highlight w:val="none"/>
        </w:rPr>
        <w:t>已由</w:t>
      </w:r>
      <w:r>
        <w:rPr>
          <w:rFonts w:hint="eastAsia" w:ascii="宋体" w:hAnsi="宋体" w:cs="宋体"/>
          <w:sz w:val="24"/>
          <w:szCs w:val="24"/>
          <w:highlight w:val="none"/>
          <w:u w:val="single"/>
        </w:rPr>
        <w:t>广州市黄埔区发展和改革局、广州开发区发展和改革局</w:t>
      </w:r>
      <w:r>
        <w:rPr>
          <w:rFonts w:hint="eastAsia" w:ascii="宋体" w:hAnsi="宋体" w:cs="宋体"/>
          <w:sz w:val="24"/>
          <w:szCs w:val="24"/>
          <w:highlight w:val="none"/>
        </w:rPr>
        <w:t>（项目审批、核准或备案机关名称）以</w:t>
      </w:r>
      <w:r>
        <w:rPr>
          <w:rFonts w:hint="eastAsia" w:ascii="宋体" w:hAnsi="宋体" w:eastAsia="宋体" w:cs="宋体"/>
          <w:sz w:val="24"/>
          <w:szCs w:val="24"/>
          <w:highlight w:val="none"/>
          <w:u w:val="single"/>
          <w:lang w:val="en-US" w:eastAsia="zh-CN"/>
        </w:rPr>
        <w:t>穗埔发改函〔2023〕1517 号</w:t>
      </w:r>
      <w:r>
        <w:rPr>
          <w:rFonts w:hint="eastAsia" w:ascii="宋体" w:hAnsi="宋体" w:cs="宋体"/>
          <w:sz w:val="24"/>
          <w:szCs w:val="24"/>
          <w:highlight w:val="none"/>
          <w:u w:val="single"/>
        </w:rPr>
        <w:t>文</w:t>
      </w:r>
      <w:r>
        <w:rPr>
          <w:rFonts w:hint="eastAsia" w:ascii="宋体" w:hAnsi="宋体" w:cs="宋体"/>
          <w:sz w:val="24"/>
          <w:szCs w:val="24"/>
          <w:highlight w:val="none"/>
        </w:rPr>
        <w:t>批准建设，项目业主为</w:t>
      </w:r>
      <w:r>
        <w:rPr>
          <w:rFonts w:hint="eastAsia" w:ascii="宋体" w:hAnsi="宋体" w:cs="宋体"/>
          <w:sz w:val="24"/>
          <w:szCs w:val="24"/>
          <w:highlight w:val="none"/>
          <w:u w:val="single"/>
        </w:rPr>
        <w:t>广州开发区财政投资建设项目管理中心</w:t>
      </w:r>
      <w:r>
        <w:rPr>
          <w:rFonts w:hint="eastAsia" w:ascii="宋体" w:hAnsi="宋体" w:cs="宋体"/>
          <w:sz w:val="24"/>
          <w:szCs w:val="24"/>
          <w:highlight w:val="none"/>
        </w:rPr>
        <w:t>，建设资金来自</w:t>
      </w:r>
      <w:r>
        <w:rPr>
          <w:rFonts w:hint="eastAsia" w:ascii="宋体" w:hAnsi="宋体" w:cs="宋体"/>
          <w:sz w:val="24"/>
          <w:szCs w:val="24"/>
          <w:highlight w:val="none"/>
          <w:u w:val="single"/>
        </w:rPr>
        <w:t>区财政资金</w:t>
      </w:r>
      <w:r>
        <w:rPr>
          <w:rFonts w:hint="eastAsia" w:ascii="宋体" w:hAnsi="宋体" w:cs="宋体"/>
          <w:sz w:val="24"/>
          <w:szCs w:val="24"/>
          <w:highlight w:val="none"/>
        </w:rPr>
        <w:t>（资金来源），出资比例为</w:t>
      </w:r>
      <w:r>
        <w:rPr>
          <w:rFonts w:hint="eastAsia" w:ascii="宋体" w:hAnsi="宋体" w:cs="宋体"/>
          <w:sz w:val="24"/>
          <w:szCs w:val="24"/>
          <w:highlight w:val="none"/>
          <w:u w:val="single"/>
        </w:rPr>
        <w:t>100%</w:t>
      </w:r>
      <w:r>
        <w:rPr>
          <w:rFonts w:hint="eastAsia" w:ascii="宋体" w:hAnsi="宋体" w:cs="宋体"/>
          <w:sz w:val="24"/>
          <w:szCs w:val="24"/>
          <w:highlight w:val="none"/>
        </w:rPr>
        <w:t>，招标人为</w:t>
      </w:r>
      <w:r>
        <w:rPr>
          <w:rFonts w:hint="eastAsia" w:ascii="宋体" w:hAnsi="宋体" w:cs="宋体"/>
          <w:sz w:val="24"/>
          <w:szCs w:val="24"/>
          <w:highlight w:val="none"/>
          <w:u w:val="single"/>
        </w:rPr>
        <w:t>广州开发区财政投资建设项目管理中心</w:t>
      </w:r>
      <w:r>
        <w:rPr>
          <w:rFonts w:hint="eastAsia" w:ascii="宋体" w:hAnsi="宋体" w:cs="宋体"/>
          <w:sz w:val="24"/>
          <w:szCs w:val="24"/>
          <w:highlight w:val="none"/>
        </w:rPr>
        <w:t>。项目已具备招标条件，现对该项目的</w:t>
      </w:r>
      <w:r>
        <w:rPr>
          <w:rFonts w:hint="eastAsia" w:ascii="宋体" w:hAnsi="宋体" w:cs="宋体"/>
          <w:sz w:val="24"/>
          <w:szCs w:val="24"/>
          <w:highlight w:val="none"/>
          <w:u w:val="single"/>
        </w:rPr>
        <w:t>第三方检测服务</w:t>
      </w:r>
      <w:r>
        <w:rPr>
          <w:rFonts w:hint="eastAsia" w:ascii="宋体" w:hAnsi="宋体" w:cs="宋体"/>
          <w:sz w:val="24"/>
          <w:szCs w:val="24"/>
          <w:highlight w:val="none"/>
        </w:rPr>
        <w:t>进行公开招标。</w:t>
      </w:r>
    </w:p>
    <w:p w14:paraId="76EC8836">
      <w:pPr>
        <w:spacing w:line="360" w:lineRule="auto"/>
        <w:outlineLvl w:val="1"/>
        <w:rPr>
          <w:rFonts w:ascii="宋体" w:hAnsi="宋体"/>
          <w:b/>
          <w:sz w:val="32"/>
          <w:szCs w:val="24"/>
          <w:highlight w:val="none"/>
        </w:rPr>
      </w:pPr>
      <w:r>
        <w:rPr>
          <w:rFonts w:hint="eastAsia" w:ascii="宋体" w:hAnsi="宋体"/>
          <w:b/>
          <w:sz w:val="32"/>
          <w:szCs w:val="24"/>
          <w:highlight w:val="none"/>
        </w:rPr>
        <w:t>2. 项目概况与招标范围</w:t>
      </w:r>
    </w:p>
    <w:p w14:paraId="41AE401D">
      <w:pPr>
        <w:tabs>
          <w:tab w:val="left" w:pos="7513"/>
        </w:tabs>
        <w:spacing w:line="360" w:lineRule="auto"/>
        <w:ind w:firstLine="424" w:firstLineChars="177"/>
        <w:rPr>
          <w:rFonts w:ascii="宋体" w:hAnsi="宋体" w:cs="宋体"/>
          <w:sz w:val="24"/>
          <w:szCs w:val="24"/>
          <w:highlight w:val="none"/>
        </w:rPr>
      </w:pPr>
      <w:r>
        <w:rPr>
          <w:rFonts w:hint="eastAsia" w:ascii="宋体" w:hAnsi="宋体" w:cs="宋体"/>
          <w:sz w:val="24"/>
          <w:szCs w:val="24"/>
          <w:highlight w:val="none"/>
        </w:rPr>
        <w:t>2.1招标项目概况</w:t>
      </w:r>
    </w:p>
    <w:p w14:paraId="65F14B68">
      <w:pPr>
        <w:tabs>
          <w:tab w:val="left" w:pos="7513"/>
        </w:tabs>
        <w:spacing w:line="360" w:lineRule="auto"/>
        <w:ind w:firstLine="424" w:firstLineChars="177"/>
        <w:rPr>
          <w:rFonts w:hint="eastAsia" w:ascii="宋体" w:hAnsi="宋体" w:eastAsia="宋体" w:cs="宋体"/>
          <w:sz w:val="24"/>
          <w:szCs w:val="24"/>
          <w:highlight w:val="none"/>
          <w:u w:val="single"/>
          <w:lang w:eastAsia="zh-CN"/>
        </w:rPr>
      </w:pPr>
      <w:r>
        <w:rPr>
          <w:rFonts w:hint="eastAsia" w:ascii="宋体" w:hAnsi="宋体" w:cs="宋体"/>
          <w:sz w:val="24"/>
          <w:szCs w:val="24"/>
          <w:highlight w:val="none"/>
        </w:rPr>
        <w:t>2.1.1 招标项目名称：</w:t>
      </w:r>
      <w:r>
        <w:rPr>
          <w:rFonts w:hint="eastAsia" w:ascii="宋体" w:hAnsi="宋体" w:cs="宋体"/>
          <w:sz w:val="24"/>
          <w:szCs w:val="24"/>
          <w:highlight w:val="none"/>
          <w:u w:val="single"/>
          <w:lang w:eastAsia="zh-CN"/>
        </w:rPr>
        <w:t>黄埔区刘村消防站建设工程、黄埔区深井消防站建设工程、萝岗区天鹿湖消防站第三方检测服务</w:t>
      </w:r>
    </w:p>
    <w:p w14:paraId="7ABC888B">
      <w:pPr>
        <w:tabs>
          <w:tab w:val="left" w:pos="7513"/>
        </w:tabs>
        <w:spacing w:line="360" w:lineRule="auto"/>
        <w:ind w:firstLine="424" w:firstLineChars="177"/>
        <w:rPr>
          <w:rFonts w:ascii="宋体" w:hAnsi="宋体" w:cs="宋体"/>
          <w:sz w:val="24"/>
          <w:szCs w:val="24"/>
          <w:highlight w:val="none"/>
        </w:rPr>
      </w:pPr>
      <w:r>
        <w:rPr>
          <w:rFonts w:hint="eastAsia" w:ascii="宋体" w:hAnsi="宋体" w:cs="宋体"/>
          <w:sz w:val="24"/>
          <w:szCs w:val="24"/>
          <w:highlight w:val="none"/>
        </w:rPr>
        <w:t>2.1.2 工程建设规模：</w:t>
      </w:r>
    </w:p>
    <w:p w14:paraId="1C68BCCF">
      <w:pPr>
        <w:keepNext w:val="0"/>
        <w:keepLines w:val="0"/>
        <w:pageBreakBefore w:val="0"/>
        <w:shd w:val="clear"/>
        <w:wordWrap/>
        <w:bidi w:val="0"/>
        <w:spacing w:line="360" w:lineRule="auto"/>
        <w:ind w:firstLine="537" w:firstLineChars="224"/>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eastAsia" w:ascii="宋体" w:hAnsi="宋体" w:cs="宋体"/>
          <w:sz w:val="24"/>
          <w:szCs w:val="24"/>
          <w:highlight w:val="none"/>
          <w:u w:val="single"/>
          <w:lang w:eastAsia="zh-CN"/>
        </w:rPr>
        <w:t>黄埔区刘村消防站建设工程：项目拟新建一个大型消防站，项目用地面积8737.47平方米，总建筑面积7969平方米，地上建筑面积7969平方米。建设内容包括新建综合楼建筑面积 7681平方米，新建训练塔288平方米。设置地面机动车位15泊，及新建配套公用工程、室外工程等。</w:t>
      </w:r>
    </w:p>
    <w:p w14:paraId="739575D8">
      <w:pPr>
        <w:keepNext w:val="0"/>
        <w:keepLines w:val="0"/>
        <w:pageBreakBefore w:val="0"/>
        <w:shd w:val="clear"/>
        <w:wordWrap/>
        <w:bidi w:val="0"/>
        <w:spacing w:line="360" w:lineRule="auto"/>
        <w:ind w:firstLine="537" w:firstLineChars="224"/>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u w:val="single"/>
        </w:rPr>
        <w:t>黄埔区深井消防站建设工程：项目拟新建一个一级普通消防站，项目用地面积5343 平方米，总建筑面积3991.84平方米，地上建筑面积 3991.84平方米。建设内容包括新建综合楼建筑面积3253.01平方米，新建战备楼及训练塔建筑面积738.83平方米，设置地面机动车位6泊，及新建配套公用工程、室外工程等。</w:t>
      </w:r>
    </w:p>
    <w:p w14:paraId="3E037D4D">
      <w:pPr>
        <w:keepNext w:val="0"/>
        <w:keepLines w:val="0"/>
        <w:pageBreakBefore w:val="0"/>
        <w:shd w:val="clear"/>
        <w:wordWrap/>
        <w:bidi w:val="0"/>
        <w:spacing w:line="360" w:lineRule="auto"/>
        <w:ind w:firstLine="528" w:firstLineChars="224"/>
        <w:textAlignment w:val="auto"/>
        <w:rPr>
          <w:rFonts w:hint="eastAsia" w:ascii="宋体" w:hAnsi="宋体" w:eastAsia="宋体" w:cs="宋体"/>
          <w:color w:val="auto"/>
          <w:spacing w:val="-2"/>
          <w:sz w:val="24"/>
          <w:szCs w:val="24"/>
          <w:highlight w:val="none"/>
          <w:u w:val="single"/>
          <w:lang w:eastAsia="zh-CN"/>
        </w:rPr>
      </w:pPr>
      <w:r>
        <w:rPr>
          <w:rFonts w:hint="eastAsia" w:ascii="宋体" w:hAnsi="宋体" w:eastAsia="宋体" w:cs="宋体"/>
          <w:color w:val="auto"/>
          <w:spacing w:val="-2"/>
          <w:sz w:val="24"/>
          <w:szCs w:val="24"/>
          <w:highlight w:val="none"/>
          <w:u w:val="single"/>
          <w:lang w:val="en-US" w:eastAsia="zh-CN"/>
        </w:rPr>
        <w:t>3、</w:t>
      </w:r>
      <w:r>
        <w:rPr>
          <w:rFonts w:hint="eastAsia" w:ascii="宋体" w:hAnsi="宋体" w:eastAsia="宋体" w:cs="宋体"/>
          <w:color w:val="auto"/>
          <w:spacing w:val="-2"/>
          <w:sz w:val="24"/>
          <w:szCs w:val="24"/>
          <w:highlight w:val="none"/>
          <w:u w:val="single"/>
          <w:lang w:eastAsia="zh-CN"/>
        </w:rPr>
        <w:t>萝岗区天鹿湖消防站：项目拟新建一个一级普通消防站，项目用地面积5036.43平方米，总建筑面积3999.9平方米，地上建筑面积 3999.9平方米。建设内容包括新建综合楼建筑面积3834.3平方米，新建训练塔建筑面积165.6平方米，设置地面机动车位4泊，及新建配套公用工程、室外工程等。</w:t>
      </w:r>
    </w:p>
    <w:p w14:paraId="539352C0">
      <w:pPr>
        <w:tabs>
          <w:tab w:val="left" w:pos="7513"/>
        </w:tabs>
        <w:spacing w:line="360" w:lineRule="auto"/>
        <w:ind w:firstLine="424" w:firstLineChars="177"/>
        <w:rPr>
          <w:rFonts w:ascii="宋体" w:hAnsi="宋体" w:cs="宋体"/>
          <w:sz w:val="24"/>
          <w:szCs w:val="24"/>
          <w:highlight w:val="none"/>
          <w:u w:val="single"/>
        </w:rPr>
      </w:pPr>
      <w:r>
        <w:rPr>
          <w:rFonts w:hint="eastAsia" w:ascii="宋体" w:hAnsi="宋体" w:cs="宋体"/>
          <w:sz w:val="24"/>
          <w:szCs w:val="24"/>
          <w:highlight w:val="none"/>
        </w:rPr>
        <w:t>2.1.3 工程建设地点：</w:t>
      </w:r>
      <w:r>
        <w:rPr>
          <w:rFonts w:hint="eastAsia" w:ascii="宋体" w:hAnsi="宋体" w:cs="宋体"/>
          <w:sz w:val="24"/>
          <w:szCs w:val="24"/>
          <w:highlight w:val="none"/>
          <w:u w:val="single"/>
        </w:rPr>
        <w:t>广州市黄埔区。</w:t>
      </w:r>
    </w:p>
    <w:p w14:paraId="1D35E7E3">
      <w:pPr>
        <w:tabs>
          <w:tab w:val="left" w:pos="7513"/>
        </w:tabs>
        <w:spacing w:line="360" w:lineRule="auto"/>
        <w:ind w:firstLine="424" w:firstLineChars="177"/>
        <w:rPr>
          <w:rFonts w:ascii="宋体" w:hAnsi="宋体" w:cs="宋体"/>
          <w:sz w:val="24"/>
          <w:szCs w:val="24"/>
          <w:highlight w:val="none"/>
        </w:rPr>
      </w:pPr>
      <w:r>
        <w:rPr>
          <w:rFonts w:hint="eastAsia" w:ascii="宋体" w:hAnsi="宋体" w:cs="宋体"/>
          <w:sz w:val="24"/>
          <w:szCs w:val="24"/>
          <w:highlight w:val="none"/>
        </w:rPr>
        <w:t>2.1.4 工程投资额：</w:t>
      </w:r>
    </w:p>
    <w:p w14:paraId="6768915A">
      <w:pPr>
        <w:tabs>
          <w:tab w:val="left" w:pos="7513"/>
        </w:tabs>
        <w:spacing w:line="360" w:lineRule="auto"/>
        <w:ind w:firstLine="424" w:firstLineChars="177"/>
        <w:rPr>
          <w:rFonts w:ascii="宋体" w:hAnsi="宋体" w:cs="宋体"/>
          <w:sz w:val="24"/>
          <w:szCs w:val="24"/>
          <w:highlight w:val="none"/>
          <w:u w:val="single"/>
        </w:rPr>
      </w:pPr>
      <w:r>
        <w:rPr>
          <w:rFonts w:hint="eastAsia" w:ascii="宋体" w:hAnsi="宋体" w:cs="宋体"/>
          <w:sz w:val="24"/>
          <w:szCs w:val="24"/>
          <w:highlight w:val="none"/>
          <w:u w:val="single"/>
        </w:rPr>
        <w:t>（1）</w:t>
      </w:r>
      <w:r>
        <w:rPr>
          <w:rFonts w:hint="eastAsia" w:ascii="宋体" w:hAnsi="宋体" w:cs="宋体"/>
          <w:sz w:val="24"/>
          <w:szCs w:val="24"/>
          <w:highlight w:val="none"/>
          <w:u w:val="single"/>
          <w:lang w:eastAsia="zh-CN"/>
        </w:rPr>
        <w:t>黄埔区刘村消防站建设工程</w:t>
      </w:r>
      <w:r>
        <w:rPr>
          <w:rFonts w:hint="eastAsia" w:ascii="宋体" w:hAnsi="宋体" w:eastAsia="宋体" w:cs="宋体"/>
          <w:sz w:val="24"/>
          <w:szCs w:val="24"/>
          <w:highlight w:val="none"/>
          <w:u w:val="single"/>
        </w:rPr>
        <w:t>：</w:t>
      </w:r>
      <w:r>
        <w:rPr>
          <w:rFonts w:hint="eastAsia" w:ascii="宋体" w:hAnsi="宋体" w:cs="宋体"/>
          <w:sz w:val="24"/>
          <w:szCs w:val="24"/>
          <w:highlight w:val="none"/>
          <w:u w:val="single"/>
        </w:rPr>
        <w:t>工程概算总投资核定为4156.68万元，其中建安工程投资3621.24万元，工程建设其他费用414.37万元，预备费121.07万元。</w:t>
      </w:r>
    </w:p>
    <w:p w14:paraId="00506C06">
      <w:pPr>
        <w:tabs>
          <w:tab w:val="left" w:pos="7513"/>
        </w:tabs>
        <w:spacing w:line="360" w:lineRule="auto"/>
        <w:ind w:firstLine="424" w:firstLineChars="177"/>
        <w:rPr>
          <w:rFonts w:hint="eastAsia" w:ascii="宋体" w:hAnsi="宋体" w:cs="宋体"/>
          <w:sz w:val="24"/>
          <w:szCs w:val="24"/>
          <w:highlight w:val="none"/>
          <w:u w:val="single"/>
        </w:rPr>
      </w:pPr>
      <w:bookmarkStart w:id="7" w:name="_Toc515033012"/>
      <w:r>
        <w:rPr>
          <w:rFonts w:hint="eastAsia" w:ascii="宋体" w:hAnsi="宋体" w:cs="宋体"/>
          <w:sz w:val="24"/>
          <w:szCs w:val="24"/>
          <w:highlight w:val="none"/>
          <w:u w:val="single"/>
        </w:rPr>
        <w:t>（2）</w:t>
      </w:r>
      <w:r>
        <w:rPr>
          <w:rFonts w:hint="eastAsia" w:ascii="宋体" w:hAnsi="宋体" w:eastAsia="宋体" w:cs="宋体"/>
          <w:color w:val="auto"/>
          <w:sz w:val="24"/>
          <w:szCs w:val="24"/>
          <w:highlight w:val="none"/>
          <w:u w:val="single"/>
        </w:rPr>
        <w:t>黄埔区深井消防站建设工程</w:t>
      </w:r>
      <w:r>
        <w:rPr>
          <w:rFonts w:hint="eastAsia" w:ascii="宋体" w:hAnsi="宋体" w:cs="宋体"/>
          <w:sz w:val="24"/>
          <w:szCs w:val="24"/>
          <w:highlight w:val="none"/>
          <w:u w:val="single"/>
        </w:rPr>
        <w:t>：工程概算总投资核定为</w:t>
      </w:r>
      <w:r>
        <w:rPr>
          <w:rFonts w:hint="eastAsia" w:ascii="宋体" w:hAnsi="宋体" w:cs="宋体"/>
          <w:sz w:val="24"/>
          <w:szCs w:val="24"/>
          <w:highlight w:val="none"/>
          <w:u w:val="single"/>
          <w:lang w:val="en-US" w:eastAsia="zh-CN"/>
        </w:rPr>
        <w:t>2161.18</w:t>
      </w:r>
      <w:r>
        <w:rPr>
          <w:rFonts w:hint="eastAsia" w:ascii="宋体" w:hAnsi="宋体" w:cs="宋体"/>
          <w:sz w:val="24"/>
          <w:szCs w:val="24"/>
          <w:highlight w:val="none"/>
          <w:u w:val="single"/>
        </w:rPr>
        <w:t>万元，其中建安工程投资</w:t>
      </w:r>
      <w:r>
        <w:rPr>
          <w:rFonts w:hint="eastAsia" w:ascii="宋体" w:hAnsi="宋体" w:cs="宋体"/>
          <w:sz w:val="24"/>
          <w:szCs w:val="24"/>
          <w:highlight w:val="none"/>
          <w:u w:val="single"/>
          <w:lang w:val="en-US" w:eastAsia="zh-CN"/>
        </w:rPr>
        <w:t>1848.66</w:t>
      </w:r>
      <w:r>
        <w:rPr>
          <w:rFonts w:hint="eastAsia" w:ascii="宋体" w:hAnsi="宋体" w:cs="宋体"/>
          <w:sz w:val="24"/>
          <w:szCs w:val="24"/>
          <w:highlight w:val="none"/>
          <w:u w:val="single"/>
        </w:rPr>
        <w:t>万元，工程建设其他费用</w:t>
      </w:r>
      <w:r>
        <w:rPr>
          <w:rFonts w:hint="eastAsia" w:ascii="宋体" w:hAnsi="宋体" w:cs="宋体"/>
          <w:sz w:val="24"/>
          <w:szCs w:val="24"/>
          <w:highlight w:val="none"/>
          <w:u w:val="single"/>
          <w:lang w:val="en-US" w:eastAsia="zh-CN"/>
        </w:rPr>
        <w:t>249.57</w:t>
      </w:r>
      <w:r>
        <w:rPr>
          <w:rFonts w:hint="eastAsia" w:ascii="宋体" w:hAnsi="宋体" w:cs="宋体"/>
          <w:sz w:val="24"/>
          <w:szCs w:val="24"/>
          <w:highlight w:val="none"/>
          <w:u w:val="single"/>
        </w:rPr>
        <w:t>万元，预备费</w:t>
      </w:r>
      <w:r>
        <w:rPr>
          <w:rFonts w:hint="eastAsia" w:ascii="宋体" w:hAnsi="宋体" w:cs="宋体"/>
          <w:sz w:val="24"/>
          <w:szCs w:val="24"/>
          <w:highlight w:val="none"/>
          <w:u w:val="single"/>
          <w:lang w:val="en-US" w:eastAsia="zh-CN"/>
        </w:rPr>
        <w:t>62.95</w:t>
      </w:r>
      <w:r>
        <w:rPr>
          <w:rFonts w:hint="eastAsia" w:ascii="宋体" w:hAnsi="宋体" w:cs="宋体"/>
          <w:sz w:val="24"/>
          <w:szCs w:val="24"/>
          <w:highlight w:val="none"/>
          <w:u w:val="single"/>
        </w:rPr>
        <w:t>万元。</w:t>
      </w:r>
    </w:p>
    <w:p w14:paraId="380759F1">
      <w:pPr>
        <w:tabs>
          <w:tab w:val="left" w:pos="7513"/>
        </w:tabs>
        <w:spacing w:line="360" w:lineRule="auto"/>
        <w:ind w:firstLine="424" w:firstLineChars="177"/>
        <w:rPr>
          <w:rFonts w:hint="eastAsia" w:ascii="宋体" w:hAnsi="宋体" w:cs="宋体"/>
          <w:sz w:val="24"/>
          <w:szCs w:val="24"/>
          <w:highlight w:val="none"/>
          <w:u w:val="single"/>
          <w:lang w:eastAsia="zh-CN"/>
        </w:rPr>
      </w:pPr>
      <w:r>
        <w:rPr>
          <w:rFonts w:hint="eastAsia" w:ascii="宋体" w:hAnsi="宋体" w:cs="宋体"/>
          <w:sz w:val="24"/>
          <w:szCs w:val="24"/>
          <w:highlight w:val="none"/>
          <w:u w:val="single"/>
        </w:rPr>
        <w:t>（3）</w:t>
      </w:r>
      <w:r>
        <w:rPr>
          <w:rFonts w:hint="eastAsia" w:ascii="宋体" w:hAnsi="宋体" w:eastAsia="宋体" w:cs="宋体"/>
          <w:color w:val="auto"/>
          <w:spacing w:val="-2"/>
          <w:sz w:val="24"/>
          <w:szCs w:val="24"/>
          <w:highlight w:val="none"/>
          <w:u w:val="single"/>
          <w:lang w:eastAsia="zh-CN"/>
        </w:rPr>
        <w:t>萝岗区天鹿湖消防站</w:t>
      </w:r>
      <w:r>
        <w:rPr>
          <w:rFonts w:hint="eastAsia" w:ascii="宋体" w:hAnsi="宋体" w:cs="宋体"/>
          <w:sz w:val="24"/>
          <w:szCs w:val="24"/>
          <w:highlight w:val="none"/>
          <w:u w:val="single"/>
        </w:rPr>
        <w:t>：项目估算总投资</w:t>
      </w:r>
      <w:r>
        <w:rPr>
          <w:rFonts w:hint="eastAsia" w:ascii="宋体" w:hAnsi="宋体" w:cs="宋体"/>
          <w:sz w:val="24"/>
          <w:szCs w:val="24"/>
          <w:highlight w:val="none"/>
          <w:u w:val="single"/>
          <w:lang w:val="en-US" w:eastAsia="zh-CN"/>
        </w:rPr>
        <w:t>2368.23</w:t>
      </w:r>
      <w:r>
        <w:rPr>
          <w:rFonts w:hint="eastAsia" w:ascii="宋体" w:hAnsi="宋体" w:cs="宋体"/>
          <w:sz w:val="24"/>
          <w:szCs w:val="24"/>
          <w:highlight w:val="none"/>
          <w:u w:val="single"/>
        </w:rPr>
        <w:t>万元，其中：建安工程费</w:t>
      </w:r>
      <w:r>
        <w:rPr>
          <w:rFonts w:hint="eastAsia" w:ascii="宋体" w:hAnsi="宋体" w:cs="宋体"/>
          <w:sz w:val="24"/>
          <w:szCs w:val="24"/>
          <w:highlight w:val="none"/>
          <w:u w:val="single"/>
          <w:lang w:val="en-US" w:eastAsia="zh-CN"/>
        </w:rPr>
        <w:t>2066.29</w:t>
      </w:r>
      <w:r>
        <w:rPr>
          <w:rFonts w:hint="eastAsia" w:ascii="宋体" w:hAnsi="宋体" w:cs="宋体"/>
          <w:sz w:val="24"/>
          <w:szCs w:val="24"/>
          <w:highlight w:val="none"/>
          <w:u w:val="single"/>
        </w:rPr>
        <w:t>万元，工程建设其他费用</w:t>
      </w:r>
      <w:r>
        <w:rPr>
          <w:rFonts w:hint="eastAsia" w:ascii="宋体" w:hAnsi="宋体" w:cs="宋体"/>
          <w:sz w:val="24"/>
          <w:szCs w:val="24"/>
          <w:highlight w:val="none"/>
          <w:u w:val="single"/>
          <w:lang w:val="en-US" w:eastAsia="zh-CN"/>
        </w:rPr>
        <w:t>232.97</w:t>
      </w:r>
      <w:r>
        <w:rPr>
          <w:rFonts w:hint="eastAsia" w:ascii="宋体" w:hAnsi="宋体" w:cs="宋体"/>
          <w:sz w:val="24"/>
          <w:szCs w:val="24"/>
          <w:highlight w:val="none"/>
          <w:u w:val="single"/>
        </w:rPr>
        <w:t>万元，预备费</w:t>
      </w:r>
      <w:r>
        <w:rPr>
          <w:rFonts w:hint="eastAsia" w:ascii="宋体" w:hAnsi="宋体" w:cs="宋体"/>
          <w:sz w:val="24"/>
          <w:szCs w:val="24"/>
          <w:highlight w:val="none"/>
          <w:u w:val="single"/>
          <w:lang w:val="en-US" w:eastAsia="zh-CN"/>
        </w:rPr>
        <w:t>68.97</w:t>
      </w:r>
      <w:r>
        <w:rPr>
          <w:rFonts w:hint="eastAsia" w:ascii="宋体" w:hAnsi="宋体" w:cs="宋体"/>
          <w:sz w:val="24"/>
          <w:szCs w:val="24"/>
          <w:highlight w:val="none"/>
          <w:u w:val="single"/>
        </w:rPr>
        <w:t>万元。</w:t>
      </w:r>
    </w:p>
    <w:p w14:paraId="0B06DE67">
      <w:pPr>
        <w:tabs>
          <w:tab w:val="left" w:pos="7513"/>
        </w:tabs>
        <w:spacing w:line="360" w:lineRule="auto"/>
        <w:ind w:firstLine="424" w:firstLineChars="177"/>
        <w:rPr>
          <w:rFonts w:ascii="宋体" w:hAnsi="宋体" w:cs="宋体"/>
          <w:sz w:val="24"/>
          <w:szCs w:val="24"/>
          <w:highlight w:val="none"/>
        </w:rPr>
      </w:pPr>
      <w:r>
        <w:rPr>
          <w:rFonts w:hint="eastAsia" w:ascii="宋体" w:hAnsi="宋体" w:cs="宋体"/>
          <w:sz w:val="24"/>
          <w:szCs w:val="24"/>
          <w:highlight w:val="none"/>
        </w:rPr>
        <w:t>2.1.5 资金来源：</w:t>
      </w:r>
      <w:r>
        <w:rPr>
          <w:rFonts w:hint="eastAsia" w:ascii="宋体" w:hAnsi="宋体" w:cs="宋体"/>
          <w:sz w:val="24"/>
          <w:szCs w:val="24"/>
          <w:highlight w:val="none"/>
          <w:u w:val="single"/>
        </w:rPr>
        <w:t>已落实，100%区财政资金。</w:t>
      </w:r>
    </w:p>
    <w:p w14:paraId="144C77F9">
      <w:pPr>
        <w:tabs>
          <w:tab w:val="left" w:pos="7513"/>
        </w:tabs>
        <w:spacing w:line="360" w:lineRule="auto"/>
        <w:ind w:firstLine="424" w:firstLineChars="177"/>
        <w:rPr>
          <w:rFonts w:ascii="宋体" w:hAnsi="宋体" w:cs="宋体"/>
          <w:sz w:val="24"/>
          <w:szCs w:val="24"/>
          <w:highlight w:val="none"/>
        </w:rPr>
      </w:pPr>
      <w:r>
        <w:rPr>
          <w:rFonts w:hint="eastAsia" w:ascii="宋体" w:hAnsi="宋体" w:cs="宋体"/>
          <w:sz w:val="24"/>
          <w:szCs w:val="24"/>
          <w:highlight w:val="none"/>
        </w:rPr>
        <w:t>2.2招标范围</w:t>
      </w:r>
    </w:p>
    <w:p w14:paraId="0ECFD796">
      <w:pPr>
        <w:tabs>
          <w:tab w:val="left" w:pos="7513"/>
        </w:tabs>
        <w:spacing w:line="360" w:lineRule="auto"/>
        <w:ind w:firstLine="424" w:firstLineChars="177"/>
        <w:rPr>
          <w:rFonts w:ascii="宋体" w:hAnsi="宋体" w:cs="宋体"/>
          <w:sz w:val="24"/>
          <w:szCs w:val="24"/>
          <w:highlight w:val="none"/>
        </w:rPr>
      </w:pPr>
      <w:r>
        <w:rPr>
          <w:rFonts w:hint="eastAsia" w:ascii="宋体" w:hAnsi="宋体" w:cs="宋体"/>
          <w:sz w:val="24"/>
          <w:szCs w:val="24"/>
          <w:highlight w:val="none"/>
        </w:rPr>
        <w:t>2.2.1 标段划分：本项目分为 1 个标段。</w:t>
      </w:r>
    </w:p>
    <w:p w14:paraId="2733248F">
      <w:pPr>
        <w:tabs>
          <w:tab w:val="left" w:pos="7513"/>
        </w:tabs>
        <w:spacing w:line="360" w:lineRule="auto"/>
        <w:ind w:firstLine="424" w:firstLineChars="177"/>
        <w:rPr>
          <w:rFonts w:ascii="宋体" w:hAnsi="宋体" w:cs="宋体"/>
          <w:sz w:val="24"/>
          <w:szCs w:val="24"/>
          <w:highlight w:val="none"/>
        </w:rPr>
      </w:pPr>
      <w:r>
        <w:rPr>
          <w:rFonts w:hint="eastAsia" w:ascii="宋体" w:hAnsi="宋体" w:cs="宋体"/>
          <w:sz w:val="24"/>
          <w:szCs w:val="24"/>
          <w:highlight w:val="none"/>
        </w:rPr>
        <w:t>2.2.2 招标范围：</w:t>
      </w:r>
      <w:r>
        <w:rPr>
          <w:rFonts w:hint="eastAsia" w:ascii="宋体" w:hAnsi="宋体" w:cs="宋体"/>
          <w:sz w:val="24"/>
          <w:szCs w:val="24"/>
          <w:highlight w:val="none"/>
          <w:u w:val="single"/>
        </w:rPr>
        <w:t>依据施工图及相关规范要求，开展工程第三方检测工作，具体以施工图纸、检测规范及主管部门要求为准。施工及验收阶段相关的第三方检测包括但不限于地基基础工程检测、主体结构工程现场检测、钢结构工程检测、见证取样检测、道路检测、节能检测、环境检测、智能化检测等按规范和验收要求必须检测的项目。具体根据图纸、工程量清单及项目现场实际情况确定。服务范围除以上工作外，还包括但不限于以下内容：</w:t>
      </w:r>
    </w:p>
    <w:p w14:paraId="52812F60">
      <w:pPr>
        <w:pStyle w:val="26"/>
        <w:spacing w:after="0" w:line="360" w:lineRule="auto"/>
        <w:ind w:left="0" w:leftChars="0" w:firstLine="424" w:firstLineChars="177"/>
        <w:rPr>
          <w:rFonts w:ascii="宋体" w:hAnsi="宋体" w:cs="宋体"/>
          <w:sz w:val="24"/>
          <w:highlight w:val="none"/>
          <w:u w:val="single"/>
        </w:rPr>
      </w:pPr>
      <w:r>
        <w:rPr>
          <w:rFonts w:hint="eastAsia" w:ascii="宋体" w:hAnsi="宋体" w:cs="宋体"/>
          <w:sz w:val="24"/>
          <w:highlight w:val="none"/>
          <w:u w:val="single"/>
        </w:rPr>
        <w:t>（1）与工程所在行政区域的相关建设行政主管部门和监督部门所进行的协调工作，且合同价中已经综合考虑了该项协调工作的费用。如申报检测技术成果的审批，保证技术成果能够通过相关部门认可，确保不因检测工作影响本工程项目的建设进度和竣工验收。</w:t>
      </w:r>
    </w:p>
    <w:p w14:paraId="28660311">
      <w:pPr>
        <w:pStyle w:val="26"/>
        <w:spacing w:after="0" w:line="360" w:lineRule="auto"/>
        <w:ind w:left="0" w:leftChars="0" w:firstLine="424" w:firstLineChars="177"/>
        <w:rPr>
          <w:rFonts w:ascii="宋体" w:hAnsi="宋体" w:cs="宋体"/>
          <w:sz w:val="24"/>
          <w:highlight w:val="none"/>
          <w:u w:val="single"/>
        </w:rPr>
      </w:pPr>
      <w:r>
        <w:rPr>
          <w:rFonts w:hint="eastAsia" w:ascii="宋体" w:hAnsi="宋体" w:cs="宋体"/>
          <w:sz w:val="24"/>
          <w:highlight w:val="none"/>
          <w:u w:val="single"/>
        </w:rPr>
        <w:t>（2）在进行检测任务的过程中与该工程相关的施工单位、监理单位、设计单位、业主、建设管理单位、建设主管部门等相关单位的协调工作，且合同价中已经综合考虑了该项协调工作的费用。</w:t>
      </w:r>
    </w:p>
    <w:p w14:paraId="091D9322">
      <w:pPr>
        <w:pStyle w:val="26"/>
        <w:spacing w:after="0" w:line="360" w:lineRule="auto"/>
        <w:ind w:left="0" w:leftChars="0" w:firstLine="424" w:firstLineChars="177"/>
        <w:rPr>
          <w:rFonts w:ascii="宋体" w:hAnsi="宋体" w:cs="宋体"/>
          <w:sz w:val="24"/>
          <w:highlight w:val="none"/>
          <w:u w:val="single"/>
        </w:rPr>
      </w:pPr>
      <w:r>
        <w:rPr>
          <w:rFonts w:hint="eastAsia" w:ascii="宋体" w:hAnsi="宋体" w:cs="宋体"/>
          <w:sz w:val="24"/>
          <w:highlight w:val="none"/>
          <w:u w:val="single"/>
        </w:rPr>
        <w:t>（3）因按相关规定须与行业、行政监督部门传输报送检测数据信息的工作，且合同价中已经综合考虑了该项协调工作的费用。</w:t>
      </w:r>
    </w:p>
    <w:p w14:paraId="34BF851B">
      <w:pPr>
        <w:pStyle w:val="26"/>
        <w:spacing w:after="0" w:line="360" w:lineRule="auto"/>
        <w:ind w:left="0" w:leftChars="0" w:firstLine="424" w:firstLineChars="177"/>
        <w:rPr>
          <w:rFonts w:ascii="宋体" w:hAnsi="宋体" w:cs="宋体"/>
          <w:sz w:val="24"/>
          <w:highlight w:val="none"/>
          <w:u w:val="single"/>
        </w:rPr>
      </w:pPr>
      <w:r>
        <w:rPr>
          <w:rFonts w:hint="eastAsia" w:ascii="宋体" w:hAnsi="宋体" w:cs="宋体"/>
          <w:sz w:val="24"/>
          <w:highlight w:val="none"/>
          <w:u w:val="single"/>
        </w:rPr>
        <w:t>（4）根据相关规范和标准、主管部门文件的规定以及设计图纸的有关要求，结合工程实际情况编制相关项目的《检测方案》，并报质监部门备案（如需要）。</w:t>
      </w:r>
    </w:p>
    <w:p w14:paraId="73096D31">
      <w:pPr>
        <w:pStyle w:val="26"/>
        <w:spacing w:after="0" w:line="360" w:lineRule="auto"/>
        <w:ind w:left="0" w:leftChars="0" w:firstLine="424" w:firstLineChars="177"/>
        <w:rPr>
          <w:rFonts w:ascii="宋体" w:hAnsi="宋体" w:cs="宋体"/>
          <w:sz w:val="24"/>
          <w:highlight w:val="none"/>
          <w:u w:val="single"/>
        </w:rPr>
      </w:pPr>
      <w:r>
        <w:rPr>
          <w:rFonts w:hint="eastAsia" w:ascii="宋体" w:hAnsi="宋体" w:cs="宋体"/>
          <w:sz w:val="24"/>
          <w:highlight w:val="none"/>
          <w:u w:val="single"/>
        </w:rPr>
        <w:t>（5）负责检测的工程质量需符合《建设工程质量管理条例》等国家相关管理要求。</w:t>
      </w:r>
    </w:p>
    <w:p w14:paraId="46160C45">
      <w:pPr>
        <w:pStyle w:val="26"/>
        <w:spacing w:after="0" w:line="360" w:lineRule="auto"/>
        <w:ind w:left="0" w:leftChars="0" w:firstLine="424" w:firstLineChars="177"/>
        <w:rPr>
          <w:rFonts w:ascii="宋体" w:hAnsi="宋体" w:cs="宋体"/>
          <w:b/>
          <w:bCs/>
          <w:sz w:val="24"/>
          <w:highlight w:val="none"/>
          <w:u w:val="single"/>
        </w:rPr>
      </w:pPr>
      <w:r>
        <w:rPr>
          <w:rFonts w:hint="eastAsia" w:ascii="宋体" w:hAnsi="宋体" w:cs="宋体"/>
          <w:sz w:val="24"/>
          <w:highlight w:val="none"/>
          <w:u w:val="single"/>
        </w:rPr>
        <w:t>（具体以招标文件、施工图纸、检测方案为准）。</w:t>
      </w:r>
    </w:p>
    <w:p w14:paraId="31185F3B">
      <w:pPr>
        <w:tabs>
          <w:tab w:val="left" w:pos="7513"/>
        </w:tabs>
        <w:spacing w:line="360" w:lineRule="auto"/>
        <w:ind w:firstLine="424" w:firstLineChars="177"/>
        <w:rPr>
          <w:rFonts w:ascii="宋体" w:hAnsi="宋体" w:cs="宋体"/>
          <w:sz w:val="24"/>
          <w:szCs w:val="24"/>
          <w:highlight w:val="none"/>
        </w:rPr>
      </w:pPr>
      <w:r>
        <w:rPr>
          <w:rFonts w:hint="eastAsia" w:ascii="宋体" w:hAnsi="宋体" w:cs="宋体"/>
          <w:sz w:val="24"/>
          <w:szCs w:val="24"/>
          <w:highlight w:val="none"/>
        </w:rPr>
        <w:t>2.2.3 服务期限：</w:t>
      </w:r>
      <w:r>
        <w:rPr>
          <w:rFonts w:hint="eastAsia" w:ascii="宋体" w:hAnsi="宋体" w:cs="宋体"/>
          <w:sz w:val="24"/>
          <w:szCs w:val="24"/>
          <w:highlight w:val="none"/>
          <w:u w:val="single"/>
        </w:rPr>
        <w:t>从中标单位进场至所有服务项目完成，服务周期必须满足实际施工及竣工验收要求。进场日期以发包人通知时间为准。</w:t>
      </w:r>
    </w:p>
    <w:p w14:paraId="5BC3FF7C">
      <w:pPr>
        <w:tabs>
          <w:tab w:val="left" w:pos="7513"/>
        </w:tabs>
        <w:spacing w:line="360" w:lineRule="auto"/>
        <w:ind w:firstLine="424" w:firstLineChars="177"/>
        <w:rPr>
          <w:highlight w:val="none"/>
        </w:rPr>
      </w:pPr>
      <w:r>
        <w:rPr>
          <w:rFonts w:hint="eastAsia" w:ascii="宋体" w:hAnsi="宋体" w:cs="宋体"/>
          <w:sz w:val="24"/>
          <w:szCs w:val="24"/>
          <w:highlight w:val="none"/>
        </w:rPr>
        <w:t>2.2.4 检测服务最高投标限价：</w:t>
      </w:r>
      <w:r>
        <w:rPr>
          <w:rFonts w:hint="eastAsia" w:ascii="宋体" w:hAnsi="宋体" w:cs="宋体"/>
          <w:sz w:val="24"/>
          <w:szCs w:val="24"/>
          <w:highlight w:val="none"/>
          <w:u w:val="single"/>
        </w:rPr>
        <w:t>人民币143.1</w:t>
      </w:r>
      <w:r>
        <w:rPr>
          <w:rFonts w:hint="eastAsia" w:ascii="宋体" w:hAnsi="宋体" w:cs="宋体"/>
          <w:sz w:val="24"/>
          <w:szCs w:val="24"/>
          <w:highlight w:val="none"/>
          <w:u w:val="single"/>
          <w:lang w:val="en-US" w:eastAsia="zh-CN"/>
        </w:rPr>
        <w:t>8</w:t>
      </w:r>
      <w:r>
        <w:rPr>
          <w:rFonts w:hint="eastAsia" w:ascii="宋体" w:hAnsi="宋体" w:cs="宋体"/>
          <w:sz w:val="24"/>
          <w:szCs w:val="24"/>
          <w:highlight w:val="none"/>
          <w:u w:val="single"/>
        </w:rPr>
        <w:t>万元（其中，</w:t>
      </w:r>
      <w:r>
        <w:rPr>
          <w:rFonts w:hint="eastAsia" w:ascii="宋体" w:hAnsi="宋体" w:cs="宋体"/>
          <w:sz w:val="24"/>
          <w:szCs w:val="24"/>
          <w:highlight w:val="none"/>
          <w:u w:val="single"/>
          <w:lang w:eastAsia="zh-CN"/>
        </w:rPr>
        <w:t>黄埔区刘村消防站建设工程</w:t>
      </w:r>
      <w:r>
        <w:rPr>
          <w:rFonts w:hint="eastAsia" w:ascii="宋体" w:hAnsi="宋体" w:cs="宋体"/>
          <w:sz w:val="24"/>
          <w:szCs w:val="24"/>
          <w:highlight w:val="none"/>
          <w:u w:val="single"/>
        </w:rPr>
        <w:t>检测服务最高投标限价人民币68.80万元；</w:t>
      </w:r>
      <w:r>
        <w:rPr>
          <w:rFonts w:hint="eastAsia" w:ascii="宋体" w:hAnsi="宋体" w:eastAsia="宋体" w:cs="宋体"/>
          <w:color w:val="auto"/>
          <w:sz w:val="24"/>
          <w:szCs w:val="24"/>
          <w:highlight w:val="none"/>
          <w:u w:val="single"/>
        </w:rPr>
        <w:t>黄埔区深井消防站建设工程</w:t>
      </w:r>
      <w:r>
        <w:rPr>
          <w:rFonts w:hint="eastAsia" w:ascii="宋体" w:hAnsi="宋体" w:cs="宋体"/>
          <w:sz w:val="24"/>
          <w:szCs w:val="24"/>
          <w:highlight w:val="none"/>
          <w:u w:val="single"/>
        </w:rPr>
        <w:t>检测服务最高投标限价人民币35.12万元；萝岗区天鹿湖消防站检测服务最高投标限价人民币39.26万元）。</w:t>
      </w:r>
    </w:p>
    <w:p w14:paraId="5010BA79">
      <w:pPr>
        <w:spacing w:line="360" w:lineRule="auto"/>
        <w:outlineLvl w:val="1"/>
        <w:rPr>
          <w:rFonts w:ascii="宋体" w:hAnsi="宋体"/>
          <w:b/>
          <w:sz w:val="32"/>
          <w:szCs w:val="24"/>
          <w:highlight w:val="none"/>
        </w:rPr>
      </w:pPr>
      <w:r>
        <w:rPr>
          <w:rFonts w:hint="eastAsia" w:ascii="宋体" w:hAnsi="宋体"/>
          <w:b/>
          <w:sz w:val="32"/>
          <w:szCs w:val="24"/>
          <w:highlight w:val="none"/>
        </w:rPr>
        <w:t>3. 投标人资格要求</w:t>
      </w:r>
      <w:bookmarkEnd w:id="7"/>
    </w:p>
    <w:p w14:paraId="6E751534">
      <w:pPr>
        <w:spacing w:line="360" w:lineRule="auto"/>
        <w:ind w:firstLine="424" w:firstLineChars="177"/>
        <w:rPr>
          <w:rFonts w:ascii="宋体" w:hAnsi="宋体" w:cs="宋体"/>
          <w:sz w:val="24"/>
          <w:szCs w:val="24"/>
          <w:highlight w:val="none"/>
        </w:rPr>
      </w:pPr>
      <w:r>
        <w:rPr>
          <w:rFonts w:hint="eastAsia" w:ascii="宋体" w:hAnsi="宋体" w:cs="宋体"/>
          <w:sz w:val="24"/>
          <w:szCs w:val="24"/>
          <w:highlight w:val="none"/>
        </w:rPr>
        <w:t>3.1投标人参加投标的意思表达清楚，投标人代表被授权有效。</w:t>
      </w:r>
    </w:p>
    <w:p w14:paraId="0C0D3CBA">
      <w:pPr>
        <w:spacing w:line="360" w:lineRule="auto"/>
        <w:ind w:firstLine="424" w:firstLineChars="177"/>
        <w:rPr>
          <w:rFonts w:ascii="宋体" w:hAnsi="宋体" w:cs="宋体"/>
          <w:sz w:val="24"/>
          <w:szCs w:val="24"/>
          <w:highlight w:val="none"/>
        </w:rPr>
      </w:pPr>
      <w:r>
        <w:rPr>
          <w:rFonts w:hint="eastAsia" w:ascii="宋体" w:hAnsi="宋体" w:cs="宋体"/>
          <w:sz w:val="24"/>
          <w:szCs w:val="24"/>
          <w:highlight w:val="none"/>
        </w:rPr>
        <w:t>3.2投标人</w:t>
      </w:r>
      <w:r>
        <w:rPr>
          <w:rFonts w:hint="eastAsia" w:ascii="宋体" w:hAnsi="宋体" w:cs="宋体"/>
          <w:sz w:val="24"/>
          <w:highlight w:val="none"/>
        </w:rPr>
        <w:t>（或联合体各成员）</w:t>
      </w:r>
      <w:r>
        <w:rPr>
          <w:rFonts w:hint="eastAsia" w:ascii="宋体" w:hAnsi="宋体" w:cs="宋体"/>
          <w:sz w:val="24"/>
          <w:szCs w:val="24"/>
          <w:highlight w:val="none"/>
        </w:rPr>
        <w:t>具有独立法人资格，持有事业单位登记管理部门核发的事业单位法人证书或工商行政（市场监督）管理部门核发的企业法人营业执照，且在营业期限内。</w:t>
      </w:r>
    </w:p>
    <w:p w14:paraId="30882D6F">
      <w:pPr>
        <w:spacing w:line="360" w:lineRule="auto"/>
        <w:ind w:firstLine="424" w:firstLineChars="177"/>
        <w:rPr>
          <w:rFonts w:ascii="Times New Roman" w:hAnsi="Times New Roman"/>
          <w:szCs w:val="24"/>
          <w:highlight w:val="none"/>
        </w:rPr>
      </w:pPr>
      <w:r>
        <w:rPr>
          <w:rFonts w:hint="eastAsia" w:ascii="宋体" w:hAnsi="宋体" w:cs="宋体"/>
          <w:sz w:val="24"/>
          <w:szCs w:val="24"/>
          <w:highlight w:val="none"/>
        </w:rPr>
        <w:t xml:space="preserve">3.3 </w:t>
      </w:r>
      <w:r>
        <w:rPr>
          <w:rFonts w:hint="eastAsia" w:ascii="宋体" w:hAnsi="宋体" w:cs="宋体"/>
          <w:sz w:val="24"/>
          <w:highlight w:val="none"/>
        </w:rPr>
        <w:t>投标人（或联合体）具备</w:t>
      </w:r>
      <w:r>
        <w:rPr>
          <w:rFonts w:hint="eastAsia" w:ascii="宋体" w:hAnsi="宋体" w:cs="宋体"/>
          <w:sz w:val="24"/>
          <w:szCs w:val="24"/>
          <w:highlight w:val="none"/>
        </w:rPr>
        <w:t>有效的</w:t>
      </w:r>
      <w:r>
        <w:rPr>
          <w:rFonts w:hint="eastAsia" w:ascii="宋体" w:hAnsi="宋体" w:cs="宋体"/>
          <w:sz w:val="24"/>
          <w:highlight w:val="none"/>
        </w:rPr>
        <w:t>建设行政主管部门颁发的建设工程质量检测机构资质证书</w:t>
      </w:r>
      <w:r>
        <w:rPr>
          <w:rFonts w:hint="eastAsia" w:ascii="宋体" w:hAnsi="宋体" w:cs="宋体"/>
          <w:sz w:val="24"/>
          <w:highlight w:val="none"/>
          <w:u w:val="single"/>
        </w:rPr>
        <w:t>（检测范围覆盖地基基础工程检测、主体结构工程现场检测、钢结构工程检测、见证取样检测）</w:t>
      </w:r>
      <w:r>
        <w:rPr>
          <w:rFonts w:hint="eastAsia" w:ascii="宋体" w:hAnsi="宋体" w:cs="宋体"/>
          <w:sz w:val="24"/>
          <w:highlight w:val="none"/>
        </w:rPr>
        <w:t>，或根据《住房和城乡建设部关于印发《建设工程质量检测机构资质标准》的通知》（建质规〔2023〕1号，以下简称新标准）具有有效的</w:t>
      </w:r>
      <w:r>
        <w:rPr>
          <w:rFonts w:hint="eastAsia" w:ascii="宋体" w:hAnsi="宋体" w:cs="宋体"/>
          <w:sz w:val="24"/>
          <w:szCs w:val="24"/>
          <w:highlight w:val="none"/>
        </w:rPr>
        <w:t>建设行政主管部门颁发的建设工程质量检测机构综合资质证书或专项资质证书（专项资质证书包括：</w:t>
      </w:r>
      <w:r>
        <w:rPr>
          <w:rFonts w:hint="eastAsia" w:ascii="宋体" w:hAnsi="宋体" w:cs="宋体"/>
          <w:sz w:val="24"/>
          <w:szCs w:val="24"/>
          <w:highlight w:val="none"/>
          <w:u w:val="single"/>
        </w:rPr>
        <w:t>建筑材料及构配件、主体结构及装饰装修、钢结构、地基基础、建筑节能、建筑幕墙）</w:t>
      </w:r>
      <w:r>
        <w:rPr>
          <w:rFonts w:hint="eastAsia" w:ascii="宋体" w:hAnsi="宋体" w:cs="宋体"/>
          <w:sz w:val="24"/>
          <w:highlight w:val="none"/>
        </w:rPr>
        <w:t>。</w:t>
      </w:r>
    </w:p>
    <w:p w14:paraId="1DE3861D">
      <w:pPr>
        <w:spacing w:line="360" w:lineRule="auto"/>
        <w:ind w:firstLine="424" w:firstLineChars="177"/>
        <w:rPr>
          <w:rFonts w:ascii="宋体" w:hAnsi="宋体" w:cs="宋体"/>
          <w:sz w:val="24"/>
          <w:szCs w:val="24"/>
          <w:highlight w:val="none"/>
        </w:rPr>
      </w:pPr>
      <w:r>
        <w:rPr>
          <w:rFonts w:hint="eastAsia" w:ascii="宋体" w:hAnsi="宋体" w:cs="宋体"/>
          <w:sz w:val="24"/>
          <w:szCs w:val="24"/>
          <w:highlight w:val="none"/>
        </w:rPr>
        <w:t>3.4投标人（或联合体）</w:t>
      </w:r>
      <w:r>
        <w:rPr>
          <w:rFonts w:hint="eastAsia" w:ascii="宋体" w:hAnsi="宋体"/>
          <w:sz w:val="24"/>
          <w:highlight w:val="none"/>
        </w:rPr>
        <w:t>具有质量技术监督部门颁发的CMA计量认证合格证书或CMA检验检测机构资质认定证书</w:t>
      </w:r>
      <w:r>
        <w:rPr>
          <w:rFonts w:hint="eastAsia" w:ascii="宋体" w:hAnsi="宋体"/>
          <w:sz w:val="24"/>
          <w:szCs w:val="24"/>
          <w:highlight w:val="none"/>
        </w:rPr>
        <w:t>（证书附表的</w:t>
      </w:r>
      <w:r>
        <w:rPr>
          <w:rFonts w:hint="eastAsia" w:ascii="宋体" w:hAnsi="宋体"/>
          <w:sz w:val="24"/>
          <w:highlight w:val="none"/>
        </w:rPr>
        <w:t>认证范围覆盖招标主要内容</w:t>
      </w:r>
      <w:r>
        <w:rPr>
          <w:rFonts w:hint="eastAsia" w:ascii="宋体" w:hAnsi="宋体" w:cs="宋体"/>
          <w:sz w:val="24"/>
          <w:szCs w:val="24"/>
          <w:highlight w:val="none"/>
          <w:u w:val="none"/>
        </w:rPr>
        <w:t>：</w:t>
      </w:r>
      <w:r>
        <w:rPr>
          <w:rFonts w:hint="eastAsia" w:ascii="宋体" w:hAnsi="宋体" w:cs="宋体"/>
          <w:sz w:val="24"/>
          <w:szCs w:val="24"/>
          <w:highlight w:val="none"/>
          <w:u w:val="single"/>
        </w:rPr>
        <w:t>地基基础工程检测、主体结构工程现场检测、钢结构工程检测、见证取样检测、道路检测、节能检测、环境检测、智能化检测等）</w:t>
      </w:r>
      <w:r>
        <w:rPr>
          <w:rFonts w:hint="eastAsia" w:ascii="宋体" w:hAnsi="宋体" w:cs="宋体"/>
          <w:sz w:val="24"/>
          <w:szCs w:val="24"/>
          <w:highlight w:val="none"/>
        </w:rPr>
        <w:t>，且证书在有效期内。如投标人CMA计量认证合格证书或CMA检验检测机构资质认定证书中的检测项目与上述名称不同，但表达的意思一致也视为满足该项条件。</w:t>
      </w:r>
    </w:p>
    <w:p w14:paraId="69072EFA">
      <w:pPr>
        <w:spacing w:line="360" w:lineRule="auto"/>
        <w:ind w:firstLine="424" w:firstLineChars="177"/>
        <w:rPr>
          <w:rFonts w:ascii="宋体" w:hAnsi="宋体" w:cs="宋体"/>
          <w:sz w:val="24"/>
          <w:szCs w:val="24"/>
          <w:highlight w:val="none"/>
        </w:rPr>
      </w:pPr>
      <w:r>
        <w:rPr>
          <w:rFonts w:hint="eastAsia" w:ascii="宋体" w:hAnsi="宋体" w:cs="宋体"/>
          <w:sz w:val="24"/>
          <w:szCs w:val="24"/>
          <w:highlight w:val="none"/>
        </w:rPr>
        <w:t>3.5投标人（或联合体主办方）拟委派项目负责人要求具备</w:t>
      </w:r>
      <w:r>
        <w:rPr>
          <w:rFonts w:hint="eastAsia" w:ascii="宋体" w:hAnsi="宋体" w:cs="宋体"/>
          <w:sz w:val="24"/>
          <w:szCs w:val="24"/>
          <w:highlight w:val="none"/>
          <w:u w:val="single"/>
        </w:rPr>
        <w:t>工程类相关专业工程师或以上职称</w:t>
      </w:r>
      <w:r>
        <w:rPr>
          <w:rFonts w:hint="eastAsia" w:ascii="宋体" w:hAnsi="宋体" w:cs="宋体"/>
          <w:sz w:val="24"/>
          <w:szCs w:val="24"/>
          <w:highlight w:val="none"/>
        </w:rPr>
        <w:t>。</w:t>
      </w:r>
    </w:p>
    <w:p w14:paraId="05843EE2">
      <w:pPr>
        <w:shd w:val="clear" w:color="auto" w:fill="FFFFFF"/>
        <w:snapToGrid w:val="0"/>
        <w:spacing w:line="324" w:lineRule="auto"/>
        <w:ind w:firstLine="480" w:firstLineChars="200"/>
        <w:rPr>
          <w:rFonts w:ascii="宋体" w:hAnsi="宋体" w:cs="宋体"/>
          <w:sz w:val="24"/>
          <w:szCs w:val="24"/>
          <w:highlight w:val="none"/>
        </w:rPr>
      </w:pPr>
      <w:r>
        <w:rPr>
          <w:rFonts w:hint="eastAsia" w:ascii="宋体" w:hAnsi="宋体" w:cs="宋体"/>
          <w:sz w:val="24"/>
          <w:szCs w:val="24"/>
          <w:highlight w:val="none"/>
        </w:rPr>
        <w:t>3.6投标登记前，投标人（或联合体各方）须在广州市住房和城乡建设局建立企业信用档案及拟担任项目负责人须是本企业（或联合体主办方）信用档案中的在册人员。（信用档案办理详见《广州市住建行业信用管理平台检测企业信息录入指引》</w:t>
      </w:r>
    </w:p>
    <w:p w14:paraId="6E052791">
      <w:pPr>
        <w:shd w:val="clear" w:color="auto" w:fill="FFFFFF"/>
        <w:snapToGrid w:val="0"/>
        <w:spacing w:line="324" w:lineRule="auto"/>
        <w:ind w:firstLine="480" w:firstLineChars="200"/>
        <w:rPr>
          <w:rFonts w:ascii="宋体" w:hAnsi="宋体" w:cs="宋体"/>
          <w:sz w:val="24"/>
          <w:szCs w:val="24"/>
          <w:highlight w:val="none"/>
          <w:u w:val="single"/>
        </w:rPr>
      </w:pPr>
      <w:r>
        <w:rPr>
          <w:rFonts w:hint="eastAsia" w:ascii="宋体" w:hAnsi="宋体" w:cs="宋体"/>
          <w:sz w:val="24"/>
          <w:szCs w:val="24"/>
          <w:highlight w:val="none"/>
        </w:rPr>
        <w:t>http://zfcj.gz.gov.cn/zwgk/zsdwxxgkzl/gzsjzyglfwzx/bszy/content/post_8077190.html）。</w:t>
      </w:r>
    </w:p>
    <w:p w14:paraId="1FB32711">
      <w:pPr>
        <w:spacing w:line="360" w:lineRule="auto"/>
        <w:ind w:firstLine="424" w:firstLineChars="177"/>
        <w:rPr>
          <w:rFonts w:ascii="宋体" w:hAnsi="宋体" w:cs="宋体"/>
          <w:sz w:val="24"/>
          <w:szCs w:val="24"/>
          <w:highlight w:val="none"/>
        </w:rPr>
      </w:pPr>
      <w:r>
        <w:rPr>
          <w:rFonts w:hint="eastAsia" w:ascii="宋体" w:hAnsi="宋体" w:cs="宋体"/>
          <w:sz w:val="24"/>
          <w:szCs w:val="24"/>
          <w:highlight w:val="none"/>
        </w:rPr>
        <w:t>3.7投标人（或联合体主办方）出具按照招标文件要求的格式签署盖章的《投标申请人声明》（格式见招标文件第六章）。</w:t>
      </w:r>
    </w:p>
    <w:p w14:paraId="71FA2C72">
      <w:pPr>
        <w:spacing w:line="360" w:lineRule="auto"/>
        <w:ind w:firstLine="424" w:firstLineChars="177"/>
        <w:rPr>
          <w:rFonts w:ascii="宋体" w:hAnsi="宋体" w:cs="宋体"/>
          <w:sz w:val="24"/>
          <w:szCs w:val="24"/>
          <w:highlight w:val="none"/>
        </w:rPr>
      </w:pPr>
      <w:r>
        <w:rPr>
          <w:rFonts w:hint="eastAsia" w:ascii="宋体" w:hAnsi="宋体" w:cs="宋体"/>
          <w:sz w:val="24"/>
          <w:szCs w:val="24"/>
          <w:highlight w:val="none"/>
        </w:rPr>
        <w:t>3.8投标人</w:t>
      </w:r>
      <w:r>
        <w:rPr>
          <w:rFonts w:hint="eastAsia" w:ascii="宋体" w:hAnsi="宋体" w:cs="宋体"/>
          <w:sz w:val="24"/>
          <w:highlight w:val="none"/>
        </w:rPr>
        <w:t>（或联合体各成员）</w:t>
      </w:r>
      <w:r>
        <w:rPr>
          <w:rFonts w:hint="eastAsia" w:ascii="宋体" w:hAnsi="宋体" w:cs="宋体"/>
          <w:sz w:val="24"/>
          <w:szCs w:val="24"/>
          <w:highlight w:val="none"/>
        </w:rPr>
        <w:t>近二年（从202</w:t>
      </w:r>
      <w:r>
        <w:rPr>
          <w:rFonts w:hint="eastAsia" w:ascii="宋体" w:hAnsi="宋体" w:cs="宋体"/>
          <w:sz w:val="24"/>
          <w:szCs w:val="24"/>
          <w:highlight w:val="none"/>
          <w:lang w:val="en-US" w:eastAsia="zh-CN"/>
        </w:rPr>
        <w:t>2</w:t>
      </w:r>
      <w:r>
        <w:rPr>
          <w:rFonts w:hint="eastAsia" w:ascii="宋体" w:hAnsi="宋体" w:cs="宋体"/>
          <w:sz w:val="24"/>
          <w:szCs w:val="24"/>
          <w:highlight w:val="none"/>
        </w:rPr>
        <w:t>年1月1日起至投标截止时间止）未因以往检测工作中存在伪造检测数据、出具虚假检测报告的行为被各级建设行政主管部门或市场监督管理部门行政处罚或通报的（按投标人提供的《投标申请人声明》第三条内容进行评审）。</w:t>
      </w:r>
    </w:p>
    <w:p w14:paraId="5FEC78CF">
      <w:pPr>
        <w:spacing w:line="360" w:lineRule="auto"/>
        <w:ind w:firstLine="424" w:firstLineChars="177"/>
        <w:rPr>
          <w:rFonts w:ascii="宋体" w:hAnsi="宋体" w:cs="宋体"/>
          <w:sz w:val="24"/>
          <w:szCs w:val="24"/>
          <w:highlight w:val="none"/>
          <w:u w:val="single"/>
        </w:rPr>
      </w:pPr>
      <w:r>
        <w:rPr>
          <w:rFonts w:hint="eastAsia" w:ascii="宋体" w:hAnsi="宋体" w:cs="宋体"/>
          <w:sz w:val="24"/>
          <w:szCs w:val="24"/>
          <w:highlight w:val="none"/>
        </w:rPr>
        <w:t>3.9关于联合体投标：</w:t>
      </w:r>
      <w:r>
        <w:rPr>
          <w:rFonts w:hint="eastAsia" w:ascii="宋体" w:hAnsi="宋体" w:cs="宋体"/>
          <w:sz w:val="24"/>
          <w:szCs w:val="24"/>
          <w:highlight w:val="none"/>
          <w:u w:val="single"/>
        </w:rPr>
        <w:t>本项目接受联合体投标。</w:t>
      </w:r>
    </w:p>
    <w:p w14:paraId="14AB8FDB">
      <w:pPr>
        <w:pStyle w:val="26"/>
        <w:spacing w:after="0" w:line="360" w:lineRule="auto"/>
        <w:ind w:left="0" w:leftChars="0" w:firstLine="424" w:firstLineChars="177"/>
        <w:rPr>
          <w:rFonts w:ascii="宋体" w:hAnsi="宋体" w:cs="宋体"/>
          <w:sz w:val="24"/>
          <w:highlight w:val="none"/>
          <w:u w:val="single"/>
        </w:rPr>
      </w:pPr>
      <w:r>
        <w:rPr>
          <w:rFonts w:hint="eastAsia" w:ascii="宋体" w:hAnsi="宋体" w:cs="宋体"/>
          <w:sz w:val="24"/>
          <w:highlight w:val="none"/>
          <w:u w:val="single"/>
        </w:rPr>
        <w:t>（1）如投标人组成联合体，联合体应当在投标登记前组成，并按要求签署盖章签定联合体共同投标协议“联合体协议书”。投标人拟任本工程项目负责人应为牵头人（主办方）正式员工。联合体共同投标协议应明确约定各方拟承担的工作和责任。投标截止后联合体增减、更换成员的，其投标无效。</w:t>
      </w:r>
    </w:p>
    <w:p w14:paraId="5C918744">
      <w:pPr>
        <w:pStyle w:val="26"/>
        <w:spacing w:after="0" w:line="360" w:lineRule="auto"/>
        <w:ind w:left="0" w:leftChars="0" w:firstLine="424" w:firstLineChars="177"/>
        <w:rPr>
          <w:rFonts w:ascii="宋体" w:hAnsi="宋体" w:cs="宋体"/>
          <w:sz w:val="24"/>
          <w:highlight w:val="none"/>
          <w:u w:val="single"/>
        </w:rPr>
      </w:pPr>
      <w:r>
        <w:rPr>
          <w:rFonts w:hint="eastAsia" w:ascii="宋体" w:hAnsi="宋体" w:cs="宋体"/>
          <w:sz w:val="24"/>
          <w:highlight w:val="none"/>
          <w:u w:val="single"/>
        </w:rPr>
        <w:t>（2）联合体各成员（包括主办方及联合体成员）不得再单独或与其他单位组成联合体参与本项目投标。出现上述情况者，其投标和与此有关的联合体的投标将被拒绝。</w:t>
      </w:r>
    </w:p>
    <w:p w14:paraId="07CA9F20">
      <w:pPr>
        <w:spacing w:line="360" w:lineRule="auto"/>
        <w:ind w:firstLine="424" w:firstLineChars="177"/>
        <w:rPr>
          <w:rFonts w:ascii="宋体" w:hAnsi="宋体" w:cs="宋体"/>
          <w:sz w:val="24"/>
          <w:szCs w:val="24"/>
          <w:highlight w:val="none"/>
          <w:u w:val="single"/>
        </w:rPr>
      </w:pPr>
      <w:r>
        <w:rPr>
          <w:rFonts w:hint="eastAsia" w:ascii="宋体" w:hAnsi="宋体" w:cs="宋体"/>
          <w:sz w:val="24"/>
          <w:highlight w:val="none"/>
          <w:u w:val="single"/>
        </w:rPr>
        <w:t>（3）联合体投标时，除“联合体协议书”需由联合体各成员分别按要求进行签字或盖章外，其他资料若需要签字或盖章的均可由联合体牵头人（主办方）签字或盖章即可；投标资料封面及其他内容及落款中的“投标人”应填写联合体各成员的单位全称【格式示例为：（主）单位全称（成）单位全称】，由联合体主办方按要求签字或盖章即可。电子签章由主办方进行签章即可。</w:t>
      </w:r>
    </w:p>
    <w:p w14:paraId="3C02FE89">
      <w:pPr>
        <w:spacing w:line="360" w:lineRule="auto"/>
        <w:ind w:firstLine="424" w:firstLineChars="177"/>
        <w:rPr>
          <w:rFonts w:hint="eastAsia" w:ascii="宋体" w:hAnsi="宋体" w:cs="宋体"/>
          <w:sz w:val="24"/>
          <w:szCs w:val="24"/>
          <w:highlight w:val="none"/>
          <w:u w:val="single"/>
        </w:rPr>
      </w:pPr>
      <w:r>
        <w:rPr>
          <w:rFonts w:hint="eastAsia" w:ascii="宋体" w:hAnsi="宋体" w:cs="宋体"/>
          <w:sz w:val="24"/>
          <w:szCs w:val="24"/>
          <w:highlight w:val="none"/>
        </w:rPr>
        <w:t xml:space="preserve">3.10 </w:t>
      </w:r>
      <w:r>
        <w:rPr>
          <w:rFonts w:hint="eastAsia" w:ascii="宋体" w:hAnsi="宋体" w:cs="宋体"/>
          <w:sz w:val="24"/>
          <w:szCs w:val="24"/>
          <w:highlight w:val="none"/>
          <w:u w:val="single"/>
        </w:rPr>
        <w:t>投标人（包括主办方及联合体成员）未被列入拖欠农民工工资失信联合惩戒对象名单(本项评审投标人无需提供资料，按资格评审时</w:t>
      </w:r>
      <w:r>
        <w:rPr>
          <w:rFonts w:hint="eastAsia" w:ascii="宋体" w:hAnsi="宋体" w:cs="宋体"/>
          <w:sz w:val="24"/>
          <w:szCs w:val="24"/>
          <w:highlight w:val="none"/>
          <w:u w:val="single"/>
          <w:lang w:eastAsia="zh-CN"/>
        </w:rPr>
        <w:t>广州交易集团有限公司（广州公共资源交易中心）</w:t>
      </w:r>
      <w:r>
        <w:rPr>
          <w:rFonts w:hint="eastAsia" w:ascii="宋体" w:hAnsi="宋体" w:cs="宋体"/>
          <w:sz w:val="24"/>
          <w:szCs w:val="24"/>
          <w:highlight w:val="none"/>
          <w:u w:val="single"/>
        </w:rPr>
        <w:t>交易系统比对的结果进行评审)。</w:t>
      </w:r>
    </w:p>
    <w:p w14:paraId="630A09A4">
      <w:pPr>
        <w:topLinePunct/>
        <w:adjustRightInd w:val="0"/>
        <w:snapToGrid w:val="0"/>
        <w:spacing w:line="360" w:lineRule="auto"/>
        <w:ind w:firstLine="424" w:firstLineChars="177"/>
        <w:rPr>
          <w:rFonts w:ascii="宋体" w:hAnsi="宋体" w:cs="宋体"/>
          <w:sz w:val="24"/>
          <w:szCs w:val="24"/>
          <w:highlight w:val="none"/>
        </w:rPr>
      </w:pPr>
      <w:r>
        <w:rPr>
          <w:rFonts w:hint="eastAsia" w:ascii="宋体" w:hAnsi="宋体" w:cs="宋体"/>
          <w:sz w:val="24"/>
          <w:szCs w:val="24"/>
          <w:highlight w:val="none"/>
        </w:rPr>
        <w:t>注：未在招标公告第三条单列的投标人资格要求条件，不作为资审不合格的依据。</w:t>
      </w:r>
    </w:p>
    <w:p w14:paraId="2536D4D2">
      <w:pPr>
        <w:spacing w:line="360" w:lineRule="auto"/>
        <w:outlineLvl w:val="1"/>
        <w:rPr>
          <w:rFonts w:ascii="宋体" w:hAnsi="宋体"/>
          <w:b/>
          <w:sz w:val="32"/>
          <w:szCs w:val="24"/>
          <w:highlight w:val="none"/>
        </w:rPr>
      </w:pPr>
      <w:bookmarkStart w:id="8" w:name="_Toc515033013"/>
      <w:r>
        <w:rPr>
          <w:rFonts w:hint="eastAsia" w:ascii="宋体" w:hAnsi="宋体"/>
          <w:b/>
          <w:sz w:val="32"/>
          <w:szCs w:val="24"/>
          <w:highlight w:val="none"/>
        </w:rPr>
        <w:t>4. 招标文件的获取</w:t>
      </w:r>
    </w:p>
    <w:p w14:paraId="50A956AD">
      <w:pPr>
        <w:spacing w:line="360" w:lineRule="auto"/>
        <w:ind w:firstLine="424" w:firstLineChars="177"/>
        <w:rPr>
          <w:rFonts w:ascii="宋体" w:hAnsi="宋体" w:cs="宋体"/>
          <w:sz w:val="24"/>
          <w:szCs w:val="24"/>
          <w:highlight w:val="none"/>
        </w:rPr>
      </w:pPr>
      <w:r>
        <w:rPr>
          <w:rFonts w:hint="eastAsia" w:ascii="宋体" w:hAnsi="宋体" w:cs="宋体"/>
          <w:sz w:val="24"/>
          <w:szCs w:val="24"/>
          <w:highlight w:val="none"/>
        </w:rPr>
        <w:t>4.1 本项目招标文件随招标公告一并在</w:t>
      </w:r>
      <w:r>
        <w:rPr>
          <w:rFonts w:hint="eastAsia" w:ascii="宋体" w:hAnsi="宋体" w:cs="宋体"/>
          <w:sz w:val="24"/>
          <w:szCs w:val="24"/>
          <w:highlight w:val="none"/>
          <w:u w:val="single"/>
          <w:lang w:eastAsia="zh-CN"/>
        </w:rPr>
        <w:t>广州交易集团有限公司（广州公共资源交易中心）</w:t>
      </w:r>
      <w:r>
        <w:rPr>
          <w:rFonts w:hint="eastAsia" w:ascii="宋体" w:hAnsi="宋体" w:cs="宋体"/>
          <w:sz w:val="24"/>
          <w:szCs w:val="24"/>
          <w:highlight w:val="none"/>
        </w:rPr>
        <w:t>网站发布。招标文件一经在</w:t>
      </w:r>
      <w:r>
        <w:rPr>
          <w:rFonts w:hint="eastAsia" w:ascii="宋体" w:hAnsi="宋体" w:cs="宋体"/>
          <w:sz w:val="24"/>
          <w:szCs w:val="24"/>
          <w:highlight w:val="none"/>
          <w:u w:val="single"/>
          <w:lang w:eastAsia="zh-CN"/>
        </w:rPr>
        <w:t>广州交易集团有限公司（广州公共资源交易中心）</w:t>
      </w:r>
      <w:r>
        <w:rPr>
          <w:rFonts w:hint="eastAsia" w:ascii="宋体" w:hAnsi="宋体" w:cs="宋体"/>
          <w:sz w:val="24"/>
          <w:szCs w:val="24"/>
          <w:highlight w:val="none"/>
        </w:rPr>
        <w:t>发布，视为发放给投标人，招标文件由投标人自行在</w:t>
      </w:r>
      <w:r>
        <w:rPr>
          <w:rFonts w:hint="eastAsia" w:ascii="宋体" w:hAnsi="宋体" w:cs="宋体"/>
          <w:sz w:val="24"/>
          <w:szCs w:val="24"/>
          <w:highlight w:val="none"/>
          <w:u w:val="single"/>
          <w:lang w:eastAsia="zh-CN"/>
        </w:rPr>
        <w:t>广州交易集团有限公司（广州公共资源交易中心）</w:t>
      </w:r>
      <w:r>
        <w:rPr>
          <w:rFonts w:hint="eastAsia" w:ascii="宋体" w:hAnsi="宋体" w:cs="宋体"/>
          <w:sz w:val="24"/>
          <w:szCs w:val="24"/>
          <w:highlight w:val="none"/>
          <w:u w:val="single"/>
        </w:rPr>
        <w:t>网</w:t>
      </w:r>
      <w:r>
        <w:rPr>
          <w:rFonts w:hint="eastAsia" w:ascii="宋体" w:hAnsi="宋体" w:cs="宋体"/>
          <w:sz w:val="24"/>
          <w:szCs w:val="24"/>
          <w:highlight w:val="none"/>
        </w:rPr>
        <w:t>（网址：http://www.gzggzy.cn）下载电子招标文件。</w:t>
      </w:r>
    </w:p>
    <w:p w14:paraId="76A35DFA">
      <w:pPr>
        <w:spacing w:line="360" w:lineRule="auto"/>
        <w:ind w:firstLine="424" w:firstLineChars="177"/>
        <w:rPr>
          <w:rFonts w:ascii="宋体" w:hAnsi="宋体" w:cs="宋体"/>
          <w:sz w:val="24"/>
          <w:szCs w:val="24"/>
          <w:highlight w:val="none"/>
        </w:rPr>
      </w:pPr>
      <w:r>
        <w:rPr>
          <w:rFonts w:hint="eastAsia" w:ascii="宋体" w:hAnsi="宋体" w:cs="宋体"/>
          <w:sz w:val="24"/>
          <w:szCs w:val="24"/>
          <w:highlight w:val="none"/>
        </w:rPr>
        <w:t>4.2本项目采用资格后审方式。</w:t>
      </w:r>
    </w:p>
    <w:p w14:paraId="549AD4BA">
      <w:pPr>
        <w:spacing w:line="360" w:lineRule="auto"/>
        <w:outlineLvl w:val="1"/>
        <w:rPr>
          <w:rFonts w:ascii="宋体" w:hAnsi="宋体"/>
          <w:b/>
          <w:sz w:val="32"/>
          <w:szCs w:val="24"/>
          <w:highlight w:val="none"/>
        </w:rPr>
      </w:pPr>
      <w:r>
        <w:rPr>
          <w:rFonts w:hint="eastAsia" w:ascii="宋体" w:hAnsi="宋体"/>
          <w:b/>
          <w:sz w:val="32"/>
          <w:szCs w:val="24"/>
          <w:highlight w:val="none"/>
        </w:rPr>
        <w:t>5. 发布招标公告、递交投标文件时间、开标时间</w:t>
      </w:r>
    </w:p>
    <w:p w14:paraId="7D9DD19E">
      <w:pPr>
        <w:spacing w:line="360" w:lineRule="auto"/>
        <w:ind w:firstLine="424" w:firstLineChars="177"/>
        <w:rPr>
          <w:rFonts w:ascii="宋体" w:hAnsi="宋体" w:cs="宋体"/>
          <w:sz w:val="24"/>
          <w:szCs w:val="24"/>
          <w:highlight w:val="none"/>
        </w:rPr>
      </w:pPr>
      <w:r>
        <w:rPr>
          <w:rFonts w:hint="eastAsia" w:ascii="宋体" w:hAnsi="宋体" w:cs="宋体"/>
          <w:sz w:val="24"/>
          <w:szCs w:val="24"/>
          <w:highlight w:val="none"/>
        </w:rPr>
        <w:t>5.1 发布招标公告时间（含本日）：</w:t>
      </w:r>
      <w:r>
        <w:rPr>
          <w:rFonts w:hint="eastAsia" w:ascii="宋体" w:hAnsi="宋体" w:cs="宋体"/>
          <w:sz w:val="24"/>
          <w:szCs w:val="24"/>
          <w:highlight w:val="none"/>
          <w:u w:val="single"/>
        </w:rPr>
        <w:t>202</w:t>
      </w:r>
      <w:r>
        <w:rPr>
          <w:rFonts w:hint="eastAsia" w:ascii="宋体" w:hAnsi="宋体" w:cs="宋体"/>
          <w:sz w:val="24"/>
          <w:szCs w:val="24"/>
          <w:highlight w:val="none"/>
          <w:u w:val="single"/>
          <w:lang w:val="en-US" w:eastAsia="zh-CN"/>
        </w:rPr>
        <w:t>4</w:t>
      </w:r>
      <w:r>
        <w:rPr>
          <w:rFonts w:hint="eastAsia" w:ascii="宋体" w:hAnsi="宋体" w:cs="宋体"/>
          <w:sz w:val="24"/>
          <w:szCs w:val="24"/>
          <w:highlight w:val="none"/>
        </w:rPr>
        <w:t>年</w:t>
      </w:r>
      <w:r>
        <w:rPr>
          <w:rFonts w:hint="eastAsia" w:ascii="宋体" w:hAnsi="宋体" w:cs="宋体"/>
          <w:sz w:val="24"/>
          <w:szCs w:val="24"/>
          <w:highlight w:val="none"/>
          <w:u w:val="single"/>
        </w:rPr>
        <w:t xml:space="preserve"> </w:t>
      </w:r>
      <w:r>
        <w:rPr>
          <w:rFonts w:ascii="宋体" w:hAnsi="宋体" w:cs="宋体"/>
          <w:sz w:val="24"/>
          <w:szCs w:val="24"/>
          <w:highlight w:val="none"/>
          <w:u w:val="single"/>
        </w:rPr>
        <w:t xml:space="preserve">  </w:t>
      </w:r>
      <w:r>
        <w:rPr>
          <w:rFonts w:hint="eastAsia" w:ascii="宋体" w:hAnsi="宋体" w:cs="宋体"/>
          <w:sz w:val="24"/>
          <w:szCs w:val="24"/>
          <w:highlight w:val="none"/>
          <w:u w:val="single"/>
        </w:rPr>
        <w:t xml:space="preserve"> </w:t>
      </w:r>
      <w:r>
        <w:rPr>
          <w:rFonts w:hint="eastAsia" w:ascii="宋体" w:hAnsi="宋体" w:cs="宋体"/>
          <w:sz w:val="24"/>
          <w:szCs w:val="24"/>
          <w:highlight w:val="none"/>
        </w:rPr>
        <w:t>月</w:t>
      </w:r>
      <w:r>
        <w:rPr>
          <w:rFonts w:hint="eastAsia" w:ascii="宋体" w:hAnsi="宋体" w:cs="宋体"/>
          <w:sz w:val="24"/>
          <w:szCs w:val="24"/>
          <w:highlight w:val="none"/>
          <w:u w:val="single"/>
        </w:rPr>
        <w:t xml:space="preserve"> </w:t>
      </w:r>
      <w:r>
        <w:rPr>
          <w:rFonts w:ascii="宋体" w:hAnsi="宋体" w:cs="宋体"/>
          <w:sz w:val="24"/>
          <w:szCs w:val="24"/>
          <w:highlight w:val="none"/>
          <w:u w:val="single"/>
        </w:rPr>
        <w:t xml:space="preserve">  </w:t>
      </w:r>
      <w:r>
        <w:rPr>
          <w:rFonts w:hint="eastAsia" w:ascii="宋体" w:hAnsi="宋体" w:cs="宋体"/>
          <w:sz w:val="24"/>
          <w:szCs w:val="24"/>
          <w:highlight w:val="none"/>
        </w:rPr>
        <w:t>日</w:t>
      </w:r>
      <w:r>
        <w:rPr>
          <w:rFonts w:hint="eastAsia" w:ascii="宋体" w:hAnsi="宋体" w:cs="宋体"/>
          <w:sz w:val="24"/>
          <w:szCs w:val="24"/>
          <w:highlight w:val="none"/>
          <w:u w:val="single"/>
        </w:rPr>
        <w:t xml:space="preserve"> </w:t>
      </w:r>
      <w:r>
        <w:rPr>
          <w:rFonts w:ascii="宋体" w:hAnsi="宋体" w:cs="宋体"/>
          <w:sz w:val="24"/>
          <w:szCs w:val="24"/>
          <w:highlight w:val="none"/>
          <w:u w:val="single"/>
        </w:rPr>
        <w:t xml:space="preserve">  </w:t>
      </w:r>
      <w:r>
        <w:rPr>
          <w:rFonts w:hint="eastAsia" w:ascii="宋体" w:hAnsi="宋体" w:cs="宋体"/>
          <w:sz w:val="24"/>
          <w:szCs w:val="24"/>
          <w:highlight w:val="none"/>
          <w:u w:val="single"/>
        </w:rPr>
        <w:t xml:space="preserve"> </w:t>
      </w:r>
      <w:r>
        <w:rPr>
          <w:rFonts w:hint="eastAsia" w:ascii="宋体" w:hAnsi="宋体" w:cs="宋体"/>
          <w:sz w:val="24"/>
          <w:szCs w:val="24"/>
          <w:highlight w:val="none"/>
        </w:rPr>
        <w:t>时</w:t>
      </w:r>
      <w:r>
        <w:rPr>
          <w:rFonts w:hint="eastAsia" w:ascii="宋体" w:hAnsi="宋体" w:cs="宋体"/>
          <w:sz w:val="24"/>
          <w:szCs w:val="24"/>
          <w:highlight w:val="none"/>
          <w:u w:val="single"/>
        </w:rPr>
        <w:t xml:space="preserve"> </w:t>
      </w:r>
      <w:r>
        <w:rPr>
          <w:rFonts w:ascii="宋体" w:hAnsi="宋体" w:cs="宋体"/>
          <w:sz w:val="24"/>
          <w:szCs w:val="24"/>
          <w:highlight w:val="none"/>
          <w:u w:val="single"/>
        </w:rPr>
        <w:t xml:space="preserve">  </w:t>
      </w:r>
      <w:r>
        <w:rPr>
          <w:rFonts w:hint="eastAsia" w:ascii="宋体" w:hAnsi="宋体" w:cs="宋体"/>
          <w:sz w:val="24"/>
          <w:szCs w:val="24"/>
          <w:highlight w:val="none"/>
          <w:u w:val="single"/>
        </w:rPr>
        <w:t xml:space="preserve"> </w:t>
      </w:r>
      <w:r>
        <w:rPr>
          <w:rFonts w:hint="eastAsia" w:ascii="宋体" w:hAnsi="宋体" w:cs="宋体"/>
          <w:sz w:val="24"/>
          <w:szCs w:val="24"/>
          <w:highlight w:val="none"/>
        </w:rPr>
        <w:t>分至</w:t>
      </w:r>
      <w:r>
        <w:rPr>
          <w:rFonts w:hint="eastAsia" w:ascii="宋体" w:hAnsi="宋体" w:cs="宋体"/>
          <w:sz w:val="24"/>
          <w:szCs w:val="24"/>
          <w:highlight w:val="none"/>
          <w:u w:val="single"/>
        </w:rPr>
        <w:t>202</w:t>
      </w:r>
      <w:r>
        <w:rPr>
          <w:rFonts w:hint="eastAsia" w:ascii="宋体" w:hAnsi="宋体" w:cs="宋体"/>
          <w:sz w:val="24"/>
          <w:szCs w:val="24"/>
          <w:highlight w:val="none"/>
          <w:u w:val="single"/>
          <w:lang w:val="en-US" w:eastAsia="zh-CN"/>
        </w:rPr>
        <w:t>4</w:t>
      </w:r>
      <w:r>
        <w:rPr>
          <w:rFonts w:hint="eastAsia" w:ascii="宋体" w:hAnsi="宋体" w:cs="宋体"/>
          <w:sz w:val="24"/>
          <w:szCs w:val="24"/>
          <w:highlight w:val="none"/>
        </w:rPr>
        <w:t>年</w:t>
      </w:r>
      <w:r>
        <w:rPr>
          <w:rFonts w:hint="eastAsia" w:ascii="宋体" w:hAnsi="宋体" w:cs="宋体"/>
          <w:sz w:val="24"/>
          <w:szCs w:val="24"/>
          <w:highlight w:val="none"/>
          <w:u w:val="single"/>
        </w:rPr>
        <w:t xml:space="preserve"> </w:t>
      </w:r>
      <w:r>
        <w:rPr>
          <w:rFonts w:ascii="宋体" w:hAnsi="宋体" w:cs="宋体"/>
          <w:sz w:val="24"/>
          <w:szCs w:val="24"/>
          <w:highlight w:val="none"/>
          <w:u w:val="single"/>
        </w:rPr>
        <w:t xml:space="preserve"> </w:t>
      </w:r>
      <w:r>
        <w:rPr>
          <w:rFonts w:hint="eastAsia" w:ascii="宋体" w:hAnsi="宋体" w:cs="宋体"/>
          <w:sz w:val="24"/>
          <w:szCs w:val="24"/>
          <w:highlight w:val="none"/>
          <w:u w:val="single"/>
        </w:rPr>
        <w:t xml:space="preserve"> </w:t>
      </w:r>
      <w:r>
        <w:rPr>
          <w:rFonts w:hint="eastAsia" w:ascii="宋体" w:hAnsi="宋体" w:cs="宋体"/>
          <w:sz w:val="24"/>
          <w:szCs w:val="24"/>
          <w:highlight w:val="none"/>
        </w:rPr>
        <w:t>月</w:t>
      </w:r>
      <w:r>
        <w:rPr>
          <w:rFonts w:hint="eastAsia" w:ascii="宋体" w:hAnsi="宋体" w:cs="宋体"/>
          <w:sz w:val="24"/>
          <w:szCs w:val="24"/>
          <w:highlight w:val="none"/>
          <w:u w:val="single"/>
        </w:rPr>
        <w:t xml:space="preserve"> </w:t>
      </w:r>
      <w:r>
        <w:rPr>
          <w:rFonts w:ascii="宋体" w:hAnsi="宋体" w:cs="宋体"/>
          <w:sz w:val="24"/>
          <w:szCs w:val="24"/>
          <w:highlight w:val="none"/>
          <w:u w:val="single"/>
        </w:rPr>
        <w:t xml:space="preserve"> </w:t>
      </w:r>
      <w:r>
        <w:rPr>
          <w:rFonts w:hint="eastAsia" w:ascii="宋体" w:hAnsi="宋体" w:cs="宋体"/>
          <w:sz w:val="24"/>
          <w:szCs w:val="24"/>
          <w:highlight w:val="none"/>
          <w:u w:val="single"/>
        </w:rPr>
        <w:t xml:space="preserve"> </w:t>
      </w:r>
      <w:r>
        <w:rPr>
          <w:rFonts w:hint="eastAsia" w:ascii="宋体" w:hAnsi="宋体" w:cs="宋体"/>
          <w:sz w:val="24"/>
          <w:szCs w:val="24"/>
          <w:highlight w:val="none"/>
        </w:rPr>
        <w:t>日</w:t>
      </w:r>
      <w:r>
        <w:rPr>
          <w:rFonts w:hint="eastAsia" w:ascii="宋体" w:hAnsi="宋体" w:cs="宋体"/>
          <w:sz w:val="24"/>
          <w:szCs w:val="24"/>
          <w:highlight w:val="none"/>
          <w:u w:val="single"/>
        </w:rPr>
        <w:t xml:space="preserve"> </w:t>
      </w:r>
      <w:r>
        <w:rPr>
          <w:rFonts w:ascii="宋体" w:hAnsi="宋体" w:cs="宋体"/>
          <w:sz w:val="24"/>
          <w:szCs w:val="24"/>
          <w:highlight w:val="none"/>
          <w:u w:val="single"/>
        </w:rPr>
        <w:t xml:space="preserve"> </w:t>
      </w:r>
      <w:r>
        <w:rPr>
          <w:rFonts w:hint="eastAsia" w:ascii="宋体" w:hAnsi="宋体" w:cs="宋体"/>
          <w:sz w:val="24"/>
          <w:szCs w:val="24"/>
          <w:highlight w:val="none"/>
          <w:u w:val="single"/>
        </w:rPr>
        <w:t xml:space="preserve"> </w:t>
      </w:r>
      <w:r>
        <w:rPr>
          <w:rFonts w:hint="eastAsia" w:ascii="宋体" w:hAnsi="宋体" w:cs="宋体"/>
          <w:sz w:val="24"/>
          <w:szCs w:val="24"/>
          <w:highlight w:val="none"/>
        </w:rPr>
        <w:t>时</w:t>
      </w:r>
      <w:r>
        <w:rPr>
          <w:rFonts w:hint="eastAsia" w:ascii="宋体" w:hAnsi="宋体" w:cs="宋体"/>
          <w:sz w:val="24"/>
          <w:szCs w:val="24"/>
          <w:highlight w:val="none"/>
          <w:u w:val="single"/>
        </w:rPr>
        <w:t xml:space="preserve"> </w:t>
      </w:r>
      <w:r>
        <w:rPr>
          <w:rFonts w:ascii="宋体" w:hAnsi="宋体" w:cs="宋体"/>
          <w:sz w:val="24"/>
          <w:szCs w:val="24"/>
          <w:highlight w:val="none"/>
          <w:u w:val="single"/>
        </w:rPr>
        <w:t xml:space="preserve"> </w:t>
      </w:r>
      <w:r>
        <w:rPr>
          <w:rFonts w:hint="eastAsia" w:ascii="宋体" w:hAnsi="宋体" w:cs="宋体"/>
          <w:sz w:val="24"/>
          <w:szCs w:val="24"/>
          <w:highlight w:val="none"/>
          <w:u w:val="single"/>
        </w:rPr>
        <w:t xml:space="preserve"> </w:t>
      </w:r>
      <w:r>
        <w:rPr>
          <w:rFonts w:hint="eastAsia" w:ascii="宋体" w:hAnsi="宋体" w:cs="宋体"/>
          <w:sz w:val="24"/>
          <w:szCs w:val="24"/>
          <w:highlight w:val="none"/>
        </w:rPr>
        <w:t>分。</w:t>
      </w:r>
    </w:p>
    <w:p w14:paraId="19CE00E2">
      <w:pPr>
        <w:spacing w:line="360" w:lineRule="auto"/>
        <w:ind w:firstLine="424" w:firstLineChars="177"/>
        <w:rPr>
          <w:rFonts w:ascii="宋体" w:hAnsi="宋体" w:cs="宋体"/>
          <w:sz w:val="24"/>
          <w:szCs w:val="24"/>
          <w:highlight w:val="none"/>
        </w:rPr>
      </w:pPr>
      <w:r>
        <w:rPr>
          <w:rFonts w:hint="eastAsia" w:ascii="宋体" w:hAnsi="宋体" w:cs="宋体"/>
          <w:sz w:val="24"/>
          <w:szCs w:val="24"/>
          <w:highlight w:val="none"/>
        </w:rPr>
        <w:t>注：发布招标公告的时间为招标公告发出之日起至递交投标文件截止时间止。</w:t>
      </w:r>
    </w:p>
    <w:p w14:paraId="311FD722">
      <w:pPr>
        <w:spacing w:line="360" w:lineRule="auto"/>
        <w:ind w:firstLine="424" w:firstLineChars="177"/>
        <w:rPr>
          <w:rFonts w:ascii="宋体" w:hAnsi="宋体" w:cs="宋体"/>
          <w:sz w:val="24"/>
          <w:szCs w:val="24"/>
          <w:highlight w:val="none"/>
        </w:rPr>
      </w:pPr>
      <w:r>
        <w:rPr>
          <w:rFonts w:hint="eastAsia" w:ascii="宋体" w:hAnsi="宋体" w:cs="宋体"/>
          <w:sz w:val="24"/>
          <w:szCs w:val="24"/>
          <w:highlight w:val="none"/>
        </w:rPr>
        <w:t>5.2 递交电子投标文件起始时间：</w:t>
      </w:r>
      <w:r>
        <w:rPr>
          <w:rFonts w:hint="eastAsia" w:ascii="宋体" w:hAnsi="宋体" w:cs="宋体"/>
          <w:sz w:val="24"/>
          <w:szCs w:val="24"/>
          <w:highlight w:val="none"/>
          <w:u w:val="single"/>
        </w:rPr>
        <w:t>202</w:t>
      </w:r>
      <w:r>
        <w:rPr>
          <w:rFonts w:hint="eastAsia" w:ascii="宋体" w:hAnsi="宋体" w:cs="宋体"/>
          <w:sz w:val="24"/>
          <w:szCs w:val="24"/>
          <w:highlight w:val="none"/>
          <w:u w:val="single"/>
          <w:lang w:val="en-US" w:eastAsia="zh-CN"/>
        </w:rPr>
        <w:t>4</w:t>
      </w:r>
      <w:r>
        <w:rPr>
          <w:rFonts w:hint="eastAsia" w:ascii="宋体" w:hAnsi="宋体" w:cs="宋体"/>
          <w:sz w:val="24"/>
          <w:szCs w:val="24"/>
          <w:highlight w:val="none"/>
        </w:rPr>
        <w:t>年</w:t>
      </w:r>
      <w:r>
        <w:rPr>
          <w:rFonts w:hint="eastAsia" w:ascii="宋体" w:hAnsi="宋体" w:cs="宋体"/>
          <w:sz w:val="24"/>
          <w:szCs w:val="24"/>
          <w:highlight w:val="none"/>
          <w:u w:val="single"/>
        </w:rPr>
        <w:t xml:space="preserve"> </w:t>
      </w:r>
      <w:r>
        <w:rPr>
          <w:rFonts w:ascii="宋体" w:hAnsi="宋体" w:cs="宋体"/>
          <w:sz w:val="24"/>
          <w:szCs w:val="24"/>
          <w:highlight w:val="none"/>
          <w:u w:val="single"/>
        </w:rPr>
        <w:t xml:space="preserve">  </w:t>
      </w:r>
      <w:r>
        <w:rPr>
          <w:rFonts w:hint="eastAsia" w:ascii="宋体" w:hAnsi="宋体" w:cs="宋体"/>
          <w:sz w:val="24"/>
          <w:szCs w:val="24"/>
          <w:highlight w:val="none"/>
          <w:u w:val="single"/>
        </w:rPr>
        <w:t xml:space="preserve"> </w:t>
      </w:r>
      <w:r>
        <w:rPr>
          <w:rFonts w:hint="eastAsia" w:ascii="宋体" w:hAnsi="宋体" w:cs="宋体"/>
          <w:sz w:val="24"/>
          <w:szCs w:val="24"/>
          <w:highlight w:val="none"/>
        </w:rPr>
        <w:t>月</w:t>
      </w:r>
      <w:r>
        <w:rPr>
          <w:rFonts w:hint="eastAsia" w:ascii="宋体" w:hAnsi="宋体" w:cs="宋体"/>
          <w:sz w:val="24"/>
          <w:szCs w:val="24"/>
          <w:highlight w:val="none"/>
          <w:u w:val="single"/>
        </w:rPr>
        <w:t xml:space="preserve"> </w:t>
      </w:r>
      <w:r>
        <w:rPr>
          <w:rFonts w:ascii="宋体" w:hAnsi="宋体" w:cs="宋体"/>
          <w:sz w:val="24"/>
          <w:szCs w:val="24"/>
          <w:highlight w:val="none"/>
          <w:u w:val="single"/>
        </w:rPr>
        <w:t xml:space="preserve">  </w:t>
      </w:r>
      <w:r>
        <w:rPr>
          <w:rFonts w:hint="eastAsia" w:ascii="宋体" w:hAnsi="宋体" w:cs="宋体"/>
          <w:sz w:val="24"/>
          <w:szCs w:val="24"/>
          <w:highlight w:val="none"/>
        </w:rPr>
        <w:t>日</w:t>
      </w:r>
      <w:r>
        <w:rPr>
          <w:rFonts w:hint="eastAsia" w:ascii="宋体" w:hAnsi="宋体" w:cs="宋体"/>
          <w:sz w:val="24"/>
          <w:szCs w:val="24"/>
          <w:highlight w:val="none"/>
          <w:u w:val="single"/>
        </w:rPr>
        <w:t xml:space="preserve"> </w:t>
      </w:r>
      <w:r>
        <w:rPr>
          <w:rFonts w:ascii="宋体" w:hAnsi="宋体" w:cs="宋体"/>
          <w:sz w:val="24"/>
          <w:szCs w:val="24"/>
          <w:highlight w:val="none"/>
          <w:u w:val="single"/>
        </w:rPr>
        <w:t xml:space="preserve">  </w:t>
      </w:r>
      <w:r>
        <w:rPr>
          <w:rFonts w:hint="eastAsia" w:ascii="宋体" w:hAnsi="宋体" w:cs="宋体"/>
          <w:sz w:val="24"/>
          <w:szCs w:val="24"/>
          <w:highlight w:val="none"/>
          <w:u w:val="single"/>
        </w:rPr>
        <w:t xml:space="preserve"> </w:t>
      </w:r>
      <w:r>
        <w:rPr>
          <w:rFonts w:hint="eastAsia" w:ascii="宋体" w:hAnsi="宋体" w:cs="宋体"/>
          <w:sz w:val="24"/>
          <w:szCs w:val="24"/>
          <w:highlight w:val="none"/>
        </w:rPr>
        <w:t>时</w:t>
      </w:r>
      <w:r>
        <w:rPr>
          <w:rFonts w:hint="eastAsia" w:ascii="宋体" w:hAnsi="宋体" w:cs="宋体"/>
          <w:sz w:val="24"/>
          <w:szCs w:val="24"/>
          <w:highlight w:val="none"/>
          <w:u w:val="single"/>
        </w:rPr>
        <w:t xml:space="preserve"> </w:t>
      </w:r>
      <w:r>
        <w:rPr>
          <w:rFonts w:ascii="宋体" w:hAnsi="宋体" w:cs="宋体"/>
          <w:sz w:val="24"/>
          <w:szCs w:val="24"/>
          <w:highlight w:val="none"/>
          <w:u w:val="single"/>
        </w:rPr>
        <w:t xml:space="preserve">  </w:t>
      </w:r>
      <w:r>
        <w:rPr>
          <w:rFonts w:hint="eastAsia" w:ascii="宋体" w:hAnsi="宋体" w:cs="宋体"/>
          <w:sz w:val="24"/>
          <w:szCs w:val="24"/>
          <w:highlight w:val="none"/>
          <w:u w:val="single"/>
        </w:rPr>
        <w:t xml:space="preserve"> </w:t>
      </w:r>
      <w:r>
        <w:rPr>
          <w:rFonts w:hint="eastAsia" w:ascii="宋体" w:hAnsi="宋体" w:cs="宋体"/>
          <w:sz w:val="24"/>
          <w:szCs w:val="24"/>
          <w:highlight w:val="none"/>
        </w:rPr>
        <w:t>分；</w:t>
      </w:r>
    </w:p>
    <w:p w14:paraId="13F0AE9B">
      <w:pPr>
        <w:spacing w:line="360" w:lineRule="auto"/>
        <w:ind w:firstLine="424" w:firstLineChars="177"/>
        <w:rPr>
          <w:rFonts w:ascii="宋体" w:hAnsi="宋体" w:cs="宋体"/>
          <w:sz w:val="24"/>
          <w:szCs w:val="24"/>
          <w:highlight w:val="none"/>
        </w:rPr>
      </w:pPr>
      <w:r>
        <w:rPr>
          <w:rFonts w:hint="eastAsia" w:ascii="宋体" w:hAnsi="宋体" w:cs="宋体"/>
          <w:sz w:val="24"/>
          <w:szCs w:val="24"/>
          <w:highlight w:val="none"/>
        </w:rPr>
        <w:t>截止时间：</w:t>
      </w:r>
      <w:r>
        <w:rPr>
          <w:rFonts w:hint="eastAsia" w:ascii="宋体" w:hAnsi="宋体" w:cs="宋体"/>
          <w:sz w:val="24"/>
          <w:szCs w:val="24"/>
          <w:highlight w:val="none"/>
          <w:u w:val="single"/>
        </w:rPr>
        <w:t>202</w:t>
      </w:r>
      <w:r>
        <w:rPr>
          <w:rFonts w:hint="eastAsia" w:ascii="宋体" w:hAnsi="宋体" w:cs="宋体"/>
          <w:sz w:val="24"/>
          <w:szCs w:val="24"/>
          <w:highlight w:val="none"/>
          <w:u w:val="single"/>
          <w:lang w:val="en-US" w:eastAsia="zh-CN"/>
        </w:rPr>
        <w:t>4</w:t>
      </w:r>
      <w:r>
        <w:rPr>
          <w:rFonts w:hint="eastAsia" w:ascii="宋体" w:hAnsi="宋体" w:cs="宋体"/>
          <w:sz w:val="24"/>
          <w:szCs w:val="24"/>
          <w:highlight w:val="none"/>
        </w:rPr>
        <w:t>年</w:t>
      </w:r>
      <w:r>
        <w:rPr>
          <w:rFonts w:hint="eastAsia" w:ascii="宋体" w:hAnsi="宋体" w:cs="宋体"/>
          <w:sz w:val="24"/>
          <w:szCs w:val="24"/>
          <w:highlight w:val="none"/>
          <w:u w:val="single"/>
        </w:rPr>
        <w:t xml:space="preserve"> </w:t>
      </w:r>
      <w:r>
        <w:rPr>
          <w:rFonts w:ascii="宋体" w:hAnsi="宋体" w:cs="宋体"/>
          <w:sz w:val="24"/>
          <w:szCs w:val="24"/>
          <w:highlight w:val="none"/>
          <w:u w:val="single"/>
        </w:rPr>
        <w:t xml:space="preserve">  </w:t>
      </w:r>
      <w:r>
        <w:rPr>
          <w:rFonts w:hint="eastAsia" w:ascii="宋体" w:hAnsi="宋体" w:cs="宋体"/>
          <w:sz w:val="24"/>
          <w:szCs w:val="24"/>
          <w:highlight w:val="none"/>
          <w:u w:val="single"/>
        </w:rPr>
        <w:t xml:space="preserve"> </w:t>
      </w:r>
      <w:r>
        <w:rPr>
          <w:rFonts w:hint="eastAsia" w:ascii="宋体" w:hAnsi="宋体" w:cs="宋体"/>
          <w:sz w:val="24"/>
          <w:szCs w:val="24"/>
          <w:highlight w:val="none"/>
        </w:rPr>
        <w:t>月</w:t>
      </w:r>
      <w:r>
        <w:rPr>
          <w:rFonts w:hint="eastAsia" w:ascii="宋体" w:hAnsi="宋体" w:cs="宋体"/>
          <w:sz w:val="24"/>
          <w:szCs w:val="24"/>
          <w:highlight w:val="none"/>
          <w:u w:val="single"/>
        </w:rPr>
        <w:t xml:space="preserve"> </w:t>
      </w:r>
      <w:r>
        <w:rPr>
          <w:rFonts w:ascii="宋体" w:hAnsi="宋体" w:cs="宋体"/>
          <w:sz w:val="24"/>
          <w:szCs w:val="24"/>
          <w:highlight w:val="none"/>
          <w:u w:val="single"/>
        </w:rPr>
        <w:t xml:space="preserve">  </w:t>
      </w:r>
      <w:r>
        <w:rPr>
          <w:rFonts w:hint="eastAsia" w:ascii="宋体" w:hAnsi="宋体" w:cs="宋体"/>
          <w:sz w:val="24"/>
          <w:szCs w:val="24"/>
          <w:highlight w:val="none"/>
        </w:rPr>
        <w:t>日</w:t>
      </w:r>
      <w:r>
        <w:rPr>
          <w:rFonts w:hint="eastAsia" w:ascii="宋体" w:hAnsi="宋体" w:cs="宋体"/>
          <w:sz w:val="24"/>
          <w:szCs w:val="24"/>
          <w:highlight w:val="none"/>
          <w:u w:val="single"/>
        </w:rPr>
        <w:t xml:space="preserve"> </w:t>
      </w:r>
      <w:r>
        <w:rPr>
          <w:rFonts w:ascii="宋体" w:hAnsi="宋体" w:cs="宋体"/>
          <w:sz w:val="24"/>
          <w:szCs w:val="24"/>
          <w:highlight w:val="none"/>
          <w:u w:val="single"/>
        </w:rPr>
        <w:t xml:space="preserve">  </w:t>
      </w:r>
      <w:r>
        <w:rPr>
          <w:rFonts w:hint="eastAsia" w:ascii="宋体" w:hAnsi="宋体" w:cs="宋体"/>
          <w:sz w:val="24"/>
          <w:szCs w:val="24"/>
          <w:highlight w:val="none"/>
          <w:u w:val="single"/>
        </w:rPr>
        <w:t xml:space="preserve"> </w:t>
      </w:r>
      <w:r>
        <w:rPr>
          <w:rFonts w:hint="eastAsia" w:ascii="宋体" w:hAnsi="宋体" w:cs="宋体"/>
          <w:sz w:val="24"/>
          <w:szCs w:val="24"/>
          <w:highlight w:val="none"/>
        </w:rPr>
        <w:t>时</w:t>
      </w:r>
      <w:r>
        <w:rPr>
          <w:rFonts w:hint="eastAsia" w:ascii="宋体" w:hAnsi="宋体" w:cs="宋体"/>
          <w:sz w:val="24"/>
          <w:szCs w:val="24"/>
          <w:highlight w:val="none"/>
          <w:u w:val="single"/>
        </w:rPr>
        <w:t xml:space="preserve"> </w:t>
      </w:r>
      <w:r>
        <w:rPr>
          <w:rFonts w:ascii="宋体" w:hAnsi="宋体" w:cs="宋体"/>
          <w:sz w:val="24"/>
          <w:szCs w:val="24"/>
          <w:highlight w:val="none"/>
          <w:u w:val="single"/>
        </w:rPr>
        <w:t xml:space="preserve">  </w:t>
      </w:r>
      <w:r>
        <w:rPr>
          <w:rFonts w:hint="eastAsia" w:ascii="宋体" w:hAnsi="宋体" w:cs="宋体"/>
          <w:sz w:val="24"/>
          <w:szCs w:val="24"/>
          <w:highlight w:val="none"/>
          <w:u w:val="single"/>
        </w:rPr>
        <w:t xml:space="preserve"> </w:t>
      </w:r>
      <w:r>
        <w:rPr>
          <w:rFonts w:hint="eastAsia" w:ascii="宋体" w:hAnsi="宋体" w:cs="宋体"/>
          <w:sz w:val="24"/>
          <w:szCs w:val="24"/>
          <w:highlight w:val="none"/>
        </w:rPr>
        <w:t>分。</w:t>
      </w:r>
    </w:p>
    <w:p w14:paraId="2CF6A6BB">
      <w:pPr>
        <w:spacing w:line="360" w:lineRule="auto"/>
        <w:ind w:firstLine="424" w:firstLineChars="177"/>
        <w:rPr>
          <w:rFonts w:ascii="宋体" w:hAnsi="宋体" w:cs="宋体"/>
          <w:sz w:val="24"/>
          <w:szCs w:val="24"/>
          <w:highlight w:val="none"/>
        </w:rPr>
      </w:pPr>
      <w:r>
        <w:rPr>
          <w:rFonts w:hint="eastAsia" w:ascii="宋体" w:hAnsi="宋体" w:cs="宋体"/>
          <w:sz w:val="24"/>
          <w:szCs w:val="24"/>
          <w:highlight w:val="none"/>
        </w:rPr>
        <w:t>投标人通过</w:t>
      </w:r>
      <w:r>
        <w:rPr>
          <w:rFonts w:hint="eastAsia" w:ascii="宋体" w:hAnsi="宋体" w:cs="宋体"/>
          <w:sz w:val="24"/>
          <w:szCs w:val="24"/>
          <w:highlight w:val="none"/>
          <w:u w:val="single"/>
          <w:lang w:eastAsia="zh-CN"/>
        </w:rPr>
        <w:t>广州交易集团有限公司（广州公共资源交易中心）</w:t>
      </w:r>
      <w:r>
        <w:rPr>
          <w:rFonts w:hint="eastAsia" w:ascii="宋体" w:hAnsi="宋体" w:cs="宋体"/>
          <w:sz w:val="24"/>
          <w:szCs w:val="24"/>
          <w:highlight w:val="none"/>
          <w:u w:val="single"/>
        </w:rPr>
        <w:t>网站（网址：http://www.gzggzy.cn/）</w:t>
      </w:r>
      <w:r>
        <w:rPr>
          <w:rFonts w:hint="eastAsia" w:ascii="宋体" w:hAnsi="宋体" w:cs="宋体"/>
          <w:sz w:val="24"/>
          <w:szCs w:val="24"/>
          <w:highlight w:val="none"/>
        </w:rPr>
        <w:t>交易平台递交电子投标文件。投标人应在递交投标文件截止时间前，登录</w:t>
      </w:r>
      <w:r>
        <w:rPr>
          <w:rFonts w:hint="eastAsia" w:ascii="宋体" w:hAnsi="宋体" w:cs="宋体"/>
          <w:sz w:val="24"/>
          <w:szCs w:val="24"/>
          <w:highlight w:val="none"/>
          <w:u w:val="single"/>
          <w:lang w:eastAsia="zh-CN"/>
        </w:rPr>
        <w:t>广州交易集团有限公司（广州公共资源交易中心）</w:t>
      </w:r>
      <w:r>
        <w:rPr>
          <w:rFonts w:hint="eastAsia" w:ascii="宋体" w:hAnsi="宋体" w:cs="宋体"/>
          <w:sz w:val="24"/>
          <w:szCs w:val="24"/>
          <w:highlight w:val="none"/>
          <w:u w:val="single"/>
        </w:rPr>
        <w:t>网站（网址：http://www.gzggzy.cn/）</w:t>
      </w:r>
      <w:r>
        <w:rPr>
          <w:rFonts w:hint="eastAsia" w:ascii="宋体" w:hAnsi="宋体" w:cs="宋体"/>
          <w:sz w:val="24"/>
          <w:szCs w:val="24"/>
          <w:highlight w:val="none"/>
        </w:rPr>
        <w:t>交易平台网站办理网上投标登记手续。按照交易平台关于全流程电子化项目的相关指南进行操作。详见：</w:t>
      </w:r>
      <w:r>
        <w:rPr>
          <w:rFonts w:hint="eastAsia" w:ascii="宋体" w:hAnsi="宋体" w:cs="宋体"/>
          <w:sz w:val="24"/>
          <w:szCs w:val="24"/>
          <w:highlight w:val="none"/>
          <w:u w:val="single"/>
          <w:lang w:eastAsia="zh-CN"/>
        </w:rPr>
        <w:t>广州交易集团有限公司（广州公共资源交易中心）</w:t>
      </w:r>
      <w:r>
        <w:rPr>
          <w:rFonts w:hint="eastAsia" w:ascii="宋体" w:hAnsi="宋体" w:cs="宋体"/>
          <w:sz w:val="24"/>
          <w:szCs w:val="24"/>
          <w:highlight w:val="none"/>
          <w:u w:val="single"/>
        </w:rPr>
        <w:t>最新指引</w:t>
      </w:r>
      <w:r>
        <w:rPr>
          <w:rFonts w:hint="eastAsia" w:ascii="宋体" w:hAnsi="宋体" w:cs="宋体"/>
          <w:sz w:val="24"/>
          <w:szCs w:val="24"/>
          <w:highlight w:val="none"/>
        </w:rPr>
        <w:t>。</w:t>
      </w:r>
    </w:p>
    <w:p w14:paraId="19A4B811">
      <w:pPr>
        <w:spacing w:line="360" w:lineRule="auto"/>
        <w:ind w:firstLine="424" w:firstLineChars="177"/>
        <w:rPr>
          <w:rFonts w:ascii="宋体" w:hAnsi="宋体" w:cs="宋体"/>
          <w:sz w:val="24"/>
          <w:szCs w:val="24"/>
          <w:highlight w:val="none"/>
        </w:rPr>
      </w:pPr>
      <w:r>
        <w:rPr>
          <w:rFonts w:hint="eastAsia" w:ascii="宋体" w:hAnsi="宋体" w:cs="宋体"/>
          <w:sz w:val="24"/>
          <w:szCs w:val="24"/>
          <w:highlight w:val="none"/>
        </w:rPr>
        <w:t>5.3递交备用投标文件电子光盘时间为</w:t>
      </w:r>
      <w:r>
        <w:rPr>
          <w:rFonts w:hint="eastAsia" w:ascii="宋体" w:hAnsi="宋体" w:cs="宋体"/>
          <w:sz w:val="24"/>
          <w:szCs w:val="24"/>
          <w:highlight w:val="none"/>
          <w:u w:val="single"/>
        </w:rPr>
        <w:t>202</w:t>
      </w:r>
      <w:r>
        <w:rPr>
          <w:rFonts w:hint="eastAsia" w:ascii="宋体" w:hAnsi="宋体" w:cs="宋体"/>
          <w:sz w:val="24"/>
          <w:szCs w:val="24"/>
          <w:highlight w:val="none"/>
          <w:u w:val="single"/>
          <w:lang w:val="en-US" w:eastAsia="zh-CN"/>
        </w:rPr>
        <w:t>4</w:t>
      </w:r>
      <w:r>
        <w:rPr>
          <w:rFonts w:hint="eastAsia" w:ascii="宋体" w:hAnsi="宋体" w:cs="宋体"/>
          <w:sz w:val="24"/>
          <w:szCs w:val="24"/>
          <w:highlight w:val="none"/>
        </w:rPr>
        <w:t>年</w:t>
      </w:r>
      <w:r>
        <w:rPr>
          <w:rFonts w:hint="eastAsia" w:ascii="宋体" w:hAnsi="宋体" w:cs="宋体"/>
          <w:sz w:val="24"/>
          <w:szCs w:val="24"/>
          <w:highlight w:val="none"/>
          <w:u w:val="single"/>
        </w:rPr>
        <w:t xml:space="preserve"> </w:t>
      </w:r>
      <w:r>
        <w:rPr>
          <w:rFonts w:ascii="宋体" w:hAnsi="宋体" w:cs="宋体"/>
          <w:sz w:val="24"/>
          <w:szCs w:val="24"/>
          <w:highlight w:val="none"/>
          <w:u w:val="single"/>
        </w:rPr>
        <w:t xml:space="preserve">  </w:t>
      </w:r>
      <w:r>
        <w:rPr>
          <w:rFonts w:hint="eastAsia" w:ascii="宋体" w:hAnsi="宋体" w:cs="宋体"/>
          <w:sz w:val="24"/>
          <w:szCs w:val="24"/>
          <w:highlight w:val="none"/>
          <w:u w:val="single"/>
        </w:rPr>
        <w:t xml:space="preserve"> </w:t>
      </w:r>
      <w:r>
        <w:rPr>
          <w:rFonts w:hint="eastAsia" w:ascii="宋体" w:hAnsi="宋体" w:cs="宋体"/>
          <w:sz w:val="24"/>
          <w:szCs w:val="24"/>
          <w:highlight w:val="none"/>
        </w:rPr>
        <w:t>月</w:t>
      </w:r>
      <w:r>
        <w:rPr>
          <w:rFonts w:hint="eastAsia" w:ascii="宋体" w:hAnsi="宋体" w:cs="宋体"/>
          <w:sz w:val="24"/>
          <w:szCs w:val="24"/>
          <w:highlight w:val="none"/>
          <w:u w:val="single"/>
        </w:rPr>
        <w:t xml:space="preserve"> </w:t>
      </w:r>
      <w:r>
        <w:rPr>
          <w:rFonts w:ascii="宋体" w:hAnsi="宋体" w:cs="宋体"/>
          <w:sz w:val="24"/>
          <w:szCs w:val="24"/>
          <w:highlight w:val="none"/>
          <w:u w:val="single"/>
        </w:rPr>
        <w:t xml:space="preserve">  </w:t>
      </w:r>
      <w:r>
        <w:rPr>
          <w:rFonts w:hint="eastAsia" w:ascii="宋体" w:hAnsi="宋体" w:cs="宋体"/>
          <w:sz w:val="24"/>
          <w:szCs w:val="24"/>
          <w:highlight w:val="none"/>
        </w:rPr>
        <w:t>日</w:t>
      </w:r>
      <w:r>
        <w:rPr>
          <w:rFonts w:hint="eastAsia" w:ascii="宋体" w:hAnsi="宋体" w:cs="宋体"/>
          <w:sz w:val="24"/>
          <w:szCs w:val="24"/>
          <w:highlight w:val="none"/>
          <w:u w:val="single"/>
        </w:rPr>
        <w:t xml:space="preserve"> </w:t>
      </w:r>
      <w:r>
        <w:rPr>
          <w:rFonts w:ascii="宋体" w:hAnsi="宋体" w:cs="宋体"/>
          <w:sz w:val="24"/>
          <w:szCs w:val="24"/>
          <w:highlight w:val="none"/>
          <w:u w:val="single"/>
        </w:rPr>
        <w:t xml:space="preserve">  </w:t>
      </w:r>
      <w:r>
        <w:rPr>
          <w:rFonts w:hint="eastAsia" w:ascii="宋体" w:hAnsi="宋体" w:cs="宋体"/>
          <w:sz w:val="24"/>
          <w:szCs w:val="24"/>
          <w:highlight w:val="none"/>
          <w:u w:val="single"/>
        </w:rPr>
        <w:t xml:space="preserve"> </w:t>
      </w:r>
      <w:r>
        <w:rPr>
          <w:rFonts w:hint="eastAsia" w:ascii="宋体" w:hAnsi="宋体" w:cs="宋体"/>
          <w:sz w:val="24"/>
          <w:szCs w:val="24"/>
          <w:highlight w:val="none"/>
        </w:rPr>
        <w:t>时</w:t>
      </w:r>
      <w:r>
        <w:rPr>
          <w:rFonts w:hint="eastAsia" w:ascii="宋体" w:hAnsi="宋体" w:cs="宋体"/>
          <w:sz w:val="24"/>
          <w:szCs w:val="24"/>
          <w:highlight w:val="none"/>
          <w:u w:val="single"/>
        </w:rPr>
        <w:t xml:space="preserve"> </w:t>
      </w:r>
      <w:r>
        <w:rPr>
          <w:rFonts w:ascii="宋体" w:hAnsi="宋体" w:cs="宋体"/>
          <w:sz w:val="24"/>
          <w:szCs w:val="24"/>
          <w:highlight w:val="none"/>
          <w:u w:val="single"/>
        </w:rPr>
        <w:t xml:space="preserve">  </w:t>
      </w:r>
      <w:r>
        <w:rPr>
          <w:rFonts w:hint="eastAsia" w:ascii="宋体" w:hAnsi="宋体" w:cs="宋体"/>
          <w:sz w:val="24"/>
          <w:szCs w:val="24"/>
          <w:highlight w:val="none"/>
          <w:u w:val="single"/>
        </w:rPr>
        <w:t xml:space="preserve"> </w:t>
      </w:r>
      <w:r>
        <w:rPr>
          <w:rFonts w:hint="eastAsia" w:ascii="宋体" w:hAnsi="宋体" w:cs="宋体"/>
          <w:sz w:val="24"/>
          <w:szCs w:val="24"/>
          <w:highlight w:val="none"/>
        </w:rPr>
        <w:t>分至</w:t>
      </w:r>
      <w:r>
        <w:rPr>
          <w:rFonts w:hint="eastAsia" w:ascii="宋体" w:hAnsi="宋体" w:cs="宋体"/>
          <w:sz w:val="24"/>
          <w:szCs w:val="24"/>
          <w:highlight w:val="none"/>
          <w:u w:val="single"/>
        </w:rPr>
        <w:t>202</w:t>
      </w:r>
      <w:r>
        <w:rPr>
          <w:rFonts w:hint="eastAsia" w:ascii="宋体" w:hAnsi="宋体" w:cs="宋体"/>
          <w:sz w:val="24"/>
          <w:szCs w:val="24"/>
          <w:highlight w:val="none"/>
          <w:u w:val="single"/>
          <w:lang w:val="en-US" w:eastAsia="zh-CN"/>
        </w:rPr>
        <w:t>4</w:t>
      </w:r>
      <w:r>
        <w:rPr>
          <w:rFonts w:hint="eastAsia" w:ascii="宋体" w:hAnsi="宋体" w:cs="宋体"/>
          <w:sz w:val="24"/>
          <w:szCs w:val="24"/>
          <w:highlight w:val="none"/>
        </w:rPr>
        <w:t>年</w:t>
      </w:r>
      <w:r>
        <w:rPr>
          <w:rFonts w:hint="eastAsia" w:ascii="宋体" w:hAnsi="宋体" w:cs="宋体"/>
          <w:sz w:val="24"/>
          <w:szCs w:val="24"/>
          <w:highlight w:val="none"/>
          <w:u w:val="single"/>
        </w:rPr>
        <w:t xml:space="preserve"> </w:t>
      </w:r>
      <w:r>
        <w:rPr>
          <w:rFonts w:ascii="宋体" w:hAnsi="宋体" w:cs="宋体"/>
          <w:sz w:val="24"/>
          <w:szCs w:val="24"/>
          <w:highlight w:val="none"/>
          <w:u w:val="single"/>
        </w:rPr>
        <w:t xml:space="preserve">  </w:t>
      </w:r>
      <w:r>
        <w:rPr>
          <w:rFonts w:hint="eastAsia" w:ascii="宋体" w:hAnsi="宋体" w:cs="宋体"/>
          <w:sz w:val="24"/>
          <w:szCs w:val="24"/>
          <w:highlight w:val="none"/>
          <w:u w:val="single"/>
        </w:rPr>
        <w:t xml:space="preserve"> </w:t>
      </w:r>
      <w:r>
        <w:rPr>
          <w:rFonts w:hint="eastAsia" w:ascii="宋体" w:hAnsi="宋体" w:cs="宋体"/>
          <w:sz w:val="24"/>
          <w:szCs w:val="24"/>
          <w:highlight w:val="none"/>
        </w:rPr>
        <w:t>月</w:t>
      </w:r>
      <w:r>
        <w:rPr>
          <w:rFonts w:hint="eastAsia" w:ascii="宋体" w:hAnsi="宋体" w:cs="宋体"/>
          <w:sz w:val="24"/>
          <w:szCs w:val="24"/>
          <w:highlight w:val="none"/>
          <w:u w:val="single"/>
        </w:rPr>
        <w:t xml:space="preserve"> </w:t>
      </w:r>
      <w:r>
        <w:rPr>
          <w:rFonts w:ascii="宋体" w:hAnsi="宋体" w:cs="宋体"/>
          <w:sz w:val="24"/>
          <w:szCs w:val="24"/>
          <w:highlight w:val="none"/>
          <w:u w:val="single"/>
        </w:rPr>
        <w:t xml:space="preserve">  </w:t>
      </w:r>
      <w:r>
        <w:rPr>
          <w:rFonts w:hint="eastAsia" w:ascii="宋体" w:hAnsi="宋体" w:cs="宋体"/>
          <w:sz w:val="24"/>
          <w:szCs w:val="24"/>
          <w:highlight w:val="none"/>
        </w:rPr>
        <w:t>日</w:t>
      </w:r>
      <w:r>
        <w:rPr>
          <w:rFonts w:hint="eastAsia" w:ascii="宋体" w:hAnsi="宋体" w:cs="宋体"/>
          <w:sz w:val="24"/>
          <w:szCs w:val="24"/>
          <w:highlight w:val="none"/>
          <w:u w:val="single"/>
        </w:rPr>
        <w:t xml:space="preserve"> </w:t>
      </w:r>
      <w:r>
        <w:rPr>
          <w:rFonts w:ascii="宋体" w:hAnsi="宋体" w:cs="宋体"/>
          <w:sz w:val="24"/>
          <w:szCs w:val="24"/>
          <w:highlight w:val="none"/>
          <w:u w:val="single"/>
        </w:rPr>
        <w:t xml:space="preserve">  </w:t>
      </w:r>
      <w:r>
        <w:rPr>
          <w:rFonts w:hint="eastAsia" w:ascii="宋体" w:hAnsi="宋体" w:cs="宋体"/>
          <w:sz w:val="24"/>
          <w:szCs w:val="24"/>
          <w:highlight w:val="none"/>
          <w:u w:val="single"/>
        </w:rPr>
        <w:t xml:space="preserve"> </w:t>
      </w:r>
      <w:r>
        <w:rPr>
          <w:rFonts w:hint="eastAsia" w:ascii="宋体" w:hAnsi="宋体" w:cs="宋体"/>
          <w:sz w:val="24"/>
          <w:szCs w:val="24"/>
          <w:highlight w:val="none"/>
        </w:rPr>
        <w:t>时</w:t>
      </w:r>
      <w:r>
        <w:rPr>
          <w:rFonts w:hint="eastAsia" w:ascii="宋体" w:hAnsi="宋体" w:cs="宋体"/>
          <w:sz w:val="24"/>
          <w:szCs w:val="24"/>
          <w:highlight w:val="none"/>
          <w:u w:val="single"/>
        </w:rPr>
        <w:t xml:space="preserve"> </w:t>
      </w:r>
      <w:r>
        <w:rPr>
          <w:rFonts w:ascii="宋体" w:hAnsi="宋体" w:cs="宋体"/>
          <w:sz w:val="24"/>
          <w:szCs w:val="24"/>
          <w:highlight w:val="none"/>
          <w:u w:val="single"/>
        </w:rPr>
        <w:t xml:space="preserve">  </w:t>
      </w:r>
      <w:r>
        <w:rPr>
          <w:rFonts w:hint="eastAsia" w:ascii="宋体" w:hAnsi="宋体" w:cs="宋体"/>
          <w:sz w:val="24"/>
          <w:szCs w:val="24"/>
          <w:highlight w:val="none"/>
          <w:u w:val="single"/>
        </w:rPr>
        <w:t xml:space="preserve"> </w:t>
      </w:r>
      <w:r>
        <w:rPr>
          <w:rFonts w:hint="eastAsia" w:ascii="宋体" w:hAnsi="宋体" w:cs="宋体"/>
          <w:sz w:val="24"/>
          <w:szCs w:val="24"/>
          <w:highlight w:val="none"/>
        </w:rPr>
        <w:t>分；地点：</w:t>
      </w:r>
      <w:r>
        <w:rPr>
          <w:rFonts w:hint="eastAsia" w:ascii="宋体" w:hAnsi="宋体" w:cs="宋体"/>
          <w:sz w:val="24"/>
          <w:szCs w:val="24"/>
          <w:highlight w:val="none"/>
          <w:lang w:eastAsia="zh-CN"/>
        </w:rPr>
        <w:t>广州交易集团有限公司（广州公共资源交易中心）</w:t>
      </w:r>
      <w:r>
        <w:rPr>
          <w:rFonts w:hint="eastAsia" w:ascii="宋体" w:hAnsi="宋体" w:cs="宋体"/>
          <w:sz w:val="24"/>
          <w:szCs w:val="24"/>
          <w:highlight w:val="none"/>
        </w:rPr>
        <w:t>黄埔交易部</w:t>
      </w:r>
      <w:r>
        <w:rPr>
          <w:rFonts w:hint="eastAsia" w:ascii="宋体" w:hAnsi="宋体" w:cs="宋体"/>
          <w:sz w:val="24"/>
          <w:szCs w:val="24"/>
          <w:highlight w:val="none"/>
          <w:u w:val="single"/>
        </w:rPr>
        <w:t>指定</w:t>
      </w:r>
      <w:r>
        <w:rPr>
          <w:rFonts w:hint="eastAsia" w:ascii="宋体" w:hAnsi="宋体" w:cs="宋体"/>
          <w:sz w:val="24"/>
          <w:szCs w:val="24"/>
          <w:highlight w:val="none"/>
        </w:rPr>
        <w:t>开标室。（电子光盘需按规定封装。投标人在将数据刻录到光盘之后，投标前自行检查文件是否可以读取）。</w:t>
      </w:r>
    </w:p>
    <w:p w14:paraId="568DD550">
      <w:pPr>
        <w:spacing w:line="360" w:lineRule="auto"/>
        <w:ind w:firstLine="424" w:firstLineChars="177"/>
        <w:rPr>
          <w:rFonts w:ascii="宋体" w:hAnsi="宋体" w:cs="宋体"/>
          <w:sz w:val="24"/>
          <w:szCs w:val="24"/>
          <w:highlight w:val="none"/>
        </w:rPr>
      </w:pPr>
      <w:r>
        <w:rPr>
          <w:rFonts w:hint="eastAsia" w:ascii="宋体" w:hAnsi="宋体" w:cs="宋体"/>
          <w:sz w:val="24"/>
          <w:szCs w:val="24"/>
          <w:highlight w:val="none"/>
        </w:rPr>
        <w:t>5.4逾期送达的投标文件，电子招标投标交易平台将予以拒收。逾期未上传成功的电子投标文件，招标人拒绝接收。逾期或未在指定地点递交投标文件光盘的,招标人拒绝接收其投标文件光盘。</w:t>
      </w:r>
    </w:p>
    <w:p w14:paraId="3D810D20">
      <w:pPr>
        <w:spacing w:line="360" w:lineRule="auto"/>
        <w:ind w:firstLine="424" w:firstLineChars="177"/>
        <w:rPr>
          <w:rFonts w:ascii="宋体" w:hAnsi="宋体" w:cs="宋体"/>
          <w:sz w:val="24"/>
          <w:szCs w:val="24"/>
          <w:highlight w:val="none"/>
        </w:rPr>
      </w:pPr>
      <w:r>
        <w:rPr>
          <w:rFonts w:hint="eastAsia" w:ascii="宋体" w:hAnsi="宋体" w:cs="宋体"/>
          <w:sz w:val="24"/>
          <w:szCs w:val="24"/>
          <w:highlight w:val="none"/>
        </w:rPr>
        <w:t>5.5 开标时间：</w:t>
      </w:r>
      <w:r>
        <w:rPr>
          <w:rFonts w:hint="eastAsia" w:ascii="宋体" w:hAnsi="宋体" w:cs="宋体"/>
          <w:sz w:val="24"/>
          <w:szCs w:val="24"/>
          <w:highlight w:val="none"/>
          <w:u w:val="single"/>
        </w:rPr>
        <w:t>202</w:t>
      </w:r>
      <w:r>
        <w:rPr>
          <w:rFonts w:hint="eastAsia" w:ascii="宋体" w:hAnsi="宋体" w:cs="宋体"/>
          <w:sz w:val="24"/>
          <w:szCs w:val="24"/>
          <w:highlight w:val="none"/>
          <w:u w:val="single"/>
          <w:lang w:val="en-US" w:eastAsia="zh-CN"/>
        </w:rPr>
        <w:t>4</w:t>
      </w:r>
      <w:r>
        <w:rPr>
          <w:rFonts w:hint="eastAsia" w:ascii="宋体" w:hAnsi="宋体" w:cs="宋体"/>
          <w:sz w:val="24"/>
          <w:szCs w:val="24"/>
          <w:highlight w:val="none"/>
        </w:rPr>
        <w:t>年</w:t>
      </w:r>
      <w:r>
        <w:rPr>
          <w:rFonts w:hint="eastAsia" w:ascii="宋体" w:hAnsi="宋体" w:cs="宋体"/>
          <w:sz w:val="24"/>
          <w:szCs w:val="24"/>
          <w:highlight w:val="none"/>
          <w:u w:val="single"/>
        </w:rPr>
        <w:t xml:space="preserve"> </w:t>
      </w:r>
      <w:r>
        <w:rPr>
          <w:rFonts w:ascii="宋体" w:hAnsi="宋体" w:cs="宋体"/>
          <w:sz w:val="24"/>
          <w:szCs w:val="24"/>
          <w:highlight w:val="none"/>
          <w:u w:val="single"/>
        </w:rPr>
        <w:t xml:space="preserve">  </w:t>
      </w:r>
      <w:r>
        <w:rPr>
          <w:rFonts w:hint="eastAsia" w:ascii="宋体" w:hAnsi="宋体" w:cs="宋体"/>
          <w:sz w:val="24"/>
          <w:szCs w:val="24"/>
          <w:highlight w:val="none"/>
          <w:u w:val="single"/>
        </w:rPr>
        <w:t xml:space="preserve"> </w:t>
      </w:r>
      <w:r>
        <w:rPr>
          <w:rFonts w:hint="eastAsia" w:ascii="宋体" w:hAnsi="宋体" w:cs="宋体"/>
          <w:sz w:val="24"/>
          <w:szCs w:val="24"/>
          <w:highlight w:val="none"/>
        </w:rPr>
        <w:t>月</w:t>
      </w:r>
      <w:r>
        <w:rPr>
          <w:rFonts w:hint="eastAsia" w:ascii="宋体" w:hAnsi="宋体" w:cs="宋体"/>
          <w:sz w:val="24"/>
          <w:szCs w:val="24"/>
          <w:highlight w:val="none"/>
          <w:u w:val="single"/>
        </w:rPr>
        <w:t xml:space="preserve"> </w:t>
      </w:r>
      <w:r>
        <w:rPr>
          <w:rFonts w:ascii="宋体" w:hAnsi="宋体" w:cs="宋体"/>
          <w:sz w:val="24"/>
          <w:szCs w:val="24"/>
          <w:highlight w:val="none"/>
          <w:u w:val="single"/>
        </w:rPr>
        <w:t xml:space="preserve">  </w:t>
      </w:r>
      <w:r>
        <w:rPr>
          <w:rFonts w:hint="eastAsia" w:ascii="宋体" w:hAnsi="宋体" w:cs="宋体"/>
          <w:sz w:val="24"/>
          <w:szCs w:val="24"/>
          <w:highlight w:val="none"/>
        </w:rPr>
        <w:t>日</w:t>
      </w:r>
      <w:r>
        <w:rPr>
          <w:rFonts w:hint="eastAsia" w:ascii="宋体" w:hAnsi="宋体" w:cs="宋体"/>
          <w:sz w:val="24"/>
          <w:szCs w:val="24"/>
          <w:highlight w:val="none"/>
          <w:u w:val="single"/>
        </w:rPr>
        <w:t xml:space="preserve"> </w:t>
      </w:r>
      <w:r>
        <w:rPr>
          <w:rFonts w:ascii="宋体" w:hAnsi="宋体" w:cs="宋体"/>
          <w:sz w:val="24"/>
          <w:szCs w:val="24"/>
          <w:highlight w:val="none"/>
          <w:u w:val="single"/>
        </w:rPr>
        <w:t xml:space="preserve">  </w:t>
      </w:r>
      <w:r>
        <w:rPr>
          <w:rFonts w:hint="eastAsia" w:ascii="宋体" w:hAnsi="宋体" w:cs="宋体"/>
          <w:sz w:val="24"/>
          <w:szCs w:val="24"/>
          <w:highlight w:val="none"/>
          <w:u w:val="single"/>
        </w:rPr>
        <w:t xml:space="preserve"> </w:t>
      </w:r>
      <w:r>
        <w:rPr>
          <w:rFonts w:hint="eastAsia" w:ascii="宋体" w:hAnsi="宋体" w:cs="宋体"/>
          <w:sz w:val="24"/>
          <w:szCs w:val="24"/>
          <w:highlight w:val="none"/>
        </w:rPr>
        <w:t>时</w:t>
      </w:r>
      <w:r>
        <w:rPr>
          <w:rFonts w:hint="eastAsia" w:ascii="宋体" w:hAnsi="宋体" w:cs="宋体"/>
          <w:sz w:val="24"/>
          <w:szCs w:val="24"/>
          <w:highlight w:val="none"/>
          <w:u w:val="single"/>
        </w:rPr>
        <w:t xml:space="preserve"> </w:t>
      </w:r>
      <w:r>
        <w:rPr>
          <w:rFonts w:ascii="宋体" w:hAnsi="宋体" w:cs="宋体"/>
          <w:sz w:val="24"/>
          <w:szCs w:val="24"/>
          <w:highlight w:val="none"/>
          <w:u w:val="single"/>
        </w:rPr>
        <w:t xml:space="preserve">  </w:t>
      </w:r>
      <w:r>
        <w:rPr>
          <w:rFonts w:hint="eastAsia" w:ascii="宋体" w:hAnsi="宋体" w:cs="宋体"/>
          <w:sz w:val="24"/>
          <w:szCs w:val="24"/>
          <w:highlight w:val="none"/>
          <w:u w:val="single"/>
        </w:rPr>
        <w:t xml:space="preserve"> </w:t>
      </w:r>
      <w:r>
        <w:rPr>
          <w:rFonts w:hint="eastAsia" w:ascii="宋体" w:hAnsi="宋体" w:cs="宋体"/>
          <w:sz w:val="24"/>
          <w:szCs w:val="24"/>
          <w:highlight w:val="none"/>
        </w:rPr>
        <w:t>分。地点：</w:t>
      </w:r>
      <w:r>
        <w:rPr>
          <w:rFonts w:hint="eastAsia" w:ascii="宋体" w:hAnsi="宋体" w:cs="宋体"/>
          <w:sz w:val="24"/>
          <w:szCs w:val="24"/>
          <w:highlight w:val="none"/>
          <w:lang w:eastAsia="zh-CN"/>
        </w:rPr>
        <w:t>广州交易集团有限公司（广州公共资源交易中心）</w:t>
      </w:r>
      <w:r>
        <w:rPr>
          <w:rFonts w:hint="eastAsia" w:ascii="宋体" w:hAnsi="宋体" w:cs="宋体"/>
          <w:sz w:val="24"/>
          <w:szCs w:val="24"/>
          <w:highlight w:val="none"/>
        </w:rPr>
        <w:t>黄埔交易部</w:t>
      </w:r>
      <w:r>
        <w:rPr>
          <w:rFonts w:hint="eastAsia" w:ascii="宋体" w:hAnsi="宋体" w:cs="宋体"/>
          <w:sz w:val="24"/>
          <w:szCs w:val="24"/>
          <w:highlight w:val="none"/>
          <w:u w:val="single"/>
        </w:rPr>
        <w:t>指定</w:t>
      </w:r>
      <w:r>
        <w:rPr>
          <w:rFonts w:hint="eastAsia" w:ascii="宋体" w:hAnsi="宋体" w:cs="宋体"/>
          <w:sz w:val="24"/>
          <w:szCs w:val="24"/>
          <w:highlight w:val="none"/>
        </w:rPr>
        <w:t>开标室。</w:t>
      </w:r>
    </w:p>
    <w:bookmarkEnd w:id="8"/>
    <w:p w14:paraId="765FFEEB">
      <w:pPr>
        <w:spacing w:line="360" w:lineRule="auto"/>
        <w:outlineLvl w:val="1"/>
        <w:rPr>
          <w:rFonts w:ascii="宋体" w:hAnsi="宋体"/>
          <w:b/>
          <w:sz w:val="32"/>
          <w:szCs w:val="24"/>
          <w:highlight w:val="none"/>
        </w:rPr>
      </w:pPr>
      <w:bookmarkStart w:id="9" w:name="_Toc515033015"/>
      <w:r>
        <w:rPr>
          <w:rFonts w:hint="eastAsia" w:ascii="宋体" w:hAnsi="宋体"/>
          <w:b/>
          <w:sz w:val="32"/>
          <w:szCs w:val="24"/>
          <w:highlight w:val="none"/>
        </w:rPr>
        <w:t>6. 发布公告的媒介</w:t>
      </w:r>
      <w:bookmarkEnd w:id="9"/>
    </w:p>
    <w:p w14:paraId="4FD1CC19">
      <w:pPr>
        <w:spacing w:line="360" w:lineRule="auto"/>
        <w:ind w:firstLine="480" w:firstLineChars="200"/>
        <w:rPr>
          <w:rFonts w:ascii="宋体" w:hAnsi="宋体" w:cs="楷体"/>
          <w:sz w:val="24"/>
          <w:szCs w:val="24"/>
          <w:highlight w:val="none"/>
        </w:rPr>
      </w:pPr>
      <w:bookmarkStart w:id="10" w:name="_Toc515033016"/>
      <w:r>
        <w:rPr>
          <w:rFonts w:hint="eastAsia" w:ascii="宋体" w:hAnsi="宋体" w:cs="楷体"/>
          <w:sz w:val="24"/>
          <w:szCs w:val="24"/>
          <w:highlight w:val="none"/>
          <w:u w:val="single"/>
        </w:rPr>
        <w:t>本次招标公告同时在</w:t>
      </w:r>
      <w:r>
        <w:rPr>
          <w:rFonts w:hint="eastAsia" w:ascii="宋体" w:hAnsi="宋体" w:cs="楷体"/>
          <w:sz w:val="24"/>
          <w:szCs w:val="24"/>
          <w:highlight w:val="none"/>
          <w:u w:val="single"/>
          <w:lang w:eastAsia="zh-CN"/>
        </w:rPr>
        <w:t>广州交易集团有限公司（广州公共资源交易中心）</w:t>
      </w:r>
      <w:r>
        <w:rPr>
          <w:rFonts w:hint="eastAsia" w:ascii="宋体" w:hAnsi="宋体" w:cs="楷体"/>
          <w:sz w:val="24"/>
          <w:szCs w:val="24"/>
          <w:highlight w:val="none"/>
          <w:u w:val="single"/>
        </w:rPr>
        <w:t>网（网址：http://www.gzggzy.cn）、广东省招标投标监管网（网址：http://zbtb.gd.gov.cn/）和中国招标投标公共服务平台（网址：http://www.cebpubservice.com/）发布，本公告的修改、补充，在</w:t>
      </w:r>
      <w:r>
        <w:rPr>
          <w:rFonts w:hint="eastAsia" w:ascii="宋体" w:hAnsi="宋体" w:cs="楷体"/>
          <w:sz w:val="24"/>
          <w:szCs w:val="24"/>
          <w:highlight w:val="none"/>
          <w:u w:val="single"/>
          <w:lang w:eastAsia="zh-CN"/>
        </w:rPr>
        <w:t>广州交易集团有限公司（广州公共资源交易中心）</w:t>
      </w:r>
      <w:r>
        <w:rPr>
          <w:rFonts w:hint="eastAsia" w:ascii="宋体" w:hAnsi="宋体" w:cs="楷体"/>
          <w:sz w:val="24"/>
          <w:szCs w:val="24"/>
          <w:highlight w:val="none"/>
          <w:u w:val="single"/>
        </w:rPr>
        <w:t>网站上发布。</w:t>
      </w:r>
    </w:p>
    <w:p w14:paraId="4F7BBE3B">
      <w:pPr>
        <w:spacing w:line="360" w:lineRule="auto"/>
        <w:outlineLvl w:val="1"/>
        <w:rPr>
          <w:rFonts w:ascii="宋体" w:hAnsi="宋体"/>
          <w:b/>
          <w:sz w:val="32"/>
          <w:szCs w:val="24"/>
          <w:highlight w:val="none"/>
        </w:rPr>
      </w:pPr>
      <w:r>
        <w:rPr>
          <w:rFonts w:hint="eastAsia" w:ascii="宋体" w:hAnsi="宋体"/>
          <w:b/>
          <w:sz w:val="32"/>
          <w:szCs w:val="24"/>
          <w:highlight w:val="none"/>
        </w:rPr>
        <w:t>7. 联系方式</w:t>
      </w:r>
      <w:bookmarkEnd w:id="10"/>
    </w:p>
    <w:p w14:paraId="044165AF">
      <w:pPr>
        <w:spacing w:line="360" w:lineRule="auto"/>
        <w:ind w:left="424" w:leftChars="202" w:right="480"/>
        <w:rPr>
          <w:rFonts w:ascii="宋体" w:hAnsi="宋体" w:cs="宋体"/>
          <w:sz w:val="24"/>
          <w:szCs w:val="24"/>
          <w:highlight w:val="none"/>
          <w:u w:val="single"/>
        </w:rPr>
      </w:pPr>
      <w:r>
        <w:rPr>
          <w:rFonts w:hint="eastAsia" w:ascii="宋体" w:hAnsi="宋体" w:cs="宋体"/>
          <w:sz w:val="24"/>
          <w:szCs w:val="24"/>
          <w:highlight w:val="none"/>
        </w:rPr>
        <w:t>招 标 人：</w:t>
      </w:r>
      <w:r>
        <w:rPr>
          <w:rFonts w:hint="eastAsia" w:ascii="宋体" w:hAnsi="宋体" w:cs="宋体"/>
          <w:sz w:val="24"/>
          <w:szCs w:val="24"/>
          <w:highlight w:val="none"/>
          <w:u w:val="single"/>
        </w:rPr>
        <w:t>广州开发区财政投资建设项目管理中心</w:t>
      </w:r>
    </w:p>
    <w:p w14:paraId="418F7511">
      <w:pPr>
        <w:spacing w:line="360" w:lineRule="auto"/>
        <w:ind w:left="424" w:leftChars="202" w:right="480"/>
        <w:rPr>
          <w:rFonts w:ascii="宋体" w:hAnsi="宋体" w:cs="宋体"/>
          <w:sz w:val="24"/>
          <w:szCs w:val="24"/>
          <w:highlight w:val="none"/>
          <w:u w:val="single"/>
        </w:rPr>
      </w:pPr>
      <w:r>
        <w:rPr>
          <w:rFonts w:hint="eastAsia" w:ascii="宋体" w:hAnsi="宋体" w:cs="宋体"/>
          <w:sz w:val="24"/>
          <w:szCs w:val="24"/>
          <w:highlight w:val="none"/>
        </w:rPr>
        <w:t>地    址：</w:t>
      </w:r>
      <w:r>
        <w:rPr>
          <w:rFonts w:hint="eastAsia" w:ascii="宋体" w:hAnsi="宋体"/>
          <w:sz w:val="24"/>
          <w:szCs w:val="24"/>
          <w:highlight w:val="none"/>
          <w:u w:val="single"/>
        </w:rPr>
        <w:t>广州科学城揽月路80号创意大厦B2附三楼</w:t>
      </w:r>
    </w:p>
    <w:p w14:paraId="0CCA1A5C">
      <w:pPr>
        <w:topLinePunct/>
        <w:spacing w:line="360" w:lineRule="auto"/>
        <w:ind w:left="424" w:leftChars="202" w:right="720"/>
        <w:jc w:val="left"/>
        <w:rPr>
          <w:rFonts w:ascii="宋体" w:hAnsi="宋体" w:cs="宋体"/>
          <w:sz w:val="24"/>
          <w:szCs w:val="24"/>
          <w:highlight w:val="none"/>
        </w:rPr>
      </w:pPr>
      <w:r>
        <w:rPr>
          <w:rFonts w:hint="eastAsia" w:ascii="宋体" w:hAnsi="宋体" w:cs="宋体"/>
          <w:sz w:val="24"/>
          <w:szCs w:val="24"/>
          <w:highlight w:val="none"/>
        </w:rPr>
        <w:t>联 系 人：</w:t>
      </w:r>
      <w:r>
        <w:rPr>
          <w:rFonts w:hint="eastAsia" w:ascii="宋体" w:hAnsi="宋体" w:cs="宋体"/>
          <w:sz w:val="24"/>
          <w:szCs w:val="24"/>
          <w:highlight w:val="none"/>
          <w:u w:val="single"/>
          <w:lang w:val="en-US" w:eastAsia="zh-CN"/>
        </w:rPr>
        <w:t>涂</w:t>
      </w:r>
      <w:r>
        <w:rPr>
          <w:rFonts w:hint="eastAsia" w:ascii="宋体" w:hAnsi="宋体" w:cs="宋体"/>
          <w:sz w:val="24"/>
          <w:szCs w:val="24"/>
          <w:highlight w:val="none"/>
          <w:u w:val="single"/>
        </w:rPr>
        <w:t>工</w:t>
      </w:r>
      <w:r>
        <w:rPr>
          <w:rFonts w:hint="eastAsia" w:ascii="宋体" w:hAnsi="宋体" w:cs="宋体"/>
          <w:sz w:val="24"/>
          <w:szCs w:val="24"/>
          <w:highlight w:val="none"/>
        </w:rPr>
        <w:t xml:space="preserve">           电    话：</w:t>
      </w:r>
      <w:r>
        <w:rPr>
          <w:rFonts w:hint="eastAsia" w:ascii="宋体" w:hAnsi="宋体" w:cs="宋体"/>
          <w:sz w:val="24"/>
          <w:szCs w:val="24"/>
          <w:highlight w:val="none"/>
          <w:u w:val="single"/>
        </w:rPr>
        <w:t>020-28068836</w:t>
      </w:r>
    </w:p>
    <w:p w14:paraId="2C932772">
      <w:pPr>
        <w:pStyle w:val="26"/>
        <w:spacing w:line="360" w:lineRule="auto"/>
        <w:ind w:left="424" w:leftChars="202" w:firstLine="0" w:firstLineChars="0"/>
        <w:rPr>
          <w:rFonts w:ascii="宋体" w:hAnsi="宋体"/>
          <w:highlight w:val="none"/>
        </w:rPr>
      </w:pPr>
    </w:p>
    <w:p w14:paraId="59A629BB">
      <w:pPr>
        <w:spacing w:line="360" w:lineRule="auto"/>
        <w:ind w:left="7525" w:leftChars="202" w:right="360" w:hanging="7101" w:hangingChars="2959"/>
        <w:jc w:val="left"/>
        <w:rPr>
          <w:rFonts w:hint="default" w:ascii="宋体" w:hAnsi="宋体" w:eastAsia="宋体" w:cs="宋体"/>
          <w:sz w:val="24"/>
          <w:szCs w:val="24"/>
          <w:highlight w:val="none"/>
          <w:u w:val="single"/>
          <w:lang w:val="en-US" w:eastAsia="zh-CN"/>
        </w:rPr>
      </w:pPr>
      <w:r>
        <w:rPr>
          <w:rFonts w:hint="eastAsia" w:ascii="宋体" w:hAnsi="宋体" w:cs="宋体"/>
          <w:sz w:val="24"/>
          <w:szCs w:val="24"/>
          <w:highlight w:val="none"/>
        </w:rPr>
        <w:t>招标代理机构：</w:t>
      </w:r>
      <w:r>
        <w:rPr>
          <w:rFonts w:hint="eastAsia" w:ascii="宋体" w:hAnsi="宋体" w:cs="宋体"/>
          <w:sz w:val="24"/>
          <w:szCs w:val="24"/>
          <w:highlight w:val="none"/>
          <w:u w:val="single"/>
          <w:lang w:val="en-US" w:eastAsia="zh-CN"/>
        </w:rPr>
        <w:t>广州珠江监理咨询集团有限公司</w:t>
      </w:r>
    </w:p>
    <w:p w14:paraId="6205BD67">
      <w:pPr>
        <w:spacing w:line="360" w:lineRule="auto"/>
        <w:ind w:left="7525" w:leftChars="202" w:right="360" w:hanging="7101" w:hangingChars="2959"/>
        <w:jc w:val="left"/>
        <w:rPr>
          <w:rFonts w:ascii="宋体" w:hAnsi="宋体" w:cs="宋体"/>
          <w:sz w:val="24"/>
          <w:szCs w:val="24"/>
          <w:highlight w:val="none"/>
          <w:u w:val="single"/>
        </w:rPr>
      </w:pPr>
      <w:r>
        <w:rPr>
          <w:rFonts w:hint="eastAsia" w:ascii="宋体" w:hAnsi="宋体" w:cs="宋体"/>
          <w:sz w:val="24"/>
          <w:szCs w:val="24"/>
          <w:highlight w:val="none"/>
        </w:rPr>
        <w:t>地    址：</w:t>
      </w:r>
      <w:r>
        <w:rPr>
          <w:rFonts w:hint="eastAsia" w:ascii="宋体" w:hAnsi="宋体" w:cs="宋体"/>
          <w:sz w:val="24"/>
          <w:szCs w:val="24"/>
          <w:highlight w:val="none"/>
          <w:u w:val="single"/>
          <w:lang w:eastAsia="zh-CN"/>
        </w:rPr>
        <w:t>广州市越秀区永泰路50号之一首层</w:t>
      </w:r>
    </w:p>
    <w:p w14:paraId="21F4BA69">
      <w:pPr>
        <w:spacing w:line="360" w:lineRule="auto"/>
        <w:ind w:left="7525" w:leftChars="202" w:right="360" w:hanging="7101" w:hangingChars="2959"/>
        <w:jc w:val="left"/>
        <w:rPr>
          <w:rFonts w:hint="default" w:ascii="宋体" w:hAnsi="宋体" w:eastAsia="宋体" w:cs="宋体"/>
          <w:sz w:val="24"/>
          <w:szCs w:val="24"/>
          <w:highlight w:val="none"/>
          <w:lang w:val="en-US" w:eastAsia="zh-CN"/>
        </w:rPr>
      </w:pPr>
      <w:r>
        <w:rPr>
          <w:rFonts w:hint="eastAsia" w:ascii="宋体" w:hAnsi="宋体" w:cs="宋体"/>
          <w:sz w:val="24"/>
          <w:szCs w:val="24"/>
          <w:highlight w:val="none"/>
        </w:rPr>
        <w:t>联 系 人：</w:t>
      </w:r>
      <w:r>
        <w:rPr>
          <w:rFonts w:hint="eastAsia" w:ascii="宋体" w:hAnsi="宋体" w:cs="宋体"/>
          <w:sz w:val="24"/>
          <w:szCs w:val="24"/>
          <w:highlight w:val="none"/>
          <w:u w:val="single"/>
          <w:lang w:val="en-US" w:eastAsia="zh-CN"/>
        </w:rPr>
        <w:t>穆</w:t>
      </w:r>
      <w:r>
        <w:rPr>
          <w:rFonts w:hint="eastAsia" w:ascii="宋体" w:hAnsi="宋体" w:cs="宋体"/>
          <w:sz w:val="24"/>
          <w:szCs w:val="24"/>
          <w:highlight w:val="none"/>
          <w:u w:val="single"/>
        </w:rPr>
        <w:t>工</w:t>
      </w:r>
      <w:r>
        <w:rPr>
          <w:rFonts w:hint="eastAsia" w:ascii="宋体" w:hAnsi="宋体" w:cs="宋体"/>
          <w:sz w:val="24"/>
          <w:szCs w:val="24"/>
          <w:highlight w:val="none"/>
        </w:rPr>
        <w:t xml:space="preserve">           电    话：</w:t>
      </w:r>
      <w:r>
        <w:rPr>
          <w:rFonts w:hint="eastAsia" w:ascii="宋体" w:hAnsi="宋体" w:cs="宋体"/>
          <w:sz w:val="24"/>
          <w:szCs w:val="24"/>
          <w:highlight w:val="none"/>
          <w:u w:val="single"/>
          <w:lang w:val="en-US" w:eastAsia="zh-CN"/>
        </w:rPr>
        <w:t>020-83492175</w:t>
      </w:r>
    </w:p>
    <w:p w14:paraId="1E46D027">
      <w:pPr>
        <w:spacing w:line="360" w:lineRule="auto"/>
        <w:ind w:left="7525" w:leftChars="202" w:right="360" w:hanging="7101" w:hangingChars="2959"/>
        <w:jc w:val="left"/>
        <w:rPr>
          <w:rFonts w:ascii="宋体" w:hAnsi="宋体" w:cs="宋体"/>
          <w:sz w:val="24"/>
          <w:szCs w:val="24"/>
          <w:highlight w:val="none"/>
          <w:u w:val="single"/>
        </w:rPr>
      </w:pPr>
    </w:p>
    <w:p w14:paraId="0886D10D">
      <w:pPr>
        <w:spacing w:line="360" w:lineRule="auto"/>
        <w:ind w:left="424" w:leftChars="202" w:right="480"/>
        <w:rPr>
          <w:rFonts w:ascii="宋体" w:hAnsi="宋体" w:cs="宋体"/>
          <w:sz w:val="24"/>
          <w:szCs w:val="24"/>
          <w:highlight w:val="none"/>
          <w:u w:val="single"/>
        </w:rPr>
      </w:pPr>
      <w:r>
        <w:rPr>
          <w:rFonts w:hint="eastAsia" w:ascii="宋体" w:hAnsi="宋体" w:cs="宋体"/>
          <w:sz w:val="24"/>
          <w:szCs w:val="24"/>
          <w:highlight w:val="none"/>
        </w:rPr>
        <w:t>异议受理部门：</w:t>
      </w:r>
      <w:r>
        <w:rPr>
          <w:rFonts w:hint="eastAsia" w:ascii="宋体" w:hAnsi="宋体"/>
          <w:sz w:val="24"/>
          <w:szCs w:val="24"/>
          <w:highlight w:val="none"/>
          <w:u w:val="single"/>
        </w:rPr>
        <w:t>广州开发区财政投资建设项目管理中心</w:t>
      </w:r>
    </w:p>
    <w:p w14:paraId="179AA807">
      <w:pPr>
        <w:spacing w:line="360" w:lineRule="auto"/>
        <w:ind w:left="424" w:leftChars="202" w:right="480"/>
        <w:rPr>
          <w:rFonts w:ascii="宋体" w:hAnsi="宋体" w:cs="宋体"/>
          <w:sz w:val="24"/>
          <w:szCs w:val="24"/>
          <w:highlight w:val="none"/>
          <w:u w:val="single"/>
        </w:rPr>
      </w:pPr>
      <w:r>
        <w:rPr>
          <w:rFonts w:hint="eastAsia" w:ascii="宋体" w:hAnsi="宋体" w:cs="宋体"/>
          <w:sz w:val="24"/>
          <w:szCs w:val="24"/>
          <w:highlight w:val="none"/>
        </w:rPr>
        <w:t>地    址：</w:t>
      </w:r>
      <w:r>
        <w:rPr>
          <w:rFonts w:hint="eastAsia" w:ascii="宋体" w:hAnsi="宋体"/>
          <w:sz w:val="24"/>
          <w:szCs w:val="24"/>
          <w:highlight w:val="none"/>
          <w:u w:val="single"/>
        </w:rPr>
        <w:t>广州科学城揽月路80号创意大厦B2附三楼</w:t>
      </w:r>
    </w:p>
    <w:p w14:paraId="593D7ADD">
      <w:pPr>
        <w:topLinePunct/>
        <w:spacing w:line="360" w:lineRule="auto"/>
        <w:ind w:left="424" w:leftChars="202" w:right="720"/>
        <w:jc w:val="left"/>
        <w:rPr>
          <w:rFonts w:ascii="宋体" w:hAnsi="宋体" w:cs="宋体"/>
          <w:sz w:val="24"/>
          <w:szCs w:val="24"/>
          <w:highlight w:val="none"/>
        </w:rPr>
      </w:pPr>
      <w:r>
        <w:rPr>
          <w:rFonts w:hint="eastAsia" w:ascii="宋体" w:hAnsi="宋体" w:cs="宋体"/>
          <w:sz w:val="24"/>
          <w:szCs w:val="24"/>
          <w:highlight w:val="none"/>
        </w:rPr>
        <w:t>联 系 人：</w:t>
      </w:r>
      <w:r>
        <w:rPr>
          <w:rFonts w:hint="eastAsia" w:ascii="宋体" w:hAnsi="宋体" w:cs="宋体"/>
          <w:sz w:val="24"/>
          <w:szCs w:val="24"/>
          <w:highlight w:val="none"/>
          <w:u w:val="single"/>
          <w:lang w:val="en-US" w:eastAsia="zh-CN"/>
        </w:rPr>
        <w:t>涂</w:t>
      </w:r>
      <w:r>
        <w:rPr>
          <w:rFonts w:hint="eastAsia" w:ascii="宋体" w:hAnsi="宋体" w:cs="宋体"/>
          <w:sz w:val="24"/>
          <w:szCs w:val="24"/>
          <w:highlight w:val="none"/>
          <w:u w:val="single"/>
        </w:rPr>
        <w:t>工</w:t>
      </w:r>
      <w:r>
        <w:rPr>
          <w:rFonts w:hint="eastAsia" w:ascii="宋体" w:hAnsi="宋体" w:cs="宋体"/>
          <w:sz w:val="24"/>
          <w:szCs w:val="24"/>
          <w:highlight w:val="none"/>
        </w:rPr>
        <w:t xml:space="preserve">           电    话：</w:t>
      </w:r>
      <w:r>
        <w:rPr>
          <w:rFonts w:hint="eastAsia" w:ascii="宋体" w:hAnsi="宋体" w:cs="宋体"/>
          <w:sz w:val="24"/>
          <w:szCs w:val="24"/>
          <w:highlight w:val="none"/>
          <w:u w:val="single"/>
        </w:rPr>
        <w:t>020-28068836</w:t>
      </w:r>
    </w:p>
    <w:p w14:paraId="41062F32">
      <w:pPr>
        <w:pStyle w:val="26"/>
        <w:spacing w:line="360" w:lineRule="auto"/>
        <w:ind w:left="0" w:leftChars="0" w:firstLine="0" w:firstLineChars="0"/>
        <w:rPr>
          <w:rFonts w:ascii="宋体" w:hAnsi="宋体"/>
          <w:highlight w:val="none"/>
        </w:rPr>
      </w:pPr>
    </w:p>
    <w:p w14:paraId="3342A67A">
      <w:pPr>
        <w:topLinePunct/>
        <w:spacing w:line="360" w:lineRule="auto"/>
        <w:ind w:left="2310" w:leftChars="1100" w:right="-59" w:rightChars="-28"/>
        <w:jc w:val="left"/>
        <w:rPr>
          <w:rFonts w:ascii="宋体" w:hAnsi="宋体"/>
          <w:sz w:val="24"/>
          <w:szCs w:val="24"/>
          <w:highlight w:val="none"/>
        </w:rPr>
      </w:pPr>
      <w:r>
        <w:rPr>
          <w:rFonts w:hint="eastAsia" w:ascii="宋体" w:hAnsi="宋体" w:cs="宋体"/>
          <w:sz w:val="24"/>
          <w:szCs w:val="24"/>
          <w:highlight w:val="none"/>
        </w:rPr>
        <w:t xml:space="preserve">招 </w:t>
      </w:r>
      <w:r>
        <w:rPr>
          <w:rFonts w:ascii="宋体" w:hAnsi="宋体" w:cs="宋体"/>
          <w:sz w:val="24"/>
          <w:szCs w:val="24"/>
          <w:highlight w:val="none"/>
        </w:rPr>
        <w:t xml:space="preserve">   </w:t>
      </w:r>
      <w:r>
        <w:rPr>
          <w:rFonts w:hint="eastAsia" w:ascii="宋体" w:hAnsi="宋体" w:cs="宋体"/>
          <w:sz w:val="24"/>
          <w:szCs w:val="24"/>
          <w:highlight w:val="none"/>
        </w:rPr>
        <w:t xml:space="preserve">标 </w:t>
      </w:r>
      <w:r>
        <w:rPr>
          <w:rFonts w:ascii="宋体" w:hAnsi="宋体" w:cs="宋体"/>
          <w:sz w:val="24"/>
          <w:szCs w:val="24"/>
          <w:highlight w:val="none"/>
        </w:rPr>
        <w:t xml:space="preserve"> </w:t>
      </w:r>
      <w:r>
        <w:rPr>
          <w:rFonts w:hint="eastAsia" w:ascii="宋体" w:hAnsi="宋体" w:cs="宋体"/>
          <w:sz w:val="24"/>
          <w:szCs w:val="24"/>
          <w:highlight w:val="none"/>
        </w:rPr>
        <w:t>人：</w:t>
      </w:r>
      <w:r>
        <w:rPr>
          <w:rFonts w:hint="eastAsia" w:ascii="宋体" w:hAnsi="宋体"/>
          <w:sz w:val="24"/>
          <w:szCs w:val="24"/>
          <w:highlight w:val="none"/>
        </w:rPr>
        <w:t>广州开发区财政投资建设项目管理中心</w:t>
      </w:r>
    </w:p>
    <w:p w14:paraId="2D396581">
      <w:pPr>
        <w:topLinePunct/>
        <w:spacing w:line="360" w:lineRule="auto"/>
        <w:ind w:left="2310" w:leftChars="1100" w:right="-59" w:rightChars="-28"/>
        <w:jc w:val="left"/>
        <w:rPr>
          <w:rFonts w:hint="eastAsia" w:ascii="宋体" w:hAnsi="宋体" w:eastAsia="宋体"/>
          <w:sz w:val="24"/>
          <w:szCs w:val="24"/>
          <w:highlight w:val="none"/>
          <w:lang w:eastAsia="zh-CN"/>
        </w:rPr>
      </w:pPr>
      <w:r>
        <w:rPr>
          <w:rFonts w:hint="eastAsia" w:ascii="宋体" w:hAnsi="宋体" w:cs="宋体"/>
          <w:sz w:val="24"/>
          <w:szCs w:val="24"/>
          <w:highlight w:val="none"/>
        </w:rPr>
        <w:t>招标代理机构：</w:t>
      </w:r>
      <w:r>
        <w:rPr>
          <w:rFonts w:hint="eastAsia" w:ascii="宋体" w:hAnsi="宋体"/>
          <w:sz w:val="24"/>
          <w:szCs w:val="24"/>
          <w:highlight w:val="none"/>
          <w:lang w:eastAsia="zh-CN"/>
        </w:rPr>
        <w:t>广州珠江监理咨询集团有限公司</w:t>
      </w:r>
    </w:p>
    <w:p w14:paraId="64A2F5AD">
      <w:pPr>
        <w:spacing w:line="360" w:lineRule="auto"/>
        <w:ind w:left="2310" w:leftChars="1100" w:right="-59" w:rightChars="-28"/>
        <w:jc w:val="left"/>
        <w:rPr>
          <w:highlight w:val="none"/>
        </w:rPr>
      </w:pPr>
      <w:r>
        <w:rPr>
          <w:rFonts w:hint="eastAsia" w:ascii="宋体" w:hAnsi="宋体"/>
          <w:sz w:val="24"/>
          <w:szCs w:val="24"/>
          <w:highlight w:val="none"/>
        </w:rPr>
        <w:t xml:space="preserve">日  </w:t>
      </w:r>
      <w:r>
        <w:rPr>
          <w:rFonts w:ascii="宋体" w:hAnsi="宋体"/>
          <w:sz w:val="24"/>
          <w:szCs w:val="24"/>
          <w:highlight w:val="none"/>
        </w:rPr>
        <w:t xml:space="preserve">      </w:t>
      </w:r>
      <w:r>
        <w:rPr>
          <w:rFonts w:hint="eastAsia" w:ascii="宋体" w:hAnsi="宋体"/>
          <w:sz w:val="24"/>
          <w:szCs w:val="24"/>
          <w:highlight w:val="none"/>
        </w:rPr>
        <w:t>期：202</w:t>
      </w:r>
      <w:r>
        <w:rPr>
          <w:rFonts w:hint="eastAsia" w:ascii="宋体" w:hAnsi="宋体"/>
          <w:sz w:val="24"/>
          <w:szCs w:val="24"/>
          <w:highlight w:val="none"/>
          <w:lang w:val="en-US" w:eastAsia="zh-CN"/>
        </w:rPr>
        <w:t>4</w:t>
      </w:r>
      <w:r>
        <w:rPr>
          <w:rFonts w:hint="eastAsia" w:ascii="宋体" w:hAnsi="宋体"/>
          <w:sz w:val="24"/>
          <w:szCs w:val="24"/>
          <w:highlight w:val="none"/>
        </w:rPr>
        <w:t>年</w:t>
      </w:r>
      <w:r>
        <w:rPr>
          <w:rFonts w:ascii="宋体" w:hAnsi="宋体"/>
          <w:sz w:val="24"/>
          <w:szCs w:val="24"/>
          <w:highlight w:val="none"/>
        </w:rPr>
        <w:t xml:space="preserve">   </w:t>
      </w:r>
      <w:r>
        <w:rPr>
          <w:rFonts w:hint="eastAsia" w:ascii="宋体" w:hAnsi="宋体"/>
          <w:sz w:val="24"/>
          <w:szCs w:val="24"/>
          <w:highlight w:val="none"/>
        </w:rPr>
        <w:t>月</w:t>
      </w:r>
      <w:r>
        <w:rPr>
          <w:rFonts w:ascii="宋体" w:hAnsi="宋体"/>
          <w:sz w:val="24"/>
          <w:szCs w:val="24"/>
          <w:highlight w:val="none"/>
        </w:rPr>
        <w:t xml:space="preserve">  </w:t>
      </w:r>
      <w:r>
        <w:rPr>
          <w:rFonts w:hint="eastAsia" w:ascii="宋体" w:hAnsi="宋体"/>
          <w:sz w:val="24"/>
          <w:szCs w:val="24"/>
          <w:highlight w:val="none"/>
        </w:rPr>
        <w:t>日</w:t>
      </w:r>
    </w:p>
    <w:p w14:paraId="0E0F5DBD">
      <w:pPr>
        <w:pStyle w:val="2"/>
        <w:rPr>
          <w:highlight w:val="none"/>
        </w:rPr>
      </w:pPr>
    </w:p>
    <w:p w14:paraId="36327D13">
      <w:pPr>
        <w:spacing w:line="360" w:lineRule="auto"/>
        <w:ind w:left="3986" w:firstLine="421"/>
        <w:rPr>
          <w:rFonts w:ascii="宋体" w:hAnsi="宋体"/>
          <w:highlight w:val="none"/>
        </w:rPr>
      </w:pPr>
    </w:p>
    <w:p w14:paraId="045284F1">
      <w:pPr>
        <w:pStyle w:val="3"/>
        <w:rPr>
          <w:sz w:val="28"/>
          <w:highlight w:val="none"/>
        </w:rPr>
      </w:pPr>
      <w:bookmarkStart w:id="11" w:name="_Toc511557031"/>
      <w:bookmarkStart w:id="12" w:name="_Toc514099629"/>
      <w:r>
        <w:rPr>
          <w:rFonts w:hint="eastAsia"/>
          <w:highlight w:val="none"/>
        </w:rPr>
        <w:br w:type="page"/>
      </w:r>
      <w:bookmarkEnd w:id="5"/>
      <w:bookmarkEnd w:id="11"/>
      <w:bookmarkEnd w:id="12"/>
      <w:bookmarkStart w:id="13" w:name="_Toc144974481"/>
      <w:bookmarkEnd w:id="13"/>
      <w:bookmarkStart w:id="14" w:name="_Toc369531498"/>
      <w:bookmarkEnd w:id="14"/>
      <w:bookmarkStart w:id="15" w:name="_Toc152045513"/>
      <w:bookmarkEnd w:id="15"/>
      <w:bookmarkStart w:id="16" w:name="_Toc247527535"/>
      <w:bookmarkEnd w:id="16"/>
      <w:bookmarkStart w:id="17" w:name="_Toc300834927"/>
      <w:bookmarkEnd w:id="17"/>
      <w:bookmarkStart w:id="18" w:name="_Toc30817"/>
      <w:bookmarkEnd w:id="18"/>
      <w:bookmarkStart w:id="19" w:name="_Toc247513935"/>
      <w:bookmarkEnd w:id="19"/>
      <w:bookmarkStart w:id="20" w:name="_Toc152042289"/>
      <w:bookmarkEnd w:id="20"/>
      <w:bookmarkStart w:id="21" w:name="_Toc361508562"/>
      <w:bookmarkEnd w:id="21"/>
      <w:bookmarkStart w:id="22" w:name="_Toc247527536"/>
      <w:bookmarkEnd w:id="22"/>
      <w:bookmarkStart w:id="23" w:name="_Toc369531497"/>
      <w:bookmarkEnd w:id="23"/>
      <w:bookmarkStart w:id="24" w:name="_Toc361508560"/>
      <w:bookmarkEnd w:id="24"/>
      <w:bookmarkStart w:id="25" w:name="_Toc384308185"/>
      <w:bookmarkEnd w:id="25"/>
      <w:bookmarkStart w:id="26" w:name="_Toc10785"/>
      <w:bookmarkEnd w:id="26"/>
      <w:bookmarkStart w:id="27" w:name="_Toc369531495"/>
      <w:bookmarkEnd w:id="27"/>
      <w:bookmarkStart w:id="28" w:name="_Toc384308188"/>
      <w:bookmarkEnd w:id="28"/>
      <w:bookmarkStart w:id="29" w:name="_Toc352691455"/>
      <w:bookmarkEnd w:id="29"/>
      <w:bookmarkStart w:id="30" w:name="_Toc152042288"/>
      <w:bookmarkEnd w:id="30"/>
      <w:bookmarkStart w:id="31" w:name="_Toc300834930"/>
      <w:bookmarkEnd w:id="31"/>
      <w:bookmarkStart w:id="32" w:name="_Toc384308187"/>
      <w:bookmarkEnd w:id="32"/>
      <w:bookmarkStart w:id="33" w:name="_Toc144974480"/>
      <w:bookmarkEnd w:id="33"/>
      <w:bookmarkStart w:id="34" w:name="_Toc247513934"/>
      <w:bookmarkEnd w:id="34"/>
      <w:bookmarkStart w:id="35" w:name="_Toc17972"/>
      <w:bookmarkEnd w:id="35"/>
      <w:bookmarkStart w:id="36" w:name="_Toc361508563"/>
      <w:bookmarkEnd w:id="36"/>
      <w:bookmarkStart w:id="37" w:name="_Toc352691456"/>
      <w:bookmarkEnd w:id="37"/>
      <w:bookmarkStart w:id="38" w:name="_Toc352691453"/>
      <w:bookmarkEnd w:id="38"/>
      <w:bookmarkStart w:id="39" w:name="_Toc152045512"/>
      <w:bookmarkEnd w:id="39"/>
      <w:bookmarkStart w:id="40" w:name="_Toc300834929"/>
      <w:bookmarkEnd w:id="40"/>
      <w:bookmarkStart w:id="41" w:name="_Toc103592007"/>
      <w:r>
        <w:rPr>
          <w:rFonts w:hint="eastAsia"/>
          <w:highlight w:val="none"/>
        </w:rPr>
        <w:t>第二章  投标人须知</w:t>
      </w:r>
      <w:bookmarkEnd w:id="41"/>
    </w:p>
    <w:p w14:paraId="6C55C075">
      <w:pPr>
        <w:pStyle w:val="4"/>
        <w:rPr>
          <w:rFonts w:ascii="宋体" w:hAnsi="宋体"/>
          <w:highlight w:val="none"/>
        </w:rPr>
      </w:pPr>
      <w:bookmarkStart w:id="42" w:name="_Toc533357307"/>
      <w:bookmarkStart w:id="43" w:name="_Toc103592008"/>
      <w:r>
        <w:rPr>
          <w:rFonts w:hint="eastAsia" w:ascii="宋体" w:hAnsi="宋体"/>
          <w:highlight w:val="none"/>
        </w:rPr>
        <w:t>投标人须知前附表</w:t>
      </w:r>
      <w:bookmarkEnd w:id="42"/>
      <w:bookmarkEnd w:id="43"/>
    </w:p>
    <w:tbl>
      <w:tblPr>
        <w:tblStyle w:val="27"/>
        <w:tblpPr w:leftFromText="180" w:rightFromText="180" w:vertAnchor="text" w:horzAnchor="page" w:tblpX="1001" w:tblpY="9"/>
        <w:tblOverlap w:val="never"/>
        <w:tblW w:w="0" w:type="auto"/>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66"/>
        <w:gridCol w:w="2160"/>
        <w:gridCol w:w="7200"/>
      </w:tblGrid>
      <w:tr w14:paraId="5D99302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tblHeader/>
        </w:trPr>
        <w:tc>
          <w:tcPr>
            <w:tcW w:w="866" w:type="dxa"/>
            <w:tcBorders>
              <w:top w:val="single" w:color="auto" w:sz="4" w:space="0"/>
            </w:tcBorders>
            <w:vAlign w:val="center"/>
          </w:tcPr>
          <w:p w14:paraId="16AD738C">
            <w:pPr>
              <w:snapToGrid w:val="0"/>
              <w:spacing w:line="276" w:lineRule="auto"/>
              <w:jc w:val="center"/>
              <w:rPr>
                <w:rFonts w:ascii="宋体" w:hAnsi="宋体"/>
                <w:b/>
                <w:szCs w:val="21"/>
                <w:highlight w:val="none"/>
              </w:rPr>
            </w:pPr>
            <w:r>
              <w:rPr>
                <w:rFonts w:hint="eastAsia" w:ascii="宋体" w:hAnsi="宋体"/>
                <w:b/>
                <w:szCs w:val="21"/>
                <w:highlight w:val="none"/>
              </w:rPr>
              <w:t>条款号</w:t>
            </w:r>
          </w:p>
        </w:tc>
        <w:tc>
          <w:tcPr>
            <w:tcW w:w="2160" w:type="dxa"/>
            <w:tcBorders>
              <w:top w:val="single" w:color="auto" w:sz="4" w:space="0"/>
            </w:tcBorders>
            <w:vAlign w:val="center"/>
          </w:tcPr>
          <w:p w14:paraId="20194CD9">
            <w:pPr>
              <w:snapToGrid w:val="0"/>
              <w:spacing w:line="276" w:lineRule="auto"/>
              <w:jc w:val="center"/>
              <w:rPr>
                <w:rFonts w:ascii="宋体" w:hAnsi="宋体"/>
                <w:b/>
                <w:szCs w:val="21"/>
                <w:highlight w:val="none"/>
              </w:rPr>
            </w:pPr>
            <w:r>
              <w:rPr>
                <w:rFonts w:hint="eastAsia" w:ascii="宋体" w:hAnsi="宋体"/>
                <w:b/>
                <w:szCs w:val="21"/>
                <w:highlight w:val="none"/>
              </w:rPr>
              <w:t>条款名称</w:t>
            </w:r>
          </w:p>
        </w:tc>
        <w:tc>
          <w:tcPr>
            <w:tcW w:w="7200" w:type="dxa"/>
            <w:tcBorders>
              <w:top w:val="single" w:color="auto" w:sz="4" w:space="0"/>
            </w:tcBorders>
            <w:vAlign w:val="center"/>
          </w:tcPr>
          <w:p w14:paraId="24AAD78B">
            <w:pPr>
              <w:snapToGrid w:val="0"/>
              <w:spacing w:line="276" w:lineRule="auto"/>
              <w:jc w:val="center"/>
              <w:rPr>
                <w:rFonts w:ascii="宋体" w:hAnsi="宋体"/>
                <w:b/>
                <w:szCs w:val="21"/>
                <w:highlight w:val="none"/>
              </w:rPr>
            </w:pPr>
            <w:r>
              <w:rPr>
                <w:rFonts w:hint="eastAsia" w:ascii="宋体" w:hAnsi="宋体"/>
                <w:b/>
                <w:szCs w:val="21"/>
                <w:highlight w:val="none"/>
              </w:rPr>
              <w:t>编列内容</w:t>
            </w:r>
          </w:p>
        </w:tc>
      </w:tr>
      <w:tr w14:paraId="67AA0DA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866" w:type="dxa"/>
            <w:vAlign w:val="center"/>
          </w:tcPr>
          <w:p w14:paraId="34397447">
            <w:pPr>
              <w:snapToGrid w:val="0"/>
              <w:spacing w:line="276" w:lineRule="auto"/>
              <w:jc w:val="center"/>
              <w:rPr>
                <w:rFonts w:ascii="宋体" w:hAnsi="宋体"/>
                <w:szCs w:val="21"/>
                <w:highlight w:val="none"/>
              </w:rPr>
            </w:pPr>
            <w:r>
              <w:rPr>
                <w:rFonts w:ascii="宋体" w:hAnsi="宋体"/>
                <w:szCs w:val="21"/>
                <w:highlight w:val="none"/>
              </w:rPr>
              <w:t>1.1.2</w:t>
            </w:r>
          </w:p>
        </w:tc>
        <w:tc>
          <w:tcPr>
            <w:tcW w:w="2160" w:type="dxa"/>
            <w:vAlign w:val="center"/>
          </w:tcPr>
          <w:p w14:paraId="29E54FFD">
            <w:pPr>
              <w:snapToGrid w:val="0"/>
              <w:spacing w:line="276" w:lineRule="auto"/>
              <w:jc w:val="center"/>
              <w:rPr>
                <w:rFonts w:ascii="宋体" w:hAnsi="宋体"/>
                <w:szCs w:val="21"/>
                <w:highlight w:val="none"/>
              </w:rPr>
            </w:pPr>
            <w:r>
              <w:rPr>
                <w:rFonts w:hint="eastAsia" w:ascii="宋体" w:hAnsi="宋体"/>
                <w:szCs w:val="21"/>
                <w:highlight w:val="none"/>
              </w:rPr>
              <w:t>招标人</w:t>
            </w:r>
          </w:p>
        </w:tc>
        <w:tc>
          <w:tcPr>
            <w:tcW w:w="7200" w:type="dxa"/>
            <w:vAlign w:val="center"/>
          </w:tcPr>
          <w:p w14:paraId="3627791C">
            <w:pPr>
              <w:spacing w:line="276" w:lineRule="auto"/>
              <w:rPr>
                <w:rFonts w:ascii="宋体" w:hAnsi="宋体" w:cs="宋体"/>
                <w:szCs w:val="21"/>
                <w:highlight w:val="none"/>
                <w:u w:val="single"/>
              </w:rPr>
            </w:pPr>
            <w:r>
              <w:rPr>
                <w:rFonts w:hint="eastAsia" w:ascii="宋体" w:hAnsi="宋体" w:cs="宋体"/>
                <w:szCs w:val="21"/>
                <w:highlight w:val="none"/>
              </w:rPr>
              <w:t>名称：</w:t>
            </w:r>
            <w:r>
              <w:rPr>
                <w:rFonts w:hint="eastAsia" w:ascii="宋体" w:hAnsi="宋体" w:cs="宋体"/>
                <w:szCs w:val="21"/>
                <w:highlight w:val="none"/>
                <w:u w:val="single"/>
              </w:rPr>
              <w:t>广州开发区财政投资建设项目管理中心</w:t>
            </w:r>
          </w:p>
          <w:p w14:paraId="7BF70459">
            <w:pPr>
              <w:spacing w:line="276" w:lineRule="auto"/>
              <w:rPr>
                <w:rFonts w:ascii="宋体" w:hAnsi="宋体"/>
                <w:szCs w:val="21"/>
                <w:highlight w:val="none"/>
                <w:u w:val="single"/>
              </w:rPr>
            </w:pPr>
            <w:r>
              <w:rPr>
                <w:rFonts w:hint="eastAsia" w:ascii="宋体" w:hAnsi="宋体" w:cs="宋体"/>
                <w:szCs w:val="21"/>
                <w:highlight w:val="none"/>
              </w:rPr>
              <w:t>地址：</w:t>
            </w:r>
            <w:r>
              <w:rPr>
                <w:rFonts w:hint="eastAsia" w:ascii="宋体" w:hAnsi="宋体"/>
                <w:szCs w:val="21"/>
                <w:highlight w:val="none"/>
                <w:u w:val="single"/>
              </w:rPr>
              <w:t>广州科学城揽月路80号创意大厦B2附三楼</w:t>
            </w:r>
          </w:p>
          <w:p w14:paraId="451B9F7C">
            <w:pPr>
              <w:spacing w:line="276" w:lineRule="auto"/>
              <w:rPr>
                <w:rFonts w:ascii="宋体" w:hAnsi="宋体" w:cs="宋体"/>
                <w:szCs w:val="21"/>
                <w:highlight w:val="none"/>
              </w:rPr>
            </w:pPr>
            <w:r>
              <w:rPr>
                <w:rFonts w:hint="eastAsia" w:ascii="宋体" w:hAnsi="宋体" w:cs="宋体"/>
                <w:szCs w:val="21"/>
                <w:highlight w:val="none"/>
              </w:rPr>
              <w:t>联系人：</w:t>
            </w:r>
            <w:r>
              <w:rPr>
                <w:rFonts w:hint="eastAsia" w:ascii="宋体" w:hAnsi="宋体" w:cs="宋体"/>
                <w:szCs w:val="21"/>
                <w:highlight w:val="none"/>
                <w:u w:val="single"/>
              </w:rPr>
              <w:t>涂工</w:t>
            </w:r>
          </w:p>
          <w:p w14:paraId="0E562733">
            <w:pPr>
              <w:snapToGrid w:val="0"/>
              <w:spacing w:line="276" w:lineRule="auto"/>
              <w:rPr>
                <w:rFonts w:ascii="宋体" w:hAnsi="宋体" w:cs="宋体"/>
                <w:szCs w:val="21"/>
                <w:highlight w:val="none"/>
              </w:rPr>
            </w:pPr>
            <w:r>
              <w:rPr>
                <w:rFonts w:hint="eastAsia" w:ascii="宋体" w:hAnsi="宋体" w:cs="宋体"/>
                <w:szCs w:val="21"/>
                <w:highlight w:val="none"/>
              </w:rPr>
              <w:t>电话：</w:t>
            </w:r>
            <w:r>
              <w:rPr>
                <w:rFonts w:hint="eastAsia" w:ascii="宋体" w:hAnsi="宋体" w:cs="宋体"/>
                <w:szCs w:val="21"/>
                <w:highlight w:val="none"/>
                <w:u w:val="single"/>
              </w:rPr>
              <w:t>020-28068836</w:t>
            </w:r>
          </w:p>
        </w:tc>
      </w:tr>
      <w:tr w14:paraId="0CA1EEA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866" w:type="dxa"/>
            <w:vAlign w:val="center"/>
          </w:tcPr>
          <w:p w14:paraId="64CF95BF">
            <w:pPr>
              <w:snapToGrid w:val="0"/>
              <w:spacing w:line="276" w:lineRule="auto"/>
              <w:jc w:val="center"/>
              <w:rPr>
                <w:rFonts w:ascii="宋体" w:hAnsi="宋体"/>
                <w:szCs w:val="21"/>
                <w:highlight w:val="none"/>
              </w:rPr>
            </w:pPr>
            <w:r>
              <w:rPr>
                <w:rFonts w:ascii="宋体" w:hAnsi="宋体"/>
                <w:szCs w:val="21"/>
                <w:highlight w:val="none"/>
              </w:rPr>
              <w:t>1.1.3</w:t>
            </w:r>
          </w:p>
        </w:tc>
        <w:tc>
          <w:tcPr>
            <w:tcW w:w="2160" w:type="dxa"/>
            <w:vAlign w:val="center"/>
          </w:tcPr>
          <w:p w14:paraId="0E6FB9F7">
            <w:pPr>
              <w:snapToGrid w:val="0"/>
              <w:spacing w:line="276" w:lineRule="auto"/>
              <w:jc w:val="center"/>
              <w:rPr>
                <w:rFonts w:ascii="宋体" w:hAnsi="宋体"/>
                <w:szCs w:val="21"/>
                <w:highlight w:val="none"/>
              </w:rPr>
            </w:pPr>
            <w:r>
              <w:rPr>
                <w:rFonts w:hint="eastAsia" w:ascii="宋体" w:hAnsi="宋体"/>
                <w:szCs w:val="21"/>
                <w:highlight w:val="none"/>
              </w:rPr>
              <w:t>招标代理机构</w:t>
            </w:r>
          </w:p>
        </w:tc>
        <w:tc>
          <w:tcPr>
            <w:tcW w:w="7200" w:type="dxa"/>
            <w:vAlign w:val="center"/>
          </w:tcPr>
          <w:p w14:paraId="4EF1377A">
            <w:pPr>
              <w:snapToGrid w:val="0"/>
              <w:spacing w:line="276" w:lineRule="auto"/>
              <w:rPr>
                <w:rFonts w:hint="eastAsia" w:ascii="宋体" w:hAnsi="宋体"/>
                <w:szCs w:val="21"/>
                <w:highlight w:val="none"/>
              </w:rPr>
            </w:pPr>
            <w:r>
              <w:rPr>
                <w:rFonts w:hint="eastAsia" w:ascii="宋体" w:hAnsi="宋体"/>
                <w:szCs w:val="21"/>
                <w:highlight w:val="none"/>
              </w:rPr>
              <w:t>名称：</w:t>
            </w:r>
            <w:r>
              <w:rPr>
                <w:rFonts w:hint="eastAsia" w:ascii="宋体" w:hAnsi="宋体" w:cs="Times New Roman"/>
                <w:szCs w:val="21"/>
                <w:highlight w:val="none"/>
                <w:u w:val="single"/>
                <w:lang w:eastAsia="zh-CN"/>
              </w:rPr>
              <w:t>广州珠江监理咨询集团有限公司</w:t>
            </w:r>
            <w:r>
              <w:rPr>
                <w:rFonts w:hint="eastAsia" w:ascii="宋体" w:hAnsi="宋体"/>
                <w:szCs w:val="21"/>
                <w:highlight w:val="none"/>
              </w:rPr>
              <w:t xml:space="preserve"> </w:t>
            </w:r>
          </w:p>
          <w:p w14:paraId="76B930F5">
            <w:pPr>
              <w:snapToGrid w:val="0"/>
              <w:spacing w:line="276" w:lineRule="auto"/>
              <w:rPr>
                <w:rFonts w:hint="eastAsia" w:ascii="宋体" w:hAnsi="宋体"/>
                <w:szCs w:val="21"/>
                <w:highlight w:val="none"/>
              </w:rPr>
            </w:pPr>
            <w:r>
              <w:rPr>
                <w:rFonts w:hint="eastAsia" w:ascii="宋体" w:hAnsi="宋体"/>
                <w:szCs w:val="21"/>
                <w:highlight w:val="none"/>
              </w:rPr>
              <w:t>地址</w:t>
            </w:r>
            <w:r>
              <w:rPr>
                <w:rFonts w:hint="eastAsia" w:ascii="宋体" w:hAnsi="宋体"/>
                <w:szCs w:val="21"/>
                <w:highlight w:val="none"/>
                <w:u w:val="single"/>
              </w:rPr>
              <w:t>：广州市越秀区永泰路50号之一首层</w:t>
            </w:r>
          </w:p>
          <w:p w14:paraId="62E5B570">
            <w:pPr>
              <w:snapToGrid w:val="0"/>
              <w:spacing w:line="276" w:lineRule="auto"/>
              <w:rPr>
                <w:rFonts w:hint="eastAsia" w:ascii="宋体" w:hAnsi="宋体"/>
                <w:szCs w:val="21"/>
                <w:highlight w:val="none"/>
                <w:lang w:eastAsia="zh-CN"/>
              </w:rPr>
            </w:pPr>
            <w:r>
              <w:rPr>
                <w:rFonts w:hint="eastAsia" w:ascii="宋体" w:hAnsi="宋体"/>
                <w:szCs w:val="21"/>
                <w:highlight w:val="none"/>
              </w:rPr>
              <w:t>联系人：</w:t>
            </w:r>
            <w:r>
              <w:rPr>
                <w:rFonts w:hint="eastAsia" w:ascii="宋体" w:hAnsi="宋体" w:cs="Times New Roman"/>
                <w:szCs w:val="21"/>
                <w:highlight w:val="none"/>
                <w:u w:val="single"/>
                <w:lang w:val="en-US" w:eastAsia="zh-CN"/>
              </w:rPr>
              <w:t>穆</w:t>
            </w:r>
            <w:r>
              <w:rPr>
                <w:rFonts w:hint="eastAsia" w:ascii="宋体" w:hAnsi="宋体" w:eastAsia="宋体" w:cs="Times New Roman"/>
                <w:szCs w:val="21"/>
                <w:highlight w:val="none"/>
                <w:u w:val="single"/>
                <w:lang w:val="en-US" w:eastAsia="zh-CN"/>
              </w:rPr>
              <w:t>工</w:t>
            </w:r>
          </w:p>
          <w:p w14:paraId="3848C4D7">
            <w:pPr>
              <w:snapToGrid w:val="0"/>
              <w:spacing w:line="276" w:lineRule="auto"/>
              <w:rPr>
                <w:rFonts w:ascii="宋体" w:hAnsi="宋体"/>
                <w:szCs w:val="21"/>
                <w:highlight w:val="none"/>
              </w:rPr>
            </w:pPr>
            <w:r>
              <w:rPr>
                <w:rFonts w:hint="eastAsia" w:ascii="宋体" w:hAnsi="宋体"/>
                <w:szCs w:val="21"/>
                <w:highlight w:val="none"/>
              </w:rPr>
              <w:t>电话：</w:t>
            </w:r>
            <w:r>
              <w:rPr>
                <w:rFonts w:hint="eastAsia" w:ascii="宋体" w:hAnsi="宋体" w:eastAsia="宋体" w:cs="Times New Roman"/>
                <w:szCs w:val="21"/>
                <w:highlight w:val="none"/>
                <w:u w:val="single"/>
              </w:rPr>
              <w:t>020-83492175</w:t>
            </w:r>
          </w:p>
        </w:tc>
      </w:tr>
      <w:tr w14:paraId="6D48149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866" w:type="dxa"/>
            <w:vAlign w:val="center"/>
          </w:tcPr>
          <w:p w14:paraId="24F6F234">
            <w:pPr>
              <w:snapToGrid w:val="0"/>
              <w:spacing w:line="276" w:lineRule="auto"/>
              <w:jc w:val="center"/>
              <w:rPr>
                <w:rFonts w:ascii="宋体" w:hAnsi="宋体"/>
                <w:szCs w:val="21"/>
                <w:highlight w:val="none"/>
              </w:rPr>
            </w:pPr>
            <w:r>
              <w:rPr>
                <w:rFonts w:ascii="宋体" w:hAnsi="宋体"/>
                <w:szCs w:val="21"/>
                <w:highlight w:val="none"/>
              </w:rPr>
              <w:t>1.1.4</w:t>
            </w:r>
          </w:p>
        </w:tc>
        <w:tc>
          <w:tcPr>
            <w:tcW w:w="2160" w:type="dxa"/>
            <w:vAlign w:val="center"/>
          </w:tcPr>
          <w:p w14:paraId="3F097B87">
            <w:pPr>
              <w:snapToGrid w:val="0"/>
              <w:spacing w:line="276" w:lineRule="auto"/>
              <w:jc w:val="center"/>
              <w:rPr>
                <w:rFonts w:ascii="宋体" w:hAnsi="宋体"/>
                <w:szCs w:val="21"/>
                <w:highlight w:val="none"/>
              </w:rPr>
            </w:pPr>
            <w:r>
              <w:rPr>
                <w:rFonts w:hint="eastAsia" w:ascii="宋体" w:hAnsi="宋体"/>
                <w:szCs w:val="21"/>
                <w:highlight w:val="none"/>
              </w:rPr>
              <w:t>招标项目名称</w:t>
            </w:r>
          </w:p>
        </w:tc>
        <w:tc>
          <w:tcPr>
            <w:tcW w:w="7200" w:type="dxa"/>
            <w:vAlign w:val="center"/>
          </w:tcPr>
          <w:p w14:paraId="615F705C">
            <w:pPr>
              <w:snapToGrid w:val="0"/>
              <w:spacing w:line="276" w:lineRule="auto"/>
              <w:jc w:val="left"/>
              <w:rPr>
                <w:rFonts w:hint="eastAsia" w:ascii="宋体" w:hAnsi="宋体" w:eastAsia="宋体"/>
                <w:szCs w:val="21"/>
                <w:highlight w:val="none"/>
                <w:u w:val="single"/>
                <w:lang w:eastAsia="zh-CN"/>
              </w:rPr>
            </w:pPr>
            <w:r>
              <w:rPr>
                <w:rFonts w:hint="eastAsia" w:ascii="宋体" w:hAnsi="宋体"/>
                <w:szCs w:val="21"/>
                <w:highlight w:val="none"/>
                <w:u w:val="single"/>
                <w:lang w:eastAsia="zh-CN"/>
              </w:rPr>
              <w:t>黄埔区刘村消防站建设工程、黄埔区深井消防站建设工程、萝岗区天鹿湖消防站第三方检测服务</w:t>
            </w:r>
          </w:p>
        </w:tc>
      </w:tr>
      <w:tr w14:paraId="5486EEF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866" w:type="dxa"/>
            <w:vAlign w:val="center"/>
          </w:tcPr>
          <w:p w14:paraId="484D2CBE">
            <w:pPr>
              <w:snapToGrid w:val="0"/>
              <w:spacing w:line="276" w:lineRule="auto"/>
              <w:jc w:val="center"/>
              <w:rPr>
                <w:rFonts w:ascii="宋体" w:hAnsi="宋体"/>
                <w:szCs w:val="21"/>
                <w:highlight w:val="none"/>
              </w:rPr>
            </w:pPr>
            <w:r>
              <w:rPr>
                <w:rFonts w:ascii="宋体" w:hAnsi="宋体"/>
                <w:szCs w:val="21"/>
                <w:highlight w:val="none"/>
              </w:rPr>
              <w:t>1.1.5</w:t>
            </w:r>
          </w:p>
        </w:tc>
        <w:tc>
          <w:tcPr>
            <w:tcW w:w="2160" w:type="dxa"/>
            <w:vAlign w:val="center"/>
          </w:tcPr>
          <w:p w14:paraId="1EE5F64D">
            <w:pPr>
              <w:snapToGrid w:val="0"/>
              <w:spacing w:line="276" w:lineRule="auto"/>
              <w:jc w:val="center"/>
              <w:rPr>
                <w:rFonts w:ascii="宋体" w:hAnsi="宋体"/>
                <w:szCs w:val="21"/>
                <w:highlight w:val="none"/>
              </w:rPr>
            </w:pPr>
            <w:r>
              <w:rPr>
                <w:rFonts w:hint="eastAsia" w:ascii="宋体" w:hAnsi="宋体"/>
                <w:szCs w:val="21"/>
                <w:highlight w:val="none"/>
              </w:rPr>
              <w:t>项目建设地点</w:t>
            </w:r>
          </w:p>
        </w:tc>
        <w:tc>
          <w:tcPr>
            <w:tcW w:w="7200" w:type="dxa"/>
            <w:vAlign w:val="center"/>
          </w:tcPr>
          <w:p w14:paraId="56B21BA1">
            <w:pPr>
              <w:snapToGrid w:val="0"/>
              <w:spacing w:line="276" w:lineRule="auto"/>
              <w:jc w:val="left"/>
              <w:rPr>
                <w:rFonts w:ascii="宋体" w:hAnsi="宋体"/>
                <w:szCs w:val="21"/>
                <w:highlight w:val="none"/>
              </w:rPr>
            </w:pPr>
            <w:r>
              <w:rPr>
                <w:rFonts w:hint="eastAsia" w:ascii="宋体" w:hAnsi="宋体"/>
                <w:szCs w:val="21"/>
                <w:highlight w:val="none"/>
              </w:rPr>
              <w:t>详见招标公告</w:t>
            </w:r>
          </w:p>
        </w:tc>
      </w:tr>
      <w:tr w14:paraId="1C1703C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866" w:type="dxa"/>
            <w:vAlign w:val="center"/>
          </w:tcPr>
          <w:p w14:paraId="568BD799">
            <w:pPr>
              <w:snapToGrid w:val="0"/>
              <w:spacing w:line="276" w:lineRule="auto"/>
              <w:jc w:val="center"/>
              <w:rPr>
                <w:rFonts w:ascii="宋体" w:hAnsi="宋体"/>
                <w:szCs w:val="21"/>
                <w:highlight w:val="none"/>
              </w:rPr>
            </w:pPr>
            <w:r>
              <w:rPr>
                <w:rFonts w:ascii="宋体" w:hAnsi="宋体"/>
                <w:szCs w:val="21"/>
                <w:highlight w:val="none"/>
              </w:rPr>
              <w:t>1.1.6</w:t>
            </w:r>
          </w:p>
        </w:tc>
        <w:tc>
          <w:tcPr>
            <w:tcW w:w="2160" w:type="dxa"/>
            <w:vAlign w:val="center"/>
          </w:tcPr>
          <w:p w14:paraId="1FCDB1B2">
            <w:pPr>
              <w:snapToGrid w:val="0"/>
              <w:spacing w:line="276" w:lineRule="auto"/>
              <w:jc w:val="center"/>
              <w:rPr>
                <w:rFonts w:ascii="宋体" w:hAnsi="宋体"/>
                <w:szCs w:val="21"/>
                <w:highlight w:val="none"/>
              </w:rPr>
            </w:pPr>
            <w:r>
              <w:rPr>
                <w:rFonts w:hint="eastAsia" w:ascii="宋体" w:hAnsi="宋体"/>
                <w:szCs w:val="21"/>
                <w:highlight w:val="none"/>
              </w:rPr>
              <w:t>项目建设规模</w:t>
            </w:r>
          </w:p>
        </w:tc>
        <w:tc>
          <w:tcPr>
            <w:tcW w:w="7200" w:type="dxa"/>
            <w:vAlign w:val="center"/>
          </w:tcPr>
          <w:p w14:paraId="7D009A43">
            <w:pPr>
              <w:snapToGrid w:val="0"/>
              <w:spacing w:line="276" w:lineRule="auto"/>
              <w:ind w:right="106"/>
              <w:jc w:val="left"/>
              <w:rPr>
                <w:rFonts w:ascii="宋体" w:hAnsi="宋体"/>
                <w:szCs w:val="21"/>
                <w:highlight w:val="none"/>
              </w:rPr>
            </w:pPr>
            <w:r>
              <w:rPr>
                <w:rFonts w:hint="eastAsia" w:ascii="宋体" w:hAnsi="宋体"/>
                <w:szCs w:val="21"/>
                <w:highlight w:val="none"/>
              </w:rPr>
              <w:t>详见招标公告</w:t>
            </w:r>
          </w:p>
        </w:tc>
      </w:tr>
      <w:tr w14:paraId="36D4472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866" w:type="dxa"/>
            <w:vAlign w:val="center"/>
          </w:tcPr>
          <w:p w14:paraId="1D6453A5">
            <w:pPr>
              <w:snapToGrid w:val="0"/>
              <w:spacing w:line="276" w:lineRule="auto"/>
              <w:jc w:val="center"/>
              <w:rPr>
                <w:rFonts w:ascii="宋体" w:hAnsi="宋体"/>
                <w:szCs w:val="21"/>
                <w:highlight w:val="none"/>
              </w:rPr>
            </w:pPr>
            <w:r>
              <w:rPr>
                <w:rFonts w:ascii="宋体" w:hAnsi="宋体"/>
                <w:szCs w:val="21"/>
                <w:highlight w:val="none"/>
              </w:rPr>
              <w:t>1.1.7</w:t>
            </w:r>
          </w:p>
        </w:tc>
        <w:tc>
          <w:tcPr>
            <w:tcW w:w="2160" w:type="dxa"/>
            <w:vAlign w:val="center"/>
          </w:tcPr>
          <w:p w14:paraId="3FD55D1B">
            <w:pPr>
              <w:snapToGrid w:val="0"/>
              <w:spacing w:line="276" w:lineRule="auto"/>
              <w:jc w:val="center"/>
              <w:rPr>
                <w:rFonts w:ascii="宋体" w:hAnsi="宋体"/>
                <w:szCs w:val="21"/>
                <w:highlight w:val="none"/>
              </w:rPr>
            </w:pPr>
            <w:r>
              <w:rPr>
                <w:rFonts w:hint="eastAsia" w:ascii="宋体" w:hAnsi="宋体"/>
                <w:szCs w:val="21"/>
                <w:highlight w:val="none"/>
              </w:rPr>
              <w:t>工程项目施工预计开工日期和建设周期</w:t>
            </w:r>
          </w:p>
        </w:tc>
        <w:tc>
          <w:tcPr>
            <w:tcW w:w="7200" w:type="dxa"/>
            <w:vAlign w:val="center"/>
          </w:tcPr>
          <w:p w14:paraId="4CCAC17B">
            <w:pPr>
              <w:snapToGrid w:val="0"/>
              <w:spacing w:line="276" w:lineRule="auto"/>
              <w:rPr>
                <w:rFonts w:ascii="宋体" w:hAnsi="宋体"/>
                <w:szCs w:val="21"/>
                <w:highlight w:val="none"/>
              </w:rPr>
            </w:pPr>
            <w:r>
              <w:rPr>
                <w:rFonts w:hint="eastAsia" w:ascii="宋体" w:hAnsi="宋体" w:cs="宋体"/>
                <w:szCs w:val="21"/>
                <w:highlight w:val="none"/>
              </w:rPr>
              <w:t>/</w:t>
            </w:r>
          </w:p>
        </w:tc>
      </w:tr>
      <w:tr w14:paraId="0B5DEE1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866" w:type="dxa"/>
            <w:vAlign w:val="center"/>
          </w:tcPr>
          <w:p w14:paraId="694B64EF">
            <w:pPr>
              <w:snapToGrid w:val="0"/>
              <w:spacing w:line="276" w:lineRule="auto"/>
              <w:jc w:val="center"/>
              <w:rPr>
                <w:rFonts w:ascii="宋体" w:hAnsi="宋体"/>
                <w:szCs w:val="21"/>
                <w:highlight w:val="none"/>
              </w:rPr>
            </w:pPr>
            <w:r>
              <w:rPr>
                <w:rFonts w:ascii="宋体" w:hAnsi="宋体"/>
                <w:szCs w:val="21"/>
                <w:highlight w:val="none"/>
              </w:rPr>
              <w:t>1.1.8</w:t>
            </w:r>
          </w:p>
        </w:tc>
        <w:tc>
          <w:tcPr>
            <w:tcW w:w="2160" w:type="dxa"/>
            <w:vAlign w:val="center"/>
          </w:tcPr>
          <w:p w14:paraId="18DF94AA">
            <w:pPr>
              <w:snapToGrid w:val="0"/>
              <w:spacing w:line="276" w:lineRule="auto"/>
              <w:jc w:val="center"/>
              <w:rPr>
                <w:rFonts w:ascii="宋体" w:hAnsi="宋体"/>
                <w:szCs w:val="21"/>
                <w:highlight w:val="none"/>
              </w:rPr>
            </w:pPr>
            <w:r>
              <w:rPr>
                <w:rFonts w:hint="eastAsia" w:ascii="宋体" w:hAnsi="宋体"/>
                <w:szCs w:val="21"/>
                <w:highlight w:val="none"/>
              </w:rPr>
              <w:t>建筑安装工程费</w:t>
            </w:r>
            <w:r>
              <w:rPr>
                <w:rFonts w:ascii="宋体" w:hAnsi="宋体"/>
                <w:szCs w:val="21"/>
                <w:highlight w:val="none"/>
              </w:rPr>
              <w:t>/</w:t>
            </w:r>
            <w:r>
              <w:rPr>
                <w:rFonts w:hint="eastAsia" w:ascii="宋体" w:hAnsi="宋体"/>
                <w:szCs w:val="21"/>
                <w:highlight w:val="none"/>
              </w:rPr>
              <w:t>工程概算</w:t>
            </w:r>
          </w:p>
        </w:tc>
        <w:tc>
          <w:tcPr>
            <w:tcW w:w="7200" w:type="dxa"/>
            <w:vAlign w:val="center"/>
          </w:tcPr>
          <w:p w14:paraId="4B85847A">
            <w:pPr>
              <w:snapToGrid w:val="0"/>
              <w:spacing w:line="276" w:lineRule="auto"/>
              <w:jc w:val="left"/>
              <w:rPr>
                <w:rFonts w:ascii="宋体" w:hAnsi="宋体"/>
                <w:szCs w:val="21"/>
                <w:highlight w:val="none"/>
              </w:rPr>
            </w:pPr>
            <w:r>
              <w:rPr>
                <w:rFonts w:hint="eastAsia" w:ascii="宋体" w:hAnsi="宋体"/>
                <w:szCs w:val="21"/>
                <w:highlight w:val="none"/>
              </w:rPr>
              <w:t>详见招标公告</w:t>
            </w:r>
          </w:p>
        </w:tc>
      </w:tr>
      <w:tr w14:paraId="6D05721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866" w:type="dxa"/>
            <w:vAlign w:val="center"/>
          </w:tcPr>
          <w:p w14:paraId="178050C3">
            <w:pPr>
              <w:snapToGrid w:val="0"/>
              <w:spacing w:line="276" w:lineRule="auto"/>
              <w:jc w:val="center"/>
              <w:rPr>
                <w:rFonts w:ascii="宋体" w:hAnsi="宋体"/>
                <w:szCs w:val="21"/>
                <w:highlight w:val="none"/>
              </w:rPr>
            </w:pPr>
            <w:r>
              <w:rPr>
                <w:rFonts w:ascii="宋体" w:hAnsi="宋体"/>
                <w:szCs w:val="21"/>
                <w:highlight w:val="none"/>
              </w:rPr>
              <w:t>1.2.1</w:t>
            </w:r>
          </w:p>
        </w:tc>
        <w:tc>
          <w:tcPr>
            <w:tcW w:w="2160" w:type="dxa"/>
            <w:vAlign w:val="center"/>
          </w:tcPr>
          <w:p w14:paraId="1E406F11">
            <w:pPr>
              <w:snapToGrid w:val="0"/>
              <w:spacing w:line="276" w:lineRule="auto"/>
              <w:jc w:val="center"/>
              <w:rPr>
                <w:rFonts w:ascii="宋体" w:hAnsi="宋体"/>
                <w:szCs w:val="21"/>
                <w:highlight w:val="none"/>
              </w:rPr>
            </w:pPr>
            <w:r>
              <w:rPr>
                <w:rFonts w:hint="eastAsia" w:ascii="宋体" w:hAnsi="宋体"/>
                <w:szCs w:val="21"/>
                <w:highlight w:val="none"/>
              </w:rPr>
              <w:t>资金来源及比例</w:t>
            </w:r>
          </w:p>
        </w:tc>
        <w:tc>
          <w:tcPr>
            <w:tcW w:w="7200" w:type="dxa"/>
            <w:vAlign w:val="center"/>
          </w:tcPr>
          <w:p w14:paraId="4748F64A">
            <w:pPr>
              <w:snapToGrid w:val="0"/>
              <w:spacing w:line="276" w:lineRule="auto"/>
              <w:jc w:val="left"/>
              <w:rPr>
                <w:rFonts w:ascii="宋体" w:hAnsi="宋体"/>
                <w:szCs w:val="21"/>
                <w:highlight w:val="none"/>
              </w:rPr>
            </w:pPr>
            <w:r>
              <w:rPr>
                <w:rFonts w:hint="eastAsia" w:ascii="宋体" w:hAnsi="宋体"/>
                <w:szCs w:val="21"/>
                <w:highlight w:val="none"/>
              </w:rPr>
              <w:t>详见招标公告</w:t>
            </w:r>
          </w:p>
        </w:tc>
      </w:tr>
      <w:tr w14:paraId="56D6655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866" w:type="dxa"/>
            <w:vAlign w:val="center"/>
          </w:tcPr>
          <w:p w14:paraId="1544EDE6">
            <w:pPr>
              <w:snapToGrid w:val="0"/>
              <w:spacing w:line="276" w:lineRule="auto"/>
              <w:jc w:val="center"/>
              <w:rPr>
                <w:rFonts w:ascii="宋体" w:hAnsi="宋体"/>
                <w:szCs w:val="21"/>
                <w:highlight w:val="none"/>
              </w:rPr>
            </w:pPr>
            <w:r>
              <w:rPr>
                <w:rFonts w:ascii="宋体" w:hAnsi="宋体"/>
                <w:szCs w:val="21"/>
                <w:highlight w:val="none"/>
              </w:rPr>
              <w:t>1.2.2</w:t>
            </w:r>
          </w:p>
        </w:tc>
        <w:tc>
          <w:tcPr>
            <w:tcW w:w="2160" w:type="dxa"/>
            <w:vAlign w:val="center"/>
          </w:tcPr>
          <w:p w14:paraId="74D8638E">
            <w:pPr>
              <w:snapToGrid w:val="0"/>
              <w:spacing w:line="276" w:lineRule="auto"/>
              <w:jc w:val="center"/>
              <w:rPr>
                <w:rFonts w:ascii="宋体" w:hAnsi="宋体"/>
                <w:szCs w:val="21"/>
                <w:highlight w:val="none"/>
              </w:rPr>
            </w:pPr>
            <w:r>
              <w:rPr>
                <w:rFonts w:hint="eastAsia" w:ascii="宋体" w:hAnsi="宋体"/>
                <w:szCs w:val="21"/>
                <w:highlight w:val="none"/>
              </w:rPr>
              <w:t>资金落实情况</w:t>
            </w:r>
          </w:p>
        </w:tc>
        <w:tc>
          <w:tcPr>
            <w:tcW w:w="7200" w:type="dxa"/>
            <w:vAlign w:val="center"/>
          </w:tcPr>
          <w:p w14:paraId="1354358E">
            <w:pPr>
              <w:snapToGrid w:val="0"/>
              <w:spacing w:line="276" w:lineRule="auto"/>
              <w:jc w:val="left"/>
              <w:rPr>
                <w:rFonts w:ascii="宋体" w:hAnsi="宋体"/>
                <w:szCs w:val="21"/>
                <w:highlight w:val="none"/>
              </w:rPr>
            </w:pPr>
            <w:r>
              <w:rPr>
                <w:rFonts w:hint="eastAsia" w:ascii="宋体" w:hAnsi="宋体"/>
                <w:szCs w:val="21"/>
                <w:highlight w:val="none"/>
              </w:rPr>
              <w:t>详见招标公告</w:t>
            </w:r>
          </w:p>
        </w:tc>
      </w:tr>
      <w:tr w14:paraId="772C152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866" w:type="dxa"/>
            <w:vAlign w:val="center"/>
          </w:tcPr>
          <w:p w14:paraId="5B345A52">
            <w:pPr>
              <w:snapToGrid w:val="0"/>
              <w:spacing w:line="276" w:lineRule="auto"/>
              <w:jc w:val="center"/>
              <w:rPr>
                <w:rFonts w:ascii="宋体" w:hAnsi="宋体"/>
                <w:szCs w:val="21"/>
                <w:highlight w:val="none"/>
              </w:rPr>
            </w:pPr>
            <w:r>
              <w:rPr>
                <w:rFonts w:ascii="宋体" w:hAnsi="宋体"/>
                <w:szCs w:val="21"/>
                <w:highlight w:val="none"/>
              </w:rPr>
              <w:t>1.3.1</w:t>
            </w:r>
          </w:p>
        </w:tc>
        <w:tc>
          <w:tcPr>
            <w:tcW w:w="2160" w:type="dxa"/>
            <w:vAlign w:val="center"/>
          </w:tcPr>
          <w:p w14:paraId="1F77A690">
            <w:pPr>
              <w:snapToGrid w:val="0"/>
              <w:spacing w:line="276" w:lineRule="auto"/>
              <w:jc w:val="center"/>
              <w:rPr>
                <w:rFonts w:ascii="宋体" w:hAnsi="宋体"/>
                <w:szCs w:val="21"/>
                <w:highlight w:val="none"/>
              </w:rPr>
            </w:pPr>
            <w:r>
              <w:rPr>
                <w:rFonts w:hint="eastAsia" w:ascii="宋体" w:hAnsi="宋体"/>
                <w:szCs w:val="21"/>
                <w:highlight w:val="none"/>
              </w:rPr>
              <w:t>招标范围</w:t>
            </w:r>
          </w:p>
        </w:tc>
        <w:tc>
          <w:tcPr>
            <w:tcW w:w="7200" w:type="dxa"/>
            <w:vAlign w:val="center"/>
          </w:tcPr>
          <w:p w14:paraId="01CA105E">
            <w:pPr>
              <w:snapToGrid w:val="0"/>
              <w:spacing w:line="276" w:lineRule="auto"/>
              <w:ind w:right="106"/>
              <w:jc w:val="left"/>
              <w:rPr>
                <w:rFonts w:ascii="宋体" w:hAnsi="宋体"/>
                <w:szCs w:val="21"/>
                <w:highlight w:val="none"/>
              </w:rPr>
            </w:pPr>
            <w:r>
              <w:rPr>
                <w:rFonts w:hint="eastAsia" w:ascii="宋体" w:hAnsi="宋体"/>
                <w:szCs w:val="21"/>
                <w:highlight w:val="none"/>
              </w:rPr>
              <w:t>详见招标公告</w:t>
            </w:r>
          </w:p>
        </w:tc>
      </w:tr>
      <w:tr w14:paraId="1FDEDA5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866" w:type="dxa"/>
            <w:vAlign w:val="center"/>
          </w:tcPr>
          <w:p w14:paraId="1FFE5F99">
            <w:pPr>
              <w:snapToGrid w:val="0"/>
              <w:spacing w:line="276" w:lineRule="auto"/>
              <w:jc w:val="center"/>
              <w:rPr>
                <w:rFonts w:ascii="宋体" w:hAnsi="宋体"/>
                <w:szCs w:val="21"/>
                <w:highlight w:val="none"/>
              </w:rPr>
            </w:pPr>
            <w:r>
              <w:rPr>
                <w:rFonts w:ascii="宋体" w:hAnsi="宋体"/>
                <w:szCs w:val="21"/>
                <w:highlight w:val="none"/>
              </w:rPr>
              <w:t>1.3.2</w:t>
            </w:r>
          </w:p>
        </w:tc>
        <w:tc>
          <w:tcPr>
            <w:tcW w:w="2160" w:type="dxa"/>
            <w:vAlign w:val="center"/>
          </w:tcPr>
          <w:p w14:paraId="35032944">
            <w:pPr>
              <w:snapToGrid w:val="0"/>
              <w:spacing w:line="276" w:lineRule="auto"/>
              <w:jc w:val="center"/>
              <w:rPr>
                <w:rFonts w:ascii="宋体" w:hAnsi="宋体"/>
                <w:szCs w:val="21"/>
                <w:highlight w:val="none"/>
              </w:rPr>
            </w:pPr>
            <w:r>
              <w:rPr>
                <w:rFonts w:hint="eastAsia" w:ascii="宋体" w:hAnsi="宋体"/>
                <w:szCs w:val="21"/>
                <w:highlight w:val="none"/>
              </w:rPr>
              <w:t>服务期</w:t>
            </w:r>
          </w:p>
        </w:tc>
        <w:tc>
          <w:tcPr>
            <w:tcW w:w="7200" w:type="dxa"/>
            <w:vAlign w:val="center"/>
          </w:tcPr>
          <w:p w14:paraId="28EF5CB4">
            <w:pPr>
              <w:snapToGrid w:val="0"/>
              <w:spacing w:line="276" w:lineRule="auto"/>
              <w:ind w:right="106"/>
              <w:jc w:val="left"/>
              <w:rPr>
                <w:rFonts w:ascii="宋体" w:hAnsi="宋体"/>
                <w:szCs w:val="21"/>
                <w:highlight w:val="none"/>
                <w:u w:val="single"/>
              </w:rPr>
            </w:pPr>
            <w:r>
              <w:rPr>
                <w:rFonts w:hint="eastAsia" w:ascii="宋体" w:hAnsi="宋体"/>
                <w:szCs w:val="21"/>
                <w:highlight w:val="none"/>
                <w:u w:val="single"/>
              </w:rPr>
              <w:t>从中标单位进场至所有服务项目完成，服务周期必须满足实际施工及竣工验收要求。进场日期以发包人通知时间为准。</w:t>
            </w:r>
          </w:p>
        </w:tc>
      </w:tr>
      <w:tr w14:paraId="313D173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866" w:type="dxa"/>
            <w:vAlign w:val="center"/>
          </w:tcPr>
          <w:p w14:paraId="05C34D18">
            <w:pPr>
              <w:snapToGrid w:val="0"/>
              <w:spacing w:line="276" w:lineRule="auto"/>
              <w:jc w:val="center"/>
              <w:rPr>
                <w:rFonts w:ascii="宋体" w:hAnsi="宋体"/>
                <w:szCs w:val="21"/>
                <w:highlight w:val="none"/>
              </w:rPr>
            </w:pPr>
            <w:r>
              <w:rPr>
                <w:rFonts w:ascii="宋体" w:hAnsi="宋体"/>
                <w:szCs w:val="21"/>
                <w:highlight w:val="none"/>
              </w:rPr>
              <w:t>1.3.3</w:t>
            </w:r>
          </w:p>
        </w:tc>
        <w:tc>
          <w:tcPr>
            <w:tcW w:w="2160" w:type="dxa"/>
            <w:vAlign w:val="center"/>
          </w:tcPr>
          <w:p w14:paraId="19201688">
            <w:pPr>
              <w:snapToGrid w:val="0"/>
              <w:spacing w:line="276" w:lineRule="auto"/>
              <w:jc w:val="center"/>
              <w:rPr>
                <w:rFonts w:ascii="宋体" w:hAnsi="宋体"/>
                <w:szCs w:val="21"/>
                <w:highlight w:val="none"/>
              </w:rPr>
            </w:pPr>
            <w:r>
              <w:rPr>
                <w:rFonts w:hint="eastAsia" w:ascii="宋体" w:hAnsi="宋体"/>
                <w:szCs w:val="21"/>
                <w:highlight w:val="none"/>
              </w:rPr>
              <w:t>质量标准</w:t>
            </w:r>
          </w:p>
        </w:tc>
        <w:tc>
          <w:tcPr>
            <w:tcW w:w="7200" w:type="dxa"/>
            <w:vAlign w:val="center"/>
          </w:tcPr>
          <w:p w14:paraId="349A6961">
            <w:pPr>
              <w:pStyle w:val="25"/>
              <w:snapToGrid w:val="0"/>
              <w:spacing w:line="276" w:lineRule="auto"/>
              <w:ind w:firstLine="0"/>
              <w:rPr>
                <w:rFonts w:ascii="宋体" w:hAnsi="宋体" w:cs="宋体"/>
                <w:szCs w:val="21"/>
                <w:highlight w:val="none"/>
              </w:rPr>
            </w:pPr>
            <w:r>
              <w:rPr>
                <w:rFonts w:hint="eastAsia" w:ascii="宋体" w:hAnsi="宋体"/>
                <w:szCs w:val="21"/>
                <w:highlight w:val="none"/>
              </w:rPr>
              <w:t>符合国家及省、市有关检测标准</w:t>
            </w:r>
          </w:p>
        </w:tc>
      </w:tr>
      <w:tr w14:paraId="7605BEB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866" w:type="dxa"/>
            <w:vAlign w:val="center"/>
          </w:tcPr>
          <w:p w14:paraId="345341A2">
            <w:pPr>
              <w:snapToGrid w:val="0"/>
              <w:spacing w:line="276" w:lineRule="auto"/>
              <w:jc w:val="center"/>
              <w:rPr>
                <w:rFonts w:ascii="宋体" w:hAnsi="宋体"/>
                <w:szCs w:val="21"/>
                <w:highlight w:val="none"/>
              </w:rPr>
            </w:pPr>
            <w:r>
              <w:rPr>
                <w:rFonts w:ascii="宋体" w:hAnsi="宋体"/>
                <w:szCs w:val="21"/>
                <w:highlight w:val="none"/>
              </w:rPr>
              <w:t>1.4.1</w:t>
            </w:r>
          </w:p>
        </w:tc>
        <w:tc>
          <w:tcPr>
            <w:tcW w:w="2160" w:type="dxa"/>
            <w:vAlign w:val="center"/>
          </w:tcPr>
          <w:p w14:paraId="05B47A10">
            <w:pPr>
              <w:snapToGrid w:val="0"/>
              <w:spacing w:line="276" w:lineRule="auto"/>
              <w:jc w:val="center"/>
              <w:rPr>
                <w:rFonts w:ascii="宋体" w:hAnsi="宋体"/>
                <w:szCs w:val="21"/>
                <w:highlight w:val="none"/>
              </w:rPr>
            </w:pPr>
            <w:r>
              <w:rPr>
                <w:rFonts w:hint="eastAsia" w:ascii="宋体" w:hAnsi="宋体"/>
                <w:szCs w:val="21"/>
                <w:highlight w:val="none"/>
              </w:rPr>
              <w:t>投标人资质条件、能力、信誉</w:t>
            </w:r>
          </w:p>
        </w:tc>
        <w:tc>
          <w:tcPr>
            <w:tcW w:w="7200" w:type="dxa"/>
            <w:vAlign w:val="center"/>
          </w:tcPr>
          <w:p w14:paraId="545A5B49">
            <w:pPr>
              <w:snapToGrid w:val="0"/>
              <w:spacing w:line="276" w:lineRule="auto"/>
              <w:rPr>
                <w:rFonts w:ascii="宋体" w:hAnsi="宋体"/>
                <w:szCs w:val="21"/>
                <w:highlight w:val="none"/>
              </w:rPr>
            </w:pPr>
            <w:r>
              <w:rPr>
                <w:rFonts w:hint="eastAsia" w:ascii="宋体" w:hAnsi="宋体"/>
                <w:szCs w:val="21"/>
                <w:highlight w:val="none"/>
              </w:rPr>
              <w:t>（</w:t>
            </w:r>
            <w:r>
              <w:rPr>
                <w:rFonts w:ascii="宋体" w:hAnsi="宋体"/>
                <w:szCs w:val="21"/>
                <w:highlight w:val="none"/>
              </w:rPr>
              <w:t>1</w:t>
            </w:r>
            <w:r>
              <w:rPr>
                <w:rFonts w:hint="eastAsia" w:ascii="宋体" w:hAnsi="宋体"/>
                <w:szCs w:val="21"/>
                <w:highlight w:val="none"/>
              </w:rPr>
              <w:t>）资质要求：见招标公告投标人资格要求。</w:t>
            </w:r>
          </w:p>
          <w:p w14:paraId="4446487F">
            <w:pPr>
              <w:snapToGrid w:val="0"/>
              <w:spacing w:line="276" w:lineRule="auto"/>
              <w:rPr>
                <w:rFonts w:ascii="宋体" w:hAnsi="宋体"/>
                <w:szCs w:val="21"/>
                <w:highlight w:val="none"/>
              </w:rPr>
            </w:pPr>
            <w:r>
              <w:rPr>
                <w:rFonts w:hint="eastAsia" w:ascii="宋体" w:hAnsi="宋体"/>
                <w:szCs w:val="21"/>
                <w:highlight w:val="none"/>
              </w:rPr>
              <w:t>（</w:t>
            </w:r>
            <w:r>
              <w:rPr>
                <w:rFonts w:ascii="宋体" w:hAnsi="宋体"/>
                <w:szCs w:val="21"/>
                <w:highlight w:val="none"/>
              </w:rPr>
              <w:t>2</w:t>
            </w:r>
            <w:r>
              <w:rPr>
                <w:rFonts w:hint="eastAsia" w:ascii="宋体" w:hAnsi="宋体"/>
                <w:szCs w:val="21"/>
                <w:highlight w:val="none"/>
              </w:rPr>
              <w:t>）财务要求：</w:t>
            </w:r>
            <w:r>
              <w:rPr>
                <w:rFonts w:ascii="宋体" w:hAnsi="宋体" w:cs="宋体"/>
                <w:szCs w:val="21"/>
                <w:highlight w:val="none"/>
              </w:rPr>
              <w:t>/</w:t>
            </w:r>
          </w:p>
          <w:p w14:paraId="02D0F062">
            <w:pPr>
              <w:snapToGrid w:val="0"/>
              <w:spacing w:line="276" w:lineRule="auto"/>
              <w:rPr>
                <w:rFonts w:ascii="宋体" w:hAnsi="宋体"/>
                <w:szCs w:val="21"/>
                <w:highlight w:val="none"/>
              </w:rPr>
            </w:pPr>
            <w:r>
              <w:rPr>
                <w:rFonts w:hint="eastAsia" w:ascii="宋体" w:hAnsi="宋体"/>
                <w:szCs w:val="21"/>
                <w:highlight w:val="none"/>
              </w:rPr>
              <w:t>（</w:t>
            </w:r>
            <w:r>
              <w:rPr>
                <w:rFonts w:ascii="宋体" w:hAnsi="宋体"/>
                <w:szCs w:val="21"/>
                <w:highlight w:val="none"/>
              </w:rPr>
              <w:t>3</w:t>
            </w:r>
            <w:r>
              <w:rPr>
                <w:rFonts w:hint="eastAsia" w:ascii="宋体" w:hAnsi="宋体"/>
                <w:szCs w:val="21"/>
                <w:highlight w:val="none"/>
              </w:rPr>
              <w:t>）业绩要求：</w:t>
            </w:r>
            <w:r>
              <w:rPr>
                <w:rFonts w:ascii="宋体" w:hAnsi="宋体"/>
                <w:szCs w:val="21"/>
                <w:highlight w:val="none"/>
              </w:rPr>
              <w:t>/</w:t>
            </w:r>
          </w:p>
          <w:p w14:paraId="740F1996">
            <w:pPr>
              <w:snapToGrid w:val="0"/>
              <w:spacing w:line="276" w:lineRule="auto"/>
              <w:rPr>
                <w:rFonts w:ascii="宋体" w:hAnsi="宋体"/>
                <w:szCs w:val="21"/>
                <w:highlight w:val="none"/>
              </w:rPr>
            </w:pPr>
            <w:r>
              <w:rPr>
                <w:rFonts w:hint="eastAsia" w:ascii="宋体" w:hAnsi="宋体"/>
                <w:szCs w:val="21"/>
                <w:highlight w:val="none"/>
              </w:rPr>
              <w:t>（</w:t>
            </w:r>
            <w:r>
              <w:rPr>
                <w:rFonts w:ascii="宋体" w:hAnsi="宋体"/>
                <w:szCs w:val="21"/>
                <w:highlight w:val="none"/>
              </w:rPr>
              <w:t>4</w:t>
            </w:r>
            <w:r>
              <w:rPr>
                <w:rFonts w:hint="eastAsia" w:ascii="宋体" w:hAnsi="宋体"/>
                <w:szCs w:val="21"/>
                <w:highlight w:val="none"/>
              </w:rPr>
              <w:t>）信誉要求：</w:t>
            </w:r>
            <w:r>
              <w:rPr>
                <w:rFonts w:hint="eastAsia" w:ascii="宋体" w:hAnsi="宋体" w:cs="宋体"/>
                <w:color w:val="auto"/>
                <w:szCs w:val="21"/>
                <w:highlight w:val="none"/>
              </w:rPr>
              <w:t>见招标公告投标人资格要求。</w:t>
            </w:r>
          </w:p>
          <w:p w14:paraId="32D4993B">
            <w:pPr>
              <w:snapToGrid w:val="0"/>
              <w:spacing w:line="276" w:lineRule="auto"/>
              <w:rPr>
                <w:rFonts w:ascii="宋体" w:hAnsi="宋体"/>
                <w:szCs w:val="21"/>
                <w:highlight w:val="none"/>
              </w:rPr>
            </w:pPr>
            <w:r>
              <w:rPr>
                <w:rFonts w:hint="eastAsia" w:ascii="宋体" w:hAnsi="宋体"/>
                <w:szCs w:val="21"/>
                <w:highlight w:val="none"/>
              </w:rPr>
              <w:t>（</w:t>
            </w:r>
            <w:r>
              <w:rPr>
                <w:rFonts w:ascii="宋体" w:hAnsi="宋体"/>
                <w:szCs w:val="21"/>
                <w:highlight w:val="none"/>
              </w:rPr>
              <w:t>5</w:t>
            </w:r>
            <w:r>
              <w:rPr>
                <w:rFonts w:hint="eastAsia" w:ascii="宋体" w:hAnsi="宋体"/>
                <w:szCs w:val="21"/>
                <w:highlight w:val="none"/>
              </w:rPr>
              <w:t>）项目负责人的资格要求：见招标公告投标人资格要求。</w:t>
            </w:r>
          </w:p>
          <w:p w14:paraId="71B48620">
            <w:pPr>
              <w:snapToGrid w:val="0"/>
              <w:spacing w:line="276" w:lineRule="auto"/>
              <w:rPr>
                <w:rFonts w:ascii="宋体" w:hAnsi="宋体"/>
                <w:szCs w:val="21"/>
                <w:highlight w:val="none"/>
              </w:rPr>
            </w:pPr>
            <w:r>
              <w:rPr>
                <w:rFonts w:hint="eastAsia" w:ascii="宋体" w:hAnsi="宋体"/>
                <w:szCs w:val="21"/>
                <w:highlight w:val="none"/>
              </w:rPr>
              <w:t>（</w:t>
            </w:r>
            <w:r>
              <w:rPr>
                <w:rFonts w:ascii="宋体" w:hAnsi="宋体"/>
                <w:szCs w:val="21"/>
                <w:highlight w:val="none"/>
              </w:rPr>
              <w:t>6</w:t>
            </w:r>
            <w:r>
              <w:rPr>
                <w:rFonts w:hint="eastAsia" w:ascii="宋体" w:hAnsi="宋体"/>
                <w:szCs w:val="21"/>
                <w:highlight w:val="none"/>
              </w:rPr>
              <w:t>）其他主要人员要求：</w:t>
            </w:r>
            <w:r>
              <w:rPr>
                <w:rFonts w:ascii="宋体" w:hAnsi="宋体"/>
                <w:szCs w:val="21"/>
                <w:highlight w:val="none"/>
              </w:rPr>
              <w:t>/</w:t>
            </w:r>
          </w:p>
          <w:p w14:paraId="611A2CA8">
            <w:pPr>
              <w:snapToGrid w:val="0"/>
              <w:spacing w:line="276" w:lineRule="auto"/>
              <w:rPr>
                <w:rFonts w:ascii="宋体" w:hAnsi="宋体"/>
                <w:szCs w:val="21"/>
                <w:highlight w:val="none"/>
              </w:rPr>
            </w:pPr>
            <w:r>
              <w:rPr>
                <w:rFonts w:hint="eastAsia" w:ascii="宋体" w:hAnsi="宋体"/>
                <w:szCs w:val="21"/>
                <w:highlight w:val="none"/>
              </w:rPr>
              <w:t>（</w:t>
            </w:r>
            <w:r>
              <w:rPr>
                <w:rFonts w:ascii="宋体" w:hAnsi="宋体"/>
                <w:szCs w:val="21"/>
                <w:highlight w:val="none"/>
              </w:rPr>
              <w:t>7</w:t>
            </w:r>
            <w:r>
              <w:rPr>
                <w:rFonts w:hint="eastAsia" w:ascii="宋体" w:hAnsi="宋体"/>
                <w:szCs w:val="21"/>
                <w:highlight w:val="none"/>
              </w:rPr>
              <w:t>）试验检测仪器设备要求：</w:t>
            </w:r>
            <w:r>
              <w:rPr>
                <w:rFonts w:ascii="宋体" w:hAnsi="宋体" w:cs="宋体"/>
                <w:szCs w:val="21"/>
                <w:highlight w:val="none"/>
              </w:rPr>
              <w:t>/</w:t>
            </w:r>
          </w:p>
          <w:p w14:paraId="08562FDE">
            <w:pPr>
              <w:snapToGrid w:val="0"/>
              <w:spacing w:line="276" w:lineRule="auto"/>
              <w:rPr>
                <w:rFonts w:ascii="宋体" w:hAnsi="宋体"/>
                <w:szCs w:val="21"/>
                <w:highlight w:val="none"/>
              </w:rPr>
            </w:pPr>
            <w:r>
              <w:rPr>
                <w:rFonts w:hint="eastAsia" w:ascii="宋体" w:hAnsi="宋体"/>
                <w:szCs w:val="21"/>
                <w:highlight w:val="none"/>
              </w:rPr>
              <w:t>（</w:t>
            </w:r>
            <w:r>
              <w:rPr>
                <w:rFonts w:ascii="宋体" w:hAnsi="宋体"/>
                <w:szCs w:val="21"/>
                <w:highlight w:val="none"/>
              </w:rPr>
              <w:t>8</w:t>
            </w:r>
            <w:r>
              <w:rPr>
                <w:rFonts w:hint="eastAsia" w:ascii="宋体" w:hAnsi="宋体"/>
                <w:szCs w:val="21"/>
                <w:highlight w:val="none"/>
              </w:rPr>
              <w:t>）其他要求：见招标公告投标人资格要求。</w:t>
            </w:r>
          </w:p>
        </w:tc>
      </w:tr>
      <w:tr w14:paraId="4BBC872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866" w:type="dxa"/>
            <w:vAlign w:val="center"/>
          </w:tcPr>
          <w:p w14:paraId="3649A557">
            <w:pPr>
              <w:snapToGrid w:val="0"/>
              <w:spacing w:line="276" w:lineRule="auto"/>
              <w:jc w:val="center"/>
              <w:rPr>
                <w:rFonts w:ascii="宋体" w:hAnsi="宋体"/>
                <w:szCs w:val="21"/>
                <w:highlight w:val="none"/>
              </w:rPr>
            </w:pPr>
            <w:r>
              <w:rPr>
                <w:rFonts w:ascii="宋体" w:hAnsi="宋体"/>
                <w:szCs w:val="21"/>
                <w:highlight w:val="none"/>
              </w:rPr>
              <w:t>1.4.2</w:t>
            </w:r>
          </w:p>
        </w:tc>
        <w:tc>
          <w:tcPr>
            <w:tcW w:w="2160" w:type="dxa"/>
            <w:vAlign w:val="center"/>
          </w:tcPr>
          <w:p w14:paraId="539F9020">
            <w:pPr>
              <w:snapToGrid w:val="0"/>
              <w:spacing w:line="276" w:lineRule="auto"/>
              <w:jc w:val="center"/>
              <w:rPr>
                <w:rFonts w:ascii="宋体" w:hAnsi="宋体"/>
                <w:szCs w:val="21"/>
                <w:highlight w:val="none"/>
              </w:rPr>
            </w:pPr>
            <w:r>
              <w:rPr>
                <w:rFonts w:hint="eastAsia" w:ascii="宋体" w:hAnsi="宋体"/>
                <w:szCs w:val="21"/>
                <w:highlight w:val="none"/>
              </w:rPr>
              <w:t>是否接受联合体投标</w:t>
            </w:r>
          </w:p>
        </w:tc>
        <w:tc>
          <w:tcPr>
            <w:tcW w:w="7200" w:type="dxa"/>
            <w:vAlign w:val="center"/>
          </w:tcPr>
          <w:p w14:paraId="67108227">
            <w:pPr>
              <w:snapToGrid w:val="0"/>
              <w:spacing w:line="276" w:lineRule="auto"/>
              <w:ind w:right="-238"/>
              <w:rPr>
                <w:rFonts w:ascii="宋体" w:hAnsi="宋体"/>
                <w:szCs w:val="21"/>
                <w:highlight w:val="none"/>
              </w:rPr>
            </w:pPr>
            <w:r>
              <w:rPr>
                <w:rFonts w:hint="eastAsia" w:hAnsi="宋体"/>
                <w:szCs w:val="21"/>
                <w:highlight w:val="none"/>
              </w:rPr>
              <w:t>□</w:t>
            </w:r>
            <w:r>
              <w:rPr>
                <w:rFonts w:hint="eastAsia" w:ascii="宋体" w:hAnsi="宋体" w:cs="宋体"/>
                <w:position w:val="3"/>
                <w:szCs w:val="21"/>
                <w:highlight w:val="none"/>
              </w:rPr>
              <w:t>不接受</w:t>
            </w:r>
          </w:p>
          <w:p w14:paraId="0BA2CF28">
            <w:pPr>
              <w:spacing w:line="276" w:lineRule="auto"/>
              <w:rPr>
                <w:rFonts w:ascii="宋体" w:hAnsi="宋体"/>
                <w:szCs w:val="21"/>
                <w:highlight w:val="none"/>
              </w:rPr>
            </w:pPr>
            <w:r>
              <w:rPr>
                <w:rFonts w:hint="eastAsia" w:ascii="宋体" w:hAnsi="宋体"/>
                <w:spacing w:val="-1"/>
                <w:szCs w:val="21"/>
                <w:highlight w:val="none"/>
              </w:rPr>
              <w:t>■</w:t>
            </w:r>
            <w:r>
              <w:rPr>
                <w:rFonts w:hint="eastAsia" w:ascii="宋体" w:hAnsi="宋体"/>
                <w:szCs w:val="21"/>
                <w:highlight w:val="none"/>
              </w:rPr>
              <w:t>接受，应满足下列要求：详见招标公告</w:t>
            </w:r>
          </w:p>
        </w:tc>
      </w:tr>
      <w:tr w14:paraId="435AFCD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866" w:type="dxa"/>
            <w:vAlign w:val="center"/>
          </w:tcPr>
          <w:p w14:paraId="4E3A10A4">
            <w:pPr>
              <w:snapToGrid w:val="0"/>
              <w:spacing w:line="276" w:lineRule="auto"/>
              <w:jc w:val="center"/>
              <w:rPr>
                <w:rFonts w:ascii="宋体" w:hAnsi="宋体"/>
                <w:szCs w:val="21"/>
                <w:highlight w:val="none"/>
              </w:rPr>
            </w:pPr>
            <w:r>
              <w:rPr>
                <w:rFonts w:ascii="宋体" w:hAnsi="宋体"/>
                <w:szCs w:val="21"/>
                <w:highlight w:val="none"/>
              </w:rPr>
              <w:t>1.4.3</w:t>
            </w:r>
          </w:p>
        </w:tc>
        <w:tc>
          <w:tcPr>
            <w:tcW w:w="2160" w:type="dxa"/>
            <w:vAlign w:val="center"/>
          </w:tcPr>
          <w:p w14:paraId="19D71B8F">
            <w:pPr>
              <w:snapToGrid w:val="0"/>
              <w:spacing w:line="276" w:lineRule="auto"/>
              <w:jc w:val="center"/>
              <w:rPr>
                <w:rFonts w:ascii="宋体" w:hAnsi="宋体"/>
                <w:szCs w:val="21"/>
                <w:highlight w:val="none"/>
              </w:rPr>
            </w:pPr>
            <w:r>
              <w:rPr>
                <w:rFonts w:hint="eastAsia" w:ascii="宋体" w:hAnsi="宋体"/>
                <w:szCs w:val="21"/>
                <w:highlight w:val="none"/>
              </w:rPr>
              <w:t>投标人不得存在的其他情形</w:t>
            </w:r>
          </w:p>
        </w:tc>
        <w:tc>
          <w:tcPr>
            <w:tcW w:w="7200" w:type="dxa"/>
            <w:vAlign w:val="center"/>
          </w:tcPr>
          <w:p w14:paraId="0B76D8A9">
            <w:pPr>
              <w:topLinePunct/>
              <w:snapToGrid w:val="0"/>
              <w:spacing w:line="276" w:lineRule="auto"/>
              <w:rPr>
                <w:rFonts w:ascii="宋体" w:hAnsi="宋体"/>
                <w:szCs w:val="21"/>
                <w:highlight w:val="none"/>
                <w:u w:val="single"/>
              </w:rPr>
            </w:pPr>
            <w:r>
              <w:rPr>
                <w:rFonts w:hint="eastAsia" w:ascii="宋体" w:hAnsi="宋体"/>
                <w:szCs w:val="21"/>
                <w:highlight w:val="none"/>
                <w:u w:val="single"/>
              </w:rPr>
              <w:t>在近三年内投标人或其法定代表人、拟委任的项目负责人有行贿犯罪行为的。</w:t>
            </w:r>
          </w:p>
        </w:tc>
      </w:tr>
      <w:tr w14:paraId="1C458C3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866" w:type="dxa"/>
            <w:vAlign w:val="center"/>
          </w:tcPr>
          <w:p w14:paraId="2A69239B">
            <w:pPr>
              <w:snapToGrid w:val="0"/>
              <w:spacing w:line="276" w:lineRule="auto"/>
              <w:jc w:val="center"/>
              <w:rPr>
                <w:rFonts w:ascii="宋体" w:hAnsi="宋体"/>
                <w:szCs w:val="21"/>
                <w:highlight w:val="none"/>
              </w:rPr>
            </w:pPr>
            <w:r>
              <w:rPr>
                <w:rFonts w:ascii="宋体" w:hAnsi="宋体"/>
                <w:szCs w:val="21"/>
                <w:highlight w:val="none"/>
              </w:rPr>
              <w:t>1.9.1</w:t>
            </w:r>
          </w:p>
        </w:tc>
        <w:tc>
          <w:tcPr>
            <w:tcW w:w="2160" w:type="dxa"/>
            <w:vAlign w:val="center"/>
          </w:tcPr>
          <w:p w14:paraId="4040362E">
            <w:pPr>
              <w:snapToGrid w:val="0"/>
              <w:spacing w:line="276" w:lineRule="auto"/>
              <w:jc w:val="center"/>
              <w:rPr>
                <w:rFonts w:ascii="宋体" w:hAnsi="宋体"/>
                <w:szCs w:val="21"/>
                <w:highlight w:val="none"/>
              </w:rPr>
            </w:pPr>
            <w:r>
              <w:rPr>
                <w:rFonts w:hint="eastAsia" w:ascii="宋体" w:hAnsi="宋体"/>
                <w:szCs w:val="21"/>
                <w:highlight w:val="none"/>
              </w:rPr>
              <w:t>踏勘现场</w:t>
            </w:r>
          </w:p>
        </w:tc>
        <w:tc>
          <w:tcPr>
            <w:tcW w:w="7200" w:type="dxa"/>
            <w:vAlign w:val="center"/>
          </w:tcPr>
          <w:p w14:paraId="0253B8BC">
            <w:pPr>
              <w:pStyle w:val="12"/>
              <w:topLinePunct/>
              <w:snapToGrid w:val="0"/>
              <w:spacing w:line="276" w:lineRule="auto"/>
              <w:rPr>
                <w:rFonts w:hAnsi="宋体"/>
                <w:sz w:val="21"/>
                <w:szCs w:val="21"/>
                <w:highlight w:val="none"/>
              </w:rPr>
            </w:pPr>
            <w:r>
              <w:rPr>
                <w:rFonts w:hint="eastAsia" w:hAnsi="宋体"/>
                <w:spacing w:val="-1"/>
                <w:sz w:val="21"/>
                <w:szCs w:val="21"/>
                <w:highlight w:val="none"/>
              </w:rPr>
              <w:t>■</w:t>
            </w:r>
            <w:r>
              <w:rPr>
                <w:rFonts w:hint="eastAsia" w:hAnsi="宋体"/>
                <w:sz w:val="21"/>
                <w:szCs w:val="21"/>
                <w:highlight w:val="none"/>
              </w:rPr>
              <w:t>不组织，</w:t>
            </w:r>
            <w:r>
              <w:rPr>
                <w:rFonts w:hint="eastAsia" w:hAnsi="宋体"/>
                <w:sz w:val="21"/>
                <w:szCs w:val="21"/>
                <w:highlight w:val="none"/>
                <w:u w:val="single"/>
              </w:rPr>
              <w:t>由投标人自行现场考察。</w:t>
            </w:r>
          </w:p>
          <w:p w14:paraId="3AE0262A">
            <w:pPr>
              <w:pStyle w:val="12"/>
              <w:topLinePunct/>
              <w:snapToGrid w:val="0"/>
              <w:spacing w:line="276" w:lineRule="auto"/>
              <w:rPr>
                <w:rFonts w:hAnsi="宋体"/>
                <w:sz w:val="21"/>
                <w:szCs w:val="21"/>
                <w:highlight w:val="none"/>
              </w:rPr>
            </w:pPr>
            <w:r>
              <w:rPr>
                <w:rFonts w:hint="eastAsia" w:hAnsi="宋体"/>
                <w:sz w:val="21"/>
                <w:szCs w:val="21"/>
                <w:highlight w:val="none"/>
              </w:rPr>
              <w:t>□组织，踏勘时间：</w:t>
            </w:r>
            <w:r>
              <w:rPr>
                <w:rFonts w:hAnsi="宋体"/>
                <w:sz w:val="21"/>
                <w:szCs w:val="21"/>
                <w:highlight w:val="none"/>
              </w:rPr>
              <w:t>/</w:t>
            </w:r>
          </w:p>
          <w:p w14:paraId="61BB8BBE">
            <w:pPr>
              <w:pStyle w:val="12"/>
              <w:topLinePunct/>
              <w:snapToGrid w:val="0"/>
              <w:spacing w:line="276" w:lineRule="auto"/>
              <w:ind w:firstLine="840" w:firstLineChars="400"/>
              <w:rPr>
                <w:rFonts w:hAnsi="宋体"/>
                <w:sz w:val="21"/>
                <w:szCs w:val="21"/>
                <w:highlight w:val="none"/>
              </w:rPr>
            </w:pPr>
            <w:r>
              <w:rPr>
                <w:rFonts w:hint="eastAsia" w:hAnsi="宋体"/>
                <w:sz w:val="21"/>
                <w:szCs w:val="21"/>
                <w:highlight w:val="none"/>
              </w:rPr>
              <w:t>踏勘集中地点：</w:t>
            </w:r>
            <w:r>
              <w:rPr>
                <w:rFonts w:hAnsi="宋体"/>
                <w:sz w:val="21"/>
                <w:szCs w:val="21"/>
                <w:highlight w:val="none"/>
              </w:rPr>
              <w:t>/</w:t>
            </w:r>
          </w:p>
        </w:tc>
      </w:tr>
      <w:tr w14:paraId="47998D6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866" w:type="dxa"/>
            <w:vAlign w:val="center"/>
          </w:tcPr>
          <w:p w14:paraId="1F7AB53E">
            <w:pPr>
              <w:snapToGrid w:val="0"/>
              <w:spacing w:line="276" w:lineRule="auto"/>
              <w:jc w:val="center"/>
              <w:rPr>
                <w:rFonts w:ascii="宋体" w:hAnsi="宋体"/>
                <w:szCs w:val="21"/>
                <w:highlight w:val="none"/>
              </w:rPr>
            </w:pPr>
            <w:r>
              <w:rPr>
                <w:rFonts w:ascii="宋体" w:hAnsi="宋体"/>
                <w:szCs w:val="21"/>
                <w:highlight w:val="none"/>
              </w:rPr>
              <w:t>1.10.1</w:t>
            </w:r>
          </w:p>
        </w:tc>
        <w:tc>
          <w:tcPr>
            <w:tcW w:w="2160" w:type="dxa"/>
            <w:vAlign w:val="center"/>
          </w:tcPr>
          <w:p w14:paraId="1086A127">
            <w:pPr>
              <w:snapToGrid w:val="0"/>
              <w:spacing w:line="276" w:lineRule="auto"/>
              <w:jc w:val="center"/>
              <w:rPr>
                <w:rFonts w:ascii="宋体" w:hAnsi="宋体"/>
                <w:szCs w:val="21"/>
                <w:highlight w:val="none"/>
              </w:rPr>
            </w:pPr>
            <w:r>
              <w:rPr>
                <w:rFonts w:hint="eastAsia" w:ascii="宋体" w:hAnsi="宋体"/>
                <w:szCs w:val="21"/>
                <w:highlight w:val="none"/>
              </w:rPr>
              <w:t>投标预备会</w:t>
            </w:r>
          </w:p>
        </w:tc>
        <w:tc>
          <w:tcPr>
            <w:tcW w:w="7200" w:type="dxa"/>
            <w:vAlign w:val="center"/>
          </w:tcPr>
          <w:p w14:paraId="46ED4508">
            <w:pPr>
              <w:pStyle w:val="12"/>
              <w:topLinePunct/>
              <w:snapToGrid w:val="0"/>
              <w:spacing w:line="276" w:lineRule="auto"/>
              <w:rPr>
                <w:rFonts w:hAnsi="宋体"/>
                <w:sz w:val="21"/>
                <w:szCs w:val="21"/>
                <w:highlight w:val="none"/>
              </w:rPr>
            </w:pPr>
            <w:r>
              <w:rPr>
                <w:rFonts w:hint="eastAsia" w:hAnsi="宋体"/>
                <w:spacing w:val="-1"/>
                <w:sz w:val="21"/>
                <w:szCs w:val="21"/>
                <w:highlight w:val="none"/>
              </w:rPr>
              <w:t>■</w:t>
            </w:r>
            <w:r>
              <w:rPr>
                <w:rFonts w:hint="eastAsia" w:hAnsi="宋体"/>
                <w:sz w:val="21"/>
                <w:szCs w:val="21"/>
                <w:highlight w:val="none"/>
              </w:rPr>
              <w:t>不召开</w:t>
            </w:r>
          </w:p>
          <w:p w14:paraId="6BDF4E1D">
            <w:pPr>
              <w:snapToGrid w:val="0"/>
              <w:spacing w:line="276" w:lineRule="auto"/>
              <w:rPr>
                <w:rFonts w:ascii="宋体" w:hAnsi="宋体"/>
                <w:szCs w:val="21"/>
                <w:highlight w:val="none"/>
              </w:rPr>
            </w:pPr>
            <w:r>
              <w:rPr>
                <w:rFonts w:hint="eastAsia" w:ascii="宋体" w:hAnsi="宋体"/>
                <w:szCs w:val="21"/>
                <w:highlight w:val="none"/>
              </w:rPr>
              <w:t>□召开，召开时间：</w:t>
            </w:r>
            <w:r>
              <w:rPr>
                <w:rFonts w:ascii="宋体" w:hAnsi="宋体"/>
                <w:szCs w:val="21"/>
                <w:highlight w:val="none"/>
                <w:u w:val="single"/>
              </w:rPr>
              <w:t xml:space="preserve"> / </w:t>
            </w:r>
          </w:p>
          <w:p w14:paraId="79398F9B">
            <w:pPr>
              <w:snapToGrid w:val="0"/>
              <w:spacing w:line="276" w:lineRule="auto"/>
              <w:ind w:firstLine="840" w:firstLineChars="400"/>
              <w:rPr>
                <w:rFonts w:ascii="宋体" w:hAnsi="宋体"/>
                <w:szCs w:val="21"/>
                <w:highlight w:val="none"/>
              </w:rPr>
            </w:pPr>
            <w:r>
              <w:rPr>
                <w:rFonts w:hint="eastAsia" w:ascii="宋体" w:hAnsi="宋体"/>
                <w:szCs w:val="21"/>
                <w:highlight w:val="none"/>
              </w:rPr>
              <w:t>召开地点：</w:t>
            </w:r>
            <w:r>
              <w:rPr>
                <w:rFonts w:ascii="宋体" w:hAnsi="宋体"/>
                <w:szCs w:val="21"/>
                <w:highlight w:val="none"/>
                <w:u w:val="single"/>
              </w:rPr>
              <w:t xml:space="preserve"> / </w:t>
            </w:r>
          </w:p>
        </w:tc>
      </w:tr>
      <w:tr w14:paraId="10B4525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866" w:type="dxa"/>
            <w:vMerge w:val="restart"/>
            <w:vAlign w:val="center"/>
          </w:tcPr>
          <w:p w14:paraId="0A203869">
            <w:pPr>
              <w:snapToGrid w:val="0"/>
              <w:spacing w:line="276" w:lineRule="auto"/>
              <w:jc w:val="center"/>
              <w:rPr>
                <w:rFonts w:ascii="宋体" w:hAnsi="宋体"/>
                <w:szCs w:val="21"/>
                <w:highlight w:val="none"/>
              </w:rPr>
            </w:pPr>
            <w:r>
              <w:rPr>
                <w:rFonts w:ascii="宋体" w:hAnsi="宋体"/>
                <w:szCs w:val="21"/>
                <w:highlight w:val="none"/>
              </w:rPr>
              <w:t>1.10.2</w:t>
            </w:r>
          </w:p>
        </w:tc>
        <w:tc>
          <w:tcPr>
            <w:tcW w:w="2160" w:type="dxa"/>
            <w:vMerge w:val="restart"/>
            <w:vAlign w:val="center"/>
          </w:tcPr>
          <w:p w14:paraId="59745731">
            <w:pPr>
              <w:snapToGrid w:val="0"/>
              <w:spacing w:line="276" w:lineRule="auto"/>
              <w:jc w:val="center"/>
              <w:rPr>
                <w:rFonts w:ascii="宋体" w:hAnsi="宋体"/>
                <w:szCs w:val="21"/>
                <w:highlight w:val="none"/>
              </w:rPr>
            </w:pPr>
            <w:r>
              <w:rPr>
                <w:rFonts w:hint="eastAsia" w:ascii="宋体" w:hAnsi="宋体"/>
                <w:szCs w:val="21"/>
                <w:highlight w:val="none"/>
              </w:rPr>
              <w:t>投标人在投标预备会前提出问题</w:t>
            </w:r>
          </w:p>
        </w:tc>
        <w:tc>
          <w:tcPr>
            <w:tcW w:w="7200" w:type="dxa"/>
            <w:vAlign w:val="center"/>
          </w:tcPr>
          <w:p w14:paraId="741A01F9">
            <w:pPr>
              <w:snapToGrid w:val="0"/>
              <w:spacing w:line="276" w:lineRule="auto"/>
              <w:rPr>
                <w:rFonts w:ascii="宋体" w:hAnsi="宋体"/>
                <w:szCs w:val="21"/>
                <w:highlight w:val="none"/>
              </w:rPr>
            </w:pPr>
            <w:r>
              <w:rPr>
                <w:rFonts w:hint="eastAsia" w:ascii="宋体" w:hAnsi="宋体"/>
                <w:szCs w:val="21"/>
                <w:highlight w:val="none"/>
              </w:rPr>
              <w:t>时间：</w:t>
            </w:r>
            <w:r>
              <w:rPr>
                <w:rFonts w:ascii="宋体" w:hAnsi="宋体"/>
                <w:szCs w:val="21"/>
                <w:highlight w:val="none"/>
                <w:u w:val="single"/>
              </w:rPr>
              <w:t xml:space="preserve"> / </w:t>
            </w:r>
          </w:p>
        </w:tc>
      </w:tr>
      <w:tr w14:paraId="01908E3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866" w:type="dxa"/>
            <w:vMerge w:val="continue"/>
            <w:vAlign w:val="center"/>
          </w:tcPr>
          <w:p w14:paraId="2A587EBD">
            <w:pPr>
              <w:snapToGrid w:val="0"/>
              <w:spacing w:line="276" w:lineRule="auto"/>
              <w:jc w:val="center"/>
              <w:rPr>
                <w:rFonts w:ascii="宋体" w:hAnsi="宋体"/>
                <w:szCs w:val="21"/>
                <w:highlight w:val="none"/>
              </w:rPr>
            </w:pPr>
          </w:p>
        </w:tc>
        <w:tc>
          <w:tcPr>
            <w:tcW w:w="2160" w:type="dxa"/>
            <w:vMerge w:val="continue"/>
            <w:vAlign w:val="center"/>
          </w:tcPr>
          <w:p w14:paraId="74F683DB">
            <w:pPr>
              <w:snapToGrid w:val="0"/>
              <w:spacing w:line="276" w:lineRule="auto"/>
              <w:jc w:val="center"/>
              <w:rPr>
                <w:rFonts w:ascii="宋体" w:hAnsi="宋体"/>
                <w:szCs w:val="21"/>
                <w:highlight w:val="none"/>
              </w:rPr>
            </w:pPr>
          </w:p>
        </w:tc>
        <w:tc>
          <w:tcPr>
            <w:tcW w:w="7200" w:type="dxa"/>
            <w:vAlign w:val="center"/>
          </w:tcPr>
          <w:p w14:paraId="0CAF99B7">
            <w:pPr>
              <w:snapToGrid w:val="0"/>
              <w:spacing w:line="276" w:lineRule="auto"/>
              <w:rPr>
                <w:rFonts w:ascii="宋体" w:hAnsi="宋体"/>
                <w:szCs w:val="21"/>
                <w:highlight w:val="none"/>
              </w:rPr>
            </w:pPr>
            <w:r>
              <w:rPr>
                <w:rFonts w:hint="eastAsia" w:ascii="宋体" w:hAnsi="宋体"/>
                <w:szCs w:val="21"/>
                <w:highlight w:val="none"/>
              </w:rPr>
              <w:t>形式：</w:t>
            </w:r>
            <w:r>
              <w:rPr>
                <w:rFonts w:ascii="宋体" w:hAnsi="宋体"/>
                <w:szCs w:val="21"/>
                <w:highlight w:val="none"/>
                <w:u w:val="single"/>
              </w:rPr>
              <w:t xml:space="preserve"> / </w:t>
            </w:r>
          </w:p>
        </w:tc>
      </w:tr>
      <w:tr w14:paraId="6B11C32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866" w:type="dxa"/>
            <w:vAlign w:val="center"/>
          </w:tcPr>
          <w:p w14:paraId="540FBED4">
            <w:pPr>
              <w:snapToGrid w:val="0"/>
              <w:spacing w:line="276" w:lineRule="auto"/>
              <w:jc w:val="center"/>
              <w:rPr>
                <w:rFonts w:ascii="宋体" w:hAnsi="宋体"/>
                <w:szCs w:val="21"/>
                <w:highlight w:val="none"/>
              </w:rPr>
            </w:pPr>
            <w:r>
              <w:rPr>
                <w:rFonts w:ascii="宋体" w:hAnsi="宋体"/>
                <w:szCs w:val="21"/>
                <w:highlight w:val="none"/>
              </w:rPr>
              <w:t>1.10.3</w:t>
            </w:r>
          </w:p>
        </w:tc>
        <w:tc>
          <w:tcPr>
            <w:tcW w:w="2160" w:type="dxa"/>
            <w:vAlign w:val="center"/>
          </w:tcPr>
          <w:p w14:paraId="4205CAD2">
            <w:pPr>
              <w:snapToGrid w:val="0"/>
              <w:spacing w:line="276" w:lineRule="auto"/>
              <w:jc w:val="center"/>
              <w:rPr>
                <w:rFonts w:ascii="宋体" w:hAnsi="宋体"/>
                <w:szCs w:val="21"/>
                <w:highlight w:val="none"/>
              </w:rPr>
            </w:pPr>
            <w:r>
              <w:rPr>
                <w:rFonts w:hint="eastAsia" w:ascii="宋体" w:hAnsi="宋体"/>
                <w:szCs w:val="21"/>
                <w:highlight w:val="none"/>
              </w:rPr>
              <w:t>招标文件澄清发出的形式</w:t>
            </w:r>
          </w:p>
        </w:tc>
        <w:tc>
          <w:tcPr>
            <w:tcW w:w="7200" w:type="dxa"/>
            <w:vAlign w:val="center"/>
          </w:tcPr>
          <w:p w14:paraId="103066F9">
            <w:pPr>
              <w:snapToGrid w:val="0"/>
              <w:spacing w:line="276" w:lineRule="auto"/>
              <w:rPr>
                <w:rFonts w:ascii="宋体" w:hAnsi="宋体"/>
                <w:szCs w:val="21"/>
                <w:highlight w:val="none"/>
              </w:rPr>
            </w:pPr>
            <w:r>
              <w:rPr>
                <w:rFonts w:ascii="宋体" w:hAnsi="宋体"/>
                <w:szCs w:val="21"/>
                <w:highlight w:val="none"/>
                <w:u w:val="single"/>
              </w:rPr>
              <w:t xml:space="preserve">/ </w:t>
            </w:r>
            <w:r>
              <w:rPr>
                <w:rFonts w:ascii="宋体" w:hAnsi="宋体"/>
                <w:szCs w:val="21"/>
                <w:highlight w:val="none"/>
              </w:rPr>
              <w:t xml:space="preserve"> </w:t>
            </w:r>
            <w:r>
              <w:rPr>
                <w:rFonts w:hint="eastAsia" w:ascii="宋体" w:hAnsi="宋体"/>
                <w:szCs w:val="21"/>
                <w:highlight w:val="none"/>
              </w:rPr>
              <w:t>（此为投标预备会的答疑澄清）</w:t>
            </w:r>
          </w:p>
        </w:tc>
      </w:tr>
      <w:tr w14:paraId="07843C6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866" w:type="dxa"/>
            <w:vAlign w:val="center"/>
          </w:tcPr>
          <w:p w14:paraId="625F2EAA">
            <w:pPr>
              <w:snapToGrid w:val="0"/>
              <w:spacing w:line="276" w:lineRule="auto"/>
              <w:jc w:val="center"/>
              <w:rPr>
                <w:rFonts w:ascii="宋体" w:hAnsi="宋体"/>
                <w:szCs w:val="21"/>
                <w:highlight w:val="none"/>
              </w:rPr>
            </w:pPr>
            <w:r>
              <w:rPr>
                <w:rFonts w:ascii="宋体" w:hAnsi="宋体"/>
                <w:szCs w:val="21"/>
                <w:highlight w:val="none"/>
              </w:rPr>
              <w:t>1.12.1</w:t>
            </w:r>
          </w:p>
        </w:tc>
        <w:tc>
          <w:tcPr>
            <w:tcW w:w="2160" w:type="dxa"/>
            <w:vAlign w:val="center"/>
          </w:tcPr>
          <w:p w14:paraId="2240DD12">
            <w:pPr>
              <w:snapToGrid w:val="0"/>
              <w:spacing w:line="276" w:lineRule="auto"/>
              <w:jc w:val="center"/>
              <w:rPr>
                <w:rFonts w:ascii="宋体" w:hAnsi="宋体"/>
                <w:szCs w:val="21"/>
                <w:highlight w:val="none"/>
              </w:rPr>
            </w:pPr>
            <w:r>
              <w:rPr>
                <w:rFonts w:hint="eastAsia" w:ascii="宋体" w:hAnsi="宋体"/>
                <w:szCs w:val="21"/>
                <w:highlight w:val="none"/>
              </w:rPr>
              <w:t>实质性要求和条件</w:t>
            </w:r>
          </w:p>
        </w:tc>
        <w:tc>
          <w:tcPr>
            <w:tcW w:w="7200" w:type="dxa"/>
            <w:vAlign w:val="center"/>
          </w:tcPr>
          <w:p w14:paraId="5D7B6D0C">
            <w:pPr>
              <w:pStyle w:val="12"/>
              <w:topLinePunct/>
              <w:snapToGrid w:val="0"/>
              <w:spacing w:line="276" w:lineRule="auto"/>
              <w:rPr>
                <w:rFonts w:hAnsi="宋体"/>
                <w:sz w:val="21"/>
                <w:szCs w:val="21"/>
                <w:highlight w:val="none"/>
              </w:rPr>
            </w:pPr>
            <w:r>
              <w:rPr>
                <w:rFonts w:hAnsi="宋体"/>
                <w:sz w:val="21"/>
                <w:szCs w:val="21"/>
                <w:highlight w:val="none"/>
              </w:rPr>
              <w:t>/</w:t>
            </w:r>
          </w:p>
        </w:tc>
      </w:tr>
      <w:tr w14:paraId="5ECB121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866" w:type="dxa"/>
            <w:vAlign w:val="center"/>
          </w:tcPr>
          <w:p w14:paraId="57A99C45">
            <w:pPr>
              <w:snapToGrid w:val="0"/>
              <w:spacing w:line="276" w:lineRule="auto"/>
              <w:jc w:val="center"/>
              <w:rPr>
                <w:rFonts w:ascii="宋体" w:hAnsi="宋体"/>
                <w:szCs w:val="21"/>
                <w:highlight w:val="none"/>
              </w:rPr>
            </w:pPr>
            <w:r>
              <w:rPr>
                <w:rFonts w:ascii="宋体" w:hAnsi="宋体"/>
                <w:szCs w:val="21"/>
                <w:highlight w:val="none"/>
              </w:rPr>
              <w:t>1.12.3</w:t>
            </w:r>
          </w:p>
        </w:tc>
        <w:tc>
          <w:tcPr>
            <w:tcW w:w="2160" w:type="dxa"/>
            <w:vAlign w:val="center"/>
          </w:tcPr>
          <w:p w14:paraId="61C97BA5">
            <w:pPr>
              <w:snapToGrid w:val="0"/>
              <w:spacing w:line="276" w:lineRule="auto"/>
              <w:jc w:val="center"/>
              <w:rPr>
                <w:rFonts w:ascii="宋体" w:hAnsi="宋体"/>
                <w:szCs w:val="21"/>
                <w:highlight w:val="none"/>
              </w:rPr>
            </w:pPr>
            <w:r>
              <w:rPr>
                <w:rFonts w:hint="eastAsia" w:ascii="宋体" w:hAnsi="宋体"/>
                <w:szCs w:val="21"/>
                <w:highlight w:val="none"/>
              </w:rPr>
              <w:t>偏差</w:t>
            </w:r>
          </w:p>
        </w:tc>
        <w:tc>
          <w:tcPr>
            <w:tcW w:w="7200" w:type="dxa"/>
            <w:vAlign w:val="center"/>
          </w:tcPr>
          <w:p w14:paraId="5DCC4D1D">
            <w:pPr>
              <w:snapToGrid w:val="0"/>
              <w:spacing w:line="276" w:lineRule="auto"/>
              <w:rPr>
                <w:rFonts w:ascii="宋体" w:hAnsi="宋体"/>
                <w:szCs w:val="21"/>
                <w:highlight w:val="none"/>
              </w:rPr>
            </w:pPr>
            <w:r>
              <w:rPr>
                <w:rFonts w:hint="eastAsia" w:ascii="宋体" w:hAnsi="宋体"/>
                <w:spacing w:val="-1"/>
                <w:szCs w:val="21"/>
                <w:highlight w:val="none"/>
              </w:rPr>
              <w:t>■</w:t>
            </w:r>
            <w:r>
              <w:rPr>
                <w:rFonts w:hint="eastAsia" w:ascii="宋体" w:hAnsi="宋体"/>
                <w:szCs w:val="21"/>
                <w:highlight w:val="none"/>
              </w:rPr>
              <w:t>不允许</w:t>
            </w:r>
          </w:p>
          <w:p w14:paraId="449B21E1">
            <w:pPr>
              <w:pStyle w:val="12"/>
              <w:topLinePunct/>
              <w:snapToGrid w:val="0"/>
              <w:spacing w:line="276" w:lineRule="auto"/>
              <w:rPr>
                <w:rFonts w:hAnsi="宋体"/>
                <w:sz w:val="21"/>
                <w:szCs w:val="21"/>
                <w:highlight w:val="none"/>
              </w:rPr>
            </w:pPr>
            <w:r>
              <w:rPr>
                <w:rFonts w:hint="eastAsia" w:hAnsi="宋体"/>
                <w:sz w:val="21"/>
                <w:szCs w:val="21"/>
                <w:highlight w:val="none"/>
              </w:rPr>
              <w:t>□允许，偏差范围：</w:t>
            </w:r>
            <w:r>
              <w:rPr>
                <w:rFonts w:hAnsi="宋体"/>
                <w:sz w:val="21"/>
                <w:szCs w:val="21"/>
                <w:highlight w:val="none"/>
              </w:rPr>
              <w:t>/</w:t>
            </w:r>
          </w:p>
          <w:p w14:paraId="3834ABB7">
            <w:pPr>
              <w:pStyle w:val="12"/>
              <w:topLinePunct/>
              <w:snapToGrid w:val="0"/>
              <w:spacing w:line="276" w:lineRule="auto"/>
              <w:ind w:firstLine="840" w:firstLineChars="400"/>
              <w:rPr>
                <w:rFonts w:hAnsi="宋体"/>
                <w:sz w:val="21"/>
                <w:szCs w:val="21"/>
                <w:highlight w:val="none"/>
              </w:rPr>
            </w:pPr>
            <w:r>
              <w:rPr>
                <w:rFonts w:hint="eastAsia" w:hAnsi="宋体"/>
                <w:sz w:val="21"/>
                <w:szCs w:val="21"/>
                <w:highlight w:val="none"/>
              </w:rPr>
              <w:t>偏差幅度：</w:t>
            </w:r>
            <w:r>
              <w:rPr>
                <w:rFonts w:hAnsi="宋体"/>
                <w:sz w:val="21"/>
                <w:szCs w:val="21"/>
                <w:highlight w:val="none"/>
              </w:rPr>
              <w:t>/</w:t>
            </w:r>
          </w:p>
        </w:tc>
      </w:tr>
      <w:tr w14:paraId="504F7CF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866" w:type="dxa"/>
            <w:vAlign w:val="center"/>
          </w:tcPr>
          <w:p w14:paraId="1C0ADBD3">
            <w:pPr>
              <w:snapToGrid w:val="0"/>
              <w:spacing w:line="276" w:lineRule="auto"/>
              <w:jc w:val="center"/>
              <w:rPr>
                <w:rFonts w:ascii="宋体" w:hAnsi="宋体"/>
                <w:szCs w:val="21"/>
                <w:highlight w:val="none"/>
              </w:rPr>
            </w:pPr>
            <w:r>
              <w:rPr>
                <w:rFonts w:ascii="宋体" w:hAnsi="宋体"/>
                <w:szCs w:val="21"/>
                <w:highlight w:val="none"/>
              </w:rPr>
              <w:t>2.1</w:t>
            </w:r>
          </w:p>
        </w:tc>
        <w:tc>
          <w:tcPr>
            <w:tcW w:w="2160" w:type="dxa"/>
            <w:vAlign w:val="center"/>
          </w:tcPr>
          <w:p w14:paraId="4B112AD8">
            <w:pPr>
              <w:snapToGrid w:val="0"/>
              <w:spacing w:line="276" w:lineRule="auto"/>
              <w:jc w:val="center"/>
              <w:rPr>
                <w:rFonts w:ascii="宋体" w:hAnsi="宋体"/>
                <w:szCs w:val="21"/>
                <w:highlight w:val="none"/>
              </w:rPr>
            </w:pPr>
            <w:r>
              <w:rPr>
                <w:rFonts w:hint="eastAsia" w:ascii="宋体" w:hAnsi="宋体"/>
                <w:szCs w:val="21"/>
                <w:highlight w:val="none"/>
              </w:rPr>
              <w:t>构成招标文件的其他资料</w:t>
            </w:r>
          </w:p>
        </w:tc>
        <w:tc>
          <w:tcPr>
            <w:tcW w:w="7200" w:type="dxa"/>
            <w:vAlign w:val="center"/>
          </w:tcPr>
          <w:p w14:paraId="7EC7C746">
            <w:pPr>
              <w:snapToGrid w:val="0"/>
              <w:spacing w:line="276" w:lineRule="auto"/>
              <w:rPr>
                <w:rFonts w:ascii="宋体" w:hAnsi="宋体"/>
                <w:szCs w:val="21"/>
                <w:highlight w:val="none"/>
              </w:rPr>
            </w:pPr>
            <w:r>
              <w:rPr>
                <w:rFonts w:ascii="宋体" w:hAnsi="宋体"/>
                <w:szCs w:val="21"/>
                <w:highlight w:val="none"/>
                <w:u w:val="single"/>
              </w:rPr>
              <w:t xml:space="preserve"> / </w:t>
            </w:r>
          </w:p>
        </w:tc>
      </w:tr>
      <w:tr w14:paraId="1D607BA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866" w:type="dxa"/>
            <w:vMerge w:val="restart"/>
            <w:vAlign w:val="center"/>
          </w:tcPr>
          <w:p w14:paraId="1988A314">
            <w:pPr>
              <w:snapToGrid w:val="0"/>
              <w:spacing w:line="276" w:lineRule="auto"/>
              <w:jc w:val="center"/>
              <w:rPr>
                <w:rFonts w:ascii="宋体" w:hAnsi="宋体"/>
                <w:szCs w:val="21"/>
                <w:highlight w:val="none"/>
              </w:rPr>
            </w:pPr>
            <w:r>
              <w:rPr>
                <w:rFonts w:ascii="宋体" w:hAnsi="宋体"/>
                <w:szCs w:val="21"/>
                <w:highlight w:val="none"/>
              </w:rPr>
              <w:t>2.2.1</w:t>
            </w:r>
          </w:p>
        </w:tc>
        <w:tc>
          <w:tcPr>
            <w:tcW w:w="2160" w:type="dxa"/>
            <w:vMerge w:val="restart"/>
            <w:vAlign w:val="center"/>
          </w:tcPr>
          <w:p w14:paraId="415219B4">
            <w:pPr>
              <w:snapToGrid w:val="0"/>
              <w:spacing w:line="276" w:lineRule="auto"/>
              <w:jc w:val="center"/>
              <w:rPr>
                <w:rFonts w:ascii="宋体" w:hAnsi="宋体"/>
                <w:szCs w:val="21"/>
                <w:highlight w:val="none"/>
              </w:rPr>
            </w:pPr>
            <w:r>
              <w:rPr>
                <w:rFonts w:hint="eastAsia" w:ascii="宋体" w:hAnsi="宋体"/>
                <w:szCs w:val="21"/>
                <w:highlight w:val="none"/>
              </w:rPr>
              <w:t>投标人要求澄清招标文件</w:t>
            </w:r>
          </w:p>
        </w:tc>
        <w:tc>
          <w:tcPr>
            <w:tcW w:w="7200" w:type="dxa"/>
            <w:vAlign w:val="center"/>
          </w:tcPr>
          <w:p w14:paraId="6597B097">
            <w:pPr>
              <w:snapToGrid w:val="0"/>
              <w:spacing w:line="276" w:lineRule="auto"/>
              <w:rPr>
                <w:rFonts w:ascii="宋体" w:hAnsi="宋体"/>
                <w:szCs w:val="21"/>
                <w:highlight w:val="none"/>
              </w:rPr>
            </w:pPr>
            <w:r>
              <w:rPr>
                <w:rFonts w:hint="eastAsia" w:ascii="宋体" w:hAnsi="宋体"/>
                <w:szCs w:val="21"/>
                <w:highlight w:val="none"/>
              </w:rPr>
              <w:t>时间：投标人在递交投标文件截止时间</w:t>
            </w:r>
            <w:r>
              <w:rPr>
                <w:rFonts w:ascii="宋体" w:hAnsi="宋体"/>
                <w:szCs w:val="21"/>
                <w:highlight w:val="none"/>
              </w:rPr>
              <w:t>18</w:t>
            </w:r>
            <w:r>
              <w:rPr>
                <w:rFonts w:hint="eastAsia" w:ascii="宋体" w:hAnsi="宋体"/>
                <w:szCs w:val="21"/>
                <w:highlight w:val="none"/>
              </w:rPr>
              <w:t>天前提出；</w:t>
            </w:r>
          </w:p>
        </w:tc>
      </w:tr>
      <w:tr w14:paraId="34D40BD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866" w:type="dxa"/>
            <w:vMerge w:val="continue"/>
            <w:vAlign w:val="center"/>
          </w:tcPr>
          <w:p w14:paraId="289ED709">
            <w:pPr>
              <w:snapToGrid w:val="0"/>
              <w:spacing w:line="276" w:lineRule="auto"/>
              <w:jc w:val="center"/>
              <w:rPr>
                <w:rFonts w:ascii="宋体" w:hAnsi="宋体"/>
                <w:szCs w:val="21"/>
                <w:highlight w:val="none"/>
              </w:rPr>
            </w:pPr>
          </w:p>
        </w:tc>
        <w:tc>
          <w:tcPr>
            <w:tcW w:w="2160" w:type="dxa"/>
            <w:vMerge w:val="continue"/>
            <w:vAlign w:val="center"/>
          </w:tcPr>
          <w:p w14:paraId="0761DF28">
            <w:pPr>
              <w:snapToGrid w:val="0"/>
              <w:spacing w:line="276" w:lineRule="auto"/>
              <w:jc w:val="center"/>
              <w:rPr>
                <w:rFonts w:ascii="宋体" w:hAnsi="宋体"/>
                <w:szCs w:val="21"/>
                <w:highlight w:val="none"/>
              </w:rPr>
            </w:pPr>
          </w:p>
        </w:tc>
        <w:tc>
          <w:tcPr>
            <w:tcW w:w="7200" w:type="dxa"/>
            <w:vAlign w:val="center"/>
          </w:tcPr>
          <w:p w14:paraId="6FAA175A">
            <w:pPr>
              <w:pStyle w:val="25"/>
              <w:snapToGrid w:val="0"/>
              <w:spacing w:line="276" w:lineRule="auto"/>
              <w:ind w:right="174" w:rightChars="83" w:firstLine="0"/>
              <w:rPr>
                <w:rFonts w:ascii="宋体" w:hAnsi="宋体" w:cs="宋体"/>
                <w:szCs w:val="21"/>
                <w:highlight w:val="none"/>
              </w:rPr>
            </w:pPr>
            <w:r>
              <w:rPr>
                <w:rFonts w:hint="eastAsia" w:ascii="宋体" w:hAnsi="宋体"/>
                <w:szCs w:val="21"/>
                <w:highlight w:val="none"/>
              </w:rPr>
              <w:t>形式：</w:t>
            </w:r>
            <w:r>
              <w:rPr>
                <w:rFonts w:hint="eastAsia" w:ascii="宋体" w:hAnsi="宋体" w:cs="宋体"/>
                <w:szCs w:val="21"/>
                <w:highlight w:val="none"/>
              </w:rPr>
              <w:t>招标答疑采用网上答疑方式进行。投标人若对招标文件（包括图纸、合同版本、最高投标限价等）有疑问的，可在规定的时间内通过</w:t>
            </w:r>
            <w:r>
              <w:rPr>
                <w:rFonts w:hint="eastAsia" w:ascii="宋体" w:hAnsi="宋体" w:cs="宋体"/>
                <w:szCs w:val="21"/>
                <w:highlight w:val="none"/>
                <w:lang w:eastAsia="zh-CN"/>
              </w:rPr>
              <w:t>广州交易集团有限公司（广州公共资源交易中心）</w:t>
            </w:r>
            <w:r>
              <w:rPr>
                <w:rFonts w:hint="eastAsia" w:ascii="宋体" w:hAnsi="宋体" w:cs="宋体"/>
                <w:szCs w:val="21"/>
                <w:highlight w:val="none"/>
              </w:rPr>
              <w:t>网站将问题提交给招标人或招标代理人。</w:t>
            </w:r>
          </w:p>
          <w:p w14:paraId="72DCA7F4">
            <w:pPr>
              <w:pStyle w:val="25"/>
              <w:snapToGrid w:val="0"/>
              <w:spacing w:line="276" w:lineRule="auto"/>
              <w:ind w:right="174" w:rightChars="83" w:firstLine="0"/>
              <w:rPr>
                <w:rFonts w:ascii="宋体" w:hAnsi="宋体" w:cs="宋体"/>
                <w:szCs w:val="21"/>
                <w:highlight w:val="none"/>
              </w:rPr>
            </w:pPr>
            <w:r>
              <w:rPr>
                <w:rFonts w:hint="eastAsia" w:ascii="宋体" w:hAnsi="宋体" w:cs="宋体"/>
                <w:szCs w:val="21"/>
                <w:highlight w:val="none"/>
              </w:rPr>
              <w:t>网上答疑的操作指南为：登陆</w:t>
            </w:r>
            <w:r>
              <w:rPr>
                <w:rFonts w:hint="eastAsia" w:ascii="宋体" w:hAnsi="宋体" w:cs="宋体"/>
                <w:szCs w:val="21"/>
                <w:highlight w:val="none"/>
                <w:lang w:eastAsia="zh-CN"/>
              </w:rPr>
              <w:t>广州交易集团有限公司（广州公共资源交易中心）</w:t>
            </w:r>
            <w:r>
              <w:rPr>
                <w:rFonts w:hint="eastAsia" w:ascii="宋体" w:hAnsi="宋体" w:cs="宋体"/>
                <w:szCs w:val="21"/>
                <w:highlight w:val="none"/>
              </w:rPr>
              <w:t>网站-&gt;进入“我是投标人（供应商）”-&gt;“我的投标”-&gt;“招标答疑提问”查询项目并提问。</w:t>
            </w:r>
          </w:p>
        </w:tc>
      </w:tr>
      <w:tr w14:paraId="6271764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866" w:type="dxa"/>
            <w:vAlign w:val="center"/>
          </w:tcPr>
          <w:p w14:paraId="323F05B9">
            <w:pPr>
              <w:snapToGrid w:val="0"/>
              <w:spacing w:line="276" w:lineRule="auto"/>
              <w:jc w:val="center"/>
              <w:rPr>
                <w:rFonts w:ascii="宋体" w:hAnsi="宋体"/>
                <w:szCs w:val="21"/>
                <w:highlight w:val="none"/>
              </w:rPr>
            </w:pPr>
            <w:r>
              <w:rPr>
                <w:rFonts w:ascii="宋体" w:hAnsi="宋体"/>
                <w:szCs w:val="21"/>
                <w:highlight w:val="none"/>
              </w:rPr>
              <w:t>2.2.2</w:t>
            </w:r>
          </w:p>
        </w:tc>
        <w:tc>
          <w:tcPr>
            <w:tcW w:w="2160" w:type="dxa"/>
            <w:vAlign w:val="center"/>
          </w:tcPr>
          <w:p w14:paraId="666F048F">
            <w:pPr>
              <w:snapToGrid w:val="0"/>
              <w:spacing w:line="276" w:lineRule="auto"/>
              <w:jc w:val="center"/>
              <w:rPr>
                <w:rFonts w:ascii="宋体" w:hAnsi="宋体"/>
                <w:szCs w:val="21"/>
                <w:highlight w:val="none"/>
              </w:rPr>
            </w:pPr>
            <w:r>
              <w:rPr>
                <w:rFonts w:hint="eastAsia" w:ascii="宋体" w:hAnsi="宋体"/>
                <w:szCs w:val="21"/>
                <w:highlight w:val="none"/>
              </w:rPr>
              <w:t>招标文件澄清发出的形式</w:t>
            </w:r>
          </w:p>
        </w:tc>
        <w:tc>
          <w:tcPr>
            <w:tcW w:w="7200" w:type="dxa"/>
            <w:vAlign w:val="center"/>
          </w:tcPr>
          <w:p w14:paraId="7178FEBF">
            <w:pPr>
              <w:snapToGrid w:val="0"/>
              <w:spacing w:line="276" w:lineRule="auto"/>
              <w:rPr>
                <w:rFonts w:ascii="宋体" w:hAnsi="宋体"/>
                <w:szCs w:val="21"/>
                <w:highlight w:val="none"/>
              </w:rPr>
            </w:pPr>
            <w:r>
              <w:rPr>
                <w:rFonts w:hint="eastAsia" w:ascii="宋体" w:hAnsi="宋体"/>
                <w:szCs w:val="21"/>
                <w:highlight w:val="none"/>
              </w:rPr>
              <w:t>在递交投标文件截止时间</w:t>
            </w:r>
            <w:r>
              <w:rPr>
                <w:rFonts w:ascii="宋体" w:hAnsi="宋体"/>
                <w:szCs w:val="21"/>
                <w:highlight w:val="none"/>
              </w:rPr>
              <w:t>15</w:t>
            </w:r>
            <w:r>
              <w:rPr>
                <w:rFonts w:hint="eastAsia" w:ascii="宋体" w:hAnsi="宋体"/>
                <w:szCs w:val="21"/>
                <w:highlight w:val="none"/>
              </w:rPr>
              <w:t>天前；在</w:t>
            </w:r>
            <w:r>
              <w:rPr>
                <w:rFonts w:hint="eastAsia" w:ascii="宋体" w:hAnsi="宋体"/>
                <w:szCs w:val="21"/>
                <w:highlight w:val="none"/>
                <w:lang w:eastAsia="zh-CN"/>
              </w:rPr>
              <w:t>广州交易集团有限公司（广州公共资源交易中心）</w:t>
            </w:r>
            <w:r>
              <w:rPr>
                <w:rFonts w:hint="eastAsia" w:ascii="宋体" w:hAnsi="宋体"/>
                <w:szCs w:val="21"/>
                <w:highlight w:val="none"/>
              </w:rPr>
              <w:t>网站通过项目答疑专区网上公开发布。</w:t>
            </w:r>
          </w:p>
        </w:tc>
      </w:tr>
      <w:tr w14:paraId="0F72C7C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866" w:type="dxa"/>
            <w:vMerge w:val="restart"/>
            <w:vAlign w:val="center"/>
          </w:tcPr>
          <w:p w14:paraId="47A35574">
            <w:pPr>
              <w:snapToGrid w:val="0"/>
              <w:spacing w:line="276" w:lineRule="auto"/>
              <w:jc w:val="center"/>
              <w:rPr>
                <w:rFonts w:ascii="宋体" w:hAnsi="宋体"/>
                <w:szCs w:val="21"/>
                <w:highlight w:val="none"/>
              </w:rPr>
            </w:pPr>
            <w:r>
              <w:rPr>
                <w:rFonts w:ascii="宋体" w:hAnsi="宋体"/>
                <w:szCs w:val="21"/>
                <w:highlight w:val="none"/>
              </w:rPr>
              <w:t>2.2.3</w:t>
            </w:r>
          </w:p>
        </w:tc>
        <w:tc>
          <w:tcPr>
            <w:tcW w:w="2160" w:type="dxa"/>
            <w:vMerge w:val="restart"/>
            <w:vAlign w:val="center"/>
          </w:tcPr>
          <w:p w14:paraId="63CE8672">
            <w:pPr>
              <w:snapToGrid w:val="0"/>
              <w:spacing w:line="276" w:lineRule="auto"/>
              <w:jc w:val="center"/>
              <w:rPr>
                <w:rFonts w:ascii="宋体" w:hAnsi="宋体"/>
                <w:szCs w:val="21"/>
                <w:highlight w:val="none"/>
              </w:rPr>
            </w:pPr>
            <w:r>
              <w:rPr>
                <w:rFonts w:hint="eastAsia" w:ascii="宋体" w:hAnsi="宋体"/>
                <w:szCs w:val="21"/>
                <w:highlight w:val="none"/>
              </w:rPr>
              <w:t>投标人确认收到招标文件澄清</w:t>
            </w:r>
          </w:p>
        </w:tc>
        <w:tc>
          <w:tcPr>
            <w:tcW w:w="7200" w:type="dxa"/>
            <w:vAlign w:val="center"/>
          </w:tcPr>
          <w:p w14:paraId="00B95E3F">
            <w:pPr>
              <w:spacing w:line="276" w:lineRule="auto"/>
              <w:rPr>
                <w:rFonts w:ascii="宋体" w:hAnsi="宋体"/>
                <w:szCs w:val="21"/>
                <w:highlight w:val="none"/>
              </w:rPr>
            </w:pPr>
            <w:r>
              <w:rPr>
                <w:rFonts w:hint="eastAsia" w:ascii="宋体" w:hAnsi="宋体"/>
                <w:szCs w:val="21"/>
                <w:highlight w:val="none"/>
              </w:rPr>
              <w:t>时间：发出即视作收到</w:t>
            </w:r>
          </w:p>
        </w:tc>
      </w:tr>
      <w:tr w14:paraId="3A36296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866" w:type="dxa"/>
            <w:vMerge w:val="continue"/>
            <w:vAlign w:val="center"/>
          </w:tcPr>
          <w:p w14:paraId="24E74BF1">
            <w:pPr>
              <w:snapToGrid w:val="0"/>
              <w:spacing w:line="276" w:lineRule="auto"/>
              <w:jc w:val="center"/>
              <w:rPr>
                <w:rFonts w:ascii="宋体" w:hAnsi="宋体"/>
                <w:szCs w:val="21"/>
                <w:highlight w:val="none"/>
              </w:rPr>
            </w:pPr>
          </w:p>
        </w:tc>
        <w:tc>
          <w:tcPr>
            <w:tcW w:w="2160" w:type="dxa"/>
            <w:vMerge w:val="continue"/>
            <w:vAlign w:val="center"/>
          </w:tcPr>
          <w:p w14:paraId="2C9D866E">
            <w:pPr>
              <w:snapToGrid w:val="0"/>
              <w:spacing w:line="276" w:lineRule="auto"/>
              <w:jc w:val="center"/>
              <w:rPr>
                <w:rFonts w:ascii="宋体" w:hAnsi="宋体"/>
                <w:szCs w:val="21"/>
                <w:highlight w:val="none"/>
              </w:rPr>
            </w:pPr>
          </w:p>
        </w:tc>
        <w:tc>
          <w:tcPr>
            <w:tcW w:w="7200" w:type="dxa"/>
            <w:vAlign w:val="center"/>
          </w:tcPr>
          <w:p w14:paraId="6FAB3CB2">
            <w:pPr>
              <w:spacing w:line="276" w:lineRule="auto"/>
              <w:rPr>
                <w:rFonts w:ascii="宋体" w:hAnsi="宋体"/>
                <w:szCs w:val="21"/>
                <w:highlight w:val="none"/>
              </w:rPr>
            </w:pPr>
            <w:r>
              <w:rPr>
                <w:rFonts w:hint="eastAsia" w:ascii="宋体" w:hAnsi="宋体"/>
                <w:szCs w:val="21"/>
                <w:highlight w:val="none"/>
              </w:rPr>
              <w:t>形式：招标文件澄清（招标答疑纪要）一经在</w:t>
            </w:r>
            <w:r>
              <w:rPr>
                <w:rFonts w:hint="eastAsia" w:ascii="宋体" w:hAnsi="宋体"/>
                <w:szCs w:val="21"/>
                <w:highlight w:val="none"/>
                <w:lang w:eastAsia="zh-CN"/>
              </w:rPr>
              <w:t>广州交易集团有限公司（广州公共资源交易中心）</w:t>
            </w:r>
            <w:r>
              <w:rPr>
                <w:rFonts w:hint="eastAsia" w:ascii="宋体" w:hAnsi="宋体"/>
                <w:szCs w:val="21"/>
                <w:highlight w:val="none"/>
              </w:rPr>
              <w:t>网站发布，视作已发放给所有投标人。</w:t>
            </w:r>
          </w:p>
        </w:tc>
      </w:tr>
      <w:tr w14:paraId="2182E52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866" w:type="dxa"/>
            <w:vAlign w:val="center"/>
          </w:tcPr>
          <w:p w14:paraId="638397B9">
            <w:pPr>
              <w:snapToGrid w:val="0"/>
              <w:spacing w:line="276" w:lineRule="auto"/>
              <w:jc w:val="center"/>
              <w:rPr>
                <w:rFonts w:ascii="宋体" w:hAnsi="宋体"/>
                <w:szCs w:val="21"/>
                <w:highlight w:val="none"/>
              </w:rPr>
            </w:pPr>
            <w:r>
              <w:rPr>
                <w:rFonts w:ascii="宋体" w:hAnsi="宋体"/>
                <w:szCs w:val="21"/>
                <w:highlight w:val="none"/>
              </w:rPr>
              <w:t>2.3.1</w:t>
            </w:r>
          </w:p>
        </w:tc>
        <w:tc>
          <w:tcPr>
            <w:tcW w:w="2160" w:type="dxa"/>
            <w:vAlign w:val="center"/>
          </w:tcPr>
          <w:p w14:paraId="53435ED8">
            <w:pPr>
              <w:snapToGrid w:val="0"/>
              <w:spacing w:line="276" w:lineRule="auto"/>
              <w:jc w:val="center"/>
              <w:rPr>
                <w:rFonts w:ascii="宋体" w:hAnsi="宋体"/>
                <w:szCs w:val="21"/>
                <w:highlight w:val="none"/>
              </w:rPr>
            </w:pPr>
            <w:r>
              <w:rPr>
                <w:rFonts w:hint="eastAsia" w:ascii="宋体" w:hAnsi="宋体"/>
                <w:szCs w:val="21"/>
                <w:highlight w:val="none"/>
              </w:rPr>
              <w:t>招标文件修改发出的形式</w:t>
            </w:r>
          </w:p>
        </w:tc>
        <w:tc>
          <w:tcPr>
            <w:tcW w:w="7200" w:type="dxa"/>
            <w:vAlign w:val="center"/>
          </w:tcPr>
          <w:p w14:paraId="5E957BB5">
            <w:pPr>
              <w:snapToGrid w:val="0"/>
              <w:spacing w:line="276" w:lineRule="auto"/>
              <w:rPr>
                <w:rFonts w:ascii="宋体" w:hAnsi="宋体"/>
                <w:szCs w:val="21"/>
                <w:highlight w:val="none"/>
              </w:rPr>
            </w:pPr>
            <w:r>
              <w:rPr>
                <w:rFonts w:hint="eastAsia" w:ascii="宋体" w:hAnsi="宋体"/>
                <w:szCs w:val="21"/>
                <w:highlight w:val="none"/>
              </w:rPr>
              <w:t>以补充公告或项目答疑澄清的方式在</w:t>
            </w:r>
            <w:r>
              <w:rPr>
                <w:rFonts w:hint="eastAsia" w:ascii="宋体" w:hAnsi="宋体"/>
                <w:szCs w:val="21"/>
                <w:highlight w:val="none"/>
                <w:lang w:eastAsia="zh-CN"/>
              </w:rPr>
              <w:t>广州交易集团有限公司（广州公共资源交易中心）</w:t>
            </w:r>
            <w:r>
              <w:rPr>
                <w:rFonts w:hint="eastAsia" w:ascii="宋体" w:hAnsi="宋体"/>
                <w:szCs w:val="21"/>
                <w:highlight w:val="none"/>
              </w:rPr>
              <w:t>网站发布</w:t>
            </w:r>
          </w:p>
        </w:tc>
      </w:tr>
      <w:tr w14:paraId="5A8B56B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866" w:type="dxa"/>
            <w:vMerge w:val="restart"/>
            <w:vAlign w:val="center"/>
          </w:tcPr>
          <w:p w14:paraId="28693500">
            <w:pPr>
              <w:snapToGrid w:val="0"/>
              <w:spacing w:line="276" w:lineRule="auto"/>
              <w:jc w:val="center"/>
              <w:rPr>
                <w:rFonts w:ascii="宋体" w:hAnsi="宋体"/>
                <w:szCs w:val="21"/>
                <w:highlight w:val="none"/>
              </w:rPr>
            </w:pPr>
            <w:r>
              <w:rPr>
                <w:rFonts w:ascii="宋体" w:hAnsi="宋体"/>
                <w:szCs w:val="21"/>
                <w:highlight w:val="none"/>
              </w:rPr>
              <w:t>2.3.2</w:t>
            </w:r>
          </w:p>
        </w:tc>
        <w:tc>
          <w:tcPr>
            <w:tcW w:w="2160" w:type="dxa"/>
            <w:vMerge w:val="restart"/>
            <w:vAlign w:val="center"/>
          </w:tcPr>
          <w:p w14:paraId="117B55C2">
            <w:pPr>
              <w:snapToGrid w:val="0"/>
              <w:spacing w:line="276" w:lineRule="auto"/>
              <w:jc w:val="center"/>
              <w:rPr>
                <w:rFonts w:ascii="宋体" w:hAnsi="宋体"/>
                <w:szCs w:val="21"/>
                <w:highlight w:val="none"/>
              </w:rPr>
            </w:pPr>
            <w:r>
              <w:rPr>
                <w:rFonts w:hint="eastAsia" w:ascii="宋体" w:hAnsi="宋体"/>
                <w:szCs w:val="21"/>
                <w:highlight w:val="none"/>
              </w:rPr>
              <w:t>投标人确认收到招标文件修改</w:t>
            </w:r>
          </w:p>
        </w:tc>
        <w:tc>
          <w:tcPr>
            <w:tcW w:w="7200" w:type="dxa"/>
            <w:vAlign w:val="center"/>
          </w:tcPr>
          <w:p w14:paraId="304756DF">
            <w:pPr>
              <w:spacing w:line="276" w:lineRule="auto"/>
              <w:rPr>
                <w:rFonts w:ascii="宋体" w:hAnsi="宋体"/>
                <w:szCs w:val="21"/>
                <w:highlight w:val="none"/>
              </w:rPr>
            </w:pPr>
            <w:r>
              <w:rPr>
                <w:rFonts w:hint="eastAsia" w:ascii="宋体" w:hAnsi="宋体"/>
                <w:szCs w:val="21"/>
                <w:highlight w:val="none"/>
              </w:rPr>
              <w:t>时间：发出即视作收到</w:t>
            </w:r>
          </w:p>
        </w:tc>
      </w:tr>
      <w:tr w14:paraId="6CE3BB3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866" w:type="dxa"/>
            <w:vMerge w:val="continue"/>
            <w:vAlign w:val="center"/>
          </w:tcPr>
          <w:p w14:paraId="2146E34D">
            <w:pPr>
              <w:snapToGrid w:val="0"/>
              <w:spacing w:line="276" w:lineRule="auto"/>
              <w:jc w:val="center"/>
              <w:rPr>
                <w:rFonts w:ascii="宋体" w:hAnsi="宋体"/>
                <w:szCs w:val="21"/>
                <w:highlight w:val="none"/>
              </w:rPr>
            </w:pPr>
          </w:p>
        </w:tc>
        <w:tc>
          <w:tcPr>
            <w:tcW w:w="2160" w:type="dxa"/>
            <w:vMerge w:val="continue"/>
            <w:vAlign w:val="center"/>
          </w:tcPr>
          <w:p w14:paraId="1978CC84">
            <w:pPr>
              <w:snapToGrid w:val="0"/>
              <w:spacing w:line="276" w:lineRule="auto"/>
              <w:jc w:val="center"/>
              <w:rPr>
                <w:rFonts w:ascii="宋体" w:hAnsi="宋体"/>
                <w:szCs w:val="21"/>
                <w:highlight w:val="none"/>
              </w:rPr>
            </w:pPr>
          </w:p>
        </w:tc>
        <w:tc>
          <w:tcPr>
            <w:tcW w:w="7200" w:type="dxa"/>
            <w:vAlign w:val="center"/>
          </w:tcPr>
          <w:p w14:paraId="53ABF137">
            <w:pPr>
              <w:spacing w:line="276" w:lineRule="auto"/>
              <w:rPr>
                <w:rFonts w:ascii="宋体" w:hAnsi="宋体"/>
                <w:szCs w:val="21"/>
                <w:highlight w:val="none"/>
              </w:rPr>
            </w:pPr>
            <w:r>
              <w:rPr>
                <w:rFonts w:hint="eastAsia" w:ascii="宋体" w:hAnsi="宋体"/>
                <w:szCs w:val="21"/>
                <w:highlight w:val="none"/>
              </w:rPr>
              <w:t>形式：招标文件修改一经在</w:t>
            </w:r>
            <w:r>
              <w:rPr>
                <w:rFonts w:hint="eastAsia" w:ascii="宋体" w:hAnsi="宋体"/>
                <w:szCs w:val="21"/>
                <w:highlight w:val="none"/>
                <w:lang w:eastAsia="zh-CN"/>
              </w:rPr>
              <w:t>广州交易集团有限公司（广州公共资源交易中心）</w:t>
            </w:r>
            <w:r>
              <w:rPr>
                <w:rFonts w:hint="eastAsia" w:ascii="宋体" w:hAnsi="宋体"/>
                <w:szCs w:val="21"/>
                <w:highlight w:val="none"/>
              </w:rPr>
              <w:t>网站发布，视作已发放给所有投标人，无需确认。潜在投标人应自行关注招标公告公布的网站公告，招标人不再一一通知。投标人因自身贻误行为导致投标失败的，责任自负。</w:t>
            </w:r>
          </w:p>
        </w:tc>
      </w:tr>
      <w:tr w14:paraId="0431013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866" w:type="dxa"/>
            <w:vAlign w:val="center"/>
          </w:tcPr>
          <w:p w14:paraId="7779CA72">
            <w:pPr>
              <w:snapToGrid w:val="0"/>
              <w:spacing w:line="276" w:lineRule="auto"/>
              <w:jc w:val="center"/>
              <w:rPr>
                <w:rFonts w:ascii="宋体" w:hAnsi="宋体"/>
                <w:szCs w:val="21"/>
                <w:highlight w:val="none"/>
              </w:rPr>
            </w:pPr>
            <w:r>
              <w:rPr>
                <w:rFonts w:ascii="宋体" w:hAnsi="宋体"/>
                <w:szCs w:val="21"/>
                <w:highlight w:val="none"/>
              </w:rPr>
              <w:t>3.1.1</w:t>
            </w:r>
          </w:p>
        </w:tc>
        <w:tc>
          <w:tcPr>
            <w:tcW w:w="2160" w:type="dxa"/>
            <w:vAlign w:val="center"/>
          </w:tcPr>
          <w:p w14:paraId="3396BFD8">
            <w:pPr>
              <w:snapToGrid w:val="0"/>
              <w:spacing w:line="276" w:lineRule="auto"/>
              <w:jc w:val="center"/>
              <w:rPr>
                <w:rFonts w:ascii="宋体" w:hAnsi="宋体"/>
                <w:szCs w:val="21"/>
                <w:highlight w:val="none"/>
              </w:rPr>
            </w:pPr>
            <w:r>
              <w:rPr>
                <w:rFonts w:hint="eastAsia" w:ascii="宋体" w:hAnsi="宋体"/>
                <w:szCs w:val="21"/>
                <w:highlight w:val="none"/>
              </w:rPr>
              <w:t>构成投标文件的其他资料</w:t>
            </w:r>
          </w:p>
        </w:tc>
        <w:tc>
          <w:tcPr>
            <w:tcW w:w="7200" w:type="dxa"/>
            <w:vAlign w:val="center"/>
          </w:tcPr>
          <w:p w14:paraId="5AA780D4">
            <w:pPr>
              <w:snapToGrid w:val="0"/>
              <w:spacing w:line="276" w:lineRule="auto"/>
              <w:rPr>
                <w:rFonts w:ascii="宋体" w:hAnsi="宋体"/>
                <w:szCs w:val="21"/>
                <w:highlight w:val="none"/>
              </w:rPr>
            </w:pPr>
            <w:r>
              <w:rPr>
                <w:rFonts w:hint="eastAsia" w:ascii="宋体" w:hAnsi="宋体"/>
                <w:szCs w:val="21"/>
                <w:highlight w:val="none"/>
              </w:rPr>
              <w:t>详见第六章投标文件格式</w:t>
            </w:r>
          </w:p>
        </w:tc>
      </w:tr>
      <w:tr w14:paraId="34D10A1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866" w:type="dxa"/>
            <w:vAlign w:val="center"/>
          </w:tcPr>
          <w:p w14:paraId="3A3C471D">
            <w:pPr>
              <w:snapToGrid w:val="0"/>
              <w:spacing w:line="276" w:lineRule="auto"/>
              <w:jc w:val="center"/>
              <w:rPr>
                <w:rFonts w:ascii="宋体" w:hAnsi="宋体"/>
                <w:szCs w:val="21"/>
                <w:highlight w:val="none"/>
              </w:rPr>
            </w:pPr>
            <w:r>
              <w:rPr>
                <w:rFonts w:ascii="宋体" w:hAnsi="宋体"/>
                <w:szCs w:val="21"/>
                <w:highlight w:val="none"/>
              </w:rPr>
              <w:t>3.2.1</w:t>
            </w:r>
          </w:p>
        </w:tc>
        <w:tc>
          <w:tcPr>
            <w:tcW w:w="2160" w:type="dxa"/>
            <w:vAlign w:val="center"/>
          </w:tcPr>
          <w:p w14:paraId="7984C6DF">
            <w:pPr>
              <w:snapToGrid w:val="0"/>
              <w:spacing w:line="276" w:lineRule="auto"/>
              <w:jc w:val="center"/>
              <w:rPr>
                <w:rFonts w:ascii="宋体" w:hAnsi="宋体"/>
                <w:szCs w:val="21"/>
                <w:highlight w:val="none"/>
              </w:rPr>
            </w:pPr>
            <w:r>
              <w:rPr>
                <w:rFonts w:hint="eastAsia" w:ascii="宋体" w:hAnsi="宋体"/>
                <w:szCs w:val="21"/>
                <w:highlight w:val="none"/>
              </w:rPr>
              <w:t>增值税税金的计算方法</w:t>
            </w:r>
          </w:p>
        </w:tc>
        <w:tc>
          <w:tcPr>
            <w:tcW w:w="7200" w:type="dxa"/>
            <w:vAlign w:val="center"/>
          </w:tcPr>
          <w:p w14:paraId="4CE93582">
            <w:pPr>
              <w:snapToGrid w:val="0"/>
              <w:spacing w:line="276" w:lineRule="auto"/>
              <w:rPr>
                <w:rFonts w:ascii="宋体" w:hAnsi="宋体"/>
                <w:szCs w:val="21"/>
                <w:highlight w:val="none"/>
              </w:rPr>
            </w:pPr>
            <w:r>
              <w:rPr>
                <w:rFonts w:ascii="宋体" w:hAnsi="宋体"/>
                <w:szCs w:val="21"/>
                <w:highlight w:val="none"/>
                <w:u w:val="single"/>
              </w:rPr>
              <w:t xml:space="preserve"> / </w:t>
            </w:r>
          </w:p>
        </w:tc>
      </w:tr>
      <w:tr w14:paraId="5595E9F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866" w:type="dxa"/>
            <w:vAlign w:val="center"/>
          </w:tcPr>
          <w:p w14:paraId="46BE4246">
            <w:pPr>
              <w:snapToGrid w:val="0"/>
              <w:spacing w:line="276" w:lineRule="auto"/>
              <w:jc w:val="center"/>
              <w:rPr>
                <w:rFonts w:ascii="宋体" w:hAnsi="宋体"/>
                <w:szCs w:val="21"/>
                <w:highlight w:val="none"/>
              </w:rPr>
            </w:pPr>
            <w:r>
              <w:rPr>
                <w:rFonts w:ascii="宋体" w:hAnsi="宋体"/>
                <w:szCs w:val="21"/>
                <w:highlight w:val="none"/>
              </w:rPr>
              <w:t>3.2.3</w:t>
            </w:r>
          </w:p>
        </w:tc>
        <w:tc>
          <w:tcPr>
            <w:tcW w:w="2160" w:type="dxa"/>
            <w:vAlign w:val="center"/>
          </w:tcPr>
          <w:p w14:paraId="15E9CAC2">
            <w:pPr>
              <w:snapToGrid w:val="0"/>
              <w:spacing w:line="276" w:lineRule="auto"/>
              <w:jc w:val="center"/>
              <w:rPr>
                <w:rFonts w:ascii="宋体" w:hAnsi="宋体"/>
                <w:szCs w:val="21"/>
                <w:highlight w:val="none"/>
              </w:rPr>
            </w:pPr>
            <w:r>
              <w:rPr>
                <w:rFonts w:hint="eastAsia" w:ascii="宋体" w:hAnsi="宋体"/>
                <w:szCs w:val="21"/>
                <w:highlight w:val="none"/>
              </w:rPr>
              <w:t>报价方式</w:t>
            </w:r>
          </w:p>
        </w:tc>
        <w:tc>
          <w:tcPr>
            <w:tcW w:w="7200" w:type="dxa"/>
            <w:vAlign w:val="center"/>
          </w:tcPr>
          <w:p w14:paraId="12641B19">
            <w:pPr>
              <w:snapToGrid w:val="0"/>
              <w:spacing w:line="276" w:lineRule="auto"/>
              <w:rPr>
                <w:rFonts w:ascii="宋体" w:hAnsi="宋体"/>
                <w:szCs w:val="21"/>
                <w:highlight w:val="none"/>
              </w:rPr>
            </w:pPr>
            <w:r>
              <w:rPr>
                <w:rFonts w:hint="eastAsia" w:ascii="宋体" w:hAnsi="宋体" w:cs="宋体"/>
                <w:szCs w:val="21"/>
                <w:highlight w:val="none"/>
              </w:rPr>
              <w:t>采用固定下浮率报价方式报价。并依据所报下浮率列明投标报价。（以元为单位，精确到小数点后2位）</w:t>
            </w:r>
          </w:p>
        </w:tc>
      </w:tr>
      <w:tr w14:paraId="3FEBBEF5">
        <w:tblPrEx>
          <w:tblCellMar>
            <w:top w:w="0" w:type="dxa"/>
            <w:left w:w="108" w:type="dxa"/>
            <w:bottom w:w="0" w:type="dxa"/>
            <w:right w:w="108" w:type="dxa"/>
          </w:tblCellMar>
        </w:tblPrEx>
        <w:trPr>
          <w:trHeight w:val="20" w:hRule="atLeast"/>
        </w:trPr>
        <w:tc>
          <w:tcPr>
            <w:tcW w:w="866" w:type="dxa"/>
            <w:vAlign w:val="center"/>
          </w:tcPr>
          <w:p w14:paraId="4F14A3AE">
            <w:pPr>
              <w:snapToGrid w:val="0"/>
              <w:spacing w:line="276" w:lineRule="auto"/>
              <w:jc w:val="center"/>
              <w:rPr>
                <w:rFonts w:ascii="宋体" w:hAnsi="宋体"/>
                <w:szCs w:val="21"/>
                <w:highlight w:val="none"/>
              </w:rPr>
            </w:pPr>
            <w:r>
              <w:rPr>
                <w:rFonts w:ascii="宋体" w:hAnsi="宋体"/>
                <w:szCs w:val="21"/>
                <w:highlight w:val="none"/>
              </w:rPr>
              <w:t>3.2.4</w:t>
            </w:r>
          </w:p>
        </w:tc>
        <w:tc>
          <w:tcPr>
            <w:tcW w:w="2160" w:type="dxa"/>
            <w:vAlign w:val="center"/>
          </w:tcPr>
          <w:p w14:paraId="7F0F208B">
            <w:pPr>
              <w:snapToGrid w:val="0"/>
              <w:spacing w:line="276" w:lineRule="auto"/>
              <w:jc w:val="center"/>
              <w:rPr>
                <w:rFonts w:ascii="宋体" w:hAnsi="宋体"/>
                <w:szCs w:val="21"/>
                <w:highlight w:val="none"/>
              </w:rPr>
            </w:pPr>
            <w:r>
              <w:rPr>
                <w:rFonts w:hint="eastAsia" w:ascii="宋体" w:hAnsi="宋体"/>
                <w:szCs w:val="21"/>
                <w:highlight w:val="none"/>
              </w:rPr>
              <w:t>最高投标限价</w:t>
            </w:r>
          </w:p>
        </w:tc>
        <w:tc>
          <w:tcPr>
            <w:tcW w:w="7200" w:type="dxa"/>
            <w:vAlign w:val="center"/>
          </w:tcPr>
          <w:p w14:paraId="1BF59BF3">
            <w:pPr>
              <w:snapToGrid w:val="0"/>
              <w:spacing w:line="276" w:lineRule="auto"/>
              <w:rPr>
                <w:rFonts w:ascii="宋体" w:hAnsi="宋体"/>
                <w:szCs w:val="21"/>
                <w:highlight w:val="none"/>
              </w:rPr>
            </w:pPr>
            <w:r>
              <w:rPr>
                <w:rFonts w:hint="eastAsia" w:ascii="宋体" w:hAnsi="宋体"/>
                <w:szCs w:val="21"/>
                <w:highlight w:val="none"/>
              </w:rPr>
              <w:t>□无</w:t>
            </w:r>
          </w:p>
          <w:p w14:paraId="1988E4C9">
            <w:pPr>
              <w:spacing w:line="276" w:lineRule="auto"/>
              <w:rPr>
                <w:rFonts w:hint="eastAsia" w:ascii="宋体" w:hAnsi="宋体"/>
                <w:szCs w:val="21"/>
                <w:highlight w:val="none"/>
                <w:u w:val="single"/>
              </w:rPr>
            </w:pPr>
            <w:r>
              <w:rPr>
                <w:rFonts w:hint="eastAsia" w:ascii="宋体" w:hAnsi="宋体"/>
                <w:spacing w:val="-1"/>
                <w:szCs w:val="21"/>
                <w:highlight w:val="none"/>
              </w:rPr>
              <w:t>■</w:t>
            </w:r>
            <w:r>
              <w:rPr>
                <w:rFonts w:hint="eastAsia" w:ascii="宋体" w:hAnsi="宋体"/>
                <w:szCs w:val="21"/>
                <w:highlight w:val="none"/>
              </w:rPr>
              <w:t>有，最高投标限价：</w:t>
            </w:r>
            <w:r>
              <w:rPr>
                <w:rFonts w:hint="eastAsia" w:ascii="宋体" w:hAnsi="宋体"/>
                <w:szCs w:val="21"/>
                <w:highlight w:val="none"/>
                <w:u w:val="single"/>
              </w:rPr>
              <w:t>人民币</w:t>
            </w:r>
            <w:r>
              <w:rPr>
                <w:rFonts w:hint="eastAsia" w:ascii="宋体" w:hAnsi="宋体"/>
                <w:szCs w:val="21"/>
                <w:highlight w:val="none"/>
                <w:u w:val="single"/>
                <w:lang w:val="en-US" w:eastAsia="zh-CN"/>
              </w:rPr>
              <w:t>143.18</w:t>
            </w:r>
            <w:r>
              <w:rPr>
                <w:rFonts w:hint="eastAsia" w:ascii="宋体" w:hAnsi="宋体"/>
                <w:szCs w:val="21"/>
                <w:highlight w:val="none"/>
                <w:u w:val="single"/>
              </w:rPr>
              <w:t>万元（其中，黄埔区刘村消防站建设工程检测服务最高投标限价人民币</w:t>
            </w:r>
            <w:r>
              <w:rPr>
                <w:rFonts w:hint="eastAsia" w:ascii="宋体" w:hAnsi="宋体"/>
                <w:szCs w:val="21"/>
                <w:highlight w:val="none"/>
                <w:u w:val="single"/>
                <w:lang w:val="en-US" w:eastAsia="zh-CN"/>
              </w:rPr>
              <w:t>68.80</w:t>
            </w:r>
            <w:r>
              <w:rPr>
                <w:rFonts w:hint="eastAsia" w:ascii="宋体" w:hAnsi="宋体"/>
                <w:szCs w:val="21"/>
                <w:highlight w:val="none"/>
                <w:u w:val="single"/>
              </w:rPr>
              <w:t>万元；黄埔区深井消防站建设工程检测服务最高投标限价人民币</w:t>
            </w:r>
            <w:r>
              <w:rPr>
                <w:rFonts w:hint="eastAsia" w:ascii="宋体" w:hAnsi="宋体"/>
                <w:szCs w:val="21"/>
                <w:highlight w:val="none"/>
                <w:u w:val="single"/>
                <w:lang w:val="en-US" w:eastAsia="zh-CN"/>
              </w:rPr>
              <w:t>35.12</w:t>
            </w:r>
            <w:r>
              <w:rPr>
                <w:rFonts w:hint="eastAsia" w:ascii="宋体" w:hAnsi="宋体"/>
                <w:szCs w:val="21"/>
                <w:highlight w:val="none"/>
                <w:u w:val="single"/>
              </w:rPr>
              <w:t>万元；萝岗区天鹿湖消防站检测服务最高投标限价人民币</w:t>
            </w:r>
            <w:r>
              <w:rPr>
                <w:rFonts w:hint="eastAsia" w:ascii="宋体" w:hAnsi="宋体"/>
                <w:szCs w:val="21"/>
                <w:highlight w:val="none"/>
                <w:u w:val="single"/>
                <w:lang w:val="en-US" w:eastAsia="zh-CN"/>
              </w:rPr>
              <w:t>39.26</w:t>
            </w:r>
            <w:r>
              <w:rPr>
                <w:rFonts w:hint="eastAsia" w:ascii="宋体" w:hAnsi="宋体"/>
                <w:szCs w:val="21"/>
                <w:highlight w:val="none"/>
                <w:u w:val="single"/>
              </w:rPr>
              <w:t>万元）。</w:t>
            </w:r>
          </w:p>
          <w:p w14:paraId="2B021B4C">
            <w:pPr>
              <w:spacing w:line="276" w:lineRule="auto"/>
              <w:rPr>
                <w:rFonts w:ascii="宋体" w:hAnsi="宋体"/>
                <w:szCs w:val="21"/>
                <w:highlight w:val="none"/>
                <w:u w:val="single"/>
              </w:rPr>
            </w:pPr>
            <w:r>
              <w:rPr>
                <w:rFonts w:hint="eastAsia" w:ascii="宋体" w:hAnsi="宋体" w:cs="宋体"/>
                <w:szCs w:val="21"/>
                <w:highlight w:val="none"/>
              </w:rPr>
              <w:t>【最高投标限价为暂定金额下浮5%。】</w:t>
            </w:r>
          </w:p>
          <w:p w14:paraId="6424A53F">
            <w:pPr>
              <w:tabs>
                <w:tab w:val="left" w:pos="7513"/>
              </w:tabs>
              <w:spacing w:line="276" w:lineRule="auto"/>
              <w:rPr>
                <w:rFonts w:ascii="宋体" w:hAnsi="宋体"/>
                <w:szCs w:val="21"/>
                <w:highlight w:val="none"/>
              </w:rPr>
            </w:pPr>
            <w:r>
              <w:rPr>
                <w:rFonts w:hint="eastAsia" w:ascii="宋体" w:hAnsi="宋体"/>
                <w:szCs w:val="21"/>
                <w:highlight w:val="none"/>
              </w:rPr>
              <w:t>本项目招标控制价只作为招标的依据，投标金额及下浮率（%）作为签订合同的依据。中标价不作为竣工结算的依据。</w:t>
            </w:r>
          </w:p>
        </w:tc>
      </w:tr>
      <w:tr w14:paraId="5BCE37D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866" w:type="dxa"/>
            <w:vAlign w:val="center"/>
          </w:tcPr>
          <w:p w14:paraId="6CA5B510">
            <w:pPr>
              <w:snapToGrid w:val="0"/>
              <w:spacing w:line="276" w:lineRule="auto"/>
              <w:jc w:val="center"/>
              <w:rPr>
                <w:rFonts w:ascii="宋体" w:hAnsi="宋体"/>
                <w:szCs w:val="21"/>
                <w:highlight w:val="none"/>
              </w:rPr>
            </w:pPr>
            <w:r>
              <w:rPr>
                <w:rFonts w:ascii="宋体" w:hAnsi="宋体"/>
                <w:szCs w:val="21"/>
                <w:highlight w:val="none"/>
              </w:rPr>
              <w:t>3.2.5</w:t>
            </w:r>
          </w:p>
        </w:tc>
        <w:tc>
          <w:tcPr>
            <w:tcW w:w="2160" w:type="dxa"/>
            <w:vAlign w:val="center"/>
          </w:tcPr>
          <w:p w14:paraId="6FC92948">
            <w:pPr>
              <w:snapToGrid w:val="0"/>
              <w:spacing w:line="276" w:lineRule="auto"/>
              <w:jc w:val="center"/>
              <w:rPr>
                <w:rFonts w:ascii="宋体" w:hAnsi="宋体"/>
                <w:szCs w:val="21"/>
                <w:highlight w:val="none"/>
              </w:rPr>
            </w:pPr>
            <w:r>
              <w:rPr>
                <w:rFonts w:hint="eastAsia" w:ascii="宋体" w:hAnsi="宋体"/>
                <w:szCs w:val="21"/>
                <w:highlight w:val="none"/>
              </w:rPr>
              <w:t>投标报价的其他要求</w:t>
            </w:r>
          </w:p>
        </w:tc>
        <w:tc>
          <w:tcPr>
            <w:tcW w:w="7200" w:type="dxa"/>
            <w:vAlign w:val="center"/>
          </w:tcPr>
          <w:p w14:paraId="6D62C0A2">
            <w:pPr>
              <w:pStyle w:val="26"/>
              <w:ind w:left="0" w:leftChars="0" w:firstLine="375" w:firstLineChars="179"/>
              <w:rPr>
                <w:rFonts w:ascii="宋体" w:hAnsi="宋体"/>
                <w:szCs w:val="21"/>
                <w:highlight w:val="none"/>
                <w:u w:val="single"/>
              </w:rPr>
            </w:pPr>
            <w:r>
              <w:rPr>
                <w:rFonts w:hint="eastAsia" w:ascii="宋体" w:hAnsi="宋体"/>
                <w:szCs w:val="21"/>
                <w:highlight w:val="none"/>
                <w:u w:val="single"/>
              </w:rPr>
              <w:t>投标人必须详细审阅全部招标文件，充分考虑职责和义务，全面地理解招标文件对投标报价的要求，并按招标人提出的条件及内容进行报价。</w:t>
            </w:r>
          </w:p>
          <w:p w14:paraId="6D2D7F17">
            <w:pPr>
              <w:pStyle w:val="26"/>
              <w:spacing w:after="0"/>
              <w:ind w:left="0" w:leftChars="0" w:firstLine="375" w:firstLineChars="179"/>
              <w:rPr>
                <w:rFonts w:ascii="宋体" w:hAnsi="宋体"/>
                <w:szCs w:val="21"/>
                <w:highlight w:val="none"/>
                <w:u w:val="single"/>
              </w:rPr>
            </w:pPr>
            <w:r>
              <w:rPr>
                <w:rFonts w:hint="eastAsia" w:ascii="宋体" w:hAnsi="宋体"/>
                <w:szCs w:val="21"/>
                <w:highlight w:val="none"/>
                <w:u w:val="single"/>
              </w:rPr>
              <w:t>一、暂定金额：本项目第三方检测服务费暂按</w:t>
            </w:r>
            <w:r>
              <w:rPr>
                <w:rFonts w:hint="eastAsia" w:ascii="宋体" w:hAnsi="宋体"/>
                <w:szCs w:val="21"/>
                <w:highlight w:val="none"/>
                <w:u w:val="single"/>
                <w:lang w:val="en-US" w:eastAsia="zh-CN"/>
              </w:rPr>
              <w:t>概算备案的函中</w:t>
            </w:r>
            <w:r>
              <w:rPr>
                <w:rFonts w:hint="eastAsia" w:ascii="宋体" w:hAnsi="宋体"/>
                <w:szCs w:val="21"/>
                <w:highlight w:val="none"/>
                <w:u w:val="single"/>
              </w:rPr>
              <w:t>建安工程费的2%计取，暂定金额为人民币</w:t>
            </w:r>
            <w:r>
              <w:rPr>
                <w:rFonts w:hint="eastAsia" w:ascii="宋体" w:hAnsi="宋体"/>
                <w:szCs w:val="21"/>
                <w:highlight w:val="none"/>
                <w:u w:val="single"/>
                <w:lang w:val="en-US" w:eastAsia="zh-CN"/>
              </w:rPr>
              <w:t>150.72</w:t>
            </w:r>
            <w:r>
              <w:rPr>
                <w:rFonts w:hint="eastAsia" w:ascii="宋体" w:hAnsi="宋体"/>
                <w:szCs w:val="21"/>
                <w:highlight w:val="none"/>
                <w:u w:val="single"/>
              </w:rPr>
              <w:t>万元（其中，黄埔区刘村消防站建设工程检测服务暂定金额人民币</w:t>
            </w:r>
            <w:r>
              <w:rPr>
                <w:rFonts w:hint="eastAsia" w:ascii="宋体" w:hAnsi="宋体"/>
                <w:szCs w:val="21"/>
                <w:highlight w:val="none"/>
                <w:u w:val="single"/>
                <w:lang w:val="en-US" w:eastAsia="zh-CN"/>
              </w:rPr>
              <w:t>72.42</w:t>
            </w:r>
            <w:r>
              <w:rPr>
                <w:rFonts w:hint="eastAsia" w:ascii="宋体" w:hAnsi="宋体"/>
                <w:szCs w:val="21"/>
                <w:highlight w:val="none"/>
                <w:u w:val="single"/>
              </w:rPr>
              <w:t>万元；黄埔区深井消防站建设工程检测服务暂定金额人民币</w:t>
            </w:r>
            <w:r>
              <w:rPr>
                <w:rFonts w:hint="eastAsia" w:ascii="宋体" w:hAnsi="宋体"/>
                <w:szCs w:val="21"/>
                <w:highlight w:val="none"/>
                <w:u w:val="single"/>
                <w:lang w:val="en-US" w:eastAsia="zh-CN"/>
              </w:rPr>
              <w:t>36.97</w:t>
            </w:r>
            <w:r>
              <w:rPr>
                <w:rFonts w:hint="eastAsia" w:ascii="宋体" w:hAnsi="宋体"/>
                <w:szCs w:val="21"/>
                <w:highlight w:val="none"/>
                <w:u w:val="single"/>
              </w:rPr>
              <w:t>万元；萝岗区天鹿湖消防站检测服务暂定金额人民币</w:t>
            </w:r>
            <w:r>
              <w:rPr>
                <w:rFonts w:hint="eastAsia" w:ascii="宋体" w:hAnsi="宋体"/>
                <w:szCs w:val="21"/>
                <w:highlight w:val="none"/>
                <w:u w:val="single"/>
                <w:lang w:val="en-US" w:eastAsia="zh-CN"/>
              </w:rPr>
              <w:t>41.33</w:t>
            </w:r>
            <w:r>
              <w:rPr>
                <w:rFonts w:hint="eastAsia" w:ascii="宋体" w:hAnsi="宋体"/>
                <w:szCs w:val="21"/>
                <w:highlight w:val="none"/>
                <w:u w:val="single"/>
              </w:rPr>
              <w:t>万元）。</w:t>
            </w:r>
          </w:p>
          <w:p w14:paraId="5098E922">
            <w:pPr>
              <w:pStyle w:val="26"/>
              <w:spacing w:after="0"/>
              <w:ind w:left="0" w:leftChars="0" w:firstLine="375" w:firstLineChars="179"/>
              <w:rPr>
                <w:rFonts w:ascii="宋体" w:hAnsi="宋体"/>
                <w:szCs w:val="21"/>
                <w:highlight w:val="none"/>
                <w:u w:val="single"/>
              </w:rPr>
            </w:pPr>
            <w:r>
              <w:rPr>
                <w:rFonts w:hint="eastAsia" w:ascii="宋体" w:hAnsi="宋体"/>
                <w:szCs w:val="21"/>
                <w:highlight w:val="none"/>
                <w:u w:val="single"/>
              </w:rPr>
              <w:t>二、各投标人自行报价，投标报价超过最高投标限价的，一律视为废标。</w:t>
            </w:r>
          </w:p>
          <w:p w14:paraId="702F94A7">
            <w:pPr>
              <w:pStyle w:val="26"/>
              <w:spacing w:after="0"/>
              <w:ind w:left="0" w:leftChars="0" w:firstLine="375" w:firstLineChars="179"/>
              <w:rPr>
                <w:rFonts w:ascii="宋体" w:hAnsi="宋体"/>
                <w:szCs w:val="21"/>
                <w:highlight w:val="none"/>
                <w:u w:val="single"/>
              </w:rPr>
            </w:pPr>
            <w:r>
              <w:rPr>
                <w:rFonts w:hint="eastAsia" w:ascii="宋体" w:hAnsi="宋体"/>
                <w:szCs w:val="21"/>
                <w:highlight w:val="none"/>
                <w:u w:val="single"/>
              </w:rPr>
              <w:t>三、投标报价及费用计算方式：</w:t>
            </w:r>
          </w:p>
          <w:p w14:paraId="14121577">
            <w:pPr>
              <w:pStyle w:val="26"/>
              <w:spacing w:after="0"/>
              <w:ind w:left="0" w:leftChars="0" w:firstLine="375" w:firstLineChars="179"/>
              <w:rPr>
                <w:rFonts w:ascii="宋体" w:hAnsi="宋体"/>
                <w:szCs w:val="21"/>
                <w:highlight w:val="none"/>
                <w:u w:val="single"/>
              </w:rPr>
            </w:pPr>
            <w:r>
              <w:rPr>
                <w:rFonts w:hint="eastAsia" w:ascii="宋体" w:hAnsi="宋体"/>
                <w:szCs w:val="21"/>
                <w:highlight w:val="none"/>
                <w:u w:val="single"/>
              </w:rPr>
              <w:t>1.投标下浮率以暂定金额为下浮基数。投标项目总报价=暂定金额*（1-投标下浮率）。</w:t>
            </w:r>
          </w:p>
          <w:p w14:paraId="3476AADB">
            <w:pPr>
              <w:pStyle w:val="26"/>
              <w:spacing w:after="0"/>
              <w:ind w:left="0" w:leftChars="0" w:firstLine="375" w:firstLineChars="179"/>
              <w:rPr>
                <w:rFonts w:ascii="宋体" w:hAnsi="宋体"/>
                <w:szCs w:val="21"/>
                <w:highlight w:val="none"/>
                <w:u w:val="single"/>
              </w:rPr>
            </w:pPr>
            <w:r>
              <w:rPr>
                <w:rFonts w:hint="eastAsia" w:ascii="宋体" w:hAnsi="宋体"/>
                <w:szCs w:val="21"/>
                <w:highlight w:val="none"/>
                <w:u w:val="single"/>
              </w:rPr>
              <w:t>2.招标不提供检测清单，各投标人应根据工程实际编制检测方案，投标综合单价包干，地基基础工程检测、主体结构工程现场检测、钢结构工程检测、见证取样检测、道路检测、节能检测、环境检测、智能化检测等检测综合单价取费原则：</w:t>
            </w:r>
          </w:p>
          <w:p w14:paraId="1AEA4AB1">
            <w:pPr>
              <w:pStyle w:val="26"/>
              <w:spacing w:after="0"/>
              <w:ind w:left="0" w:leftChars="0" w:firstLine="375" w:firstLineChars="179"/>
              <w:rPr>
                <w:rFonts w:ascii="宋体" w:hAnsi="宋体"/>
                <w:szCs w:val="21"/>
                <w:highlight w:val="none"/>
                <w:u w:val="single"/>
              </w:rPr>
            </w:pPr>
            <w:r>
              <w:rPr>
                <w:rFonts w:hint="eastAsia" w:ascii="宋体" w:hAnsi="宋体"/>
                <w:szCs w:val="21"/>
                <w:highlight w:val="none"/>
                <w:u w:val="single"/>
              </w:rPr>
              <w:t>（1）根据黄埔区财政局《关于印发广州市黄埔区 广州开发区政府投资建设项目资金管理办法的通知》（穗埔财[2020]373号）及《广州开发区财政投资建设项目管理中心咨询服务类合同结算编审指引》穗开建管[2021]33号（其中单价参照《关于印发&lt;广东省房屋建筑和市政工程质量安全检测收费指导价（第一批）&gt;和&lt;广东省既有房屋建筑安全性鉴定收费指导价&gt;的通知》（粤建检协[2015]8号）的下浮20%），再乘以（1-投标下浮率），以招标人审定为准。</w:t>
            </w:r>
          </w:p>
          <w:p w14:paraId="14079E2A">
            <w:pPr>
              <w:pStyle w:val="26"/>
              <w:spacing w:after="0"/>
              <w:ind w:left="0" w:leftChars="0" w:firstLine="375" w:firstLineChars="179"/>
              <w:rPr>
                <w:rFonts w:ascii="宋体" w:hAnsi="宋体"/>
                <w:szCs w:val="21"/>
                <w:highlight w:val="none"/>
                <w:u w:val="single"/>
              </w:rPr>
            </w:pPr>
            <w:r>
              <w:rPr>
                <w:rFonts w:hint="eastAsia" w:ascii="宋体" w:hAnsi="宋体"/>
                <w:szCs w:val="21"/>
                <w:highlight w:val="none"/>
                <w:u w:val="single"/>
              </w:rPr>
              <w:t>（2）预算价中的综合单价已包括了为完成设计文件及有关规范要求的所有材料设备检测项目所发生的劳务(含技术人员)、材料、机械(含各种车辆、仪器设备、软件等使用费、进出场费)、差旅交通费、临时设施费、检测试验费、报告编写费、各项管理费、就餐费、住宿费、管理费、利润、规费、税金、保险费、相关协调费及其他实物和技术工作收费等全部相关费用，以及合同明示或暗示的所有责任、义务和风险。请投标人自行综合考虑，不予另行计算。工程量按经发包人核定的实际发生量计取（如超出检测规范或相关文件规定的工程量，不予结算）。最终检测综合单价和结算总价以广州开发区财政局或其授权委托单位审定为准。</w:t>
            </w:r>
          </w:p>
          <w:p w14:paraId="7C703257">
            <w:pPr>
              <w:pStyle w:val="26"/>
              <w:spacing w:after="0"/>
              <w:ind w:left="0" w:leftChars="0" w:firstLine="375" w:firstLineChars="179"/>
              <w:rPr>
                <w:rFonts w:ascii="宋体" w:hAnsi="宋体"/>
                <w:szCs w:val="21"/>
                <w:highlight w:val="none"/>
                <w:u w:val="single"/>
              </w:rPr>
            </w:pPr>
            <w:r>
              <w:rPr>
                <w:rFonts w:hint="eastAsia" w:ascii="宋体" w:hAnsi="宋体"/>
                <w:szCs w:val="21"/>
                <w:highlight w:val="none"/>
                <w:u w:val="single"/>
              </w:rPr>
              <w:t>四、成本警戒价为120.58万元。</w:t>
            </w:r>
            <w:bookmarkStart w:id="211" w:name="_GoBack"/>
            <w:bookmarkEnd w:id="211"/>
            <w:r>
              <w:rPr>
                <w:rFonts w:hint="eastAsia" w:ascii="宋体" w:hAnsi="宋体"/>
                <w:szCs w:val="21"/>
                <w:highlight w:val="none"/>
                <w:u w:val="single"/>
              </w:rPr>
              <w:t>对低于该警戒价的投标报价，投标人必须提供详细的投标人成本分析供评标委员会评审，由评标委员会判定其是否低于企业自身成本。在评标过程中，评标委员会发现投标人的报价明显低于其他投标报价或者低于成本警戒价，使得其投标报价可能低于其个别成本的，应当要求该投标人作出书面说明并提供相关证明材料。投标人不能合理说明或者不能提供相关证明材料的，由评标委员会认定该投标人以低于成本报价竞标，应当否决其投标。</w:t>
            </w:r>
          </w:p>
        </w:tc>
      </w:tr>
      <w:tr w14:paraId="4746494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866" w:type="dxa"/>
            <w:vAlign w:val="center"/>
          </w:tcPr>
          <w:p w14:paraId="40A5F3ED">
            <w:pPr>
              <w:snapToGrid w:val="0"/>
              <w:spacing w:line="276" w:lineRule="auto"/>
              <w:jc w:val="center"/>
              <w:rPr>
                <w:rFonts w:ascii="宋体" w:hAnsi="宋体"/>
                <w:szCs w:val="21"/>
                <w:highlight w:val="none"/>
              </w:rPr>
            </w:pPr>
            <w:r>
              <w:rPr>
                <w:rFonts w:ascii="宋体" w:hAnsi="宋体"/>
                <w:szCs w:val="21"/>
                <w:highlight w:val="none"/>
              </w:rPr>
              <w:t>3.3.1</w:t>
            </w:r>
          </w:p>
        </w:tc>
        <w:tc>
          <w:tcPr>
            <w:tcW w:w="2160" w:type="dxa"/>
            <w:vAlign w:val="center"/>
          </w:tcPr>
          <w:p w14:paraId="29C91BDD">
            <w:pPr>
              <w:snapToGrid w:val="0"/>
              <w:spacing w:line="276" w:lineRule="auto"/>
              <w:jc w:val="center"/>
              <w:rPr>
                <w:rFonts w:ascii="宋体" w:hAnsi="宋体"/>
                <w:szCs w:val="21"/>
                <w:highlight w:val="none"/>
              </w:rPr>
            </w:pPr>
            <w:r>
              <w:rPr>
                <w:rFonts w:hint="eastAsia" w:ascii="宋体" w:hAnsi="宋体"/>
                <w:szCs w:val="21"/>
                <w:highlight w:val="none"/>
              </w:rPr>
              <w:t>投标有效期</w:t>
            </w:r>
          </w:p>
        </w:tc>
        <w:tc>
          <w:tcPr>
            <w:tcW w:w="7200" w:type="dxa"/>
            <w:vAlign w:val="center"/>
          </w:tcPr>
          <w:p w14:paraId="0167238E">
            <w:pPr>
              <w:snapToGrid w:val="0"/>
              <w:spacing w:line="276" w:lineRule="auto"/>
              <w:rPr>
                <w:rFonts w:ascii="宋体" w:hAnsi="宋体"/>
                <w:szCs w:val="21"/>
                <w:highlight w:val="none"/>
                <w:u w:val="single"/>
              </w:rPr>
            </w:pPr>
            <w:r>
              <w:rPr>
                <w:rFonts w:ascii="宋体" w:hAnsi="宋体"/>
                <w:szCs w:val="21"/>
                <w:highlight w:val="none"/>
                <w:u w:val="single"/>
              </w:rPr>
              <w:t>90</w:t>
            </w:r>
            <w:r>
              <w:rPr>
                <w:rFonts w:hint="eastAsia" w:ascii="宋体" w:hAnsi="宋体"/>
                <w:szCs w:val="21"/>
                <w:highlight w:val="none"/>
                <w:u w:val="single"/>
              </w:rPr>
              <w:t>日历天（从提交投标截止之日起计算。如出现异议或投诉，则投标有效期自动延长至异议或投诉处理结束）。</w:t>
            </w:r>
          </w:p>
        </w:tc>
      </w:tr>
      <w:tr w14:paraId="4F62C20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866" w:type="dxa"/>
            <w:vAlign w:val="center"/>
          </w:tcPr>
          <w:p w14:paraId="68E96E42">
            <w:pPr>
              <w:snapToGrid w:val="0"/>
              <w:spacing w:line="276" w:lineRule="auto"/>
              <w:jc w:val="center"/>
              <w:rPr>
                <w:rFonts w:ascii="宋体" w:hAnsi="宋体"/>
                <w:szCs w:val="21"/>
                <w:highlight w:val="none"/>
              </w:rPr>
            </w:pPr>
            <w:r>
              <w:rPr>
                <w:rFonts w:ascii="宋体" w:hAnsi="宋体"/>
                <w:szCs w:val="21"/>
                <w:highlight w:val="none"/>
              </w:rPr>
              <w:t>3.4.1</w:t>
            </w:r>
          </w:p>
        </w:tc>
        <w:tc>
          <w:tcPr>
            <w:tcW w:w="2160" w:type="dxa"/>
            <w:vAlign w:val="center"/>
          </w:tcPr>
          <w:p w14:paraId="54F62708">
            <w:pPr>
              <w:snapToGrid w:val="0"/>
              <w:spacing w:line="276" w:lineRule="auto"/>
              <w:jc w:val="center"/>
              <w:rPr>
                <w:rFonts w:ascii="宋体" w:hAnsi="宋体"/>
                <w:szCs w:val="21"/>
                <w:highlight w:val="none"/>
              </w:rPr>
            </w:pPr>
            <w:r>
              <w:rPr>
                <w:rFonts w:hint="eastAsia" w:ascii="宋体" w:hAnsi="宋体"/>
                <w:szCs w:val="21"/>
                <w:highlight w:val="none"/>
              </w:rPr>
              <w:t>投标保证金</w:t>
            </w:r>
          </w:p>
        </w:tc>
        <w:tc>
          <w:tcPr>
            <w:tcW w:w="7200" w:type="dxa"/>
            <w:vAlign w:val="center"/>
          </w:tcPr>
          <w:p w14:paraId="7A5999DD">
            <w:pPr>
              <w:pStyle w:val="12"/>
              <w:spacing w:line="276" w:lineRule="auto"/>
              <w:rPr>
                <w:rFonts w:hAnsi="宋体"/>
                <w:sz w:val="21"/>
                <w:szCs w:val="21"/>
                <w:highlight w:val="none"/>
                <w:u w:val="single"/>
              </w:rPr>
            </w:pPr>
            <w:r>
              <w:rPr>
                <w:rFonts w:hint="eastAsia" w:hAnsi="宋体"/>
                <w:sz w:val="21"/>
                <w:szCs w:val="21"/>
                <w:highlight w:val="none"/>
                <w:u w:val="single"/>
              </w:rPr>
              <w:t>是否要求投标人递交投标保证金：</w:t>
            </w:r>
          </w:p>
          <w:p w14:paraId="737EB6FB">
            <w:pPr>
              <w:pStyle w:val="12"/>
              <w:spacing w:line="276" w:lineRule="auto"/>
              <w:rPr>
                <w:rFonts w:hint="eastAsia" w:ascii="宋体" w:hAnsi="宋体" w:eastAsia="宋体"/>
                <w:szCs w:val="21"/>
                <w:highlight w:val="none"/>
                <w:u w:val="single"/>
                <w:lang w:eastAsia="zh-CN"/>
              </w:rPr>
            </w:pPr>
            <w:r>
              <w:rPr>
                <w:rFonts w:hint="eastAsia" w:hAnsi="宋体"/>
                <w:sz w:val="21"/>
                <w:szCs w:val="21"/>
                <w:highlight w:val="none"/>
                <w:u w:val="single"/>
                <w:lang w:eastAsia="zh-CN"/>
              </w:rPr>
              <w:t>☑</w:t>
            </w:r>
            <w:r>
              <w:rPr>
                <w:rFonts w:hint="eastAsia" w:hAnsi="宋体"/>
                <w:sz w:val="21"/>
                <w:szCs w:val="21"/>
                <w:highlight w:val="none"/>
                <w:u w:val="single"/>
              </w:rPr>
              <w:t>不要求</w:t>
            </w:r>
          </w:p>
        </w:tc>
      </w:tr>
      <w:tr w14:paraId="0518BF7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866" w:type="dxa"/>
            <w:vAlign w:val="center"/>
          </w:tcPr>
          <w:p w14:paraId="2884EDC8">
            <w:pPr>
              <w:snapToGrid w:val="0"/>
              <w:spacing w:line="276" w:lineRule="auto"/>
              <w:jc w:val="center"/>
              <w:rPr>
                <w:rFonts w:ascii="宋体" w:hAnsi="宋体"/>
                <w:szCs w:val="21"/>
                <w:highlight w:val="none"/>
              </w:rPr>
            </w:pPr>
            <w:r>
              <w:rPr>
                <w:rFonts w:ascii="宋体" w:hAnsi="宋体"/>
                <w:szCs w:val="21"/>
                <w:highlight w:val="none"/>
              </w:rPr>
              <w:t>3.5</w:t>
            </w:r>
          </w:p>
        </w:tc>
        <w:tc>
          <w:tcPr>
            <w:tcW w:w="2160" w:type="dxa"/>
            <w:vAlign w:val="center"/>
          </w:tcPr>
          <w:p w14:paraId="3B8289BE">
            <w:pPr>
              <w:snapToGrid w:val="0"/>
              <w:spacing w:line="276" w:lineRule="auto"/>
              <w:jc w:val="center"/>
              <w:rPr>
                <w:rFonts w:ascii="宋体" w:hAnsi="宋体"/>
                <w:szCs w:val="21"/>
                <w:highlight w:val="none"/>
              </w:rPr>
            </w:pPr>
            <w:r>
              <w:rPr>
                <w:rFonts w:hint="eastAsia" w:ascii="宋体" w:hAnsi="宋体"/>
                <w:szCs w:val="21"/>
                <w:highlight w:val="none"/>
              </w:rPr>
              <w:t>资格审查资料的特殊要求</w:t>
            </w:r>
          </w:p>
        </w:tc>
        <w:tc>
          <w:tcPr>
            <w:tcW w:w="7200" w:type="dxa"/>
            <w:vAlign w:val="center"/>
          </w:tcPr>
          <w:p w14:paraId="6EC85202">
            <w:pPr>
              <w:pStyle w:val="12"/>
              <w:topLinePunct/>
              <w:snapToGrid w:val="0"/>
              <w:spacing w:line="276" w:lineRule="auto"/>
              <w:rPr>
                <w:rFonts w:hAnsi="宋体"/>
                <w:spacing w:val="-1"/>
                <w:sz w:val="21"/>
                <w:szCs w:val="21"/>
                <w:highlight w:val="none"/>
              </w:rPr>
            </w:pPr>
            <w:r>
              <w:rPr>
                <w:rFonts w:hint="eastAsia" w:hAnsi="宋体"/>
                <w:spacing w:val="-1"/>
                <w:sz w:val="21"/>
                <w:szCs w:val="21"/>
                <w:highlight w:val="none"/>
              </w:rPr>
              <w:t>■无</w:t>
            </w:r>
          </w:p>
          <w:p w14:paraId="1919B00F">
            <w:pPr>
              <w:pStyle w:val="12"/>
              <w:topLinePunct/>
              <w:snapToGrid w:val="0"/>
              <w:spacing w:line="276" w:lineRule="auto"/>
              <w:rPr>
                <w:rFonts w:hAnsi="宋体"/>
                <w:sz w:val="21"/>
                <w:szCs w:val="21"/>
                <w:highlight w:val="none"/>
              </w:rPr>
            </w:pPr>
            <w:r>
              <w:rPr>
                <w:rFonts w:hint="eastAsia" w:hAnsi="宋体"/>
                <w:spacing w:val="-1"/>
                <w:sz w:val="21"/>
                <w:szCs w:val="21"/>
                <w:highlight w:val="none"/>
              </w:rPr>
              <w:t>□有，具体要求：/</w:t>
            </w:r>
          </w:p>
        </w:tc>
      </w:tr>
      <w:tr w14:paraId="00DCE43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866" w:type="dxa"/>
            <w:vAlign w:val="center"/>
          </w:tcPr>
          <w:p w14:paraId="5DEC9822">
            <w:pPr>
              <w:snapToGrid w:val="0"/>
              <w:spacing w:line="276" w:lineRule="auto"/>
              <w:jc w:val="center"/>
              <w:rPr>
                <w:rFonts w:ascii="宋体" w:hAnsi="宋体"/>
                <w:szCs w:val="21"/>
                <w:highlight w:val="none"/>
              </w:rPr>
            </w:pPr>
            <w:r>
              <w:rPr>
                <w:rFonts w:ascii="宋体" w:hAnsi="宋体"/>
                <w:szCs w:val="21"/>
                <w:highlight w:val="none"/>
              </w:rPr>
              <w:t>3.5.2</w:t>
            </w:r>
          </w:p>
        </w:tc>
        <w:tc>
          <w:tcPr>
            <w:tcW w:w="2160" w:type="dxa"/>
            <w:vAlign w:val="center"/>
          </w:tcPr>
          <w:p w14:paraId="51534C28">
            <w:pPr>
              <w:snapToGrid w:val="0"/>
              <w:spacing w:line="276" w:lineRule="auto"/>
              <w:jc w:val="center"/>
              <w:rPr>
                <w:rFonts w:ascii="宋体" w:hAnsi="宋体"/>
                <w:szCs w:val="21"/>
                <w:highlight w:val="none"/>
              </w:rPr>
            </w:pPr>
            <w:r>
              <w:rPr>
                <w:rFonts w:hint="eastAsia" w:ascii="宋体" w:hAnsi="宋体"/>
                <w:szCs w:val="21"/>
                <w:highlight w:val="none"/>
              </w:rPr>
              <w:t>近年财务状况的年份要求</w:t>
            </w:r>
          </w:p>
        </w:tc>
        <w:tc>
          <w:tcPr>
            <w:tcW w:w="7200" w:type="dxa"/>
            <w:vAlign w:val="center"/>
          </w:tcPr>
          <w:p w14:paraId="3DF553A2">
            <w:pPr>
              <w:spacing w:line="276" w:lineRule="auto"/>
              <w:ind w:firstLine="105" w:firstLineChars="50"/>
              <w:rPr>
                <w:rFonts w:ascii="宋体" w:hAnsi="宋体"/>
                <w:szCs w:val="21"/>
                <w:highlight w:val="none"/>
                <w:u w:val="single"/>
              </w:rPr>
            </w:pPr>
            <w:r>
              <w:rPr>
                <w:rFonts w:hint="eastAsia" w:ascii="宋体" w:hAnsi="宋体"/>
                <w:szCs w:val="21"/>
                <w:highlight w:val="none"/>
                <w:u w:val="single"/>
              </w:rPr>
              <w:t>/</w:t>
            </w:r>
            <w:r>
              <w:rPr>
                <w:rFonts w:hint="eastAsia" w:ascii="宋体" w:hAnsi="宋体"/>
                <w:szCs w:val="21"/>
                <w:highlight w:val="none"/>
              </w:rPr>
              <w:t>年至</w:t>
            </w:r>
            <w:r>
              <w:rPr>
                <w:rFonts w:hint="eastAsia" w:ascii="宋体" w:hAnsi="宋体"/>
                <w:szCs w:val="21"/>
                <w:highlight w:val="none"/>
                <w:u w:val="single"/>
              </w:rPr>
              <w:t>/</w:t>
            </w:r>
            <w:r>
              <w:rPr>
                <w:rFonts w:hint="eastAsia" w:ascii="宋体" w:hAnsi="宋体"/>
                <w:szCs w:val="21"/>
                <w:highlight w:val="none"/>
              </w:rPr>
              <w:t>年</w:t>
            </w:r>
          </w:p>
        </w:tc>
      </w:tr>
      <w:tr w14:paraId="3DDC2C3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866" w:type="dxa"/>
            <w:vAlign w:val="center"/>
          </w:tcPr>
          <w:p w14:paraId="131256D4">
            <w:pPr>
              <w:snapToGrid w:val="0"/>
              <w:spacing w:line="276" w:lineRule="auto"/>
              <w:jc w:val="center"/>
              <w:rPr>
                <w:rFonts w:ascii="宋体" w:hAnsi="宋体"/>
                <w:szCs w:val="21"/>
                <w:highlight w:val="none"/>
              </w:rPr>
            </w:pPr>
            <w:r>
              <w:rPr>
                <w:rFonts w:ascii="宋体" w:hAnsi="宋体"/>
                <w:szCs w:val="21"/>
                <w:highlight w:val="none"/>
              </w:rPr>
              <w:t>3.5.3</w:t>
            </w:r>
          </w:p>
        </w:tc>
        <w:tc>
          <w:tcPr>
            <w:tcW w:w="2160" w:type="dxa"/>
            <w:vAlign w:val="center"/>
          </w:tcPr>
          <w:p w14:paraId="779689B5">
            <w:pPr>
              <w:snapToGrid w:val="0"/>
              <w:spacing w:line="276" w:lineRule="auto"/>
              <w:jc w:val="center"/>
              <w:rPr>
                <w:rFonts w:ascii="宋体" w:hAnsi="宋体"/>
                <w:szCs w:val="21"/>
                <w:highlight w:val="none"/>
              </w:rPr>
            </w:pPr>
            <w:r>
              <w:rPr>
                <w:rFonts w:hint="eastAsia" w:ascii="宋体" w:hAnsi="宋体"/>
                <w:szCs w:val="21"/>
                <w:highlight w:val="none"/>
              </w:rPr>
              <w:t>近年完成的类似项目情况的时间要求</w:t>
            </w:r>
          </w:p>
        </w:tc>
        <w:tc>
          <w:tcPr>
            <w:tcW w:w="7200" w:type="dxa"/>
            <w:vAlign w:val="center"/>
          </w:tcPr>
          <w:p w14:paraId="47F46F89">
            <w:pPr>
              <w:spacing w:line="276" w:lineRule="auto"/>
              <w:ind w:firstLine="105" w:firstLineChars="50"/>
              <w:rPr>
                <w:rFonts w:ascii="宋体" w:hAnsi="宋体"/>
                <w:szCs w:val="21"/>
                <w:highlight w:val="none"/>
              </w:rPr>
            </w:pPr>
            <w:r>
              <w:rPr>
                <w:rFonts w:hint="eastAsia" w:ascii="宋体" w:hAnsi="宋体"/>
                <w:szCs w:val="21"/>
                <w:highlight w:val="none"/>
                <w:u w:val="single"/>
              </w:rPr>
              <w:t>/</w:t>
            </w:r>
            <w:r>
              <w:rPr>
                <w:rFonts w:hint="eastAsia" w:ascii="宋体" w:hAnsi="宋体"/>
                <w:szCs w:val="21"/>
                <w:highlight w:val="none"/>
              </w:rPr>
              <w:t>年</w:t>
            </w:r>
            <w:r>
              <w:rPr>
                <w:rFonts w:hint="eastAsia" w:ascii="宋体" w:hAnsi="宋体"/>
                <w:szCs w:val="21"/>
                <w:highlight w:val="none"/>
                <w:u w:val="single"/>
              </w:rPr>
              <w:t>/</w:t>
            </w:r>
            <w:r>
              <w:rPr>
                <w:rFonts w:hint="eastAsia" w:ascii="宋体" w:hAnsi="宋体"/>
                <w:szCs w:val="21"/>
                <w:highlight w:val="none"/>
              </w:rPr>
              <w:t>月</w:t>
            </w:r>
            <w:r>
              <w:rPr>
                <w:rFonts w:hint="eastAsia" w:ascii="宋体" w:hAnsi="宋体"/>
                <w:szCs w:val="21"/>
                <w:highlight w:val="none"/>
                <w:u w:val="single"/>
              </w:rPr>
              <w:t>/</w:t>
            </w:r>
            <w:r>
              <w:rPr>
                <w:rFonts w:hint="eastAsia" w:ascii="宋体" w:hAnsi="宋体"/>
                <w:szCs w:val="21"/>
                <w:highlight w:val="none"/>
              </w:rPr>
              <w:t>日至今（</w:t>
            </w:r>
            <w:r>
              <w:rPr>
                <w:rFonts w:hint="eastAsia" w:ascii="宋体" w:hAnsi="宋体" w:cs="宋体"/>
                <w:szCs w:val="21"/>
                <w:highlight w:val="none"/>
              </w:rPr>
              <w:t>完成时间以检测报告为准）</w:t>
            </w:r>
          </w:p>
        </w:tc>
      </w:tr>
      <w:tr w14:paraId="072DEB4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866" w:type="dxa"/>
            <w:vAlign w:val="center"/>
          </w:tcPr>
          <w:p w14:paraId="2E72ECBF">
            <w:pPr>
              <w:snapToGrid w:val="0"/>
              <w:spacing w:line="276" w:lineRule="auto"/>
              <w:jc w:val="center"/>
              <w:rPr>
                <w:rFonts w:ascii="宋体" w:hAnsi="宋体"/>
                <w:szCs w:val="21"/>
                <w:highlight w:val="none"/>
              </w:rPr>
            </w:pPr>
            <w:r>
              <w:rPr>
                <w:rFonts w:ascii="宋体" w:hAnsi="宋体"/>
                <w:szCs w:val="21"/>
                <w:highlight w:val="none"/>
              </w:rPr>
              <w:t>3.5.5</w:t>
            </w:r>
          </w:p>
        </w:tc>
        <w:tc>
          <w:tcPr>
            <w:tcW w:w="2160" w:type="dxa"/>
            <w:vAlign w:val="center"/>
          </w:tcPr>
          <w:p w14:paraId="5C40B22B">
            <w:pPr>
              <w:snapToGrid w:val="0"/>
              <w:spacing w:line="276" w:lineRule="auto"/>
              <w:jc w:val="center"/>
              <w:rPr>
                <w:rFonts w:ascii="宋体" w:hAnsi="宋体"/>
                <w:szCs w:val="21"/>
                <w:highlight w:val="none"/>
              </w:rPr>
            </w:pPr>
            <w:r>
              <w:rPr>
                <w:rFonts w:hint="eastAsia" w:ascii="宋体" w:hAnsi="宋体"/>
                <w:szCs w:val="21"/>
                <w:highlight w:val="none"/>
              </w:rPr>
              <w:t>近年发生的诉讼及仲裁情况的时间要求</w:t>
            </w:r>
          </w:p>
        </w:tc>
        <w:tc>
          <w:tcPr>
            <w:tcW w:w="7200" w:type="dxa"/>
            <w:vAlign w:val="center"/>
          </w:tcPr>
          <w:p w14:paraId="488B2AEC">
            <w:pPr>
              <w:snapToGrid w:val="0"/>
              <w:spacing w:line="276" w:lineRule="auto"/>
              <w:ind w:firstLine="105" w:firstLineChars="50"/>
              <w:rPr>
                <w:rFonts w:ascii="宋体" w:hAnsi="宋体"/>
                <w:szCs w:val="21"/>
                <w:highlight w:val="none"/>
              </w:rPr>
            </w:pPr>
            <w:r>
              <w:rPr>
                <w:rFonts w:ascii="宋体" w:hAnsi="宋体"/>
                <w:szCs w:val="21"/>
                <w:highlight w:val="none"/>
                <w:u w:val="single"/>
              </w:rPr>
              <w:t>/</w:t>
            </w:r>
            <w:r>
              <w:rPr>
                <w:rFonts w:hint="eastAsia" w:ascii="宋体" w:hAnsi="宋体"/>
                <w:szCs w:val="21"/>
                <w:highlight w:val="none"/>
              </w:rPr>
              <w:t>年</w:t>
            </w:r>
            <w:r>
              <w:rPr>
                <w:rFonts w:ascii="宋体" w:hAnsi="宋体"/>
                <w:szCs w:val="21"/>
                <w:highlight w:val="none"/>
                <w:u w:val="single"/>
              </w:rPr>
              <w:t>/</w:t>
            </w:r>
            <w:r>
              <w:rPr>
                <w:rFonts w:hint="eastAsia" w:ascii="宋体" w:hAnsi="宋体"/>
                <w:szCs w:val="21"/>
                <w:highlight w:val="none"/>
              </w:rPr>
              <w:t>月</w:t>
            </w:r>
            <w:r>
              <w:rPr>
                <w:rFonts w:ascii="宋体" w:hAnsi="宋体"/>
                <w:szCs w:val="21"/>
                <w:highlight w:val="none"/>
                <w:u w:val="single"/>
              </w:rPr>
              <w:t>/</w:t>
            </w:r>
            <w:r>
              <w:rPr>
                <w:rFonts w:hint="eastAsia" w:ascii="宋体" w:hAnsi="宋体"/>
                <w:szCs w:val="21"/>
                <w:highlight w:val="none"/>
              </w:rPr>
              <w:t>日至</w:t>
            </w:r>
            <w:r>
              <w:rPr>
                <w:rFonts w:ascii="宋体" w:hAnsi="宋体"/>
                <w:szCs w:val="21"/>
                <w:highlight w:val="none"/>
                <w:u w:val="single"/>
              </w:rPr>
              <w:t>/</w:t>
            </w:r>
            <w:r>
              <w:rPr>
                <w:rFonts w:hint="eastAsia" w:ascii="宋体" w:hAnsi="宋体"/>
                <w:szCs w:val="21"/>
                <w:highlight w:val="none"/>
              </w:rPr>
              <w:t>年</w:t>
            </w:r>
            <w:r>
              <w:rPr>
                <w:rFonts w:ascii="宋体" w:hAnsi="宋体"/>
                <w:szCs w:val="21"/>
                <w:highlight w:val="none"/>
                <w:u w:val="single"/>
              </w:rPr>
              <w:t>/</w:t>
            </w:r>
            <w:r>
              <w:rPr>
                <w:rFonts w:hint="eastAsia" w:ascii="宋体" w:hAnsi="宋体"/>
                <w:szCs w:val="21"/>
                <w:highlight w:val="none"/>
              </w:rPr>
              <w:t>月</w:t>
            </w:r>
            <w:r>
              <w:rPr>
                <w:rFonts w:ascii="宋体" w:hAnsi="宋体"/>
                <w:szCs w:val="21"/>
                <w:highlight w:val="none"/>
                <w:u w:val="single"/>
              </w:rPr>
              <w:t>/</w:t>
            </w:r>
            <w:r>
              <w:rPr>
                <w:rFonts w:hint="eastAsia" w:ascii="宋体" w:hAnsi="宋体"/>
                <w:szCs w:val="21"/>
                <w:highlight w:val="none"/>
              </w:rPr>
              <w:t>日</w:t>
            </w:r>
          </w:p>
        </w:tc>
      </w:tr>
      <w:tr w14:paraId="2818888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866" w:type="dxa"/>
            <w:vAlign w:val="center"/>
          </w:tcPr>
          <w:p w14:paraId="5E741C22">
            <w:pPr>
              <w:snapToGrid w:val="0"/>
              <w:spacing w:line="276" w:lineRule="auto"/>
              <w:jc w:val="center"/>
              <w:rPr>
                <w:rFonts w:ascii="宋体" w:hAnsi="宋体"/>
                <w:szCs w:val="21"/>
                <w:highlight w:val="none"/>
              </w:rPr>
            </w:pPr>
            <w:r>
              <w:rPr>
                <w:rFonts w:ascii="宋体" w:hAnsi="宋体"/>
                <w:szCs w:val="21"/>
                <w:highlight w:val="none"/>
              </w:rPr>
              <w:t>3.6.1</w:t>
            </w:r>
          </w:p>
        </w:tc>
        <w:tc>
          <w:tcPr>
            <w:tcW w:w="2160" w:type="dxa"/>
            <w:vAlign w:val="center"/>
          </w:tcPr>
          <w:p w14:paraId="3E6F1F97">
            <w:pPr>
              <w:snapToGrid w:val="0"/>
              <w:spacing w:line="276" w:lineRule="auto"/>
              <w:jc w:val="center"/>
              <w:rPr>
                <w:rFonts w:ascii="宋体" w:hAnsi="宋体"/>
                <w:szCs w:val="21"/>
                <w:highlight w:val="none"/>
              </w:rPr>
            </w:pPr>
            <w:r>
              <w:rPr>
                <w:rFonts w:hint="eastAsia" w:ascii="宋体" w:hAnsi="宋体"/>
                <w:szCs w:val="21"/>
                <w:highlight w:val="none"/>
              </w:rPr>
              <w:t>是否允许递交备选投标方案</w:t>
            </w:r>
          </w:p>
        </w:tc>
        <w:tc>
          <w:tcPr>
            <w:tcW w:w="7200" w:type="dxa"/>
            <w:vAlign w:val="center"/>
          </w:tcPr>
          <w:p w14:paraId="363FF64B">
            <w:pPr>
              <w:pStyle w:val="12"/>
              <w:topLinePunct/>
              <w:snapToGrid w:val="0"/>
              <w:spacing w:line="276" w:lineRule="auto"/>
              <w:rPr>
                <w:rFonts w:hAnsi="宋体"/>
                <w:sz w:val="21"/>
                <w:szCs w:val="21"/>
                <w:highlight w:val="none"/>
              </w:rPr>
            </w:pPr>
            <w:r>
              <w:rPr>
                <w:rFonts w:hint="eastAsia" w:hAnsi="宋体"/>
                <w:spacing w:val="-1"/>
                <w:sz w:val="21"/>
                <w:szCs w:val="21"/>
                <w:highlight w:val="none"/>
              </w:rPr>
              <w:t>■</w:t>
            </w:r>
            <w:r>
              <w:rPr>
                <w:rFonts w:hint="eastAsia" w:hAnsi="宋体"/>
                <w:sz w:val="21"/>
                <w:szCs w:val="21"/>
                <w:highlight w:val="none"/>
              </w:rPr>
              <w:t>不允许</w:t>
            </w:r>
          </w:p>
          <w:p w14:paraId="17697338">
            <w:pPr>
              <w:snapToGrid w:val="0"/>
              <w:spacing w:line="276" w:lineRule="auto"/>
              <w:rPr>
                <w:rFonts w:ascii="宋体" w:hAnsi="宋体"/>
                <w:szCs w:val="21"/>
                <w:highlight w:val="none"/>
              </w:rPr>
            </w:pPr>
            <w:r>
              <w:rPr>
                <w:rFonts w:hint="eastAsia" w:ascii="宋体" w:hAnsi="宋体"/>
                <w:szCs w:val="21"/>
                <w:highlight w:val="none"/>
              </w:rPr>
              <w:t>□允许</w:t>
            </w:r>
          </w:p>
        </w:tc>
      </w:tr>
      <w:tr w14:paraId="7B09701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866" w:type="dxa"/>
            <w:vAlign w:val="center"/>
          </w:tcPr>
          <w:p w14:paraId="6B8BC3E5">
            <w:pPr>
              <w:snapToGrid w:val="0"/>
              <w:spacing w:line="276" w:lineRule="auto"/>
              <w:jc w:val="center"/>
              <w:rPr>
                <w:rFonts w:ascii="宋体" w:hAnsi="宋体"/>
                <w:szCs w:val="21"/>
                <w:highlight w:val="none"/>
              </w:rPr>
            </w:pPr>
            <w:r>
              <w:rPr>
                <w:rFonts w:ascii="宋体" w:hAnsi="宋体"/>
                <w:szCs w:val="21"/>
                <w:highlight w:val="none"/>
              </w:rPr>
              <w:t>3.7.3</w:t>
            </w:r>
          </w:p>
        </w:tc>
        <w:tc>
          <w:tcPr>
            <w:tcW w:w="2160" w:type="dxa"/>
            <w:vAlign w:val="center"/>
          </w:tcPr>
          <w:p w14:paraId="647BEB3C">
            <w:pPr>
              <w:snapToGrid w:val="0"/>
              <w:spacing w:line="276" w:lineRule="auto"/>
              <w:jc w:val="center"/>
              <w:rPr>
                <w:rFonts w:ascii="宋体" w:hAnsi="宋体"/>
                <w:szCs w:val="21"/>
                <w:highlight w:val="none"/>
              </w:rPr>
            </w:pPr>
            <w:r>
              <w:rPr>
                <w:rFonts w:hint="eastAsia" w:ascii="宋体" w:hAnsi="宋体"/>
                <w:szCs w:val="21"/>
                <w:highlight w:val="none"/>
              </w:rPr>
              <w:t>投标文件所附证书证件要求</w:t>
            </w:r>
          </w:p>
        </w:tc>
        <w:tc>
          <w:tcPr>
            <w:tcW w:w="7200" w:type="dxa"/>
            <w:vAlign w:val="center"/>
          </w:tcPr>
          <w:p w14:paraId="2E4676AD">
            <w:pPr>
              <w:snapToGrid w:val="0"/>
              <w:spacing w:line="276" w:lineRule="auto"/>
              <w:rPr>
                <w:rFonts w:ascii="宋体" w:hAnsi="宋体"/>
                <w:szCs w:val="21"/>
                <w:highlight w:val="none"/>
                <w:u w:val="single"/>
              </w:rPr>
            </w:pPr>
            <w:r>
              <w:rPr>
                <w:rFonts w:hint="eastAsia" w:ascii="宋体" w:hAnsi="宋体"/>
                <w:szCs w:val="21"/>
                <w:highlight w:val="none"/>
              </w:rPr>
              <w:t>证书证件需为</w:t>
            </w:r>
            <w:r>
              <w:rPr>
                <w:rFonts w:hint="eastAsia" w:ascii="宋体" w:hAnsi="宋体"/>
                <w:b/>
                <w:szCs w:val="21"/>
                <w:highlight w:val="none"/>
              </w:rPr>
              <w:t>原件清晰彩色扫描件</w:t>
            </w:r>
            <w:r>
              <w:rPr>
                <w:rFonts w:hint="eastAsia" w:ascii="宋体" w:hAnsi="宋体"/>
                <w:szCs w:val="21"/>
                <w:highlight w:val="none"/>
              </w:rPr>
              <w:t>，并采用单位数字证书，按照招标文件要求在相应位置加盖电子印章。</w:t>
            </w:r>
          </w:p>
        </w:tc>
      </w:tr>
      <w:tr w14:paraId="5869ABD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866" w:type="dxa"/>
            <w:vAlign w:val="center"/>
          </w:tcPr>
          <w:p w14:paraId="55E63BF7">
            <w:pPr>
              <w:snapToGrid w:val="0"/>
              <w:spacing w:line="276" w:lineRule="auto"/>
              <w:jc w:val="center"/>
              <w:rPr>
                <w:rFonts w:ascii="宋体" w:hAnsi="宋体"/>
                <w:szCs w:val="21"/>
                <w:highlight w:val="none"/>
              </w:rPr>
            </w:pPr>
            <w:r>
              <w:rPr>
                <w:rFonts w:ascii="宋体" w:hAnsi="宋体"/>
                <w:szCs w:val="21"/>
                <w:highlight w:val="none"/>
              </w:rPr>
              <w:t>3.7.3</w:t>
            </w:r>
          </w:p>
        </w:tc>
        <w:tc>
          <w:tcPr>
            <w:tcW w:w="2160" w:type="dxa"/>
            <w:vAlign w:val="center"/>
          </w:tcPr>
          <w:p w14:paraId="058CC810">
            <w:pPr>
              <w:snapToGrid w:val="0"/>
              <w:spacing w:line="276" w:lineRule="auto"/>
              <w:jc w:val="center"/>
              <w:rPr>
                <w:rFonts w:ascii="宋体" w:hAnsi="宋体"/>
                <w:szCs w:val="21"/>
                <w:highlight w:val="none"/>
              </w:rPr>
            </w:pPr>
            <w:r>
              <w:rPr>
                <w:rFonts w:hint="eastAsia" w:ascii="宋体" w:hAnsi="宋体"/>
                <w:szCs w:val="21"/>
                <w:highlight w:val="none"/>
              </w:rPr>
              <w:t>投标文件签字或盖章要求</w:t>
            </w:r>
          </w:p>
        </w:tc>
        <w:tc>
          <w:tcPr>
            <w:tcW w:w="7200" w:type="dxa"/>
            <w:vAlign w:val="center"/>
          </w:tcPr>
          <w:p w14:paraId="3B52D3D5">
            <w:pPr>
              <w:pStyle w:val="12"/>
              <w:topLinePunct/>
              <w:snapToGrid w:val="0"/>
              <w:spacing w:line="276" w:lineRule="auto"/>
              <w:ind w:right="174" w:rightChars="83"/>
              <w:rPr>
                <w:rFonts w:hAnsi="宋体" w:cs="宋体"/>
                <w:sz w:val="21"/>
                <w:szCs w:val="21"/>
                <w:highlight w:val="none"/>
                <w:u w:val="single"/>
              </w:rPr>
            </w:pPr>
            <w:r>
              <w:rPr>
                <w:rFonts w:hint="eastAsia" w:hAnsi="宋体" w:cs="宋体"/>
                <w:sz w:val="21"/>
                <w:szCs w:val="21"/>
                <w:highlight w:val="none"/>
                <w:u w:val="single"/>
              </w:rPr>
              <w:t>取消在招标文件中采用个人数字证书和加盖个人电子印章要求，投标文件中需法定代表人、代理人签字或加盖电子印章的，应手签后扫描上传，对加盖个人电子印章不做要求。投标文件按招标文件要求加盖单位电子印章。相关操作详见</w:t>
            </w:r>
            <w:r>
              <w:rPr>
                <w:rFonts w:hint="eastAsia" w:hAnsi="宋体" w:cs="宋体"/>
                <w:sz w:val="21"/>
                <w:szCs w:val="21"/>
                <w:highlight w:val="none"/>
                <w:u w:val="single"/>
                <w:lang w:eastAsia="zh-CN"/>
              </w:rPr>
              <w:t>广州交易集团有限公司（广州公共资源交易中心）</w:t>
            </w:r>
            <w:r>
              <w:rPr>
                <w:rFonts w:hint="eastAsia" w:hAnsi="宋体" w:cs="宋体"/>
                <w:sz w:val="21"/>
                <w:szCs w:val="21"/>
                <w:highlight w:val="none"/>
                <w:u w:val="single"/>
              </w:rPr>
              <w:t>网站最新发布的最新指引。</w:t>
            </w:r>
          </w:p>
          <w:p w14:paraId="20C71928">
            <w:pPr>
              <w:pStyle w:val="12"/>
              <w:topLinePunct/>
              <w:snapToGrid w:val="0"/>
              <w:spacing w:line="276" w:lineRule="auto"/>
              <w:ind w:right="174" w:rightChars="83"/>
              <w:rPr>
                <w:rFonts w:hAnsi="宋体" w:cs="宋体"/>
                <w:sz w:val="21"/>
                <w:szCs w:val="21"/>
                <w:highlight w:val="none"/>
                <w:u w:val="single"/>
              </w:rPr>
            </w:pPr>
            <w:r>
              <w:rPr>
                <w:rFonts w:hint="eastAsia" w:hAnsi="宋体" w:cs="宋体"/>
                <w:b/>
                <w:bCs/>
                <w:sz w:val="21"/>
                <w:szCs w:val="21"/>
                <w:highlight w:val="none"/>
                <w:u w:val="single"/>
              </w:rPr>
              <w:t>联合体投标时，除“联合体协议书”需由联合体各成员分别按要求进行签字或盖章外，其他资料若需要签字或盖章的均可由联合体牵头人（主办方）签字或盖章即可；投标资料封面及其他内容及落款中的“投标人”应填写联合体各成员的单位全称【格式示例为：（主）单位全称（成）单位全称】，由联合体主办方按要求签字或盖章即可。电子签章由主办方进行签章即可。</w:t>
            </w:r>
          </w:p>
        </w:tc>
      </w:tr>
      <w:tr w14:paraId="4985AAD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866" w:type="dxa"/>
            <w:vAlign w:val="center"/>
          </w:tcPr>
          <w:p w14:paraId="763505C8">
            <w:pPr>
              <w:snapToGrid w:val="0"/>
              <w:spacing w:line="276" w:lineRule="auto"/>
              <w:jc w:val="center"/>
              <w:rPr>
                <w:rFonts w:ascii="宋体" w:hAnsi="宋体"/>
                <w:szCs w:val="21"/>
                <w:highlight w:val="none"/>
              </w:rPr>
            </w:pPr>
            <w:r>
              <w:rPr>
                <w:rFonts w:ascii="宋体" w:hAnsi="宋体"/>
                <w:szCs w:val="21"/>
                <w:highlight w:val="none"/>
              </w:rPr>
              <w:t>4.1.1</w:t>
            </w:r>
          </w:p>
        </w:tc>
        <w:tc>
          <w:tcPr>
            <w:tcW w:w="2160" w:type="dxa"/>
            <w:vAlign w:val="center"/>
          </w:tcPr>
          <w:p w14:paraId="71986B6D">
            <w:pPr>
              <w:snapToGrid w:val="0"/>
              <w:spacing w:line="276" w:lineRule="auto"/>
              <w:jc w:val="center"/>
              <w:rPr>
                <w:rFonts w:ascii="宋体" w:hAnsi="宋体"/>
                <w:szCs w:val="21"/>
                <w:highlight w:val="none"/>
              </w:rPr>
            </w:pPr>
            <w:r>
              <w:rPr>
                <w:rFonts w:hint="eastAsia" w:ascii="宋体" w:hAnsi="宋体"/>
                <w:szCs w:val="21"/>
                <w:highlight w:val="none"/>
              </w:rPr>
              <w:t>投标文件加密要求</w:t>
            </w:r>
          </w:p>
        </w:tc>
        <w:tc>
          <w:tcPr>
            <w:tcW w:w="7200" w:type="dxa"/>
            <w:vAlign w:val="center"/>
          </w:tcPr>
          <w:p w14:paraId="2321E517">
            <w:pPr>
              <w:pStyle w:val="12"/>
              <w:topLinePunct/>
              <w:snapToGrid w:val="0"/>
              <w:spacing w:line="276" w:lineRule="auto"/>
              <w:rPr>
                <w:rFonts w:hAnsi="宋体"/>
                <w:sz w:val="21"/>
                <w:szCs w:val="21"/>
                <w:highlight w:val="none"/>
                <w:u w:val="single"/>
              </w:rPr>
            </w:pPr>
            <w:r>
              <w:rPr>
                <w:rFonts w:hint="eastAsia" w:hAnsi="宋体"/>
                <w:sz w:val="21"/>
                <w:szCs w:val="21"/>
                <w:highlight w:val="none"/>
              </w:rPr>
              <w:t>网上递交的电子投标文件须进行加密。具体操作</w:t>
            </w:r>
            <w:r>
              <w:rPr>
                <w:rFonts w:hint="eastAsia" w:hAnsi="宋体" w:cs="宋体"/>
                <w:sz w:val="21"/>
                <w:szCs w:val="21"/>
                <w:highlight w:val="none"/>
                <w:u w:val="single"/>
              </w:rPr>
              <w:t>详见</w:t>
            </w:r>
            <w:r>
              <w:rPr>
                <w:rFonts w:hint="eastAsia" w:hAnsi="宋体" w:cs="宋体"/>
                <w:sz w:val="21"/>
                <w:szCs w:val="21"/>
                <w:highlight w:val="none"/>
                <w:u w:val="single"/>
                <w:lang w:eastAsia="zh-CN"/>
              </w:rPr>
              <w:t>广州交易集团有限公司（广州公共资源交易中心）</w:t>
            </w:r>
            <w:r>
              <w:rPr>
                <w:rFonts w:hint="eastAsia" w:hAnsi="宋体" w:cs="宋体"/>
                <w:sz w:val="21"/>
                <w:szCs w:val="21"/>
                <w:highlight w:val="none"/>
                <w:u w:val="single"/>
              </w:rPr>
              <w:t>网站最新发布的最新指引。</w:t>
            </w:r>
          </w:p>
        </w:tc>
      </w:tr>
      <w:tr w14:paraId="562720D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866" w:type="dxa"/>
            <w:vAlign w:val="center"/>
          </w:tcPr>
          <w:p w14:paraId="1AA565E7">
            <w:pPr>
              <w:snapToGrid w:val="0"/>
              <w:spacing w:line="276" w:lineRule="auto"/>
              <w:jc w:val="center"/>
              <w:rPr>
                <w:rFonts w:ascii="宋体" w:hAnsi="宋体"/>
                <w:szCs w:val="21"/>
                <w:highlight w:val="none"/>
              </w:rPr>
            </w:pPr>
            <w:r>
              <w:rPr>
                <w:rFonts w:ascii="宋体" w:hAnsi="宋体"/>
                <w:szCs w:val="21"/>
                <w:highlight w:val="none"/>
              </w:rPr>
              <w:t>4.1.2</w:t>
            </w:r>
          </w:p>
        </w:tc>
        <w:tc>
          <w:tcPr>
            <w:tcW w:w="2160" w:type="dxa"/>
            <w:vAlign w:val="center"/>
          </w:tcPr>
          <w:p w14:paraId="0EDA861E">
            <w:pPr>
              <w:snapToGrid w:val="0"/>
              <w:spacing w:line="276" w:lineRule="auto"/>
              <w:jc w:val="center"/>
              <w:rPr>
                <w:rFonts w:ascii="宋体" w:hAnsi="宋体"/>
                <w:szCs w:val="21"/>
                <w:highlight w:val="none"/>
              </w:rPr>
            </w:pPr>
            <w:r>
              <w:rPr>
                <w:rFonts w:hint="eastAsia" w:ascii="宋体" w:hAnsi="宋体"/>
                <w:szCs w:val="21"/>
                <w:highlight w:val="none"/>
              </w:rPr>
              <w:t>封套上应载明的信息</w:t>
            </w:r>
          </w:p>
        </w:tc>
        <w:tc>
          <w:tcPr>
            <w:tcW w:w="7200" w:type="dxa"/>
            <w:vAlign w:val="center"/>
          </w:tcPr>
          <w:p w14:paraId="2BDC3026">
            <w:pPr>
              <w:pStyle w:val="12"/>
              <w:topLinePunct/>
              <w:snapToGrid w:val="0"/>
              <w:spacing w:line="276" w:lineRule="auto"/>
              <w:rPr>
                <w:rFonts w:hAnsi="宋体"/>
                <w:sz w:val="21"/>
                <w:szCs w:val="21"/>
                <w:highlight w:val="none"/>
              </w:rPr>
            </w:pPr>
            <w:r>
              <w:rPr>
                <w:rFonts w:hint="eastAsia" w:hAnsi="宋体"/>
                <w:sz w:val="21"/>
                <w:szCs w:val="21"/>
                <w:highlight w:val="none"/>
              </w:rPr>
              <w:t>如有提交投标文件光盘备用，封套上应注明如下信息：</w:t>
            </w:r>
          </w:p>
          <w:p w14:paraId="57608747">
            <w:pPr>
              <w:pStyle w:val="12"/>
              <w:topLinePunct/>
              <w:spacing w:line="276" w:lineRule="auto"/>
              <w:rPr>
                <w:rFonts w:hAnsi="宋体"/>
                <w:sz w:val="21"/>
                <w:szCs w:val="21"/>
                <w:highlight w:val="none"/>
              </w:rPr>
            </w:pPr>
            <w:r>
              <w:rPr>
                <w:rFonts w:hint="eastAsia" w:hAnsi="宋体"/>
                <w:sz w:val="21"/>
                <w:szCs w:val="21"/>
                <w:highlight w:val="none"/>
              </w:rPr>
              <w:t>招标人名称：</w:t>
            </w:r>
            <w:r>
              <w:rPr>
                <w:rFonts w:hint="eastAsia" w:hAnsi="宋体"/>
                <w:sz w:val="21"/>
                <w:szCs w:val="21"/>
                <w:highlight w:val="none"/>
                <w:u w:val="single"/>
              </w:rPr>
              <w:t>广州开发区财政投资建设项目管理中心</w:t>
            </w:r>
          </w:p>
          <w:p w14:paraId="510778C1">
            <w:pPr>
              <w:pStyle w:val="12"/>
              <w:topLinePunct/>
              <w:spacing w:line="276" w:lineRule="auto"/>
              <w:rPr>
                <w:rFonts w:hAnsi="宋体"/>
                <w:sz w:val="21"/>
                <w:szCs w:val="21"/>
                <w:highlight w:val="none"/>
              </w:rPr>
            </w:pPr>
            <w:r>
              <w:rPr>
                <w:rFonts w:hint="eastAsia" w:hAnsi="宋体"/>
                <w:sz w:val="21"/>
                <w:szCs w:val="21"/>
                <w:highlight w:val="none"/>
              </w:rPr>
              <w:t>招标人地址：</w:t>
            </w:r>
            <w:r>
              <w:rPr>
                <w:rFonts w:hint="eastAsia" w:hAnsi="宋体"/>
                <w:sz w:val="21"/>
                <w:szCs w:val="21"/>
                <w:highlight w:val="none"/>
                <w:u w:val="single"/>
              </w:rPr>
              <w:t>广州市科学城创意大厦B2主楼三楼</w:t>
            </w:r>
          </w:p>
          <w:p w14:paraId="205415F6">
            <w:pPr>
              <w:pStyle w:val="12"/>
              <w:topLinePunct/>
              <w:spacing w:line="276" w:lineRule="auto"/>
              <w:rPr>
                <w:rFonts w:hAnsi="宋体"/>
                <w:sz w:val="21"/>
                <w:szCs w:val="21"/>
                <w:highlight w:val="none"/>
              </w:rPr>
            </w:pPr>
            <w:r>
              <w:rPr>
                <w:rFonts w:hint="eastAsia" w:hAnsi="宋体"/>
                <w:sz w:val="21"/>
                <w:szCs w:val="21"/>
                <w:highlight w:val="none"/>
              </w:rPr>
              <w:t>（项目名称）招标项目投标文件</w:t>
            </w:r>
          </w:p>
          <w:p w14:paraId="375665C0">
            <w:pPr>
              <w:pStyle w:val="12"/>
              <w:topLinePunct/>
              <w:spacing w:line="276" w:lineRule="auto"/>
              <w:rPr>
                <w:rFonts w:hAnsi="宋体"/>
                <w:sz w:val="21"/>
                <w:szCs w:val="21"/>
                <w:highlight w:val="none"/>
              </w:rPr>
            </w:pPr>
            <w:r>
              <w:rPr>
                <w:rFonts w:hint="eastAsia" w:hAnsi="宋体"/>
                <w:sz w:val="21"/>
                <w:szCs w:val="21"/>
                <w:highlight w:val="none"/>
              </w:rPr>
              <w:t>招标项目编号：</w:t>
            </w:r>
          </w:p>
          <w:p w14:paraId="542984D4">
            <w:pPr>
              <w:pStyle w:val="12"/>
              <w:topLinePunct/>
              <w:snapToGrid w:val="0"/>
              <w:spacing w:line="276" w:lineRule="auto"/>
              <w:rPr>
                <w:rFonts w:hAnsi="宋体"/>
                <w:sz w:val="21"/>
                <w:szCs w:val="21"/>
                <w:highlight w:val="none"/>
              </w:rPr>
            </w:pPr>
            <w:r>
              <w:rPr>
                <w:rFonts w:hint="eastAsia" w:hAnsi="宋体" w:cs="宋体"/>
                <w:sz w:val="21"/>
                <w:szCs w:val="21"/>
                <w:highlight w:val="none"/>
              </w:rPr>
              <w:t>在</w:t>
            </w:r>
            <w:r>
              <w:rPr>
                <w:rFonts w:hint="eastAsia" w:hAnsi="宋体" w:cs="宋体"/>
                <w:sz w:val="21"/>
                <w:szCs w:val="21"/>
                <w:highlight w:val="none"/>
                <w:u w:val="single"/>
              </w:rPr>
              <w:t xml:space="preserve">     </w:t>
            </w:r>
            <w:r>
              <w:rPr>
                <w:rFonts w:hint="eastAsia" w:hAnsi="宋体" w:cs="宋体"/>
                <w:sz w:val="21"/>
                <w:szCs w:val="21"/>
                <w:highlight w:val="none"/>
              </w:rPr>
              <w:t>年</w:t>
            </w:r>
            <w:r>
              <w:rPr>
                <w:rFonts w:hint="eastAsia" w:hAnsi="宋体" w:cs="宋体"/>
                <w:sz w:val="21"/>
                <w:szCs w:val="21"/>
                <w:highlight w:val="none"/>
                <w:u w:val="single"/>
              </w:rPr>
              <w:t xml:space="preserve">  </w:t>
            </w:r>
            <w:r>
              <w:rPr>
                <w:rFonts w:hint="eastAsia" w:hAnsi="宋体" w:cs="宋体"/>
                <w:sz w:val="21"/>
                <w:szCs w:val="21"/>
                <w:highlight w:val="none"/>
              </w:rPr>
              <w:t>月</w:t>
            </w:r>
            <w:r>
              <w:rPr>
                <w:rFonts w:hint="eastAsia" w:hAnsi="宋体" w:cs="宋体"/>
                <w:sz w:val="21"/>
                <w:szCs w:val="21"/>
                <w:highlight w:val="none"/>
                <w:u w:val="single"/>
              </w:rPr>
              <w:t xml:space="preserve">   </w:t>
            </w:r>
            <w:r>
              <w:rPr>
                <w:rFonts w:hint="eastAsia" w:hAnsi="宋体" w:cs="宋体"/>
                <w:sz w:val="21"/>
                <w:szCs w:val="21"/>
                <w:highlight w:val="none"/>
              </w:rPr>
              <w:t>日</w:t>
            </w:r>
            <w:r>
              <w:rPr>
                <w:rFonts w:hint="eastAsia" w:hAnsi="宋体" w:cs="宋体"/>
                <w:sz w:val="21"/>
                <w:szCs w:val="21"/>
                <w:highlight w:val="none"/>
                <w:u w:val="single"/>
              </w:rPr>
              <w:t xml:space="preserve">     </w:t>
            </w:r>
            <w:r>
              <w:rPr>
                <w:rFonts w:hint="eastAsia" w:hAnsi="宋体" w:cs="宋体"/>
                <w:sz w:val="21"/>
                <w:szCs w:val="21"/>
                <w:highlight w:val="none"/>
              </w:rPr>
              <w:t>时前不得开启</w:t>
            </w:r>
          </w:p>
        </w:tc>
      </w:tr>
      <w:tr w14:paraId="71078A2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866" w:type="dxa"/>
            <w:vAlign w:val="center"/>
          </w:tcPr>
          <w:p w14:paraId="4F812F36">
            <w:pPr>
              <w:snapToGrid w:val="0"/>
              <w:spacing w:line="276" w:lineRule="auto"/>
              <w:jc w:val="center"/>
              <w:rPr>
                <w:rFonts w:ascii="宋体" w:hAnsi="宋体"/>
                <w:szCs w:val="21"/>
                <w:highlight w:val="none"/>
              </w:rPr>
            </w:pPr>
            <w:r>
              <w:rPr>
                <w:rFonts w:ascii="宋体" w:hAnsi="宋体"/>
                <w:szCs w:val="21"/>
                <w:highlight w:val="none"/>
              </w:rPr>
              <w:t>4.2.1</w:t>
            </w:r>
          </w:p>
        </w:tc>
        <w:tc>
          <w:tcPr>
            <w:tcW w:w="2160" w:type="dxa"/>
            <w:vAlign w:val="center"/>
          </w:tcPr>
          <w:p w14:paraId="15E45327">
            <w:pPr>
              <w:snapToGrid w:val="0"/>
              <w:spacing w:line="276" w:lineRule="auto"/>
              <w:jc w:val="center"/>
              <w:rPr>
                <w:rFonts w:ascii="宋体" w:hAnsi="宋体"/>
                <w:szCs w:val="21"/>
                <w:highlight w:val="none"/>
              </w:rPr>
            </w:pPr>
            <w:r>
              <w:rPr>
                <w:rFonts w:hint="eastAsia" w:ascii="宋体" w:hAnsi="宋体"/>
                <w:szCs w:val="21"/>
                <w:highlight w:val="none"/>
              </w:rPr>
              <w:t>投标截止时间</w:t>
            </w:r>
          </w:p>
        </w:tc>
        <w:tc>
          <w:tcPr>
            <w:tcW w:w="7200" w:type="dxa"/>
            <w:vAlign w:val="center"/>
          </w:tcPr>
          <w:p w14:paraId="22B3A706">
            <w:pPr>
              <w:snapToGrid w:val="0"/>
              <w:spacing w:line="276" w:lineRule="auto"/>
              <w:rPr>
                <w:rFonts w:ascii="宋体" w:hAnsi="宋体" w:cs="宋体"/>
                <w:szCs w:val="21"/>
                <w:highlight w:val="none"/>
                <w:u w:val="single"/>
              </w:rPr>
            </w:pPr>
            <w:r>
              <w:rPr>
                <w:rFonts w:hint="eastAsia" w:ascii="宋体" w:hAnsi="宋体" w:cs="宋体"/>
                <w:szCs w:val="21"/>
                <w:highlight w:val="none"/>
                <w:u w:val="single"/>
              </w:rPr>
              <w:t xml:space="preserve">     </w:t>
            </w:r>
            <w:r>
              <w:rPr>
                <w:rFonts w:hint="eastAsia" w:ascii="宋体" w:hAnsi="宋体" w:cs="宋体"/>
                <w:szCs w:val="21"/>
                <w:highlight w:val="none"/>
              </w:rPr>
              <w:t>年</w:t>
            </w:r>
            <w:r>
              <w:rPr>
                <w:rFonts w:hint="eastAsia" w:ascii="宋体" w:hAnsi="宋体" w:cs="宋体"/>
                <w:szCs w:val="21"/>
                <w:highlight w:val="none"/>
                <w:u w:val="single"/>
              </w:rPr>
              <w:t xml:space="preserve">   </w:t>
            </w:r>
            <w:r>
              <w:rPr>
                <w:rFonts w:hint="eastAsia" w:ascii="宋体" w:hAnsi="宋体" w:cs="宋体"/>
                <w:szCs w:val="21"/>
                <w:highlight w:val="none"/>
              </w:rPr>
              <w:t>月</w:t>
            </w:r>
            <w:r>
              <w:rPr>
                <w:rFonts w:hint="eastAsia" w:ascii="宋体" w:hAnsi="宋体" w:cs="宋体"/>
                <w:szCs w:val="21"/>
                <w:highlight w:val="none"/>
                <w:u w:val="single"/>
              </w:rPr>
              <w:t xml:space="preserve">    </w:t>
            </w:r>
            <w:r>
              <w:rPr>
                <w:rFonts w:hint="eastAsia" w:ascii="宋体" w:hAnsi="宋体" w:cs="宋体"/>
                <w:szCs w:val="21"/>
                <w:highlight w:val="none"/>
              </w:rPr>
              <w:t>日</w:t>
            </w:r>
            <w:r>
              <w:rPr>
                <w:rFonts w:hint="eastAsia" w:ascii="宋体" w:hAnsi="宋体" w:cs="宋体"/>
                <w:szCs w:val="21"/>
                <w:highlight w:val="none"/>
                <w:u w:val="single"/>
              </w:rPr>
              <w:t xml:space="preserve">  时  分（北京时间）</w:t>
            </w:r>
          </w:p>
          <w:p w14:paraId="03A25857">
            <w:pPr>
              <w:snapToGrid w:val="0"/>
              <w:spacing w:line="276" w:lineRule="auto"/>
              <w:rPr>
                <w:rFonts w:ascii="宋体" w:hAnsi="宋体"/>
                <w:szCs w:val="21"/>
                <w:highlight w:val="none"/>
              </w:rPr>
            </w:pPr>
            <w:r>
              <w:rPr>
                <w:rFonts w:hint="eastAsia" w:ascii="宋体" w:hAnsi="宋体" w:cs="宋体"/>
                <w:szCs w:val="21"/>
                <w:highlight w:val="none"/>
                <w:u w:val="single"/>
              </w:rPr>
              <w:t>（详见</w:t>
            </w:r>
            <w:r>
              <w:rPr>
                <w:rFonts w:hint="eastAsia" w:ascii="宋体" w:hAnsi="宋体" w:cs="宋体"/>
                <w:szCs w:val="21"/>
                <w:highlight w:val="none"/>
                <w:u w:val="single"/>
                <w:lang w:eastAsia="zh-CN"/>
              </w:rPr>
              <w:t>广州交易集团有限公司（广州公共资源交易中心）</w:t>
            </w:r>
            <w:r>
              <w:rPr>
                <w:rFonts w:hint="eastAsia" w:ascii="宋体" w:hAnsi="宋体" w:cs="宋体"/>
                <w:szCs w:val="21"/>
                <w:highlight w:val="none"/>
                <w:u w:val="single"/>
              </w:rPr>
              <w:t>网站信息）</w:t>
            </w:r>
          </w:p>
        </w:tc>
      </w:tr>
      <w:tr w14:paraId="067FD7E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866" w:type="dxa"/>
            <w:vAlign w:val="center"/>
          </w:tcPr>
          <w:p w14:paraId="459C1437">
            <w:pPr>
              <w:snapToGrid w:val="0"/>
              <w:spacing w:line="276" w:lineRule="auto"/>
              <w:jc w:val="center"/>
              <w:rPr>
                <w:rFonts w:ascii="宋体" w:hAnsi="宋体"/>
                <w:szCs w:val="21"/>
                <w:highlight w:val="none"/>
              </w:rPr>
            </w:pPr>
            <w:r>
              <w:rPr>
                <w:rFonts w:ascii="宋体" w:hAnsi="宋体"/>
                <w:szCs w:val="21"/>
                <w:highlight w:val="none"/>
              </w:rPr>
              <w:t>4.2.2</w:t>
            </w:r>
          </w:p>
        </w:tc>
        <w:tc>
          <w:tcPr>
            <w:tcW w:w="2160" w:type="dxa"/>
            <w:vAlign w:val="center"/>
          </w:tcPr>
          <w:p w14:paraId="1B9DE237">
            <w:pPr>
              <w:snapToGrid w:val="0"/>
              <w:spacing w:line="276" w:lineRule="auto"/>
              <w:jc w:val="center"/>
              <w:rPr>
                <w:rFonts w:ascii="宋体" w:hAnsi="宋体"/>
                <w:szCs w:val="21"/>
                <w:highlight w:val="none"/>
              </w:rPr>
            </w:pPr>
            <w:r>
              <w:rPr>
                <w:rFonts w:hint="eastAsia" w:ascii="宋体" w:hAnsi="宋体"/>
                <w:szCs w:val="21"/>
                <w:highlight w:val="none"/>
              </w:rPr>
              <w:t>递交电子投标文件交易平台</w:t>
            </w:r>
          </w:p>
        </w:tc>
        <w:tc>
          <w:tcPr>
            <w:tcW w:w="7200" w:type="dxa"/>
            <w:vAlign w:val="center"/>
          </w:tcPr>
          <w:p w14:paraId="5326B5AA">
            <w:pPr>
              <w:snapToGrid w:val="0"/>
              <w:spacing w:line="276" w:lineRule="auto"/>
              <w:rPr>
                <w:rFonts w:ascii="宋体" w:hAnsi="宋体"/>
                <w:szCs w:val="21"/>
                <w:highlight w:val="none"/>
                <w:u w:val="single"/>
              </w:rPr>
            </w:pPr>
            <w:r>
              <w:rPr>
                <w:rFonts w:ascii="宋体" w:hAnsi="宋体"/>
                <w:szCs w:val="21"/>
                <w:highlight w:val="none"/>
                <w:u w:val="single"/>
              </w:rPr>
              <w:t>1.</w:t>
            </w:r>
            <w:r>
              <w:rPr>
                <w:rFonts w:hint="eastAsia" w:ascii="宋体" w:hAnsi="宋体"/>
                <w:szCs w:val="21"/>
                <w:highlight w:val="none"/>
                <w:u w:val="single"/>
              </w:rPr>
              <w:t>递交方式：网上递交投标文件</w:t>
            </w:r>
            <w:r>
              <w:rPr>
                <w:rFonts w:ascii="宋体" w:hAnsi="宋体"/>
                <w:szCs w:val="21"/>
                <w:highlight w:val="none"/>
                <w:u w:val="single"/>
              </w:rPr>
              <w:t xml:space="preserve"> </w:t>
            </w:r>
          </w:p>
          <w:p w14:paraId="53B4CDAD">
            <w:pPr>
              <w:snapToGrid w:val="0"/>
              <w:spacing w:line="276" w:lineRule="auto"/>
              <w:rPr>
                <w:rFonts w:ascii="宋体" w:hAnsi="宋体"/>
                <w:szCs w:val="21"/>
                <w:highlight w:val="none"/>
                <w:u w:val="single"/>
              </w:rPr>
            </w:pPr>
            <w:r>
              <w:rPr>
                <w:rFonts w:ascii="宋体" w:hAnsi="宋体"/>
                <w:szCs w:val="21"/>
                <w:highlight w:val="none"/>
                <w:u w:val="single"/>
              </w:rPr>
              <w:t>2.</w:t>
            </w:r>
            <w:r>
              <w:rPr>
                <w:rFonts w:hint="eastAsia" w:ascii="宋体" w:hAnsi="宋体"/>
                <w:szCs w:val="21"/>
                <w:highlight w:val="none"/>
                <w:u w:val="single"/>
              </w:rPr>
              <w:t>递交投标文件的起始时间：（详见</w:t>
            </w:r>
            <w:r>
              <w:rPr>
                <w:rFonts w:hint="eastAsia" w:ascii="宋体" w:hAnsi="宋体"/>
                <w:szCs w:val="21"/>
                <w:highlight w:val="none"/>
                <w:u w:val="single"/>
                <w:lang w:eastAsia="zh-CN"/>
              </w:rPr>
              <w:t>广州交易集团有限公司（广州公共资源交易中心）</w:t>
            </w:r>
            <w:r>
              <w:rPr>
                <w:rFonts w:hint="eastAsia" w:ascii="宋体" w:hAnsi="宋体"/>
                <w:szCs w:val="21"/>
                <w:highlight w:val="none"/>
                <w:u w:val="single"/>
              </w:rPr>
              <w:t>网站信息）。</w:t>
            </w:r>
          </w:p>
          <w:p w14:paraId="5970A08F">
            <w:pPr>
              <w:snapToGrid w:val="0"/>
              <w:spacing w:line="276" w:lineRule="auto"/>
              <w:rPr>
                <w:rFonts w:ascii="宋体" w:hAnsi="宋体"/>
                <w:szCs w:val="21"/>
                <w:highlight w:val="none"/>
                <w:u w:val="single"/>
              </w:rPr>
            </w:pPr>
            <w:r>
              <w:rPr>
                <w:rFonts w:hint="eastAsia" w:ascii="宋体" w:hAnsi="宋体"/>
                <w:szCs w:val="21"/>
                <w:highlight w:val="none"/>
                <w:u w:val="single"/>
              </w:rPr>
              <w:t>截止时间：（详见</w:t>
            </w:r>
            <w:r>
              <w:rPr>
                <w:rFonts w:hint="eastAsia" w:ascii="宋体" w:hAnsi="宋体"/>
                <w:szCs w:val="21"/>
                <w:highlight w:val="none"/>
                <w:u w:val="single"/>
                <w:lang w:eastAsia="zh-CN"/>
              </w:rPr>
              <w:t>广州交易集团有限公司（广州公共资源交易中心）</w:t>
            </w:r>
            <w:r>
              <w:rPr>
                <w:rFonts w:hint="eastAsia" w:ascii="宋体" w:hAnsi="宋体"/>
                <w:szCs w:val="21"/>
                <w:highlight w:val="none"/>
                <w:u w:val="single"/>
              </w:rPr>
              <w:t>网站信息）</w:t>
            </w:r>
          </w:p>
          <w:p w14:paraId="44B61AA5">
            <w:pPr>
              <w:snapToGrid w:val="0"/>
              <w:spacing w:line="276" w:lineRule="auto"/>
              <w:rPr>
                <w:rFonts w:ascii="宋体" w:hAnsi="宋体"/>
                <w:szCs w:val="21"/>
                <w:highlight w:val="none"/>
                <w:u w:val="single"/>
              </w:rPr>
            </w:pPr>
            <w:r>
              <w:rPr>
                <w:rFonts w:ascii="宋体" w:hAnsi="宋体"/>
                <w:szCs w:val="21"/>
                <w:highlight w:val="none"/>
                <w:u w:val="single"/>
              </w:rPr>
              <w:t>3.</w:t>
            </w:r>
            <w:r>
              <w:rPr>
                <w:rFonts w:hint="eastAsia" w:ascii="宋体" w:hAnsi="宋体"/>
                <w:szCs w:val="21"/>
                <w:highlight w:val="none"/>
                <w:u w:val="single"/>
              </w:rPr>
              <w:t>地点：</w:t>
            </w:r>
            <w:r>
              <w:rPr>
                <w:rFonts w:hint="eastAsia" w:ascii="宋体" w:hAnsi="宋体"/>
                <w:szCs w:val="21"/>
                <w:highlight w:val="none"/>
                <w:u w:val="single"/>
                <w:lang w:eastAsia="zh-CN"/>
              </w:rPr>
              <w:t>广州交易集团有限公司（广州公共资源交易中心）</w:t>
            </w:r>
            <w:r>
              <w:rPr>
                <w:rFonts w:hint="eastAsia" w:ascii="宋体" w:hAnsi="宋体"/>
                <w:szCs w:val="21"/>
                <w:highlight w:val="none"/>
                <w:u w:val="single"/>
              </w:rPr>
              <w:t>网站。</w:t>
            </w:r>
          </w:p>
          <w:p w14:paraId="2D7EFD7C">
            <w:pPr>
              <w:snapToGrid w:val="0"/>
              <w:spacing w:line="276" w:lineRule="auto"/>
              <w:rPr>
                <w:rFonts w:ascii="宋体" w:hAnsi="宋体"/>
                <w:szCs w:val="21"/>
                <w:highlight w:val="none"/>
              </w:rPr>
            </w:pPr>
            <w:r>
              <w:rPr>
                <w:rFonts w:ascii="宋体" w:hAnsi="宋体"/>
                <w:szCs w:val="21"/>
                <w:highlight w:val="none"/>
                <w:u w:val="single"/>
              </w:rPr>
              <w:t>4.</w:t>
            </w:r>
            <w:r>
              <w:rPr>
                <w:rFonts w:hint="eastAsia" w:ascii="宋体" w:hAnsi="宋体"/>
                <w:szCs w:val="21"/>
                <w:highlight w:val="none"/>
                <w:u w:val="single"/>
              </w:rPr>
              <w:t>上述时间及地点是否有改变，</w:t>
            </w:r>
            <w:r>
              <w:rPr>
                <w:rFonts w:ascii="宋体" w:hAnsi="宋体"/>
                <w:szCs w:val="21"/>
                <w:highlight w:val="none"/>
                <w:u w:val="single"/>
              </w:rPr>
              <w:t xml:space="preserve"> </w:t>
            </w:r>
            <w:r>
              <w:rPr>
                <w:rFonts w:hint="eastAsia" w:ascii="宋体" w:hAnsi="宋体"/>
                <w:szCs w:val="21"/>
                <w:highlight w:val="none"/>
                <w:u w:val="single"/>
              </w:rPr>
              <w:t>请密切留意招标答疑纪要的相关信息。</w:t>
            </w:r>
          </w:p>
        </w:tc>
      </w:tr>
      <w:tr w14:paraId="23B3207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866" w:type="dxa"/>
            <w:vAlign w:val="center"/>
          </w:tcPr>
          <w:p w14:paraId="6089965A">
            <w:pPr>
              <w:snapToGrid w:val="0"/>
              <w:spacing w:line="276" w:lineRule="auto"/>
              <w:jc w:val="center"/>
              <w:rPr>
                <w:rFonts w:ascii="宋体" w:hAnsi="宋体"/>
                <w:szCs w:val="21"/>
                <w:highlight w:val="none"/>
              </w:rPr>
            </w:pPr>
            <w:r>
              <w:rPr>
                <w:rFonts w:ascii="宋体" w:hAnsi="宋体"/>
                <w:szCs w:val="21"/>
                <w:highlight w:val="none"/>
              </w:rPr>
              <w:t>4.2.3</w:t>
            </w:r>
          </w:p>
        </w:tc>
        <w:tc>
          <w:tcPr>
            <w:tcW w:w="2160" w:type="dxa"/>
            <w:vAlign w:val="center"/>
          </w:tcPr>
          <w:p w14:paraId="069BA91D">
            <w:pPr>
              <w:snapToGrid w:val="0"/>
              <w:spacing w:line="276" w:lineRule="auto"/>
              <w:jc w:val="center"/>
              <w:rPr>
                <w:rFonts w:ascii="宋体" w:hAnsi="宋体"/>
                <w:szCs w:val="21"/>
                <w:highlight w:val="none"/>
              </w:rPr>
            </w:pPr>
            <w:r>
              <w:rPr>
                <w:rFonts w:hint="eastAsia" w:ascii="宋体" w:hAnsi="宋体"/>
                <w:szCs w:val="21"/>
                <w:highlight w:val="none"/>
              </w:rPr>
              <w:t>投标文件是否退还</w:t>
            </w:r>
          </w:p>
        </w:tc>
        <w:tc>
          <w:tcPr>
            <w:tcW w:w="7200" w:type="dxa"/>
            <w:vAlign w:val="center"/>
          </w:tcPr>
          <w:p w14:paraId="6508BE3D">
            <w:pPr>
              <w:pStyle w:val="12"/>
              <w:topLinePunct/>
              <w:snapToGrid w:val="0"/>
              <w:spacing w:line="276" w:lineRule="auto"/>
              <w:rPr>
                <w:rFonts w:hAnsi="宋体"/>
                <w:sz w:val="21"/>
                <w:szCs w:val="21"/>
                <w:highlight w:val="none"/>
              </w:rPr>
            </w:pPr>
            <w:r>
              <w:rPr>
                <w:rFonts w:hint="eastAsia" w:hAnsi="宋体"/>
                <w:spacing w:val="-1"/>
                <w:sz w:val="21"/>
                <w:szCs w:val="21"/>
                <w:highlight w:val="none"/>
              </w:rPr>
              <w:t>■</w:t>
            </w:r>
            <w:r>
              <w:rPr>
                <w:rFonts w:hint="eastAsia" w:hAnsi="宋体"/>
                <w:sz w:val="21"/>
                <w:szCs w:val="21"/>
                <w:highlight w:val="none"/>
              </w:rPr>
              <w:t>否</w:t>
            </w:r>
          </w:p>
          <w:p w14:paraId="05D0DDCC">
            <w:pPr>
              <w:pStyle w:val="12"/>
              <w:topLinePunct/>
              <w:snapToGrid w:val="0"/>
              <w:spacing w:line="276" w:lineRule="auto"/>
              <w:rPr>
                <w:rFonts w:hAnsi="宋体"/>
                <w:sz w:val="21"/>
                <w:szCs w:val="21"/>
                <w:highlight w:val="none"/>
              </w:rPr>
            </w:pPr>
            <w:r>
              <w:rPr>
                <w:rFonts w:hint="eastAsia" w:hAnsi="宋体"/>
                <w:sz w:val="21"/>
                <w:szCs w:val="21"/>
                <w:highlight w:val="none"/>
              </w:rPr>
              <w:t>□是，退还时间：</w:t>
            </w:r>
          </w:p>
        </w:tc>
      </w:tr>
      <w:tr w14:paraId="4912104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866" w:type="dxa"/>
            <w:vAlign w:val="center"/>
          </w:tcPr>
          <w:p w14:paraId="3A18EC68">
            <w:pPr>
              <w:snapToGrid w:val="0"/>
              <w:spacing w:line="276" w:lineRule="auto"/>
              <w:jc w:val="center"/>
              <w:rPr>
                <w:rFonts w:ascii="宋体" w:hAnsi="宋体"/>
                <w:szCs w:val="21"/>
                <w:highlight w:val="none"/>
              </w:rPr>
            </w:pPr>
            <w:r>
              <w:rPr>
                <w:rFonts w:ascii="宋体" w:hAnsi="宋体"/>
                <w:szCs w:val="21"/>
                <w:highlight w:val="none"/>
              </w:rPr>
              <w:t>5.1</w:t>
            </w:r>
          </w:p>
        </w:tc>
        <w:tc>
          <w:tcPr>
            <w:tcW w:w="2160" w:type="dxa"/>
            <w:vAlign w:val="center"/>
          </w:tcPr>
          <w:p w14:paraId="45533C85">
            <w:pPr>
              <w:snapToGrid w:val="0"/>
              <w:spacing w:line="276" w:lineRule="auto"/>
              <w:jc w:val="center"/>
              <w:rPr>
                <w:rFonts w:ascii="宋体" w:hAnsi="宋体"/>
                <w:szCs w:val="21"/>
                <w:highlight w:val="none"/>
              </w:rPr>
            </w:pPr>
            <w:r>
              <w:rPr>
                <w:rFonts w:hint="eastAsia" w:ascii="宋体" w:hAnsi="宋体"/>
                <w:szCs w:val="21"/>
                <w:highlight w:val="none"/>
              </w:rPr>
              <w:t>开标时间和地点</w:t>
            </w:r>
          </w:p>
        </w:tc>
        <w:tc>
          <w:tcPr>
            <w:tcW w:w="7200" w:type="dxa"/>
            <w:vAlign w:val="center"/>
          </w:tcPr>
          <w:p w14:paraId="751D5EA2">
            <w:pPr>
              <w:snapToGrid w:val="0"/>
              <w:spacing w:line="276" w:lineRule="auto"/>
              <w:rPr>
                <w:rFonts w:ascii="宋体" w:hAnsi="宋体"/>
                <w:szCs w:val="21"/>
                <w:highlight w:val="none"/>
              </w:rPr>
            </w:pPr>
            <w:r>
              <w:rPr>
                <w:rFonts w:hint="eastAsia" w:ascii="宋体" w:hAnsi="宋体"/>
                <w:szCs w:val="21"/>
                <w:highlight w:val="none"/>
              </w:rPr>
              <w:t>开标时间：同投标截止时间</w:t>
            </w:r>
          </w:p>
          <w:p w14:paraId="31E8475D">
            <w:pPr>
              <w:snapToGrid w:val="0"/>
              <w:spacing w:line="276" w:lineRule="auto"/>
              <w:rPr>
                <w:rFonts w:ascii="宋体" w:hAnsi="宋体"/>
                <w:szCs w:val="21"/>
                <w:highlight w:val="none"/>
              </w:rPr>
            </w:pPr>
            <w:r>
              <w:rPr>
                <w:rFonts w:hint="eastAsia" w:ascii="宋体" w:hAnsi="宋体"/>
                <w:szCs w:val="21"/>
                <w:highlight w:val="none"/>
              </w:rPr>
              <w:t>开标地点：</w:t>
            </w:r>
            <w:r>
              <w:rPr>
                <w:rFonts w:hint="eastAsia" w:ascii="宋体" w:hAnsi="宋体"/>
                <w:szCs w:val="21"/>
                <w:highlight w:val="none"/>
                <w:lang w:eastAsia="zh-CN"/>
              </w:rPr>
              <w:t>广州交易集团有限公司（广州公共资源交易中心）</w:t>
            </w:r>
            <w:r>
              <w:rPr>
                <w:rFonts w:hint="eastAsia" w:ascii="宋体" w:hAnsi="宋体"/>
                <w:szCs w:val="21"/>
                <w:highlight w:val="none"/>
              </w:rPr>
              <w:t>黄埔交易部（黄埔区水西路32号四楼）</w:t>
            </w:r>
            <w:r>
              <w:rPr>
                <w:rFonts w:hint="eastAsia" w:ascii="宋体" w:hAnsi="宋体" w:cs="宋体"/>
                <w:szCs w:val="21"/>
                <w:highlight w:val="none"/>
              </w:rPr>
              <w:t>第      开标室</w:t>
            </w:r>
            <w:r>
              <w:rPr>
                <w:rFonts w:hint="eastAsia" w:ascii="宋体" w:hAnsi="宋体"/>
                <w:szCs w:val="21"/>
                <w:highlight w:val="none"/>
                <w:u w:val="single"/>
              </w:rPr>
              <w:t>（详见</w:t>
            </w:r>
            <w:r>
              <w:rPr>
                <w:rFonts w:hint="eastAsia" w:ascii="宋体" w:hAnsi="宋体"/>
                <w:szCs w:val="21"/>
                <w:highlight w:val="none"/>
                <w:u w:val="single"/>
                <w:lang w:eastAsia="zh-CN"/>
              </w:rPr>
              <w:t>广州交易集团有限公司（广州公共资源交易中心）</w:t>
            </w:r>
            <w:r>
              <w:rPr>
                <w:rFonts w:hint="eastAsia" w:ascii="宋体" w:hAnsi="宋体"/>
                <w:szCs w:val="21"/>
                <w:highlight w:val="none"/>
                <w:u w:val="single"/>
              </w:rPr>
              <w:t>网站信息），并邀请所有投标人的法定代表人或其委托代理人准时参加。</w:t>
            </w:r>
          </w:p>
        </w:tc>
      </w:tr>
      <w:tr w14:paraId="0C87D2D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866" w:type="dxa"/>
            <w:vAlign w:val="center"/>
          </w:tcPr>
          <w:p w14:paraId="0FC073C8">
            <w:pPr>
              <w:snapToGrid w:val="0"/>
              <w:spacing w:line="276" w:lineRule="auto"/>
              <w:jc w:val="center"/>
              <w:rPr>
                <w:rFonts w:ascii="宋体" w:hAnsi="宋体"/>
                <w:szCs w:val="21"/>
                <w:highlight w:val="none"/>
              </w:rPr>
            </w:pPr>
            <w:r>
              <w:rPr>
                <w:rFonts w:ascii="宋体" w:hAnsi="宋体"/>
                <w:szCs w:val="21"/>
                <w:highlight w:val="none"/>
              </w:rPr>
              <w:t>5.2</w:t>
            </w:r>
          </w:p>
        </w:tc>
        <w:tc>
          <w:tcPr>
            <w:tcW w:w="2160" w:type="dxa"/>
            <w:vAlign w:val="center"/>
          </w:tcPr>
          <w:p w14:paraId="45C6C56F">
            <w:pPr>
              <w:snapToGrid w:val="0"/>
              <w:spacing w:line="276" w:lineRule="auto"/>
              <w:jc w:val="center"/>
              <w:rPr>
                <w:rFonts w:ascii="宋体" w:hAnsi="宋体"/>
                <w:szCs w:val="21"/>
                <w:highlight w:val="none"/>
              </w:rPr>
            </w:pPr>
            <w:r>
              <w:rPr>
                <w:rFonts w:hint="eastAsia" w:ascii="宋体" w:hAnsi="宋体"/>
                <w:szCs w:val="21"/>
                <w:highlight w:val="none"/>
              </w:rPr>
              <w:t>开标程序</w:t>
            </w:r>
          </w:p>
        </w:tc>
        <w:tc>
          <w:tcPr>
            <w:tcW w:w="7200" w:type="dxa"/>
            <w:vAlign w:val="center"/>
          </w:tcPr>
          <w:p w14:paraId="6FF45D2E">
            <w:pPr>
              <w:snapToGrid w:val="0"/>
              <w:spacing w:line="276" w:lineRule="auto"/>
              <w:rPr>
                <w:rFonts w:ascii="宋体" w:hAnsi="宋体"/>
                <w:szCs w:val="21"/>
                <w:highlight w:val="none"/>
              </w:rPr>
            </w:pPr>
            <w:r>
              <w:rPr>
                <w:rFonts w:hint="eastAsia" w:ascii="宋体" w:hAnsi="宋体"/>
                <w:szCs w:val="21"/>
                <w:highlight w:val="none"/>
              </w:rPr>
              <w:t>电子招投标项目开标按下列程序进行：</w:t>
            </w:r>
          </w:p>
          <w:p w14:paraId="41E1424B">
            <w:pPr>
              <w:snapToGrid w:val="0"/>
              <w:spacing w:line="276" w:lineRule="auto"/>
              <w:rPr>
                <w:rFonts w:ascii="宋体" w:hAnsi="宋体"/>
                <w:szCs w:val="21"/>
                <w:highlight w:val="none"/>
                <w:u w:val="single"/>
              </w:rPr>
            </w:pPr>
            <w:r>
              <w:rPr>
                <w:rFonts w:ascii="宋体" w:hAnsi="宋体"/>
                <w:szCs w:val="21"/>
                <w:highlight w:val="none"/>
                <w:u w:val="single"/>
              </w:rPr>
              <w:t>5.2.1</w:t>
            </w:r>
            <w:r>
              <w:rPr>
                <w:rFonts w:hint="eastAsia" w:ascii="宋体" w:hAnsi="宋体"/>
                <w:szCs w:val="21"/>
                <w:highlight w:val="none"/>
                <w:u w:val="single"/>
              </w:rPr>
              <w:t>主持人按下列程序进行开标：</w:t>
            </w:r>
          </w:p>
          <w:p w14:paraId="2D31C3A5">
            <w:pPr>
              <w:snapToGrid w:val="0"/>
              <w:spacing w:line="276" w:lineRule="auto"/>
              <w:rPr>
                <w:rFonts w:ascii="宋体" w:hAnsi="宋体"/>
                <w:szCs w:val="21"/>
                <w:highlight w:val="none"/>
                <w:u w:val="single"/>
              </w:rPr>
            </w:pPr>
            <w:r>
              <w:rPr>
                <w:rFonts w:hint="eastAsia" w:ascii="宋体" w:hAnsi="宋体"/>
                <w:szCs w:val="21"/>
                <w:highlight w:val="none"/>
                <w:u w:val="single"/>
              </w:rPr>
              <w:t>（</w:t>
            </w:r>
            <w:r>
              <w:rPr>
                <w:rFonts w:ascii="宋体" w:hAnsi="宋体"/>
                <w:szCs w:val="21"/>
                <w:highlight w:val="none"/>
                <w:u w:val="single"/>
              </w:rPr>
              <w:t>1</w:t>
            </w:r>
            <w:r>
              <w:rPr>
                <w:rFonts w:hint="eastAsia" w:ascii="宋体" w:hAnsi="宋体"/>
                <w:szCs w:val="21"/>
                <w:highlight w:val="none"/>
                <w:u w:val="single"/>
              </w:rPr>
              <w:t>）宣布开标纪律；</w:t>
            </w:r>
          </w:p>
          <w:p w14:paraId="2E673A4B">
            <w:pPr>
              <w:snapToGrid w:val="0"/>
              <w:spacing w:line="276" w:lineRule="auto"/>
              <w:rPr>
                <w:rFonts w:ascii="宋体" w:hAnsi="宋体"/>
                <w:szCs w:val="21"/>
                <w:highlight w:val="none"/>
                <w:u w:val="single"/>
              </w:rPr>
            </w:pPr>
            <w:r>
              <w:rPr>
                <w:rFonts w:hint="eastAsia" w:ascii="宋体" w:hAnsi="宋体"/>
                <w:szCs w:val="21"/>
                <w:highlight w:val="none"/>
                <w:u w:val="single"/>
              </w:rPr>
              <w:t>（</w:t>
            </w:r>
            <w:r>
              <w:rPr>
                <w:rFonts w:ascii="宋体" w:hAnsi="宋体"/>
                <w:szCs w:val="21"/>
                <w:highlight w:val="none"/>
                <w:u w:val="single"/>
              </w:rPr>
              <w:t>2</w:t>
            </w:r>
            <w:r>
              <w:rPr>
                <w:rFonts w:hint="eastAsia" w:ascii="宋体" w:hAnsi="宋体"/>
                <w:szCs w:val="21"/>
                <w:highlight w:val="none"/>
                <w:u w:val="single"/>
              </w:rPr>
              <w:t>）公布在投标截止时间前递交投标文件的投标人名称；</w:t>
            </w:r>
          </w:p>
          <w:p w14:paraId="2646E943">
            <w:pPr>
              <w:snapToGrid w:val="0"/>
              <w:spacing w:line="276" w:lineRule="auto"/>
              <w:rPr>
                <w:rFonts w:ascii="宋体" w:hAnsi="宋体"/>
                <w:szCs w:val="21"/>
                <w:highlight w:val="none"/>
                <w:u w:val="single"/>
              </w:rPr>
            </w:pPr>
            <w:r>
              <w:rPr>
                <w:rFonts w:hint="eastAsia" w:ascii="宋体" w:hAnsi="宋体"/>
                <w:szCs w:val="21"/>
                <w:highlight w:val="none"/>
                <w:u w:val="single"/>
              </w:rPr>
              <w:t>（</w:t>
            </w:r>
            <w:r>
              <w:rPr>
                <w:rFonts w:ascii="宋体" w:hAnsi="宋体"/>
                <w:szCs w:val="21"/>
                <w:highlight w:val="none"/>
                <w:u w:val="single"/>
              </w:rPr>
              <w:t>3</w:t>
            </w:r>
            <w:r>
              <w:rPr>
                <w:rFonts w:hint="eastAsia" w:ascii="宋体" w:hAnsi="宋体"/>
                <w:szCs w:val="21"/>
                <w:highlight w:val="none"/>
                <w:u w:val="single"/>
              </w:rPr>
              <w:t>）宣布开标人、唱标人、记录人、监标人等有关人员姓名；</w:t>
            </w:r>
          </w:p>
          <w:p w14:paraId="2DF3F5AF">
            <w:pPr>
              <w:snapToGrid w:val="0"/>
              <w:spacing w:line="276" w:lineRule="auto"/>
              <w:rPr>
                <w:rFonts w:ascii="宋体" w:hAnsi="宋体"/>
                <w:szCs w:val="21"/>
                <w:highlight w:val="none"/>
                <w:u w:val="single"/>
              </w:rPr>
            </w:pPr>
            <w:r>
              <w:rPr>
                <w:rFonts w:hint="eastAsia" w:ascii="宋体" w:hAnsi="宋体"/>
                <w:szCs w:val="21"/>
                <w:highlight w:val="none"/>
                <w:u w:val="single"/>
              </w:rPr>
              <w:t>（</w:t>
            </w:r>
            <w:r>
              <w:rPr>
                <w:rFonts w:ascii="宋体" w:hAnsi="宋体"/>
                <w:szCs w:val="21"/>
                <w:highlight w:val="none"/>
                <w:u w:val="single"/>
              </w:rPr>
              <w:t>4</w:t>
            </w:r>
            <w:r>
              <w:rPr>
                <w:rFonts w:hint="eastAsia" w:ascii="宋体" w:hAnsi="宋体"/>
                <w:szCs w:val="21"/>
                <w:highlight w:val="none"/>
                <w:u w:val="single"/>
              </w:rPr>
              <w:t>）投标人通过电子招标投标交易平台对已递交的电子投标文件进行解密，公布招标项目名称、投标人名称、投标报价及其他内容，并记录在案；</w:t>
            </w:r>
          </w:p>
          <w:p w14:paraId="7A2DA16D">
            <w:pPr>
              <w:snapToGrid w:val="0"/>
              <w:spacing w:line="276" w:lineRule="auto"/>
              <w:rPr>
                <w:rFonts w:ascii="宋体" w:hAnsi="宋体"/>
                <w:szCs w:val="21"/>
                <w:highlight w:val="none"/>
                <w:u w:val="single"/>
              </w:rPr>
            </w:pPr>
            <w:r>
              <w:rPr>
                <w:rFonts w:hint="eastAsia" w:ascii="宋体" w:hAnsi="宋体"/>
                <w:szCs w:val="21"/>
                <w:highlight w:val="none"/>
                <w:u w:val="single"/>
              </w:rPr>
              <w:t>（</w:t>
            </w:r>
            <w:r>
              <w:rPr>
                <w:rFonts w:ascii="宋体" w:hAnsi="宋体"/>
                <w:szCs w:val="21"/>
                <w:highlight w:val="none"/>
                <w:u w:val="single"/>
              </w:rPr>
              <w:t>5</w:t>
            </w:r>
            <w:r>
              <w:rPr>
                <w:rFonts w:hint="eastAsia" w:ascii="宋体" w:hAnsi="宋体"/>
                <w:szCs w:val="21"/>
                <w:highlight w:val="none"/>
                <w:u w:val="single"/>
              </w:rPr>
              <w:t>）投标人代表、招标人代表、监标人、记录人等有关人员在开标记录上签字确认；若有关人员不签字的，不影响开标程序；</w:t>
            </w:r>
          </w:p>
          <w:p w14:paraId="78E4DF65">
            <w:pPr>
              <w:snapToGrid w:val="0"/>
              <w:spacing w:line="276" w:lineRule="auto"/>
              <w:rPr>
                <w:rFonts w:ascii="宋体" w:hAnsi="宋体"/>
                <w:szCs w:val="21"/>
                <w:highlight w:val="none"/>
                <w:u w:val="single"/>
              </w:rPr>
            </w:pPr>
            <w:r>
              <w:rPr>
                <w:rFonts w:hint="eastAsia" w:ascii="宋体" w:hAnsi="宋体"/>
                <w:szCs w:val="21"/>
                <w:highlight w:val="none"/>
                <w:u w:val="single"/>
              </w:rPr>
              <w:t>（</w:t>
            </w:r>
            <w:r>
              <w:rPr>
                <w:rFonts w:ascii="宋体" w:hAnsi="宋体"/>
                <w:szCs w:val="21"/>
                <w:highlight w:val="none"/>
                <w:u w:val="single"/>
              </w:rPr>
              <w:t>6</w:t>
            </w:r>
            <w:r>
              <w:rPr>
                <w:rFonts w:hint="eastAsia" w:ascii="宋体" w:hAnsi="宋体"/>
                <w:szCs w:val="21"/>
                <w:highlight w:val="none"/>
                <w:u w:val="single"/>
              </w:rPr>
              <w:t>）开标结束。</w:t>
            </w:r>
          </w:p>
          <w:p w14:paraId="303CE3CF">
            <w:pPr>
              <w:snapToGrid w:val="0"/>
              <w:spacing w:line="276" w:lineRule="auto"/>
              <w:rPr>
                <w:rFonts w:ascii="宋体" w:hAnsi="宋体"/>
                <w:szCs w:val="21"/>
                <w:highlight w:val="none"/>
                <w:u w:val="single"/>
              </w:rPr>
            </w:pPr>
            <w:r>
              <w:rPr>
                <w:rFonts w:ascii="宋体" w:hAnsi="宋体"/>
                <w:szCs w:val="21"/>
                <w:highlight w:val="none"/>
                <w:u w:val="single"/>
              </w:rPr>
              <w:t>5.2.2</w:t>
            </w:r>
            <w:r>
              <w:rPr>
                <w:rFonts w:hint="eastAsia" w:ascii="宋体" w:hAnsi="宋体"/>
                <w:szCs w:val="21"/>
                <w:highlight w:val="none"/>
                <w:u w:val="single"/>
              </w:rPr>
              <w:t>投标截止时间前未完成投标文件传输的或因投标人之外的原因造成投标文件未解密且未按要求递交备用光盘的，视为投标人撤回投标文件。因投标人原因造成投标文件未解密或未在规定的时间内解密的，视为撤销其投标文件。</w:t>
            </w:r>
          </w:p>
          <w:p w14:paraId="61EB2165">
            <w:pPr>
              <w:snapToGrid w:val="0"/>
              <w:spacing w:line="276" w:lineRule="auto"/>
              <w:rPr>
                <w:rFonts w:ascii="宋体" w:hAnsi="宋体"/>
                <w:szCs w:val="21"/>
                <w:highlight w:val="none"/>
                <w:u w:val="single"/>
              </w:rPr>
            </w:pPr>
            <w:r>
              <w:rPr>
                <w:rFonts w:ascii="宋体" w:hAnsi="宋体"/>
                <w:szCs w:val="21"/>
                <w:highlight w:val="none"/>
                <w:u w:val="single"/>
              </w:rPr>
              <w:t>5.2.3</w:t>
            </w:r>
            <w:r>
              <w:rPr>
                <w:rFonts w:hint="eastAsia" w:ascii="宋体" w:hAnsi="宋体"/>
                <w:szCs w:val="21"/>
                <w:highlight w:val="none"/>
                <w:u w:val="single"/>
              </w:rPr>
              <w:t>开标时，两个（含两个）以上的投标人加密打包投标文件电脑机器特征码一致的，不参与下一程序，并由评标委员会否决其投标。</w:t>
            </w:r>
          </w:p>
        </w:tc>
      </w:tr>
      <w:tr w14:paraId="2F7A2D6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866" w:type="dxa"/>
            <w:vAlign w:val="center"/>
          </w:tcPr>
          <w:p w14:paraId="4F5232BE">
            <w:pPr>
              <w:snapToGrid w:val="0"/>
              <w:spacing w:line="276" w:lineRule="auto"/>
              <w:jc w:val="center"/>
              <w:rPr>
                <w:rFonts w:ascii="宋体" w:hAnsi="宋体"/>
                <w:szCs w:val="21"/>
                <w:highlight w:val="none"/>
              </w:rPr>
            </w:pPr>
            <w:r>
              <w:rPr>
                <w:rFonts w:ascii="宋体" w:hAnsi="宋体"/>
                <w:szCs w:val="21"/>
                <w:highlight w:val="none"/>
              </w:rPr>
              <w:t>6.1.1</w:t>
            </w:r>
          </w:p>
        </w:tc>
        <w:tc>
          <w:tcPr>
            <w:tcW w:w="2160" w:type="dxa"/>
            <w:vAlign w:val="center"/>
          </w:tcPr>
          <w:p w14:paraId="36180C47">
            <w:pPr>
              <w:snapToGrid w:val="0"/>
              <w:spacing w:line="276" w:lineRule="auto"/>
              <w:jc w:val="center"/>
              <w:rPr>
                <w:rFonts w:ascii="宋体" w:hAnsi="宋体"/>
                <w:szCs w:val="21"/>
                <w:highlight w:val="none"/>
              </w:rPr>
            </w:pPr>
            <w:r>
              <w:rPr>
                <w:rFonts w:hint="eastAsia" w:ascii="宋体" w:hAnsi="宋体"/>
                <w:szCs w:val="21"/>
                <w:highlight w:val="none"/>
              </w:rPr>
              <w:t>评标委员会的组建</w:t>
            </w:r>
          </w:p>
        </w:tc>
        <w:tc>
          <w:tcPr>
            <w:tcW w:w="7200" w:type="dxa"/>
            <w:vAlign w:val="center"/>
          </w:tcPr>
          <w:p w14:paraId="6AB46ECE">
            <w:pPr>
              <w:snapToGrid w:val="0"/>
              <w:spacing w:line="276" w:lineRule="auto"/>
              <w:rPr>
                <w:rFonts w:ascii="宋体" w:hAnsi="宋体"/>
                <w:szCs w:val="21"/>
                <w:highlight w:val="none"/>
              </w:rPr>
            </w:pPr>
            <w:r>
              <w:rPr>
                <w:rFonts w:hint="eastAsia" w:ascii="宋体" w:hAnsi="宋体"/>
                <w:szCs w:val="21"/>
                <w:highlight w:val="none"/>
              </w:rPr>
              <w:t>评标委员会构成，由招标人依法组建。</w:t>
            </w:r>
          </w:p>
          <w:p w14:paraId="414FC8A0">
            <w:pPr>
              <w:snapToGrid w:val="0"/>
              <w:spacing w:line="276" w:lineRule="auto"/>
              <w:rPr>
                <w:rFonts w:ascii="宋体" w:hAnsi="宋体"/>
                <w:szCs w:val="21"/>
                <w:highlight w:val="none"/>
              </w:rPr>
            </w:pPr>
            <w:r>
              <w:rPr>
                <w:rFonts w:hint="eastAsia" w:ascii="宋体" w:hAnsi="宋体"/>
                <w:szCs w:val="21"/>
                <w:highlight w:val="none"/>
              </w:rPr>
              <w:t>评标专家确定方式：广东省综合评标评审专家库</w:t>
            </w:r>
            <w:r>
              <w:rPr>
                <w:rFonts w:hint="eastAsia" w:ascii="宋体" w:hAnsi="宋体" w:cs="宋体"/>
                <w:szCs w:val="21"/>
                <w:highlight w:val="none"/>
              </w:rPr>
              <w:t>中随机抽取</w:t>
            </w:r>
          </w:p>
        </w:tc>
      </w:tr>
      <w:tr w14:paraId="20BEFDD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866" w:type="dxa"/>
            <w:vAlign w:val="center"/>
          </w:tcPr>
          <w:p w14:paraId="402E5ED8">
            <w:pPr>
              <w:snapToGrid w:val="0"/>
              <w:spacing w:line="276" w:lineRule="auto"/>
              <w:jc w:val="center"/>
              <w:rPr>
                <w:rFonts w:ascii="宋体" w:hAnsi="宋体"/>
                <w:szCs w:val="21"/>
                <w:highlight w:val="none"/>
              </w:rPr>
            </w:pPr>
            <w:r>
              <w:rPr>
                <w:rFonts w:ascii="宋体" w:hAnsi="宋体"/>
                <w:szCs w:val="21"/>
                <w:highlight w:val="none"/>
              </w:rPr>
              <w:t>6.3.2</w:t>
            </w:r>
          </w:p>
        </w:tc>
        <w:tc>
          <w:tcPr>
            <w:tcW w:w="2160" w:type="dxa"/>
            <w:vAlign w:val="center"/>
          </w:tcPr>
          <w:p w14:paraId="3B0772D9">
            <w:pPr>
              <w:snapToGrid w:val="0"/>
              <w:spacing w:line="276" w:lineRule="auto"/>
              <w:jc w:val="center"/>
              <w:rPr>
                <w:rFonts w:ascii="宋体" w:hAnsi="宋体"/>
                <w:szCs w:val="21"/>
                <w:highlight w:val="none"/>
              </w:rPr>
            </w:pPr>
            <w:r>
              <w:rPr>
                <w:rFonts w:hint="eastAsia" w:ascii="宋体" w:hAnsi="宋体"/>
                <w:szCs w:val="21"/>
                <w:highlight w:val="none"/>
              </w:rPr>
              <w:t>评标委员会推荐中标候选人的人数</w:t>
            </w:r>
          </w:p>
        </w:tc>
        <w:tc>
          <w:tcPr>
            <w:tcW w:w="7200" w:type="dxa"/>
            <w:vAlign w:val="center"/>
          </w:tcPr>
          <w:p w14:paraId="37FC07E8">
            <w:pPr>
              <w:snapToGrid w:val="0"/>
              <w:spacing w:line="276" w:lineRule="auto"/>
              <w:rPr>
                <w:rFonts w:ascii="宋体" w:hAnsi="宋体"/>
                <w:szCs w:val="21"/>
                <w:highlight w:val="none"/>
              </w:rPr>
            </w:pPr>
            <w:r>
              <w:rPr>
                <w:rFonts w:hint="eastAsia" w:ascii="宋体" w:hAnsi="宋体"/>
                <w:szCs w:val="21"/>
                <w:highlight w:val="none"/>
              </w:rPr>
              <w:t>推荐中标候选人：</w:t>
            </w:r>
            <w:r>
              <w:rPr>
                <w:rFonts w:ascii="宋体" w:hAnsi="宋体"/>
                <w:szCs w:val="21"/>
                <w:highlight w:val="none"/>
                <w:u w:val="single"/>
              </w:rPr>
              <w:t xml:space="preserve"> 3</w:t>
            </w:r>
            <w:r>
              <w:rPr>
                <w:rFonts w:hint="eastAsia" w:ascii="宋体" w:hAnsi="宋体"/>
                <w:szCs w:val="21"/>
                <w:highlight w:val="none"/>
                <w:u w:val="single"/>
              </w:rPr>
              <w:t>人</w:t>
            </w:r>
          </w:p>
        </w:tc>
      </w:tr>
      <w:tr w14:paraId="6B5DC2D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866" w:type="dxa"/>
            <w:vAlign w:val="center"/>
          </w:tcPr>
          <w:p w14:paraId="2D7F0D04">
            <w:pPr>
              <w:snapToGrid w:val="0"/>
              <w:spacing w:line="276" w:lineRule="auto"/>
              <w:jc w:val="center"/>
              <w:rPr>
                <w:rFonts w:ascii="宋体" w:hAnsi="宋体"/>
                <w:szCs w:val="21"/>
                <w:highlight w:val="none"/>
              </w:rPr>
            </w:pPr>
            <w:r>
              <w:rPr>
                <w:rFonts w:ascii="宋体" w:hAnsi="宋体"/>
                <w:szCs w:val="21"/>
                <w:highlight w:val="none"/>
              </w:rPr>
              <w:t>7.1</w:t>
            </w:r>
          </w:p>
        </w:tc>
        <w:tc>
          <w:tcPr>
            <w:tcW w:w="2160" w:type="dxa"/>
            <w:vAlign w:val="center"/>
          </w:tcPr>
          <w:p w14:paraId="2A79B624">
            <w:pPr>
              <w:snapToGrid w:val="0"/>
              <w:spacing w:line="276" w:lineRule="auto"/>
              <w:jc w:val="center"/>
              <w:rPr>
                <w:rFonts w:ascii="宋体" w:hAnsi="宋体"/>
                <w:szCs w:val="21"/>
                <w:highlight w:val="none"/>
              </w:rPr>
            </w:pPr>
            <w:r>
              <w:rPr>
                <w:rFonts w:hint="eastAsia" w:ascii="宋体" w:hAnsi="宋体"/>
                <w:szCs w:val="21"/>
                <w:highlight w:val="none"/>
              </w:rPr>
              <w:t>中标候选人公示媒介及期限</w:t>
            </w:r>
          </w:p>
        </w:tc>
        <w:tc>
          <w:tcPr>
            <w:tcW w:w="7200" w:type="dxa"/>
            <w:vAlign w:val="center"/>
          </w:tcPr>
          <w:p w14:paraId="55A07C38">
            <w:pPr>
              <w:spacing w:line="276" w:lineRule="auto"/>
              <w:rPr>
                <w:rFonts w:ascii="宋体" w:hAnsi="宋体"/>
                <w:szCs w:val="21"/>
                <w:highlight w:val="none"/>
              </w:rPr>
            </w:pPr>
            <w:r>
              <w:rPr>
                <w:rFonts w:hint="eastAsia" w:ascii="宋体" w:hAnsi="宋体"/>
                <w:szCs w:val="21"/>
                <w:highlight w:val="none"/>
              </w:rPr>
              <w:t>公示媒介：</w:t>
            </w:r>
            <w:r>
              <w:rPr>
                <w:rFonts w:hint="eastAsia" w:ascii="宋体" w:hAnsi="宋体" w:cs="宋体"/>
                <w:szCs w:val="21"/>
                <w:highlight w:val="none"/>
                <w:u w:val="single"/>
                <w:lang w:eastAsia="zh-CN"/>
              </w:rPr>
              <w:t>广州交易集团有限公司（广州公共资源交易中心）</w:t>
            </w:r>
            <w:r>
              <w:rPr>
                <w:rFonts w:hint="eastAsia" w:ascii="宋体" w:hAnsi="宋体" w:cs="宋体"/>
                <w:szCs w:val="21"/>
                <w:highlight w:val="none"/>
                <w:u w:val="single"/>
              </w:rPr>
              <w:t>网站、广东省招标投标监管网、中国招标投标公共服务平台</w:t>
            </w:r>
          </w:p>
          <w:p w14:paraId="522A0960">
            <w:pPr>
              <w:snapToGrid w:val="0"/>
              <w:spacing w:line="276" w:lineRule="auto"/>
              <w:ind w:right="106"/>
              <w:rPr>
                <w:rFonts w:ascii="宋体" w:hAnsi="宋体"/>
                <w:szCs w:val="21"/>
                <w:highlight w:val="none"/>
              </w:rPr>
            </w:pPr>
            <w:r>
              <w:rPr>
                <w:rFonts w:hint="eastAsia" w:ascii="宋体" w:hAnsi="宋体"/>
                <w:szCs w:val="21"/>
                <w:highlight w:val="none"/>
              </w:rPr>
              <w:t>公示期限：</w:t>
            </w:r>
            <w:r>
              <w:rPr>
                <w:rFonts w:hint="eastAsia" w:ascii="宋体" w:hAnsi="宋体"/>
                <w:szCs w:val="21"/>
                <w:highlight w:val="none"/>
                <w:lang w:val="en-US" w:eastAsia="zh-CN"/>
              </w:rPr>
              <w:t>不少于</w:t>
            </w:r>
            <w:r>
              <w:rPr>
                <w:rFonts w:ascii="宋体" w:hAnsi="宋体"/>
                <w:szCs w:val="21"/>
                <w:highlight w:val="none"/>
                <w:u w:val="single"/>
              </w:rPr>
              <w:t>3</w:t>
            </w:r>
            <w:r>
              <w:rPr>
                <w:rFonts w:hint="eastAsia" w:ascii="宋体" w:hAnsi="宋体"/>
                <w:szCs w:val="21"/>
                <w:highlight w:val="none"/>
              </w:rPr>
              <w:t>日</w:t>
            </w:r>
          </w:p>
        </w:tc>
      </w:tr>
      <w:tr w14:paraId="7C034F1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866" w:type="dxa"/>
            <w:vAlign w:val="center"/>
          </w:tcPr>
          <w:p w14:paraId="3E877BDB">
            <w:pPr>
              <w:snapToGrid w:val="0"/>
              <w:spacing w:line="276" w:lineRule="auto"/>
              <w:jc w:val="center"/>
              <w:rPr>
                <w:rFonts w:ascii="宋体" w:hAnsi="宋体"/>
                <w:szCs w:val="21"/>
                <w:highlight w:val="none"/>
              </w:rPr>
            </w:pPr>
            <w:r>
              <w:rPr>
                <w:rFonts w:ascii="宋体" w:hAnsi="宋体"/>
                <w:szCs w:val="21"/>
                <w:highlight w:val="none"/>
              </w:rPr>
              <w:t>7.4</w:t>
            </w:r>
          </w:p>
        </w:tc>
        <w:tc>
          <w:tcPr>
            <w:tcW w:w="2160" w:type="dxa"/>
            <w:vAlign w:val="center"/>
          </w:tcPr>
          <w:p w14:paraId="06538BAD">
            <w:pPr>
              <w:snapToGrid w:val="0"/>
              <w:spacing w:line="276" w:lineRule="auto"/>
              <w:jc w:val="center"/>
              <w:rPr>
                <w:rFonts w:ascii="宋体" w:hAnsi="宋体"/>
                <w:szCs w:val="21"/>
                <w:highlight w:val="none"/>
              </w:rPr>
            </w:pPr>
            <w:r>
              <w:rPr>
                <w:rFonts w:hint="eastAsia" w:ascii="宋体" w:hAnsi="宋体"/>
                <w:szCs w:val="21"/>
                <w:highlight w:val="none"/>
              </w:rPr>
              <w:t>是否授权评标委员会确定中标人</w:t>
            </w:r>
          </w:p>
        </w:tc>
        <w:tc>
          <w:tcPr>
            <w:tcW w:w="7200" w:type="dxa"/>
            <w:vAlign w:val="center"/>
          </w:tcPr>
          <w:p w14:paraId="0E64304B">
            <w:pPr>
              <w:spacing w:line="276" w:lineRule="auto"/>
              <w:rPr>
                <w:rFonts w:ascii="宋体" w:hAnsi="宋体"/>
                <w:szCs w:val="21"/>
                <w:highlight w:val="none"/>
              </w:rPr>
            </w:pPr>
            <w:r>
              <w:rPr>
                <w:rFonts w:hint="eastAsia" w:ascii="宋体" w:hAnsi="宋体"/>
                <w:szCs w:val="21"/>
                <w:highlight w:val="none"/>
              </w:rPr>
              <w:t>□是</w:t>
            </w:r>
          </w:p>
          <w:p w14:paraId="3CD3D62F">
            <w:pPr>
              <w:spacing w:line="276" w:lineRule="auto"/>
              <w:rPr>
                <w:rFonts w:ascii="宋体" w:hAnsi="宋体"/>
                <w:szCs w:val="21"/>
                <w:highlight w:val="none"/>
              </w:rPr>
            </w:pPr>
            <w:r>
              <w:rPr>
                <w:rFonts w:hint="eastAsia" w:ascii="宋体" w:hAnsi="宋体"/>
                <w:szCs w:val="21"/>
                <w:highlight w:val="none"/>
              </w:rPr>
              <w:t>■否</w:t>
            </w:r>
          </w:p>
        </w:tc>
      </w:tr>
      <w:tr w14:paraId="557DB4A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866" w:type="dxa"/>
            <w:vAlign w:val="center"/>
          </w:tcPr>
          <w:p w14:paraId="58157376">
            <w:pPr>
              <w:snapToGrid w:val="0"/>
              <w:spacing w:line="276" w:lineRule="auto"/>
              <w:jc w:val="center"/>
              <w:rPr>
                <w:rFonts w:ascii="宋体" w:hAnsi="宋体"/>
                <w:szCs w:val="21"/>
                <w:highlight w:val="none"/>
              </w:rPr>
            </w:pPr>
            <w:r>
              <w:rPr>
                <w:rFonts w:ascii="宋体" w:hAnsi="宋体"/>
                <w:szCs w:val="21"/>
                <w:highlight w:val="none"/>
              </w:rPr>
              <w:t>7.6.1</w:t>
            </w:r>
          </w:p>
        </w:tc>
        <w:tc>
          <w:tcPr>
            <w:tcW w:w="2160" w:type="dxa"/>
            <w:vAlign w:val="center"/>
          </w:tcPr>
          <w:p w14:paraId="1C3AE626">
            <w:pPr>
              <w:snapToGrid w:val="0"/>
              <w:spacing w:line="276" w:lineRule="auto"/>
              <w:jc w:val="center"/>
              <w:rPr>
                <w:rFonts w:ascii="宋体" w:hAnsi="宋体"/>
                <w:szCs w:val="21"/>
                <w:highlight w:val="none"/>
              </w:rPr>
            </w:pPr>
            <w:r>
              <w:rPr>
                <w:rFonts w:hint="eastAsia" w:ascii="宋体" w:hAnsi="宋体"/>
                <w:szCs w:val="21"/>
                <w:highlight w:val="none"/>
              </w:rPr>
              <w:t>履约保证金</w:t>
            </w:r>
          </w:p>
        </w:tc>
        <w:tc>
          <w:tcPr>
            <w:tcW w:w="7200" w:type="dxa"/>
            <w:vAlign w:val="center"/>
          </w:tcPr>
          <w:p w14:paraId="4B356158">
            <w:pPr>
              <w:pStyle w:val="12"/>
              <w:topLinePunct/>
              <w:spacing w:line="276" w:lineRule="auto"/>
              <w:rPr>
                <w:rFonts w:hAnsi="宋体"/>
                <w:b/>
                <w:sz w:val="21"/>
                <w:szCs w:val="21"/>
                <w:highlight w:val="none"/>
              </w:rPr>
            </w:pPr>
            <w:r>
              <w:rPr>
                <w:rFonts w:hint="eastAsia" w:hAnsi="宋体"/>
                <w:b/>
                <w:sz w:val="21"/>
                <w:szCs w:val="21"/>
                <w:highlight w:val="none"/>
              </w:rPr>
              <w:t>是否要求中标人提交履约保证金：</w:t>
            </w:r>
          </w:p>
          <w:p w14:paraId="33E72629">
            <w:pPr>
              <w:pStyle w:val="12"/>
              <w:topLinePunct/>
              <w:spacing w:line="276" w:lineRule="auto"/>
              <w:rPr>
                <w:rFonts w:hAnsi="宋体"/>
                <w:sz w:val="21"/>
                <w:szCs w:val="21"/>
                <w:highlight w:val="none"/>
              </w:rPr>
            </w:pPr>
            <w:r>
              <w:rPr>
                <w:rFonts w:hint="eastAsia" w:hAnsi="宋体"/>
                <w:szCs w:val="21"/>
                <w:highlight w:val="none"/>
              </w:rPr>
              <w:t>□</w:t>
            </w:r>
            <w:r>
              <w:rPr>
                <w:rFonts w:hint="eastAsia" w:hAnsi="宋体"/>
                <w:b/>
                <w:sz w:val="21"/>
                <w:szCs w:val="21"/>
                <w:highlight w:val="none"/>
              </w:rPr>
              <w:t>要求，履约保证金的形式：</w:t>
            </w:r>
            <w:r>
              <w:rPr>
                <w:rFonts w:hint="eastAsia" w:hAnsi="宋体"/>
                <w:sz w:val="21"/>
                <w:szCs w:val="21"/>
                <w:highlight w:val="none"/>
                <w:u w:val="single"/>
              </w:rPr>
              <w:t>《履约银行保函》</w:t>
            </w:r>
          </w:p>
          <w:p w14:paraId="305793D6">
            <w:pPr>
              <w:spacing w:line="276" w:lineRule="auto"/>
              <w:ind w:firstLine="843" w:firstLineChars="400"/>
              <w:rPr>
                <w:rFonts w:ascii="宋体" w:hAnsi="宋体"/>
                <w:szCs w:val="21"/>
                <w:highlight w:val="none"/>
                <w:u w:val="single"/>
              </w:rPr>
            </w:pPr>
            <w:r>
              <w:rPr>
                <w:rFonts w:hint="eastAsia" w:ascii="宋体" w:hAnsi="宋体"/>
                <w:b/>
                <w:szCs w:val="21"/>
                <w:highlight w:val="none"/>
              </w:rPr>
              <w:t>履约保证金的金额：</w:t>
            </w:r>
            <w:r>
              <w:rPr>
                <w:rFonts w:hint="eastAsia" w:ascii="宋体" w:hAnsi="宋体"/>
                <w:szCs w:val="21"/>
                <w:highlight w:val="none"/>
                <w:u w:val="single"/>
              </w:rPr>
              <w:t>中标价款的</w:t>
            </w:r>
            <w:r>
              <w:rPr>
                <w:rFonts w:ascii="宋体" w:hAnsi="宋体"/>
                <w:szCs w:val="21"/>
                <w:highlight w:val="none"/>
                <w:u w:val="single"/>
              </w:rPr>
              <w:t>10</w:t>
            </w:r>
            <w:r>
              <w:rPr>
                <w:rFonts w:hint="eastAsia" w:ascii="宋体" w:hAnsi="宋体"/>
                <w:szCs w:val="21"/>
                <w:highlight w:val="none"/>
                <w:u w:val="single"/>
              </w:rPr>
              <w:t>％</w:t>
            </w:r>
          </w:p>
          <w:p w14:paraId="218C5888">
            <w:pPr>
              <w:pStyle w:val="12"/>
              <w:topLinePunct/>
              <w:spacing w:line="276" w:lineRule="auto"/>
              <w:rPr>
                <w:rFonts w:hAnsi="宋体"/>
                <w:sz w:val="21"/>
                <w:szCs w:val="21"/>
                <w:highlight w:val="none"/>
              </w:rPr>
            </w:pPr>
            <w:r>
              <w:rPr>
                <w:rFonts w:hint="eastAsia" w:hAnsi="宋体"/>
                <w:b/>
                <w:sz w:val="21"/>
                <w:szCs w:val="21"/>
                <w:highlight w:val="none"/>
              </w:rPr>
              <w:t>■不要求</w:t>
            </w:r>
          </w:p>
        </w:tc>
      </w:tr>
      <w:tr w14:paraId="57246C1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866" w:type="dxa"/>
            <w:vAlign w:val="center"/>
          </w:tcPr>
          <w:p w14:paraId="0BD8F08C">
            <w:pPr>
              <w:snapToGrid w:val="0"/>
              <w:spacing w:line="276" w:lineRule="auto"/>
              <w:jc w:val="center"/>
              <w:rPr>
                <w:rFonts w:ascii="宋体" w:hAnsi="宋体"/>
                <w:szCs w:val="21"/>
                <w:highlight w:val="none"/>
              </w:rPr>
            </w:pPr>
            <w:r>
              <w:rPr>
                <w:rFonts w:ascii="宋体" w:hAnsi="宋体"/>
                <w:szCs w:val="21"/>
                <w:highlight w:val="none"/>
              </w:rPr>
              <w:t>9</w:t>
            </w:r>
          </w:p>
        </w:tc>
        <w:tc>
          <w:tcPr>
            <w:tcW w:w="2160" w:type="dxa"/>
            <w:vAlign w:val="center"/>
          </w:tcPr>
          <w:p w14:paraId="7960EA39">
            <w:pPr>
              <w:snapToGrid w:val="0"/>
              <w:spacing w:line="276" w:lineRule="auto"/>
              <w:jc w:val="center"/>
              <w:rPr>
                <w:rFonts w:ascii="宋体" w:hAnsi="宋体"/>
                <w:szCs w:val="21"/>
                <w:highlight w:val="none"/>
              </w:rPr>
            </w:pPr>
            <w:r>
              <w:rPr>
                <w:rFonts w:hint="eastAsia" w:ascii="宋体" w:hAnsi="宋体"/>
                <w:szCs w:val="21"/>
                <w:highlight w:val="none"/>
              </w:rPr>
              <w:t>是否采用电子招标投标</w:t>
            </w:r>
          </w:p>
        </w:tc>
        <w:tc>
          <w:tcPr>
            <w:tcW w:w="7200" w:type="dxa"/>
            <w:vAlign w:val="center"/>
          </w:tcPr>
          <w:p w14:paraId="4AC4F6C6">
            <w:pPr>
              <w:spacing w:line="276" w:lineRule="auto"/>
              <w:rPr>
                <w:rFonts w:ascii="宋体" w:hAnsi="宋体"/>
                <w:szCs w:val="21"/>
                <w:highlight w:val="none"/>
              </w:rPr>
            </w:pPr>
            <w:r>
              <w:rPr>
                <w:rFonts w:hint="eastAsia" w:ascii="宋体" w:hAnsi="宋体" w:cs="宋体"/>
                <w:szCs w:val="21"/>
                <w:highlight w:val="none"/>
              </w:rPr>
              <w:t>□</w:t>
            </w:r>
            <w:r>
              <w:rPr>
                <w:rFonts w:hint="eastAsia" w:ascii="宋体" w:hAnsi="宋体"/>
                <w:szCs w:val="21"/>
                <w:highlight w:val="none"/>
              </w:rPr>
              <w:t>否</w:t>
            </w:r>
          </w:p>
          <w:p w14:paraId="3390C5F3">
            <w:pPr>
              <w:spacing w:line="276" w:lineRule="auto"/>
              <w:ind w:left="2099" w:leftChars="3" w:hanging="2093" w:hangingChars="997"/>
              <w:rPr>
                <w:rFonts w:ascii="宋体" w:hAnsi="宋体"/>
                <w:szCs w:val="21"/>
                <w:highlight w:val="none"/>
              </w:rPr>
            </w:pPr>
            <w:r>
              <w:rPr>
                <w:rFonts w:hint="eastAsia" w:ascii="宋体" w:hAnsi="宋体"/>
                <w:szCs w:val="21"/>
                <w:highlight w:val="none"/>
              </w:rPr>
              <w:t>■是，具体要求：</w:t>
            </w:r>
          </w:p>
          <w:p w14:paraId="0B31A636">
            <w:pPr>
              <w:spacing w:line="276" w:lineRule="auto"/>
              <w:jc w:val="left"/>
              <w:rPr>
                <w:rFonts w:ascii="宋体" w:hAnsi="宋体"/>
                <w:szCs w:val="21"/>
                <w:highlight w:val="none"/>
                <w:u w:val="single"/>
              </w:rPr>
            </w:pPr>
            <w:r>
              <w:rPr>
                <w:rFonts w:hint="eastAsia" w:ascii="宋体" w:hAnsi="宋体" w:cs="Courier New"/>
                <w:szCs w:val="21"/>
                <w:highlight w:val="none"/>
                <w:u w:val="single"/>
              </w:rPr>
              <w:t>1.具体操作详见</w:t>
            </w:r>
            <w:r>
              <w:rPr>
                <w:rFonts w:hint="eastAsia" w:ascii="宋体" w:hAnsi="宋体" w:cs="Courier New"/>
                <w:szCs w:val="21"/>
                <w:highlight w:val="none"/>
                <w:u w:val="single"/>
                <w:lang w:eastAsia="zh-CN"/>
              </w:rPr>
              <w:t>广州交易集团有限公司（广州公共资源交易中心）</w:t>
            </w:r>
            <w:r>
              <w:rPr>
                <w:rFonts w:hint="eastAsia" w:ascii="宋体" w:hAnsi="宋体" w:cs="Courier New"/>
                <w:szCs w:val="21"/>
                <w:highlight w:val="none"/>
                <w:u w:val="single"/>
              </w:rPr>
              <w:t>网站最新发布的最新指引。</w:t>
            </w:r>
          </w:p>
          <w:p w14:paraId="613204FB">
            <w:pPr>
              <w:spacing w:line="276" w:lineRule="auto"/>
              <w:rPr>
                <w:rFonts w:ascii="宋体" w:hAnsi="宋体" w:cs="Courier New"/>
                <w:szCs w:val="21"/>
                <w:highlight w:val="none"/>
                <w:u w:val="single"/>
              </w:rPr>
            </w:pPr>
            <w:r>
              <w:rPr>
                <w:rFonts w:hint="eastAsia" w:ascii="宋体" w:hAnsi="宋体" w:cs="Courier New"/>
                <w:szCs w:val="21"/>
                <w:highlight w:val="none"/>
                <w:u w:val="single"/>
              </w:rPr>
              <w:t>2.提交投标文件光盘备用</w:t>
            </w:r>
          </w:p>
          <w:p w14:paraId="618ADAB9">
            <w:pPr>
              <w:spacing w:line="276" w:lineRule="auto"/>
              <w:rPr>
                <w:rFonts w:ascii="宋体" w:hAnsi="宋体"/>
                <w:szCs w:val="21"/>
                <w:highlight w:val="none"/>
                <w:u w:val="single"/>
              </w:rPr>
            </w:pPr>
            <w:r>
              <w:rPr>
                <w:rFonts w:hint="eastAsia" w:ascii="宋体" w:hAnsi="宋体"/>
                <w:szCs w:val="21"/>
                <w:highlight w:val="none"/>
                <w:u w:val="single"/>
              </w:rPr>
              <w:t>投标人将按最新指引的操作方法制作的非加密的电子投标文件刻入光盘（1份），在开标现场（投标截止时间前）提交备用。刻录好的投标文件光盘密封在密封袋中，并在封口处加盖投标人单位公章。密封袋上应写明的内容见投标人须知前附表要求4.1.2。现场递交的投标文件（光盘）不得加密。光盘（投标文件）无法读取或导入的，则视为未提交备用投标文件光盘。如果投标人没有按规定通过交易平台网上递交电子投标文件的，不再接受现场提交的光盘。投标人也可不提交备用光盘。</w:t>
            </w:r>
          </w:p>
          <w:p w14:paraId="27097834">
            <w:pPr>
              <w:spacing w:line="276" w:lineRule="auto"/>
              <w:ind w:firstLine="210" w:firstLineChars="100"/>
              <w:rPr>
                <w:rFonts w:ascii="宋体" w:hAnsi="宋体"/>
                <w:szCs w:val="21"/>
                <w:highlight w:val="none"/>
                <w:u w:val="single"/>
              </w:rPr>
            </w:pPr>
            <w:r>
              <w:rPr>
                <w:rFonts w:ascii="宋体" w:hAnsi="宋体"/>
                <w:szCs w:val="21"/>
                <w:highlight w:val="none"/>
                <w:u w:val="single"/>
              </w:rPr>
              <w:t>3.</w:t>
            </w:r>
            <w:r>
              <w:rPr>
                <w:rFonts w:hint="eastAsia" w:ascii="宋体" w:hAnsi="宋体"/>
                <w:szCs w:val="21"/>
                <w:highlight w:val="none"/>
                <w:u w:val="single"/>
              </w:rPr>
              <w:t>补救方案</w:t>
            </w:r>
          </w:p>
          <w:p w14:paraId="208715D1">
            <w:pPr>
              <w:spacing w:line="276" w:lineRule="auto"/>
              <w:rPr>
                <w:rFonts w:ascii="宋体" w:hAnsi="宋体"/>
                <w:szCs w:val="21"/>
                <w:highlight w:val="none"/>
                <w:u w:val="single"/>
              </w:rPr>
            </w:pPr>
            <w:r>
              <w:rPr>
                <w:rFonts w:hint="eastAsia" w:ascii="宋体" w:hAnsi="宋体"/>
                <w:szCs w:val="21"/>
                <w:highlight w:val="none"/>
                <w:u w:val="single"/>
              </w:rPr>
              <w:t>（</w:t>
            </w:r>
            <w:r>
              <w:rPr>
                <w:rFonts w:ascii="宋体" w:hAnsi="宋体"/>
                <w:szCs w:val="21"/>
                <w:highlight w:val="none"/>
                <w:u w:val="single"/>
              </w:rPr>
              <w:t>1</w:t>
            </w:r>
            <w:r>
              <w:rPr>
                <w:rFonts w:hint="eastAsia" w:ascii="宋体" w:hAnsi="宋体"/>
                <w:szCs w:val="21"/>
                <w:highlight w:val="none"/>
                <w:u w:val="single"/>
              </w:rPr>
              <w:t>）投标文件解密失败的补救方案：</w:t>
            </w:r>
          </w:p>
          <w:p w14:paraId="692BD540">
            <w:pPr>
              <w:spacing w:line="276" w:lineRule="auto"/>
              <w:ind w:firstLine="315" w:firstLineChars="150"/>
              <w:rPr>
                <w:rFonts w:ascii="宋体" w:hAnsi="宋体"/>
                <w:szCs w:val="21"/>
                <w:highlight w:val="none"/>
                <w:u w:val="single"/>
              </w:rPr>
            </w:pPr>
            <w:r>
              <w:rPr>
                <w:rFonts w:hint="eastAsia" w:ascii="宋体" w:hAnsi="宋体"/>
                <w:szCs w:val="21"/>
                <w:highlight w:val="none"/>
                <w:u w:val="single"/>
              </w:rPr>
              <w:t>在规定时间内，因投标人之外原因（指网络瘫痪、服务器损坏、交易系统故障短期无法恢复等因素）导致的电子投标文件解密失败，在开标现场读取光盘内容，继续开标程序。评标委员会对其投标文件的评审以光盘内容为准。因投标人之外原因解密失败且未递交电子光盘或递交的电子光盘不能读取的，视为撤回投标文件。</w:t>
            </w:r>
          </w:p>
          <w:p w14:paraId="6182BB9A">
            <w:pPr>
              <w:spacing w:line="276" w:lineRule="auto"/>
              <w:rPr>
                <w:rFonts w:ascii="宋体" w:hAnsi="宋体"/>
                <w:szCs w:val="21"/>
                <w:highlight w:val="none"/>
                <w:u w:val="single"/>
              </w:rPr>
            </w:pPr>
            <w:r>
              <w:rPr>
                <w:rFonts w:hint="eastAsia" w:ascii="宋体" w:hAnsi="宋体"/>
                <w:szCs w:val="21"/>
                <w:highlight w:val="none"/>
                <w:u w:val="single"/>
              </w:rPr>
              <w:t>（</w:t>
            </w:r>
            <w:r>
              <w:rPr>
                <w:rFonts w:ascii="宋体" w:hAnsi="宋体"/>
                <w:szCs w:val="21"/>
                <w:highlight w:val="none"/>
                <w:u w:val="single"/>
              </w:rPr>
              <w:t>2</w:t>
            </w:r>
            <w:r>
              <w:rPr>
                <w:rFonts w:hint="eastAsia" w:ascii="宋体" w:hAnsi="宋体"/>
                <w:szCs w:val="21"/>
                <w:highlight w:val="none"/>
                <w:u w:val="single"/>
              </w:rPr>
              <w:t>）评标时突发情况的补救方案</w:t>
            </w:r>
          </w:p>
          <w:p w14:paraId="62600C50">
            <w:pPr>
              <w:spacing w:line="276" w:lineRule="auto"/>
              <w:ind w:firstLine="315" w:firstLineChars="150"/>
              <w:rPr>
                <w:rFonts w:ascii="宋体" w:hAnsi="宋体"/>
                <w:szCs w:val="21"/>
                <w:highlight w:val="none"/>
                <w:u w:val="single"/>
              </w:rPr>
            </w:pPr>
            <w:r>
              <w:rPr>
                <w:rFonts w:hint="eastAsia" w:ascii="宋体" w:hAnsi="宋体"/>
                <w:szCs w:val="21"/>
                <w:highlight w:val="none"/>
                <w:u w:val="single"/>
              </w:rPr>
              <w:t>若遇不可抗力发生（如：网络瘫痪、服务器损坏、交易系统故障短期无法恢复等因素），由评标委员会开启递交的全部投标文件光盘，并按光盘内容进行评审。</w:t>
            </w:r>
          </w:p>
          <w:p w14:paraId="01492CE5">
            <w:pPr>
              <w:spacing w:line="276" w:lineRule="auto"/>
              <w:rPr>
                <w:rFonts w:ascii="宋体" w:hAnsi="宋体"/>
                <w:szCs w:val="21"/>
                <w:highlight w:val="none"/>
                <w:u w:val="single"/>
              </w:rPr>
            </w:pPr>
            <w:r>
              <w:rPr>
                <w:rFonts w:hint="eastAsia" w:ascii="宋体" w:hAnsi="宋体"/>
                <w:szCs w:val="21"/>
                <w:highlight w:val="none"/>
                <w:u w:val="single"/>
              </w:rPr>
              <w:t>（</w:t>
            </w:r>
            <w:r>
              <w:rPr>
                <w:rFonts w:ascii="宋体" w:hAnsi="宋体"/>
                <w:szCs w:val="21"/>
                <w:highlight w:val="none"/>
                <w:u w:val="single"/>
              </w:rPr>
              <w:t>3</w:t>
            </w:r>
            <w:r>
              <w:rPr>
                <w:rFonts w:hint="eastAsia" w:ascii="宋体" w:hAnsi="宋体"/>
                <w:szCs w:val="21"/>
                <w:highlight w:val="none"/>
                <w:u w:val="single"/>
              </w:rPr>
              <w:t>）除发生上述情况外，开标评标均以投标人通过交易平台网上递交的电子投标文件为准。</w:t>
            </w:r>
          </w:p>
        </w:tc>
      </w:tr>
      <w:tr w14:paraId="176A4DC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866" w:type="dxa"/>
            <w:vAlign w:val="center"/>
          </w:tcPr>
          <w:p w14:paraId="3462C7A1">
            <w:pPr>
              <w:snapToGrid w:val="0"/>
              <w:spacing w:line="276" w:lineRule="auto"/>
              <w:jc w:val="center"/>
              <w:rPr>
                <w:rFonts w:ascii="宋体" w:hAnsi="宋体"/>
                <w:szCs w:val="21"/>
                <w:highlight w:val="none"/>
              </w:rPr>
            </w:pPr>
            <w:r>
              <w:rPr>
                <w:rFonts w:ascii="宋体" w:hAnsi="宋体"/>
                <w:szCs w:val="21"/>
                <w:highlight w:val="none"/>
              </w:rPr>
              <w:t>10</w:t>
            </w:r>
          </w:p>
        </w:tc>
        <w:tc>
          <w:tcPr>
            <w:tcW w:w="2160" w:type="dxa"/>
            <w:vAlign w:val="center"/>
          </w:tcPr>
          <w:p w14:paraId="0950CE25">
            <w:pPr>
              <w:snapToGrid w:val="0"/>
              <w:spacing w:line="276" w:lineRule="auto"/>
              <w:jc w:val="center"/>
              <w:rPr>
                <w:rFonts w:ascii="宋体" w:hAnsi="宋体"/>
                <w:szCs w:val="21"/>
                <w:highlight w:val="none"/>
              </w:rPr>
            </w:pPr>
            <w:r>
              <w:rPr>
                <w:rFonts w:hint="eastAsia" w:ascii="宋体" w:hAnsi="宋体"/>
                <w:szCs w:val="21"/>
                <w:highlight w:val="none"/>
              </w:rPr>
              <w:t>需要补充的其他内容</w:t>
            </w:r>
          </w:p>
        </w:tc>
        <w:tc>
          <w:tcPr>
            <w:tcW w:w="7200" w:type="dxa"/>
            <w:vAlign w:val="center"/>
          </w:tcPr>
          <w:p w14:paraId="3F35B273">
            <w:pPr>
              <w:snapToGrid w:val="0"/>
              <w:spacing w:line="276" w:lineRule="auto"/>
              <w:rPr>
                <w:rFonts w:ascii="宋体" w:hAnsi="宋体"/>
                <w:szCs w:val="21"/>
                <w:highlight w:val="none"/>
              </w:rPr>
            </w:pPr>
          </w:p>
        </w:tc>
      </w:tr>
      <w:tr w14:paraId="0BD18EC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866" w:type="dxa"/>
            <w:vAlign w:val="center"/>
          </w:tcPr>
          <w:p w14:paraId="0296E926">
            <w:pPr>
              <w:snapToGrid w:val="0"/>
              <w:spacing w:line="276" w:lineRule="auto"/>
              <w:jc w:val="center"/>
              <w:rPr>
                <w:rFonts w:ascii="宋体" w:hAnsi="宋体"/>
                <w:szCs w:val="21"/>
                <w:highlight w:val="none"/>
              </w:rPr>
            </w:pPr>
            <w:r>
              <w:rPr>
                <w:rFonts w:ascii="宋体" w:hAnsi="宋体"/>
                <w:szCs w:val="21"/>
                <w:highlight w:val="none"/>
              </w:rPr>
              <w:t>10.1</w:t>
            </w:r>
          </w:p>
        </w:tc>
        <w:tc>
          <w:tcPr>
            <w:tcW w:w="2160" w:type="dxa"/>
            <w:vAlign w:val="center"/>
          </w:tcPr>
          <w:p w14:paraId="4AB647BE">
            <w:pPr>
              <w:spacing w:line="276" w:lineRule="auto"/>
              <w:jc w:val="center"/>
              <w:rPr>
                <w:rFonts w:ascii="宋体" w:hAnsi="宋体"/>
                <w:szCs w:val="21"/>
                <w:highlight w:val="none"/>
              </w:rPr>
            </w:pPr>
            <w:r>
              <w:rPr>
                <w:rFonts w:hint="eastAsia" w:ascii="宋体" w:hAnsi="宋体"/>
                <w:szCs w:val="21"/>
                <w:highlight w:val="none"/>
              </w:rPr>
              <w:t>特别提示</w:t>
            </w:r>
          </w:p>
        </w:tc>
        <w:tc>
          <w:tcPr>
            <w:tcW w:w="7200" w:type="dxa"/>
            <w:vAlign w:val="center"/>
          </w:tcPr>
          <w:p w14:paraId="2C6E01C1">
            <w:pPr>
              <w:widowControl/>
              <w:spacing w:line="276" w:lineRule="auto"/>
              <w:ind w:left="1" w:hanging="1"/>
              <w:jc w:val="left"/>
              <w:rPr>
                <w:rFonts w:ascii="宋体" w:hAnsi="宋体"/>
                <w:szCs w:val="21"/>
                <w:highlight w:val="none"/>
              </w:rPr>
            </w:pPr>
            <w:r>
              <w:rPr>
                <w:rFonts w:hint="eastAsia" w:ascii="宋体" w:hAnsi="宋体"/>
                <w:szCs w:val="21"/>
                <w:highlight w:val="none"/>
              </w:rPr>
              <w:t>投标人在本项目招标人的工程项目中存在下列行为的，将被拒绝一年内参与我单位后续工程投标。（注：拒绝投标时限由招标人视严重程度确定，最低三个月起，自招标人发出通知之日起计）：</w:t>
            </w:r>
          </w:p>
          <w:p w14:paraId="3C0B8197">
            <w:pPr>
              <w:widowControl/>
              <w:spacing w:line="276" w:lineRule="auto"/>
              <w:ind w:left="1" w:hanging="1"/>
              <w:jc w:val="left"/>
              <w:rPr>
                <w:rFonts w:ascii="宋体" w:hAnsi="宋体"/>
                <w:szCs w:val="21"/>
                <w:highlight w:val="none"/>
              </w:rPr>
            </w:pPr>
            <w:r>
              <w:rPr>
                <w:rFonts w:hint="eastAsia" w:ascii="宋体" w:hAnsi="宋体"/>
                <w:szCs w:val="21"/>
                <w:highlight w:val="none"/>
              </w:rPr>
              <w:t>1.将中标工程转包或者违法分包的；</w:t>
            </w:r>
          </w:p>
          <w:p w14:paraId="43D2F0B4">
            <w:pPr>
              <w:widowControl/>
              <w:spacing w:line="276" w:lineRule="auto"/>
              <w:ind w:left="1" w:hanging="1"/>
              <w:jc w:val="left"/>
              <w:rPr>
                <w:rFonts w:ascii="宋体" w:hAnsi="宋体"/>
                <w:szCs w:val="21"/>
                <w:highlight w:val="none"/>
              </w:rPr>
            </w:pPr>
            <w:r>
              <w:rPr>
                <w:rFonts w:hint="eastAsia" w:ascii="宋体" w:hAnsi="宋体"/>
                <w:szCs w:val="21"/>
                <w:highlight w:val="none"/>
              </w:rPr>
              <w:t>2.在中标工程中不执行质量、安全生产相关规定的，造成质量或安全事故的；</w:t>
            </w:r>
          </w:p>
          <w:p w14:paraId="6FF44E84">
            <w:pPr>
              <w:widowControl/>
              <w:spacing w:line="276" w:lineRule="auto"/>
              <w:ind w:left="1" w:hanging="1"/>
              <w:jc w:val="left"/>
              <w:rPr>
                <w:rFonts w:ascii="宋体" w:hAnsi="宋体"/>
                <w:szCs w:val="21"/>
                <w:highlight w:val="none"/>
              </w:rPr>
            </w:pPr>
            <w:r>
              <w:rPr>
                <w:rFonts w:hint="eastAsia" w:ascii="宋体" w:hAnsi="宋体"/>
                <w:szCs w:val="21"/>
                <w:highlight w:val="none"/>
              </w:rPr>
              <w:t>3.存在围标或串标情形的；</w:t>
            </w:r>
          </w:p>
          <w:p w14:paraId="4CE07C02">
            <w:pPr>
              <w:spacing w:line="276" w:lineRule="auto"/>
              <w:ind w:left="1" w:hanging="1"/>
              <w:jc w:val="left"/>
              <w:rPr>
                <w:rFonts w:ascii="宋体" w:hAnsi="宋体"/>
                <w:szCs w:val="21"/>
                <w:highlight w:val="none"/>
              </w:rPr>
            </w:pPr>
            <w:r>
              <w:rPr>
                <w:rFonts w:hint="eastAsia" w:ascii="宋体" w:hAnsi="宋体"/>
                <w:szCs w:val="21"/>
                <w:highlight w:val="none"/>
              </w:rPr>
              <w:t>4.存在弄虚作假骗取中标情形的；</w:t>
            </w:r>
          </w:p>
        </w:tc>
      </w:tr>
      <w:tr w14:paraId="0A0B43D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866" w:type="dxa"/>
            <w:vAlign w:val="center"/>
          </w:tcPr>
          <w:p w14:paraId="228DE69B">
            <w:pPr>
              <w:snapToGrid w:val="0"/>
              <w:spacing w:line="276" w:lineRule="auto"/>
              <w:jc w:val="center"/>
              <w:rPr>
                <w:rFonts w:ascii="宋体" w:hAnsi="宋体"/>
                <w:szCs w:val="21"/>
                <w:highlight w:val="none"/>
              </w:rPr>
            </w:pPr>
            <w:r>
              <w:rPr>
                <w:rFonts w:ascii="宋体" w:hAnsi="宋体"/>
                <w:szCs w:val="21"/>
                <w:highlight w:val="none"/>
              </w:rPr>
              <w:t>10.</w:t>
            </w:r>
            <w:r>
              <w:rPr>
                <w:rFonts w:hint="eastAsia" w:ascii="宋体" w:hAnsi="宋体"/>
                <w:szCs w:val="21"/>
                <w:highlight w:val="none"/>
              </w:rPr>
              <w:t>2</w:t>
            </w:r>
          </w:p>
        </w:tc>
        <w:tc>
          <w:tcPr>
            <w:tcW w:w="2160" w:type="dxa"/>
            <w:vAlign w:val="center"/>
          </w:tcPr>
          <w:p w14:paraId="750DE220">
            <w:pPr>
              <w:widowControl/>
              <w:spacing w:line="276" w:lineRule="auto"/>
              <w:jc w:val="center"/>
              <w:rPr>
                <w:rFonts w:ascii="宋体" w:hAnsi="宋体"/>
                <w:szCs w:val="21"/>
                <w:highlight w:val="none"/>
              </w:rPr>
            </w:pPr>
            <w:r>
              <w:rPr>
                <w:rFonts w:hint="eastAsia" w:ascii="宋体" w:hAnsi="宋体"/>
                <w:szCs w:val="21"/>
                <w:highlight w:val="none"/>
              </w:rPr>
              <w:t>招标失败情形</w:t>
            </w:r>
          </w:p>
        </w:tc>
        <w:tc>
          <w:tcPr>
            <w:tcW w:w="7200" w:type="dxa"/>
            <w:vAlign w:val="center"/>
          </w:tcPr>
          <w:p w14:paraId="752B5003">
            <w:pPr>
              <w:spacing w:line="276" w:lineRule="auto"/>
              <w:ind w:left="1" w:hanging="1"/>
              <w:rPr>
                <w:rFonts w:ascii="宋体" w:hAnsi="宋体"/>
                <w:szCs w:val="21"/>
                <w:highlight w:val="none"/>
              </w:rPr>
            </w:pPr>
            <w:r>
              <w:rPr>
                <w:rFonts w:hint="eastAsia" w:ascii="宋体" w:hAnsi="宋体"/>
                <w:szCs w:val="21"/>
                <w:highlight w:val="none"/>
              </w:rPr>
              <w:t>本项目采用资格后审方式</w:t>
            </w:r>
            <w:r>
              <w:rPr>
                <w:rFonts w:hint="eastAsia" w:ascii="宋体" w:hAnsi="宋体" w:cs="仿宋"/>
                <w:szCs w:val="21"/>
                <w:highlight w:val="none"/>
              </w:rPr>
              <w:t>。若投标登记或递交投标文件或通过初步评审（含形式评审、资格评审、响应性评审）的合格投标人不足3家的，</w:t>
            </w:r>
            <w:r>
              <w:rPr>
                <w:rFonts w:hint="eastAsia" w:ascii="宋体" w:hAnsi="宋体"/>
                <w:szCs w:val="21"/>
                <w:highlight w:val="none"/>
                <w:u w:val="single"/>
              </w:rPr>
              <w:t>则该项目招标失败</w:t>
            </w:r>
            <w:r>
              <w:rPr>
                <w:rFonts w:hint="eastAsia" w:ascii="宋体" w:hAnsi="宋体" w:cs="仿宋"/>
                <w:szCs w:val="21"/>
                <w:highlight w:val="none"/>
              </w:rPr>
              <w:t>。</w:t>
            </w:r>
            <w:r>
              <w:rPr>
                <w:rFonts w:hint="eastAsia" w:ascii="宋体" w:hAnsi="宋体" w:cs="宋体"/>
                <w:szCs w:val="21"/>
                <w:highlight w:val="none"/>
              </w:rPr>
              <w:t>招标人分析招标失败原因，修正招标方案，重新组织招标。</w:t>
            </w:r>
          </w:p>
        </w:tc>
      </w:tr>
      <w:tr w14:paraId="7B8CF07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866" w:type="dxa"/>
            <w:tcBorders>
              <w:bottom w:val="single" w:color="auto" w:sz="4" w:space="0"/>
            </w:tcBorders>
            <w:vAlign w:val="center"/>
          </w:tcPr>
          <w:p w14:paraId="39F897F8">
            <w:pPr>
              <w:snapToGrid w:val="0"/>
              <w:spacing w:line="276" w:lineRule="auto"/>
              <w:jc w:val="center"/>
              <w:rPr>
                <w:rFonts w:ascii="宋体" w:hAnsi="宋体"/>
                <w:szCs w:val="21"/>
                <w:highlight w:val="none"/>
              </w:rPr>
            </w:pPr>
            <w:r>
              <w:rPr>
                <w:rFonts w:ascii="宋体" w:hAnsi="宋体"/>
                <w:szCs w:val="21"/>
                <w:highlight w:val="none"/>
              </w:rPr>
              <w:t>10.</w:t>
            </w:r>
            <w:r>
              <w:rPr>
                <w:rFonts w:hint="eastAsia" w:ascii="宋体" w:hAnsi="宋体"/>
                <w:szCs w:val="21"/>
                <w:highlight w:val="none"/>
              </w:rPr>
              <w:t>3</w:t>
            </w:r>
          </w:p>
        </w:tc>
        <w:tc>
          <w:tcPr>
            <w:tcW w:w="2160" w:type="dxa"/>
            <w:tcBorders>
              <w:bottom w:val="single" w:color="auto" w:sz="4" w:space="0"/>
            </w:tcBorders>
            <w:vAlign w:val="center"/>
          </w:tcPr>
          <w:p w14:paraId="300E19A0">
            <w:pPr>
              <w:spacing w:line="276" w:lineRule="auto"/>
              <w:jc w:val="center"/>
              <w:rPr>
                <w:rFonts w:ascii="宋体" w:hAnsi="宋体"/>
                <w:szCs w:val="21"/>
                <w:highlight w:val="none"/>
              </w:rPr>
            </w:pPr>
            <w:r>
              <w:rPr>
                <w:rFonts w:hint="eastAsia" w:ascii="宋体" w:hAnsi="宋体"/>
                <w:szCs w:val="21"/>
                <w:highlight w:val="none"/>
              </w:rPr>
              <w:t>其他费用</w:t>
            </w:r>
          </w:p>
        </w:tc>
        <w:tc>
          <w:tcPr>
            <w:tcW w:w="7200" w:type="dxa"/>
            <w:tcBorders>
              <w:bottom w:val="single" w:color="auto" w:sz="4" w:space="0"/>
            </w:tcBorders>
            <w:vAlign w:val="center"/>
          </w:tcPr>
          <w:p w14:paraId="1813A45D">
            <w:pPr>
              <w:spacing w:line="276" w:lineRule="auto"/>
              <w:jc w:val="left"/>
              <w:rPr>
                <w:rFonts w:ascii="宋体" w:hAnsi="宋体"/>
                <w:szCs w:val="21"/>
                <w:highlight w:val="none"/>
              </w:rPr>
            </w:pPr>
            <w:r>
              <w:rPr>
                <w:rFonts w:hint="eastAsia" w:ascii="宋体" w:hAnsi="宋体"/>
                <w:szCs w:val="21"/>
                <w:highlight w:val="none"/>
              </w:rPr>
              <w:t>交易服务费：中标人按规定，向</w:t>
            </w:r>
            <w:r>
              <w:rPr>
                <w:rFonts w:hint="eastAsia" w:ascii="宋体" w:hAnsi="宋体"/>
                <w:szCs w:val="21"/>
                <w:highlight w:val="none"/>
                <w:lang w:eastAsia="zh-CN"/>
              </w:rPr>
              <w:t>广州交易集团有限公司（广州公共资源交易中心）</w:t>
            </w:r>
            <w:r>
              <w:rPr>
                <w:rFonts w:hint="eastAsia" w:ascii="宋体" w:hAnsi="宋体"/>
                <w:szCs w:val="21"/>
                <w:highlight w:val="none"/>
              </w:rPr>
              <w:t>缴纳交易服务费，其费用包含在中标人投标报价中，招标人不另行支付。</w:t>
            </w:r>
          </w:p>
        </w:tc>
      </w:tr>
      <w:tr w14:paraId="62FCEC6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866" w:type="dxa"/>
            <w:tcBorders>
              <w:bottom w:val="single" w:color="auto" w:sz="4" w:space="0"/>
            </w:tcBorders>
            <w:vAlign w:val="center"/>
          </w:tcPr>
          <w:p w14:paraId="3E1BB6D6">
            <w:pPr>
              <w:snapToGrid w:val="0"/>
              <w:spacing w:line="276" w:lineRule="auto"/>
              <w:jc w:val="center"/>
              <w:rPr>
                <w:rFonts w:ascii="宋体" w:hAnsi="宋体"/>
                <w:szCs w:val="21"/>
                <w:highlight w:val="none"/>
              </w:rPr>
            </w:pPr>
            <w:r>
              <w:rPr>
                <w:rFonts w:ascii="宋体" w:hAnsi="宋体"/>
                <w:szCs w:val="21"/>
                <w:highlight w:val="none"/>
              </w:rPr>
              <w:t>10.</w:t>
            </w:r>
            <w:r>
              <w:rPr>
                <w:rFonts w:hint="eastAsia" w:ascii="宋体" w:hAnsi="宋体"/>
                <w:szCs w:val="21"/>
                <w:highlight w:val="none"/>
              </w:rPr>
              <w:t>4</w:t>
            </w:r>
          </w:p>
        </w:tc>
        <w:tc>
          <w:tcPr>
            <w:tcW w:w="2160" w:type="dxa"/>
            <w:tcBorders>
              <w:bottom w:val="single" w:color="auto" w:sz="4" w:space="0"/>
            </w:tcBorders>
            <w:vAlign w:val="center"/>
          </w:tcPr>
          <w:p w14:paraId="1B7B977E">
            <w:pPr>
              <w:spacing w:line="276" w:lineRule="auto"/>
              <w:jc w:val="center"/>
              <w:rPr>
                <w:rFonts w:ascii="宋体" w:hAnsi="宋体"/>
                <w:szCs w:val="21"/>
                <w:highlight w:val="none"/>
              </w:rPr>
            </w:pPr>
            <w:r>
              <w:rPr>
                <w:rFonts w:hint="eastAsia" w:ascii="宋体" w:hAnsi="宋体"/>
                <w:szCs w:val="21"/>
                <w:highlight w:val="none"/>
              </w:rPr>
              <w:t>招标人拒绝接收其投标文件备用光盘情况</w:t>
            </w:r>
          </w:p>
        </w:tc>
        <w:tc>
          <w:tcPr>
            <w:tcW w:w="7200" w:type="dxa"/>
            <w:tcBorders>
              <w:bottom w:val="single" w:color="auto" w:sz="4" w:space="0"/>
            </w:tcBorders>
            <w:vAlign w:val="center"/>
          </w:tcPr>
          <w:p w14:paraId="2FFC8784">
            <w:pPr>
              <w:pStyle w:val="25"/>
              <w:spacing w:line="276" w:lineRule="auto"/>
              <w:ind w:hanging="5"/>
              <w:rPr>
                <w:rFonts w:ascii="宋体" w:hAnsi="宋体"/>
                <w:szCs w:val="21"/>
                <w:highlight w:val="none"/>
              </w:rPr>
            </w:pPr>
            <w:r>
              <w:rPr>
                <w:rFonts w:hint="eastAsia" w:ascii="宋体" w:hAnsi="宋体"/>
                <w:szCs w:val="21"/>
                <w:highlight w:val="none"/>
              </w:rPr>
              <w:t>1、投标人在投标截止期后逾期或未在指定地点递交备用投标文件电子光盘的；</w:t>
            </w:r>
          </w:p>
          <w:p w14:paraId="6B6D4869">
            <w:pPr>
              <w:pStyle w:val="25"/>
              <w:spacing w:line="276" w:lineRule="auto"/>
              <w:ind w:hanging="5"/>
              <w:rPr>
                <w:rFonts w:ascii="宋体" w:hAnsi="宋体"/>
                <w:szCs w:val="21"/>
                <w:highlight w:val="none"/>
              </w:rPr>
            </w:pPr>
            <w:r>
              <w:rPr>
                <w:rFonts w:hint="eastAsia" w:ascii="宋体" w:hAnsi="宋体"/>
                <w:szCs w:val="21"/>
                <w:highlight w:val="none"/>
              </w:rPr>
              <w:t>2、投标人递交的备用投标文件电子光盘未按招标文件要求密封或未在密封处盖章的；</w:t>
            </w:r>
          </w:p>
        </w:tc>
      </w:tr>
      <w:tr w14:paraId="29F12E8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866" w:type="dxa"/>
            <w:tcBorders>
              <w:bottom w:val="single" w:color="auto" w:sz="4" w:space="0"/>
            </w:tcBorders>
            <w:vAlign w:val="center"/>
          </w:tcPr>
          <w:p w14:paraId="3602027E">
            <w:pPr>
              <w:snapToGrid w:val="0"/>
              <w:spacing w:line="276" w:lineRule="auto"/>
              <w:jc w:val="center"/>
              <w:rPr>
                <w:rFonts w:ascii="宋体" w:hAnsi="宋体"/>
                <w:szCs w:val="21"/>
                <w:highlight w:val="none"/>
              </w:rPr>
            </w:pPr>
            <w:r>
              <w:rPr>
                <w:rFonts w:ascii="宋体" w:hAnsi="宋体"/>
                <w:szCs w:val="21"/>
                <w:highlight w:val="none"/>
              </w:rPr>
              <w:t>10.</w:t>
            </w:r>
            <w:r>
              <w:rPr>
                <w:rFonts w:hint="eastAsia" w:ascii="宋体" w:hAnsi="宋体"/>
                <w:szCs w:val="21"/>
                <w:highlight w:val="none"/>
              </w:rPr>
              <w:t>5</w:t>
            </w:r>
          </w:p>
        </w:tc>
        <w:tc>
          <w:tcPr>
            <w:tcW w:w="2160" w:type="dxa"/>
            <w:tcBorders>
              <w:bottom w:val="single" w:color="auto" w:sz="4" w:space="0"/>
            </w:tcBorders>
            <w:vAlign w:val="center"/>
          </w:tcPr>
          <w:p w14:paraId="3325DBF9">
            <w:pPr>
              <w:widowControl/>
              <w:spacing w:line="276" w:lineRule="auto"/>
              <w:jc w:val="center"/>
              <w:rPr>
                <w:rFonts w:ascii="宋体" w:hAnsi="宋体"/>
                <w:szCs w:val="21"/>
                <w:highlight w:val="none"/>
              </w:rPr>
            </w:pPr>
            <w:r>
              <w:rPr>
                <w:rFonts w:hint="eastAsia" w:ascii="宋体" w:hAnsi="宋体"/>
                <w:szCs w:val="21"/>
                <w:highlight w:val="none"/>
              </w:rPr>
              <w:t>其他</w:t>
            </w:r>
          </w:p>
        </w:tc>
        <w:tc>
          <w:tcPr>
            <w:tcW w:w="7200" w:type="dxa"/>
            <w:tcBorders>
              <w:bottom w:val="single" w:color="auto" w:sz="4" w:space="0"/>
            </w:tcBorders>
            <w:vAlign w:val="center"/>
          </w:tcPr>
          <w:p w14:paraId="122760D2">
            <w:pPr>
              <w:snapToGrid w:val="0"/>
              <w:spacing w:line="276" w:lineRule="auto"/>
              <w:rPr>
                <w:rFonts w:ascii="宋体" w:hAnsi="宋体"/>
                <w:szCs w:val="21"/>
                <w:highlight w:val="none"/>
              </w:rPr>
            </w:pPr>
            <w:r>
              <w:rPr>
                <w:rFonts w:hint="eastAsia" w:ascii="宋体" w:hAnsi="宋体"/>
                <w:szCs w:val="21"/>
                <w:highlight w:val="none"/>
              </w:rPr>
              <w:t>1．在产生中标候选人后，招标人将中标候选人的投标文件商务部分的电子版（报价清单、方案等涉及商业秘密的内容除外）在</w:t>
            </w:r>
            <w:r>
              <w:rPr>
                <w:rFonts w:hint="eastAsia" w:ascii="宋体" w:hAnsi="宋体"/>
                <w:szCs w:val="21"/>
                <w:highlight w:val="none"/>
                <w:lang w:eastAsia="zh-CN"/>
              </w:rPr>
              <w:t>广州交易集团有限公司（广州公共资源交易中心）</w:t>
            </w:r>
            <w:r>
              <w:rPr>
                <w:rFonts w:hint="eastAsia" w:ascii="宋体" w:hAnsi="宋体"/>
                <w:szCs w:val="21"/>
                <w:highlight w:val="none"/>
              </w:rPr>
              <w:t>网站公开。</w:t>
            </w:r>
          </w:p>
          <w:p w14:paraId="60C85CF6">
            <w:pPr>
              <w:snapToGrid w:val="0"/>
              <w:spacing w:line="276" w:lineRule="auto"/>
              <w:rPr>
                <w:rFonts w:ascii="宋体" w:hAnsi="宋体"/>
                <w:szCs w:val="21"/>
                <w:highlight w:val="none"/>
              </w:rPr>
            </w:pPr>
            <w:r>
              <w:rPr>
                <w:rFonts w:hint="eastAsia" w:ascii="宋体" w:hAnsi="宋体"/>
                <w:szCs w:val="21"/>
                <w:highlight w:val="none"/>
              </w:rPr>
              <w:t>2.招标公告、招标文件、答疑纪要、图纸等招标资料全部发布在</w:t>
            </w:r>
            <w:r>
              <w:rPr>
                <w:rFonts w:hint="eastAsia" w:ascii="宋体" w:hAnsi="宋体"/>
                <w:szCs w:val="21"/>
                <w:highlight w:val="none"/>
                <w:lang w:eastAsia="zh-CN"/>
              </w:rPr>
              <w:t>广州交易集团有限公司（广州公共资源交易中心）</w:t>
            </w:r>
            <w:r>
              <w:rPr>
                <w:rFonts w:hint="eastAsia" w:ascii="宋体" w:hAnsi="宋体"/>
                <w:szCs w:val="21"/>
                <w:highlight w:val="none"/>
              </w:rPr>
              <w:t>网站，由投标人自行下载查阅。</w:t>
            </w:r>
          </w:p>
          <w:p w14:paraId="3995CD9F">
            <w:pPr>
              <w:snapToGrid w:val="0"/>
              <w:spacing w:line="276" w:lineRule="auto"/>
              <w:rPr>
                <w:rFonts w:ascii="宋体" w:hAnsi="宋体"/>
                <w:szCs w:val="21"/>
                <w:highlight w:val="none"/>
              </w:rPr>
            </w:pPr>
            <w:r>
              <w:rPr>
                <w:rFonts w:hint="eastAsia" w:ascii="宋体" w:hAnsi="宋体"/>
                <w:szCs w:val="21"/>
                <w:highlight w:val="none"/>
              </w:rPr>
              <w:t>3.投标截止时间、开标时间和地点：发布在</w:t>
            </w:r>
            <w:r>
              <w:rPr>
                <w:rFonts w:hint="eastAsia" w:ascii="宋体" w:hAnsi="宋体"/>
                <w:szCs w:val="21"/>
                <w:highlight w:val="none"/>
                <w:lang w:eastAsia="zh-CN"/>
              </w:rPr>
              <w:t>广州交易集团有限公司（广州公共资源交易中心）</w:t>
            </w:r>
            <w:r>
              <w:rPr>
                <w:rFonts w:hint="eastAsia" w:ascii="宋体" w:hAnsi="宋体"/>
                <w:szCs w:val="21"/>
                <w:highlight w:val="none"/>
              </w:rPr>
              <w:t>网站（具体在网站主页“服务指南”中“交易活动安排”栏目上以“项目名称”或“项目编号”进行查询）。</w:t>
            </w:r>
          </w:p>
          <w:p w14:paraId="444FBB13">
            <w:pPr>
              <w:snapToGrid w:val="0"/>
              <w:spacing w:line="276" w:lineRule="auto"/>
              <w:rPr>
                <w:rFonts w:ascii="宋体" w:hAnsi="宋体"/>
                <w:szCs w:val="21"/>
                <w:highlight w:val="none"/>
              </w:rPr>
            </w:pPr>
            <w:r>
              <w:rPr>
                <w:rFonts w:hint="eastAsia" w:ascii="宋体" w:hAnsi="宋体"/>
                <w:szCs w:val="21"/>
                <w:highlight w:val="none"/>
              </w:rPr>
              <w:t>4．中标单位在中标通知书发出后3个工作日内，补送一正一副正式书面投标文件（加盖公章）及电子文件光盘给招标人。</w:t>
            </w:r>
          </w:p>
          <w:p w14:paraId="23694FA4">
            <w:pPr>
              <w:pStyle w:val="25"/>
              <w:ind w:firstLine="0"/>
              <w:rPr>
                <w:rFonts w:ascii="宋体" w:hAnsi="宋体"/>
                <w:szCs w:val="21"/>
                <w:highlight w:val="none"/>
              </w:rPr>
            </w:pPr>
            <w:r>
              <w:rPr>
                <w:rFonts w:hint="eastAsia" w:ascii="宋体" w:hAnsi="宋体"/>
                <w:szCs w:val="21"/>
                <w:highlight w:val="none"/>
              </w:rPr>
              <w:t>5.招标人将时时核对以下内容：</w:t>
            </w:r>
          </w:p>
          <w:p w14:paraId="0745AB33">
            <w:pPr>
              <w:pStyle w:val="25"/>
              <w:ind w:firstLine="0"/>
              <w:rPr>
                <w:rFonts w:ascii="宋体" w:hAnsi="宋体"/>
                <w:szCs w:val="21"/>
                <w:highlight w:val="none"/>
              </w:rPr>
            </w:pPr>
            <w:r>
              <w:rPr>
                <w:rFonts w:hint="eastAsia" w:ascii="宋体" w:hAnsi="宋体"/>
                <w:szCs w:val="21"/>
                <w:highlight w:val="none"/>
              </w:rPr>
              <w:t>（1）中标人及其项目负责人是否存在因与工程项目施工相关的车辆运输而被最高人民法院在“信用中国”网站或各级信用信息共享平台中列入失信被执行人名单或被交通运输行政主管部门在“信用交通”网站列入严重违法超限超载运输失信当事人名单或被工商行政管理机关在全国企业信用信息公示系统中列入严重违法失信企业名单或被黄埔区、广州开发区公安、城管、住建、交通、水务、规自等部门列入黑名单、不良行为记录（处罚有效期内）。</w:t>
            </w:r>
          </w:p>
          <w:p w14:paraId="7B0B9D6C">
            <w:pPr>
              <w:pStyle w:val="25"/>
              <w:ind w:firstLine="0"/>
              <w:rPr>
                <w:rFonts w:ascii="宋体" w:hAnsi="宋体"/>
                <w:szCs w:val="21"/>
                <w:highlight w:val="none"/>
              </w:rPr>
            </w:pPr>
            <w:r>
              <w:rPr>
                <w:rFonts w:hint="eastAsia" w:ascii="宋体" w:hAnsi="宋体"/>
                <w:szCs w:val="21"/>
                <w:highlight w:val="none"/>
              </w:rPr>
              <w:t>（2）中标人是否有将工程施工过程中产生的土石方、建筑垃圾及施工过程中使用的建筑材料、设备等的运输委托给被最高人民法院在“信用中国”网站或各级信用信息共享平台中列入失信被执行人名单或被交通运输行政主管部门在“信用交通”网站列入严重违法超限超载运输失信当事人名单或被工商行政管理机关在全国企业信用信息公示系统中列入严重违法失信企业名单或被黄埔区、广州开发区公安、城管、住建、交通、水务、规自等部门列入黑名单、不良行为记录（处罚有效期内）的单位或个体经营者运输。</w:t>
            </w:r>
          </w:p>
          <w:p w14:paraId="1010C64A">
            <w:pPr>
              <w:pStyle w:val="25"/>
              <w:ind w:firstLine="0"/>
              <w:rPr>
                <w:rFonts w:ascii="宋体" w:hAnsi="宋体"/>
                <w:szCs w:val="21"/>
                <w:highlight w:val="none"/>
              </w:rPr>
            </w:pPr>
            <w:r>
              <w:rPr>
                <w:rFonts w:hint="eastAsia" w:ascii="宋体" w:hAnsi="宋体"/>
                <w:szCs w:val="21"/>
                <w:highlight w:val="none"/>
              </w:rPr>
              <w:t>如核实存在上述任一情况，招标人有权取消中标人的中标资格或终止合同。</w:t>
            </w:r>
          </w:p>
        </w:tc>
      </w:tr>
      <w:tr w14:paraId="159FA7F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866" w:type="dxa"/>
            <w:vAlign w:val="center"/>
          </w:tcPr>
          <w:p w14:paraId="68C5817B">
            <w:pPr>
              <w:snapToGrid w:val="0"/>
              <w:spacing w:line="276" w:lineRule="auto"/>
              <w:jc w:val="center"/>
              <w:rPr>
                <w:rFonts w:ascii="宋体" w:hAnsi="宋体"/>
                <w:szCs w:val="21"/>
                <w:highlight w:val="none"/>
              </w:rPr>
            </w:pPr>
            <w:r>
              <w:rPr>
                <w:rFonts w:hint="eastAsia" w:ascii="宋体" w:hAnsi="宋体"/>
                <w:szCs w:val="21"/>
                <w:highlight w:val="none"/>
              </w:rPr>
              <w:t>10.6</w:t>
            </w:r>
          </w:p>
        </w:tc>
        <w:tc>
          <w:tcPr>
            <w:tcW w:w="2160" w:type="dxa"/>
            <w:vAlign w:val="center"/>
          </w:tcPr>
          <w:p w14:paraId="656629E4">
            <w:pPr>
              <w:widowControl/>
              <w:spacing w:line="276" w:lineRule="auto"/>
              <w:jc w:val="center"/>
              <w:rPr>
                <w:rFonts w:ascii="宋体" w:hAnsi="宋体"/>
                <w:szCs w:val="21"/>
                <w:highlight w:val="none"/>
              </w:rPr>
            </w:pPr>
            <w:r>
              <w:rPr>
                <w:rFonts w:hint="eastAsia" w:ascii="宋体" w:hAnsi="宋体"/>
                <w:szCs w:val="21"/>
                <w:highlight w:val="none"/>
              </w:rPr>
              <w:t>投标人是否参加开标</w:t>
            </w:r>
          </w:p>
        </w:tc>
        <w:tc>
          <w:tcPr>
            <w:tcW w:w="7200" w:type="dxa"/>
            <w:vAlign w:val="center"/>
          </w:tcPr>
          <w:p w14:paraId="6A75A3FA">
            <w:pPr>
              <w:snapToGrid w:val="0"/>
              <w:spacing w:line="276" w:lineRule="auto"/>
              <w:rPr>
                <w:rFonts w:ascii="宋体" w:hAnsi="宋体"/>
                <w:szCs w:val="21"/>
                <w:highlight w:val="none"/>
              </w:rPr>
            </w:pPr>
            <w:r>
              <w:rPr>
                <w:rFonts w:hint="eastAsia" w:ascii="宋体" w:hAnsi="宋体"/>
                <w:szCs w:val="21"/>
                <w:highlight w:val="none"/>
              </w:rPr>
              <w:t>开标时，投标人代表有权出席开标会，也可以自主决定不参加开标会，若投标人代表对开标过程提出异议，该投标人代表须同时出示本人身份证原件。</w:t>
            </w:r>
          </w:p>
        </w:tc>
      </w:tr>
      <w:tr w14:paraId="2871D3D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866" w:type="dxa"/>
            <w:tcBorders>
              <w:bottom w:val="single" w:color="auto" w:sz="4" w:space="0"/>
            </w:tcBorders>
            <w:vAlign w:val="center"/>
          </w:tcPr>
          <w:p w14:paraId="1DA0E129">
            <w:pPr>
              <w:snapToGrid w:val="0"/>
              <w:spacing w:line="276" w:lineRule="auto"/>
              <w:jc w:val="center"/>
              <w:rPr>
                <w:rFonts w:ascii="宋体" w:hAnsi="宋体"/>
                <w:szCs w:val="21"/>
                <w:highlight w:val="none"/>
              </w:rPr>
            </w:pPr>
            <w:r>
              <w:rPr>
                <w:rFonts w:hint="eastAsia" w:ascii="宋体" w:hAnsi="宋体"/>
                <w:szCs w:val="21"/>
                <w:highlight w:val="none"/>
              </w:rPr>
              <w:t>1</w:t>
            </w:r>
            <w:r>
              <w:rPr>
                <w:rFonts w:ascii="宋体" w:hAnsi="宋体"/>
                <w:szCs w:val="21"/>
                <w:highlight w:val="none"/>
              </w:rPr>
              <w:t>0.7</w:t>
            </w:r>
          </w:p>
        </w:tc>
        <w:tc>
          <w:tcPr>
            <w:tcW w:w="2160" w:type="dxa"/>
            <w:tcBorders>
              <w:bottom w:val="single" w:color="auto" w:sz="4" w:space="0"/>
            </w:tcBorders>
            <w:vAlign w:val="center"/>
          </w:tcPr>
          <w:p w14:paraId="0E74B6A2">
            <w:pPr>
              <w:widowControl/>
              <w:spacing w:line="276" w:lineRule="auto"/>
              <w:jc w:val="center"/>
              <w:rPr>
                <w:rFonts w:ascii="宋体" w:hAnsi="宋体"/>
                <w:szCs w:val="21"/>
                <w:highlight w:val="none"/>
              </w:rPr>
            </w:pPr>
            <w:r>
              <w:rPr>
                <w:rFonts w:hint="eastAsia" w:ascii="宋体" w:hAnsi="宋体"/>
                <w:szCs w:val="21"/>
                <w:highlight w:val="none"/>
              </w:rPr>
              <w:t>/</w:t>
            </w:r>
          </w:p>
        </w:tc>
        <w:tc>
          <w:tcPr>
            <w:tcW w:w="7200" w:type="dxa"/>
            <w:tcBorders>
              <w:bottom w:val="single" w:color="auto" w:sz="4" w:space="0"/>
            </w:tcBorders>
            <w:vAlign w:val="center"/>
          </w:tcPr>
          <w:p w14:paraId="773A8A17">
            <w:pPr>
              <w:snapToGrid w:val="0"/>
              <w:spacing w:line="276" w:lineRule="auto"/>
              <w:rPr>
                <w:rFonts w:ascii="宋体" w:hAnsi="宋体"/>
                <w:szCs w:val="21"/>
                <w:highlight w:val="none"/>
              </w:rPr>
            </w:pPr>
            <w:r>
              <w:rPr>
                <w:rFonts w:hint="eastAsia" w:ascii="宋体" w:hAnsi="宋体" w:cs="宋体"/>
                <w:szCs w:val="21"/>
                <w:highlight w:val="none"/>
                <w:u w:val="single"/>
              </w:rPr>
              <w:t>如本工程委托代建单位（项目建设管理单位），则可由代建单位作为发包人与中标人签订合同。</w:t>
            </w:r>
          </w:p>
        </w:tc>
      </w:tr>
    </w:tbl>
    <w:p w14:paraId="17DDD929">
      <w:pPr>
        <w:rPr>
          <w:rFonts w:ascii="宋体" w:hAnsi="宋体"/>
          <w:highlight w:val="none"/>
        </w:rPr>
      </w:pPr>
    </w:p>
    <w:p w14:paraId="0FDDC43F">
      <w:pPr>
        <w:pStyle w:val="5"/>
        <w:rPr>
          <w:highlight w:val="none"/>
        </w:rPr>
      </w:pPr>
      <w:bookmarkStart w:id="44" w:name="_Toc533357308"/>
      <w:r>
        <w:rPr>
          <w:highlight w:val="none"/>
        </w:rPr>
        <w:br w:type="page"/>
      </w:r>
      <w:bookmarkStart w:id="45" w:name="_Toc103592009"/>
      <w:r>
        <w:rPr>
          <w:highlight w:val="none"/>
        </w:rPr>
        <w:t xml:space="preserve">1. </w:t>
      </w:r>
      <w:r>
        <w:rPr>
          <w:rFonts w:hint="eastAsia"/>
          <w:highlight w:val="none"/>
        </w:rPr>
        <w:t>总则</w:t>
      </w:r>
      <w:bookmarkEnd w:id="44"/>
      <w:bookmarkEnd w:id="45"/>
    </w:p>
    <w:p w14:paraId="66996380">
      <w:pPr>
        <w:pStyle w:val="7"/>
        <w:rPr>
          <w:highlight w:val="none"/>
        </w:rPr>
      </w:pPr>
      <w:r>
        <w:rPr>
          <w:highlight w:val="none"/>
        </w:rPr>
        <w:t xml:space="preserve">1.1 </w:t>
      </w:r>
      <w:r>
        <w:rPr>
          <w:rFonts w:hint="eastAsia"/>
          <w:highlight w:val="none"/>
        </w:rPr>
        <w:t>招标项目概况</w:t>
      </w:r>
    </w:p>
    <w:p w14:paraId="0ACE807C">
      <w:pPr>
        <w:pStyle w:val="13"/>
        <w:kinsoku w:val="0"/>
        <w:overflowPunct w:val="0"/>
        <w:spacing w:line="288" w:lineRule="auto"/>
        <w:ind w:firstLine="420" w:firstLineChars="200"/>
        <w:rPr>
          <w:rFonts w:ascii="宋体" w:hAnsi="宋体"/>
          <w:szCs w:val="21"/>
          <w:highlight w:val="none"/>
        </w:rPr>
      </w:pPr>
      <w:r>
        <w:rPr>
          <w:rFonts w:ascii="宋体" w:hAnsi="宋体"/>
          <w:szCs w:val="21"/>
          <w:highlight w:val="none"/>
        </w:rPr>
        <w:t>1.1.1</w:t>
      </w:r>
      <w:r>
        <w:rPr>
          <w:rFonts w:hint="eastAsia" w:ascii="宋体" w:hAnsi="宋体"/>
          <w:szCs w:val="21"/>
          <w:highlight w:val="none"/>
        </w:rPr>
        <w:t>根据《中华人民共和国招标投标法》、《中华人民共和国招标投标法实施条例》等有关法律、法规和规章的规定，本招标项目已具备招标条件，现对检测服务进行招标。</w:t>
      </w:r>
    </w:p>
    <w:p w14:paraId="5F5698BD">
      <w:pPr>
        <w:pStyle w:val="13"/>
        <w:kinsoku w:val="0"/>
        <w:overflowPunct w:val="0"/>
        <w:spacing w:line="288" w:lineRule="auto"/>
        <w:ind w:firstLine="420" w:firstLineChars="200"/>
        <w:rPr>
          <w:rFonts w:ascii="宋体" w:hAnsi="宋体"/>
          <w:szCs w:val="21"/>
          <w:highlight w:val="none"/>
        </w:rPr>
      </w:pPr>
      <w:r>
        <w:rPr>
          <w:rFonts w:ascii="宋体" w:hAnsi="宋体"/>
          <w:szCs w:val="21"/>
          <w:highlight w:val="none"/>
        </w:rPr>
        <w:t>1.1.2</w:t>
      </w:r>
      <w:r>
        <w:rPr>
          <w:rFonts w:hint="eastAsia" w:ascii="宋体" w:hAnsi="宋体"/>
          <w:szCs w:val="21"/>
          <w:highlight w:val="none"/>
        </w:rPr>
        <w:t>招标人：见投标人须知前附表。</w:t>
      </w:r>
    </w:p>
    <w:p w14:paraId="6117B13C">
      <w:pPr>
        <w:pStyle w:val="13"/>
        <w:kinsoku w:val="0"/>
        <w:overflowPunct w:val="0"/>
        <w:spacing w:line="288" w:lineRule="auto"/>
        <w:ind w:firstLine="420" w:firstLineChars="200"/>
        <w:rPr>
          <w:rFonts w:ascii="宋体" w:hAnsi="宋体"/>
          <w:szCs w:val="21"/>
          <w:highlight w:val="none"/>
        </w:rPr>
      </w:pPr>
      <w:r>
        <w:rPr>
          <w:rFonts w:ascii="宋体" w:hAnsi="宋体"/>
          <w:szCs w:val="21"/>
          <w:highlight w:val="none"/>
        </w:rPr>
        <w:t>1.1.3</w:t>
      </w:r>
      <w:r>
        <w:rPr>
          <w:rFonts w:hint="eastAsia" w:ascii="宋体" w:hAnsi="宋体"/>
          <w:szCs w:val="21"/>
          <w:highlight w:val="none"/>
        </w:rPr>
        <w:t>招标代理机构：见投标人须知前附表。</w:t>
      </w:r>
    </w:p>
    <w:p w14:paraId="187EB45F">
      <w:pPr>
        <w:pStyle w:val="13"/>
        <w:kinsoku w:val="0"/>
        <w:overflowPunct w:val="0"/>
        <w:spacing w:line="288" w:lineRule="auto"/>
        <w:ind w:firstLine="420" w:firstLineChars="200"/>
        <w:rPr>
          <w:rFonts w:ascii="宋体" w:hAnsi="宋体"/>
          <w:szCs w:val="21"/>
          <w:highlight w:val="none"/>
        </w:rPr>
      </w:pPr>
      <w:r>
        <w:rPr>
          <w:rFonts w:ascii="宋体" w:hAnsi="宋体"/>
          <w:szCs w:val="21"/>
          <w:highlight w:val="none"/>
        </w:rPr>
        <w:t>1.1.4</w:t>
      </w:r>
      <w:r>
        <w:rPr>
          <w:rFonts w:hint="eastAsia" w:ascii="宋体" w:hAnsi="宋体"/>
          <w:szCs w:val="21"/>
          <w:highlight w:val="none"/>
        </w:rPr>
        <w:t>招标项目名称：见投标人须知前附表。</w:t>
      </w:r>
    </w:p>
    <w:p w14:paraId="3254900A">
      <w:pPr>
        <w:pStyle w:val="13"/>
        <w:kinsoku w:val="0"/>
        <w:overflowPunct w:val="0"/>
        <w:spacing w:line="288" w:lineRule="auto"/>
        <w:ind w:firstLine="420" w:firstLineChars="200"/>
        <w:rPr>
          <w:rFonts w:ascii="宋体" w:hAnsi="宋体"/>
          <w:szCs w:val="21"/>
          <w:highlight w:val="none"/>
        </w:rPr>
      </w:pPr>
      <w:r>
        <w:rPr>
          <w:rFonts w:ascii="宋体" w:hAnsi="宋体"/>
          <w:szCs w:val="21"/>
          <w:highlight w:val="none"/>
        </w:rPr>
        <w:t>1.1.5</w:t>
      </w:r>
      <w:r>
        <w:rPr>
          <w:rFonts w:hint="eastAsia" w:ascii="宋体" w:hAnsi="宋体"/>
          <w:szCs w:val="21"/>
          <w:highlight w:val="none"/>
        </w:rPr>
        <w:t>项目建设地点：见投标人须知前附表。</w:t>
      </w:r>
    </w:p>
    <w:p w14:paraId="64CEF900">
      <w:pPr>
        <w:pStyle w:val="13"/>
        <w:kinsoku w:val="0"/>
        <w:overflowPunct w:val="0"/>
        <w:spacing w:line="288" w:lineRule="auto"/>
        <w:ind w:firstLine="420" w:firstLineChars="200"/>
        <w:rPr>
          <w:rFonts w:ascii="宋体" w:hAnsi="宋体"/>
          <w:szCs w:val="21"/>
          <w:highlight w:val="none"/>
        </w:rPr>
      </w:pPr>
      <w:r>
        <w:rPr>
          <w:rFonts w:ascii="宋体" w:hAnsi="宋体"/>
          <w:szCs w:val="21"/>
          <w:highlight w:val="none"/>
        </w:rPr>
        <w:t>1.1.6</w:t>
      </w:r>
      <w:r>
        <w:rPr>
          <w:rFonts w:hint="eastAsia" w:ascii="宋体" w:hAnsi="宋体"/>
          <w:szCs w:val="21"/>
          <w:highlight w:val="none"/>
        </w:rPr>
        <w:t>项目建设规模：见投标人须知前附表。</w:t>
      </w:r>
    </w:p>
    <w:p w14:paraId="08B16E26">
      <w:pPr>
        <w:pStyle w:val="13"/>
        <w:kinsoku w:val="0"/>
        <w:overflowPunct w:val="0"/>
        <w:spacing w:line="288" w:lineRule="auto"/>
        <w:ind w:firstLine="420" w:firstLineChars="200"/>
        <w:rPr>
          <w:rFonts w:ascii="宋体" w:hAnsi="宋体"/>
          <w:szCs w:val="21"/>
          <w:highlight w:val="none"/>
        </w:rPr>
      </w:pPr>
      <w:r>
        <w:rPr>
          <w:rFonts w:ascii="宋体" w:hAnsi="宋体"/>
          <w:szCs w:val="21"/>
          <w:highlight w:val="none"/>
        </w:rPr>
        <w:t>1.1.7</w:t>
      </w:r>
      <w:r>
        <w:rPr>
          <w:rFonts w:hint="eastAsia" w:ascii="宋体" w:hAnsi="宋体"/>
          <w:szCs w:val="21"/>
          <w:highlight w:val="none"/>
        </w:rPr>
        <w:t>工程项目施工预计开工日期和建设周期：见投标人须知前附表。</w:t>
      </w:r>
    </w:p>
    <w:p w14:paraId="527CD963">
      <w:pPr>
        <w:pStyle w:val="25"/>
        <w:spacing w:line="288" w:lineRule="auto"/>
        <w:ind w:firstLineChars="200"/>
        <w:rPr>
          <w:rFonts w:ascii="宋体" w:hAnsi="宋体"/>
          <w:szCs w:val="21"/>
          <w:highlight w:val="none"/>
        </w:rPr>
      </w:pPr>
      <w:r>
        <w:rPr>
          <w:rFonts w:ascii="宋体" w:hAnsi="宋体"/>
          <w:szCs w:val="21"/>
          <w:highlight w:val="none"/>
        </w:rPr>
        <w:t>1.1.8</w:t>
      </w:r>
      <w:r>
        <w:rPr>
          <w:rFonts w:hint="eastAsia" w:ascii="宋体" w:hAnsi="宋体"/>
          <w:szCs w:val="21"/>
          <w:highlight w:val="none"/>
        </w:rPr>
        <w:t>建筑安装工程费</w:t>
      </w:r>
      <w:r>
        <w:rPr>
          <w:rFonts w:ascii="宋体" w:hAnsi="宋体"/>
          <w:szCs w:val="21"/>
          <w:highlight w:val="none"/>
        </w:rPr>
        <w:t>/</w:t>
      </w:r>
      <w:r>
        <w:rPr>
          <w:rFonts w:hint="eastAsia" w:ascii="宋体" w:hAnsi="宋体"/>
          <w:szCs w:val="21"/>
          <w:highlight w:val="none"/>
        </w:rPr>
        <w:t>工程概算：见投标人须知前附表。</w:t>
      </w:r>
    </w:p>
    <w:p w14:paraId="6E8B498C">
      <w:pPr>
        <w:pStyle w:val="13"/>
        <w:kinsoku w:val="0"/>
        <w:overflowPunct w:val="0"/>
        <w:spacing w:line="288" w:lineRule="auto"/>
        <w:ind w:firstLine="420" w:firstLineChars="200"/>
        <w:rPr>
          <w:rFonts w:ascii="宋体" w:hAnsi="宋体"/>
          <w:szCs w:val="21"/>
          <w:highlight w:val="none"/>
        </w:rPr>
      </w:pPr>
    </w:p>
    <w:p w14:paraId="132B633D">
      <w:pPr>
        <w:pStyle w:val="7"/>
        <w:rPr>
          <w:highlight w:val="none"/>
        </w:rPr>
      </w:pPr>
      <w:r>
        <w:rPr>
          <w:highlight w:val="none"/>
        </w:rPr>
        <w:t xml:space="preserve">1.2 </w:t>
      </w:r>
      <w:r>
        <w:rPr>
          <w:rFonts w:hint="eastAsia"/>
          <w:highlight w:val="none"/>
        </w:rPr>
        <w:t>招标项目的资金来源和落实情况</w:t>
      </w:r>
    </w:p>
    <w:p w14:paraId="794D3D39">
      <w:pPr>
        <w:pStyle w:val="13"/>
        <w:kinsoku w:val="0"/>
        <w:overflowPunct w:val="0"/>
        <w:spacing w:line="288" w:lineRule="auto"/>
        <w:ind w:firstLine="420" w:firstLineChars="200"/>
        <w:rPr>
          <w:rFonts w:ascii="宋体" w:hAnsi="宋体"/>
          <w:szCs w:val="21"/>
          <w:highlight w:val="none"/>
        </w:rPr>
      </w:pPr>
      <w:r>
        <w:rPr>
          <w:rFonts w:ascii="宋体" w:hAnsi="宋体"/>
          <w:szCs w:val="21"/>
          <w:highlight w:val="none"/>
        </w:rPr>
        <w:t>1.2.1</w:t>
      </w:r>
      <w:r>
        <w:rPr>
          <w:rFonts w:hint="eastAsia" w:ascii="宋体" w:hAnsi="宋体"/>
          <w:szCs w:val="21"/>
          <w:highlight w:val="none"/>
        </w:rPr>
        <w:t>资金来源及比例：见投标人须知前附表。</w:t>
      </w:r>
    </w:p>
    <w:p w14:paraId="67940E2E">
      <w:pPr>
        <w:pStyle w:val="13"/>
        <w:kinsoku w:val="0"/>
        <w:overflowPunct w:val="0"/>
        <w:spacing w:line="288" w:lineRule="auto"/>
        <w:ind w:firstLine="420" w:firstLineChars="200"/>
        <w:rPr>
          <w:rFonts w:ascii="宋体" w:hAnsi="宋体"/>
          <w:szCs w:val="21"/>
          <w:highlight w:val="none"/>
        </w:rPr>
      </w:pPr>
      <w:r>
        <w:rPr>
          <w:rFonts w:ascii="宋体" w:hAnsi="宋体"/>
          <w:szCs w:val="21"/>
          <w:highlight w:val="none"/>
        </w:rPr>
        <w:t>1.2.2</w:t>
      </w:r>
      <w:r>
        <w:rPr>
          <w:rFonts w:hint="eastAsia" w:ascii="宋体" w:hAnsi="宋体"/>
          <w:szCs w:val="21"/>
          <w:highlight w:val="none"/>
        </w:rPr>
        <w:t>资金落实情况：见投标人须知前附表。</w:t>
      </w:r>
    </w:p>
    <w:p w14:paraId="35EACFA8">
      <w:pPr>
        <w:pStyle w:val="13"/>
        <w:kinsoku w:val="0"/>
        <w:overflowPunct w:val="0"/>
        <w:spacing w:line="288" w:lineRule="auto"/>
        <w:ind w:firstLine="420" w:firstLineChars="200"/>
        <w:rPr>
          <w:rFonts w:ascii="宋体" w:hAnsi="宋体"/>
          <w:szCs w:val="21"/>
          <w:highlight w:val="none"/>
        </w:rPr>
      </w:pPr>
    </w:p>
    <w:p w14:paraId="50FB6385">
      <w:pPr>
        <w:pStyle w:val="7"/>
        <w:rPr>
          <w:highlight w:val="none"/>
        </w:rPr>
      </w:pPr>
      <w:r>
        <w:rPr>
          <w:highlight w:val="none"/>
        </w:rPr>
        <w:t xml:space="preserve">1.3 </w:t>
      </w:r>
      <w:r>
        <w:rPr>
          <w:rFonts w:hint="eastAsia"/>
          <w:highlight w:val="none"/>
        </w:rPr>
        <w:t>招标范围、服务期限和质量标准</w:t>
      </w:r>
    </w:p>
    <w:p w14:paraId="62E2C76C">
      <w:pPr>
        <w:pStyle w:val="13"/>
        <w:kinsoku w:val="0"/>
        <w:overflowPunct w:val="0"/>
        <w:spacing w:line="288" w:lineRule="auto"/>
        <w:ind w:firstLine="420" w:firstLineChars="200"/>
        <w:rPr>
          <w:rFonts w:ascii="宋体" w:hAnsi="宋体"/>
          <w:szCs w:val="21"/>
          <w:highlight w:val="none"/>
        </w:rPr>
      </w:pPr>
      <w:r>
        <w:rPr>
          <w:rFonts w:ascii="宋体" w:hAnsi="宋体"/>
          <w:szCs w:val="21"/>
          <w:highlight w:val="none"/>
        </w:rPr>
        <w:t>1.3.1</w:t>
      </w:r>
      <w:r>
        <w:rPr>
          <w:rFonts w:hint="eastAsia" w:ascii="宋体" w:hAnsi="宋体"/>
          <w:szCs w:val="21"/>
          <w:highlight w:val="none"/>
        </w:rPr>
        <w:t>招标范围：见投标人须知前附表。</w:t>
      </w:r>
    </w:p>
    <w:p w14:paraId="72EBC396">
      <w:pPr>
        <w:pStyle w:val="13"/>
        <w:kinsoku w:val="0"/>
        <w:overflowPunct w:val="0"/>
        <w:spacing w:line="288" w:lineRule="auto"/>
        <w:ind w:firstLine="420" w:firstLineChars="200"/>
        <w:rPr>
          <w:rFonts w:ascii="宋体" w:hAnsi="宋体"/>
          <w:szCs w:val="21"/>
          <w:highlight w:val="none"/>
        </w:rPr>
      </w:pPr>
      <w:r>
        <w:rPr>
          <w:rFonts w:ascii="宋体" w:hAnsi="宋体"/>
          <w:szCs w:val="21"/>
          <w:highlight w:val="none"/>
        </w:rPr>
        <w:t>1.3.2</w:t>
      </w:r>
      <w:r>
        <w:rPr>
          <w:rFonts w:hint="eastAsia" w:ascii="宋体" w:hAnsi="宋体"/>
          <w:szCs w:val="21"/>
          <w:highlight w:val="none"/>
        </w:rPr>
        <w:t>服务期：见投标人须知前附表。</w:t>
      </w:r>
    </w:p>
    <w:p w14:paraId="0CF293CA">
      <w:pPr>
        <w:pStyle w:val="13"/>
        <w:kinsoku w:val="0"/>
        <w:overflowPunct w:val="0"/>
        <w:spacing w:line="288" w:lineRule="auto"/>
        <w:ind w:firstLine="420" w:firstLineChars="200"/>
        <w:rPr>
          <w:rFonts w:ascii="宋体" w:hAnsi="宋体"/>
          <w:szCs w:val="21"/>
          <w:highlight w:val="none"/>
        </w:rPr>
      </w:pPr>
      <w:r>
        <w:rPr>
          <w:rFonts w:ascii="宋体" w:hAnsi="宋体"/>
          <w:szCs w:val="21"/>
          <w:highlight w:val="none"/>
        </w:rPr>
        <w:t>1.3.3</w:t>
      </w:r>
      <w:r>
        <w:rPr>
          <w:rFonts w:hint="eastAsia" w:ascii="宋体" w:hAnsi="宋体"/>
          <w:highlight w:val="none"/>
        </w:rPr>
        <w:t>质量标准</w:t>
      </w:r>
      <w:r>
        <w:rPr>
          <w:rFonts w:hint="eastAsia" w:ascii="宋体" w:hAnsi="宋体"/>
          <w:szCs w:val="21"/>
          <w:highlight w:val="none"/>
        </w:rPr>
        <w:t>：见投标人须知前附表。</w:t>
      </w:r>
    </w:p>
    <w:p w14:paraId="16103C6B">
      <w:pPr>
        <w:pStyle w:val="13"/>
        <w:kinsoku w:val="0"/>
        <w:overflowPunct w:val="0"/>
        <w:spacing w:line="288" w:lineRule="auto"/>
        <w:ind w:firstLine="420" w:firstLineChars="200"/>
        <w:rPr>
          <w:rFonts w:ascii="宋体" w:hAnsi="宋体"/>
          <w:szCs w:val="21"/>
          <w:highlight w:val="none"/>
        </w:rPr>
      </w:pPr>
    </w:p>
    <w:p w14:paraId="3017632A">
      <w:pPr>
        <w:pStyle w:val="7"/>
        <w:rPr>
          <w:highlight w:val="none"/>
        </w:rPr>
      </w:pPr>
      <w:r>
        <w:rPr>
          <w:highlight w:val="none"/>
        </w:rPr>
        <w:t xml:space="preserve">1.4 </w:t>
      </w:r>
      <w:r>
        <w:rPr>
          <w:rFonts w:hint="eastAsia"/>
          <w:highlight w:val="none"/>
        </w:rPr>
        <w:t>投标人资格要求</w:t>
      </w:r>
    </w:p>
    <w:p w14:paraId="33CC5CCC">
      <w:pPr>
        <w:pStyle w:val="13"/>
        <w:kinsoku w:val="0"/>
        <w:overflowPunct w:val="0"/>
        <w:spacing w:line="288" w:lineRule="auto"/>
        <w:ind w:firstLine="420" w:firstLineChars="200"/>
        <w:rPr>
          <w:rFonts w:ascii="宋体" w:hAnsi="宋体"/>
          <w:szCs w:val="21"/>
          <w:highlight w:val="none"/>
          <w:u w:val="single"/>
        </w:rPr>
      </w:pPr>
      <w:r>
        <w:rPr>
          <w:rFonts w:ascii="宋体" w:hAnsi="宋体"/>
          <w:szCs w:val="21"/>
          <w:highlight w:val="none"/>
        </w:rPr>
        <w:t>1.4.1</w:t>
      </w:r>
      <w:r>
        <w:rPr>
          <w:rFonts w:hint="eastAsia" w:ascii="宋体" w:hAnsi="宋体"/>
          <w:szCs w:val="21"/>
          <w:highlight w:val="none"/>
        </w:rPr>
        <w:t>投标人应具备承担本招标项目资质条件、能力和信誉：</w:t>
      </w:r>
      <w:r>
        <w:rPr>
          <w:rFonts w:hint="eastAsia" w:ascii="宋体" w:hAnsi="宋体"/>
          <w:szCs w:val="21"/>
          <w:highlight w:val="none"/>
          <w:u w:val="single"/>
        </w:rPr>
        <w:t>详见招标公告。</w:t>
      </w:r>
    </w:p>
    <w:p w14:paraId="0D4DD6CF">
      <w:pPr>
        <w:pStyle w:val="13"/>
        <w:kinsoku w:val="0"/>
        <w:overflowPunct w:val="0"/>
        <w:spacing w:line="288" w:lineRule="auto"/>
        <w:ind w:firstLine="420" w:firstLineChars="200"/>
        <w:rPr>
          <w:rFonts w:ascii="宋体" w:hAnsi="宋体"/>
          <w:szCs w:val="21"/>
          <w:highlight w:val="none"/>
        </w:rPr>
      </w:pPr>
      <w:r>
        <w:rPr>
          <w:rFonts w:ascii="宋体" w:hAnsi="宋体"/>
          <w:szCs w:val="21"/>
          <w:highlight w:val="none"/>
        </w:rPr>
        <w:t>1.4.2</w:t>
      </w:r>
      <w:r>
        <w:rPr>
          <w:rFonts w:hint="eastAsia" w:ascii="宋体" w:hAnsi="宋体"/>
          <w:szCs w:val="21"/>
          <w:highlight w:val="none"/>
        </w:rPr>
        <w:t>投标人须知前附表规定接受联合体投标的，联合体除应符合本章第</w:t>
      </w:r>
      <w:r>
        <w:rPr>
          <w:rFonts w:ascii="宋体" w:hAnsi="宋体"/>
          <w:szCs w:val="21"/>
          <w:highlight w:val="none"/>
        </w:rPr>
        <w:t>1.4.</w:t>
      </w:r>
      <w:r>
        <w:rPr>
          <w:rFonts w:hint="eastAsia" w:ascii="宋体" w:hAnsi="宋体"/>
          <w:szCs w:val="21"/>
          <w:highlight w:val="none"/>
        </w:rPr>
        <w:t>2项和投标人须知前附表的要求外，还应遵守以下规定：</w:t>
      </w:r>
    </w:p>
    <w:p w14:paraId="52AA5B10">
      <w:pPr>
        <w:pStyle w:val="13"/>
        <w:kinsoku w:val="0"/>
        <w:overflowPunct w:val="0"/>
        <w:spacing w:line="288" w:lineRule="auto"/>
        <w:ind w:firstLine="420" w:firstLineChars="200"/>
        <w:rPr>
          <w:rFonts w:ascii="宋体" w:hAnsi="宋体"/>
          <w:szCs w:val="21"/>
          <w:highlight w:val="none"/>
        </w:rPr>
      </w:pPr>
      <w:r>
        <w:rPr>
          <w:rFonts w:hint="eastAsia" w:ascii="宋体" w:hAnsi="宋体"/>
          <w:szCs w:val="21"/>
          <w:highlight w:val="none"/>
        </w:rPr>
        <w:t>（</w:t>
      </w:r>
      <w:r>
        <w:rPr>
          <w:rFonts w:ascii="宋体" w:hAnsi="宋体"/>
          <w:szCs w:val="21"/>
          <w:highlight w:val="none"/>
        </w:rPr>
        <w:t>1</w:t>
      </w:r>
      <w:r>
        <w:rPr>
          <w:rFonts w:hint="eastAsia" w:ascii="宋体" w:hAnsi="宋体"/>
          <w:szCs w:val="21"/>
          <w:highlight w:val="none"/>
        </w:rPr>
        <w:t>）联合体各方应按招标文件提供的格式签订联合体协议书，明确联合体牵头人和各方权利义务，并承诺就中标项目向招标人承担连带责任；</w:t>
      </w:r>
    </w:p>
    <w:p w14:paraId="044D2CE9">
      <w:pPr>
        <w:pStyle w:val="13"/>
        <w:kinsoku w:val="0"/>
        <w:overflowPunct w:val="0"/>
        <w:spacing w:line="288" w:lineRule="auto"/>
        <w:ind w:firstLine="420" w:firstLineChars="200"/>
        <w:rPr>
          <w:rFonts w:ascii="宋体" w:hAnsi="宋体"/>
          <w:szCs w:val="21"/>
          <w:highlight w:val="none"/>
        </w:rPr>
      </w:pPr>
      <w:r>
        <w:rPr>
          <w:rFonts w:hint="eastAsia" w:ascii="宋体" w:hAnsi="宋体"/>
          <w:szCs w:val="21"/>
          <w:highlight w:val="none"/>
        </w:rPr>
        <w:t>（</w:t>
      </w:r>
      <w:r>
        <w:rPr>
          <w:rFonts w:ascii="宋体" w:hAnsi="宋体"/>
          <w:szCs w:val="21"/>
          <w:highlight w:val="none"/>
        </w:rPr>
        <w:t>2</w:t>
      </w:r>
      <w:r>
        <w:rPr>
          <w:rFonts w:hint="eastAsia" w:ascii="宋体" w:hAnsi="宋体"/>
          <w:szCs w:val="21"/>
          <w:highlight w:val="none"/>
        </w:rPr>
        <w:t>）联合体各方不得再以自己名义单独或参加其他联合体在本招标项目中投标，否则各相关投标均无效。</w:t>
      </w:r>
    </w:p>
    <w:p w14:paraId="7F0CF635">
      <w:pPr>
        <w:pStyle w:val="13"/>
        <w:kinsoku w:val="0"/>
        <w:overflowPunct w:val="0"/>
        <w:spacing w:line="288" w:lineRule="auto"/>
        <w:ind w:firstLine="420" w:firstLineChars="200"/>
        <w:rPr>
          <w:rFonts w:ascii="宋体" w:hAnsi="宋体"/>
          <w:szCs w:val="21"/>
          <w:highlight w:val="none"/>
        </w:rPr>
      </w:pPr>
      <w:r>
        <w:rPr>
          <w:rFonts w:ascii="宋体" w:hAnsi="宋体"/>
          <w:szCs w:val="21"/>
          <w:highlight w:val="none"/>
        </w:rPr>
        <w:t>1.4.3</w:t>
      </w:r>
      <w:r>
        <w:rPr>
          <w:rFonts w:hint="eastAsia" w:ascii="宋体" w:hAnsi="宋体"/>
          <w:szCs w:val="21"/>
          <w:highlight w:val="none"/>
        </w:rPr>
        <w:t>投标人不得存在下列情形之一：</w:t>
      </w:r>
    </w:p>
    <w:p w14:paraId="3DFBE2F3">
      <w:pPr>
        <w:pStyle w:val="13"/>
        <w:kinsoku w:val="0"/>
        <w:overflowPunct w:val="0"/>
        <w:spacing w:line="288" w:lineRule="auto"/>
        <w:ind w:firstLine="420" w:firstLineChars="200"/>
        <w:rPr>
          <w:rFonts w:ascii="宋体" w:hAnsi="宋体"/>
          <w:szCs w:val="21"/>
          <w:highlight w:val="none"/>
        </w:rPr>
      </w:pPr>
      <w:r>
        <w:rPr>
          <w:rFonts w:hint="eastAsia" w:ascii="宋体" w:hAnsi="宋体"/>
          <w:szCs w:val="21"/>
          <w:highlight w:val="none"/>
        </w:rPr>
        <w:t>（1）为招标人不具有独立法人资格的附属机构（单位）；</w:t>
      </w:r>
    </w:p>
    <w:p w14:paraId="0967DAFD">
      <w:pPr>
        <w:pStyle w:val="13"/>
        <w:kinsoku w:val="0"/>
        <w:overflowPunct w:val="0"/>
        <w:spacing w:line="288" w:lineRule="auto"/>
        <w:ind w:firstLine="420" w:firstLineChars="200"/>
        <w:rPr>
          <w:rFonts w:ascii="宋体" w:hAnsi="宋体"/>
          <w:szCs w:val="21"/>
          <w:highlight w:val="none"/>
        </w:rPr>
      </w:pPr>
      <w:r>
        <w:rPr>
          <w:rFonts w:hint="eastAsia" w:ascii="宋体" w:hAnsi="宋体"/>
          <w:szCs w:val="21"/>
          <w:highlight w:val="none"/>
        </w:rPr>
        <w:t>（2）与招标人存在利害关系且可能影响招标公正性；</w:t>
      </w:r>
    </w:p>
    <w:p w14:paraId="3853AAB4">
      <w:pPr>
        <w:pStyle w:val="13"/>
        <w:kinsoku w:val="0"/>
        <w:overflowPunct w:val="0"/>
        <w:spacing w:line="288" w:lineRule="auto"/>
        <w:ind w:firstLine="420" w:firstLineChars="200"/>
        <w:rPr>
          <w:rFonts w:ascii="宋体" w:hAnsi="宋体"/>
          <w:szCs w:val="21"/>
          <w:highlight w:val="none"/>
        </w:rPr>
      </w:pPr>
      <w:r>
        <w:rPr>
          <w:rFonts w:hint="eastAsia" w:ascii="宋体" w:hAnsi="宋体"/>
          <w:szCs w:val="21"/>
          <w:highlight w:val="none"/>
        </w:rPr>
        <w:t>（3）与本招标项目的其他投标人为同一个单位负责人；</w:t>
      </w:r>
    </w:p>
    <w:p w14:paraId="6DBA1476">
      <w:pPr>
        <w:pStyle w:val="13"/>
        <w:kinsoku w:val="0"/>
        <w:overflowPunct w:val="0"/>
        <w:spacing w:line="288" w:lineRule="auto"/>
        <w:ind w:firstLine="420" w:firstLineChars="200"/>
        <w:rPr>
          <w:rFonts w:ascii="宋体" w:hAnsi="宋体"/>
          <w:szCs w:val="21"/>
          <w:highlight w:val="none"/>
        </w:rPr>
      </w:pPr>
      <w:r>
        <w:rPr>
          <w:rFonts w:hint="eastAsia" w:ascii="宋体" w:hAnsi="宋体"/>
          <w:szCs w:val="21"/>
          <w:highlight w:val="none"/>
        </w:rPr>
        <w:t>（4）与本招标项目的其他投标人存在控股、管理关系；</w:t>
      </w:r>
    </w:p>
    <w:p w14:paraId="179AA049">
      <w:pPr>
        <w:pStyle w:val="13"/>
        <w:kinsoku w:val="0"/>
        <w:overflowPunct w:val="0"/>
        <w:spacing w:line="288" w:lineRule="auto"/>
        <w:ind w:firstLine="420" w:firstLineChars="200"/>
        <w:rPr>
          <w:rFonts w:ascii="宋体" w:hAnsi="宋体"/>
          <w:szCs w:val="21"/>
          <w:highlight w:val="none"/>
        </w:rPr>
      </w:pPr>
      <w:r>
        <w:rPr>
          <w:rFonts w:hint="eastAsia" w:ascii="宋体" w:hAnsi="宋体"/>
          <w:szCs w:val="21"/>
          <w:highlight w:val="none"/>
        </w:rPr>
        <w:t>（5）为本招标项目的代建人；</w:t>
      </w:r>
    </w:p>
    <w:p w14:paraId="2142B798">
      <w:pPr>
        <w:pStyle w:val="13"/>
        <w:kinsoku w:val="0"/>
        <w:overflowPunct w:val="0"/>
        <w:spacing w:line="288" w:lineRule="auto"/>
        <w:ind w:firstLine="420" w:firstLineChars="200"/>
        <w:rPr>
          <w:rFonts w:ascii="宋体" w:hAnsi="宋体"/>
          <w:szCs w:val="21"/>
          <w:highlight w:val="none"/>
        </w:rPr>
      </w:pPr>
      <w:r>
        <w:rPr>
          <w:rFonts w:hint="eastAsia" w:ascii="宋体" w:hAnsi="宋体"/>
          <w:szCs w:val="21"/>
          <w:highlight w:val="none"/>
        </w:rPr>
        <w:t>（6）为本招标项目的招标代理机构；</w:t>
      </w:r>
    </w:p>
    <w:p w14:paraId="28323D18">
      <w:pPr>
        <w:pStyle w:val="13"/>
        <w:kinsoku w:val="0"/>
        <w:overflowPunct w:val="0"/>
        <w:spacing w:line="288" w:lineRule="auto"/>
        <w:ind w:firstLine="420" w:firstLineChars="200"/>
        <w:rPr>
          <w:rFonts w:ascii="宋体" w:hAnsi="宋体"/>
          <w:szCs w:val="21"/>
          <w:highlight w:val="none"/>
        </w:rPr>
      </w:pPr>
      <w:r>
        <w:rPr>
          <w:rFonts w:hint="eastAsia" w:ascii="宋体" w:hAnsi="宋体"/>
          <w:szCs w:val="21"/>
          <w:highlight w:val="none"/>
        </w:rPr>
        <w:t>（7）与本招标项目的代建人或招标代理机构同为一个法定代表人；</w:t>
      </w:r>
    </w:p>
    <w:p w14:paraId="47232A93">
      <w:pPr>
        <w:pStyle w:val="13"/>
        <w:kinsoku w:val="0"/>
        <w:overflowPunct w:val="0"/>
        <w:spacing w:line="288" w:lineRule="auto"/>
        <w:ind w:firstLine="420" w:firstLineChars="200"/>
        <w:rPr>
          <w:rFonts w:ascii="宋体" w:hAnsi="宋体"/>
          <w:szCs w:val="21"/>
          <w:highlight w:val="none"/>
        </w:rPr>
      </w:pPr>
      <w:r>
        <w:rPr>
          <w:rFonts w:hint="eastAsia" w:ascii="宋体" w:hAnsi="宋体"/>
          <w:szCs w:val="21"/>
          <w:highlight w:val="none"/>
        </w:rPr>
        <w:t>（8）与本招标项目的代建人或招标代理机构存在控股或参股关系；</w:t>
      </w:r>
    </w:p>
    <w:p w14:paraId="7CEA1CC6">
      <w:pPr>
        <w:pStyle w:val="13"/>
        <w:kinsoku w:val="0"/>
        <w:overflowPunct w:val="0"/>
        <w:spacing w:line="288" w:lineRule="auto"/>
        <w:ind w:firstLine="420" w:firstLineChars="200"/>
        <w:rPr>
          <w:rFonts w:ascii="宋体" w:hAnsi="宋体"/>
          <w:szCs w:val="21"/>
          <w:highlight w:val="none"/>
        </w:rPr>
      </w:pPr>
      <w:r>
        <w:rPr>
          <w:rFonts w:hint="eastAsia" w:ascii="宋体" w:hAnsi="宋体"/>
          <w:szCs w:val="21"/>
          <w:highlight w:val="none"/>
        </w:rPr>
        <w:t>（9）与本招标项目的施工承包人以及建筑材料、建筑构配件和设备供应商有隶属关系或者其他利害关系；</w:t>
      </w:r>
    </w:p>
    <w:p w14:paraId="546C3A4E">
      <w:pPr>
        <w:pStyle w:val="13"/>
        <w:kinsoku w:val="0"/>
        <w:overflowPunct w:val="0"/>
        <w:spacing w:line="288" w:lineRule="auto"/>
        <w:ind w:firstLine="420" w:firstLineChars="200"/>
        <w:rPr>
          <w:rFonts w:ascii="宋体" w:hAnsi="宋体"/>
          <w:szCs w:val="21"/>
          <w:highlight w:val="none"/>
        </w:rPr>
      </w:pPr>
      <w:r>
        <w:rPr>
          <w:rFonts w:hint="eastAsia" w:ascii="宋体" w:hAnsi="宋体"/>
          <w:szCs w:val="21"/>
          <w:highlight w:val="none"/>
        </w:rPr>
        <w:t>（10）被依法暂停或者取消投标资格；</w:t>
      </w:r>
    </w:p>
    <w:p w14:paraId="0539A1F2">
      <w:pPr>
        <w:pStyle w:val="13"/>
        <w:kinsoku w:val="0"/>
        <w:overflowPunct w:val="0"/>
        <w:spacing w:line="288" w:lineRule="auto"/>
        <w:ind w:firstLine="420" w:firstLineChars="200"/>
        <w:rPr>
          <w:rFonts w:ascii="宋体" w:hAnsi="宋体"/>
          <w:szCs w:val="21"/>
          <w:highlight w:val="none"/>
        </w:rPr>
      </w:pPr>
      <w:r>
        <w:rPr>
          <w:rFonts w:hint="eastAsia" w:ascii="宋体" w:hAnsi="宋体"/>
          <w:szCs w:val="21"/>
          <w:highlight w:val="none"/>
        </w:rPr>
        <w:t>（11）被责令停产停业、暂扣或者吊销许可证、暂扣或者吊销执照；</w:t>
      </w:r>
    </w:p>
    <w:p w14:paraId="5B02AC75">
      <w:pPr>
        <w:pStyle w:val="13"/>
        <w:kinsoku w:val="0"/>
        <w:overflowPunct w:val="0"/>
        <w:spacing w:line="288" w:lineRule="auto"/>
        <w:ind w:firstLine="420" w:firstLineChars="200"/>
        <w:rPr>
          <w:rFonts w:ascii="宋体" w:hAnsi="宋体"/>
          <w:szCs w:val="21"/>
          <w:highlight w:val="none"/>
        </w:rPr>
      </w:pPr>
      <w:r>
        <w:rPr>
          <w:rFonts w:hint="eastAsia" w:ascii="宋体" w:hAnsi="宋体"/>
          <w:szCs w:val="21"/>
          <w:highlight w:val="none"/>
        </w:rPr>
        <w:t>（12）进入清算程序，或被宣告破产，或其他丧失履约能力的情形；</w:t>
      </w:r>
    </w:p>
    <w:p w14:paraId="5A63CB2F">
      <w:pPr>
        <w:pStyle w:val="13"/>
        <w:kinsoku w:val="0"/>
        <w:overflowPunct w:val="0"/>
        <w:spacing w:line="288" w:lineRule="auto"/>
        <w:ind w:firstLine="420" w:firstLineChars="200"/>
        <w:rPr>
          <w:rFonts w:ascii="宋体" w:hAnsi="宋体"/>
          <w:szCs w:val="21"/>
          <w:highlight w:val="none"/>
        </w:rPr>
      </w:pPr>
      <w:r>
        <w:rPr>
          <w:rFonts w:hint="eastAsia" w:ascii="宋体" w:hAnsi="宋体"/>
          <w:szCs w:val="21"/>
          <w:highlight w:val="none"/>
        </w:rPr>
        <w:t>（13）在最近三年内发生重大检测质量问题（以相关行业主管部门的行政处罚决定或司法机关出具的有关法律文书为准）；</w:t>
      </w:r>
    </w:p>
    <w:p w14:paraId="07FB9FCF">
      <w:pPr>
        <w:pStyle w:val="13"/>
        <w:kinsoku w:val="0"/>
        <w:overflowPunct w:val="0"/>
        <w:spacing w:line="288" w:lineRule="auto"/>
        <w:ind w:firstLine="420" w:firstLineChars="200"/>
        <w:rPr>
          <w:rFonts w:ascii="宋体" w:hAnsi="宋体"/>
          <w:szCs w:val="21"/>
          <w:highlight w:val="none"/>
        </w:rPr>
      </w:pPr>
      <w:r>
        <w:rPr>
          <w:rFonts w:hint="eastAsia" w:ascii="宋体" w:hAnsi="宋体"/>
          <w:szCs w:val="21"/>
          <w:highlight w:val="none"/>
        </w:rPr>
        <w:t>（14）被工商行政管理机关在全国企业信用信息公示系统中列入严重违法失信企业名单；</w:t>
      </w:r>
    </w:p>
    <w:p w14:paraId="7D21A6F4">
      <w:pPr>
        <w:pStyle w:val="13"/>
        <w:kinsoku w:val="0"/>
        <w:overflowPunct w:val="0"/>
        <w:spacing w:line="288" w:lineRule="auto"/>
        <w:ind w:firstLine="420" w:firstLineChars="200"/>
        <w:rPr>
          <w:rFonts w:ascii="宋体" w:hAnsi="宋体"/>
          <w:szCs w:val="21"/>
          <w:highlight w:val="none"/>
        </w:rPr>
      </w:pPr>
      <w:r>
        <w:rPr>
          <w:rFonts w:hint="eastAsia" w:ascii="宋体" w:hAnsi="宋体"/>
          <w:szCs w:val="21"/>
          <w:highlight w:val="none"/>
        </w:rPr>
        <w:t>（15）被最高人民法院在“信用中国”网站（www.creditchina.gov.cn）或各级信用信息共享平台中列入失信被执行人名单；</w:t>
      </w:r>
    </w:p>
    <w:p w14:paraId="681726A0">
      <w:pPr>
        <w:pStyle w:val="13"/>
        <w:kinsoku w:val="0"/>
        <w:overflowPunct w:val="0"/>
        <w:spacing w:line="288" w:lineRule="auto"/>
        <w:ind w:firstLine="420" w:firstLineChars="200"/>
        <w:rPr>
          <w:rFonts w:ascii="宋体" w:hAnsi="宋体"/>
          <w:szCs w:val="21"/>
          <w:highlight w:val="none"/>
        </w:rPr>
      </w:pPr>
      <w:r>
        <w:rPr>
          <w:rFonts w:hint="eastAsia" w:ascii="宋体" w:hAnsi="宋体"/>
          <w:szCs w:val="21"/>
          <w:highlight w:val="none"/>
        </w:rPr>
        <w:t>（16）法律法规或投标人须知前附表规定的其他情形。</w:t>
      </w:r>
    </w:p>
    <w:p w14:paraId="2D43B873">
      <w:pPr>
        <w:pStyle w:val="7"/>
        <w:rPr>
          <w:highlight w:val="none"/>
        </w:rPr>
      </w:pPr>
      <w:r>
        <w:rPr>
          <w:highlight w:val="none"/>
        </w:rPr>
        <w:t xml:space="preserve">1.5 </w:t>
      </w:r>
      <w:r>
        <w:rPr>
          <w:rFonts w:hint="eastAsia"/>
          <w:highlight w:val="none"/>
        </w:rPr>
        <w:t>费用承担</w:t>
      </w:r>
    </w:p>
    <w:p w14:paraId="76CBFD2B">
      <w:pPr>
        <w:pStyle w:val="13"/>
        <w:kinsoku w:val="0"/>
        <w:overflowPunct w:val="0"/>
        <w:spacing w:line="288" w:lineRule="auto"/>
        <w:ind w:firstLine="420" w:firstLineChars="200"/>
        <w:rPr>
          <w:rFonts w:ascii="宋体" w:hAnsi="宋体"/>
          <w:szCs w:val="21"/>
          <w:highlight w:val="none"/>
        </w:rPr>
      </w:pPr>
      <w:r>
        <w:rPr>
          <w:rFonts w:hint="eastAsia" w:ascii="宋体" w:hAnsi="宋体"/>
          <w:szCs w:val="21"/>
          <w:highlight w:val="none"/>
        </w:rPr>
        <w:t>投标人准备和参加投标活动发生的费用自理。</w:t>
      </w:r>
    </w:p>
    <w:p w14:paraId="2B411EB9">
      <w:pPr>
        <w:pStyle w:val="13"/>
        <w:kinsoku w:val="0"/>
        <w:overflowPunct w:val="0"/>
        <w:spacing w:line="288" w:lineRule="auto"/>
        <w:ind w:firstLine="420" w:firstLineChars="200"/>
        <w:rPr>
          <w:rFonts w:ascii="宋体" w:hAnsi="宋体"/>
          <w:szCs w:val="21"/>
          <w:highlight w:val="none"/>
        </w:rPr>
      </w:pPr>
    </w:p>
    <w:p w14:paraId="65205730">
      <w:pPr>
        <w:pStyle w:val="7"/>
        <w:rPr>
          <w:highlight w:val="none"/>
        </w:rPr>
      </w:pPr>
      <w:bookmarkStart w:id="46" w:name="bookmark26"/>
      <w:bookmarkEnd w:id="46"/>
      <w:r>
        <w:rPr>
          <w:highlight w:val="none"/>
        </w:rPr>
        <w:t xml:space="preserve">1.6 </w:t>
      </w:r>
      <w:r>
        <w:rPr>
          <w:rFonts w:hint="eastAsia"/>
          <w:highlight w:val="none"/>
        </w:rPr>
        <w:t>保密</w:t>
      </w:r>
    </w:p>
    <w:p w14:paraId="77E1C0BC">
      <w:pPr>
        <w:pStyle w:val="13"/>
        <w:kinsoku w:val="0"/>
        <w:overflowPunct w:val="0"/>
        <w:spacing w:line="288" w:lineRule="auto"/>
        <w:ind w:firstLine="420" w:firstLineChars="200"/>
        <w:rPr>
          <w:rFonts w:ascii="宋体" w:hAnsi="宋体"/>
          <w:szCs w:val="21"/>
          <w:highlight w:val="none"/>
        </w:rPr>
      </w:pPr>
      <w:r>
        <w:rPr>
          <w:rFonts w:hint="eastAsia" w:ascii="宋体" w:hAnsi="宋体"/>
          <w:szCs w:val="21"/>
          <w:highlight w:val="none"/>
        </w:rPr>
        <w:t>参与招标投标活动的各方应对招标文件和投标文件中的商业和技术等秘密保密，否则应承担相应的法律责任。</w:t>
      </w:r>
    </w:p>
    <w:p w14:paraId="1E742047">
      <w:pPr>
        <w:pStyle w:val="13"/>
        <w:kinsoku w:val="0"/>
        <w:overflowPunct w:val="0"/>
        <w:spacing w:line="288" w:lineRule="auto"/>
        <w:ind w:firstLine="420" w:firstLineChars="200"/>
        <w:rPr>
          <w:rFonts w:ascii="宋体" w:hAnsi="宋体"/>
          <w:szCs w:val="21"/>
          <w:highlight w:val="none"/>
        </w:rPr>
      </w:pPr>
    </w:p>
    <w:p w14:paraId="4C8AED87">
      <w:pPr>
        <w:pStyle w:val="7"/>
        <w:rPr>
          <w:highlight w:val="none"/>
        </w:rPr>
      </w:pPr>
      <w:bookmarkStart w:id="47" w:name="bookmark27"/>
      <w:bookmarkEnd w:id="47"/>
      <w:r>
        <w:rPr>
          <w:highlight w:val="none"/>
        </w:rPr>
        <w:t xml:space="preserve">1.7 </w:t>
      </w:r>
      <w:r>
        <w:rPr>
          <w:rFonts w:hint="eastAsia"/>
          <w:highlight w:val="none"/>
        </w:rPr>
        <w:t>语言文字</w:t>
      </w:r>
    </w:p>
    <w:p w14:paraId="21A45BE7">
      <w:pPr>
        <w:pStyle w:val="13"/>
        <w:kinsoku w:val="0"/>
        <w:overflowPunct w:val="0"/>
        <w:spacing w:line="288" w:lineRule="auto"/>
        <w:ind w:firstLine="420" w:firstLineChars="200"/>
        <w:rPr>
          <w:rFonts w:ascii="宋体" w:hAnsi="宋体"/>
          <w:szCs w:val="21"/>
          <w:highlight w:val="none"/>
        </w:rPr>
      </w:pPr>
      <w:r>
        <w:rPr>
          <w:rFonts w:hint="eastAsia" w:ascii="宋体" w:hAnsi="宋体"/>
          <w:szCs w:val="21"/>
          <w:highlight w:val="none"/>
        </w:rPr>
        <w:t>招标投标文件使用的语言文字为中文。专用术语使用外文的，应附有中文注释。</w:t>
      </w:r>
    </w:p>
    <w:p w14:paraId="075557E2">
      <w:pPr>
        <w:pStyle w:val="13"/>
        <w:kinsoku w:val="0"/>
        <w:overflowPunct w:val="0"/>
        <w:spacing w:line="288" w:lineRule="auto"/>
        <w:ind w:firstLine="420" w:firstLineChars="200"/>
        <w:rPr>
          <w:rFonts w:ascii="宋体" w:hAnsi="宋体"/>
          <w:szCs w:val="21"/>
          <w:highlight w:val="none"/>
        </w:rPr>
      </w:pPr>
    </w:p>
    <w:p w14:paraId="71487576">
      <w:pPr>
        <w:pStyle w:val="7"/>
        <w:rPr>
          <w:highlight w:val="none"/>
        </w:rPr>
      </w:pPr>
      <w:bookmarkStart w:id="48" w:name="bookmark28"/>
      <w:bookmarkEnd w:id="48"/>
      <w:r>
        <w:rPr>
          <w:highlight w:val="none"/>
        </w:rPr>
        <w:t xml:space="preserve">1.8 </w:t>
      </w:r>
      <w:r>
        <w:rPr>
          <w:rFonts w:hint="eastAsia"/>
          <w:highlight w:val="none"/>
        </w:rPr>
        <w:t>计量单位</w:t>
      </w:r>
    </w:p>
    <w:p w14:paraId="407671FE">
      <w:pPr>
        <w:pStyle w:val="13"/>
        <w:kinsoku w:val="0"/>
        <w:overflowPunct w:val="0"/>
        <w:spacing w:line="288" w:lineRule="auto"/>
        <w:ind w:firstLine="420" w:firstLineChars="200"/>
        <w:rPr>
          <w:rFonts w:ascii="宋体" w:hAnsi="宋体"/>
          <w:szCs w:val="21"/>
          <w:highlight w:val="none"/>
        </w:rPr>
      </w:pPr>
      <w:r>
        <w:rPr>
          <w:rFonts w:hint="eastAsia" w:ascii="宋体" w:hAnsi="宋体"/>
          <w:szCs w:val="21"/>
          <w:highlight w:val="none"/>
        </w:rPr>
        <w:t>所有计量均采用中华人民共和国法定计量单位。</w:t>
      </w:r>
    </w:p>
    <w:p w14:paraId="70980677">
      <w:pPr>
        <w:pStyle w:val="13"/>
        <w:kinsoku w:val="0"/>
        <w:overflowPunct w:val="0"/>
        <w:spacing w:line="288" w:lineRule="auto"/>
        <w:ind w:firstLine="420" w:firstLineChars="200"/>
        <w:rPr>
          <w:rFonts w:ascii="宋体" w:hAnsi="宋体"/>
          <w:szCs w:val="21"/>
          <w:highlight w:val="none"/>
        </w:rPr>
      </w:pPr>
    </w:p>
    <w:p w14:paraId="5F561B07">
      <w:pPr>
        <w:pStyle w:val="7"/>
        <w:rPr>
          <w:highlight w:val="none"/>
        </w:rPr>
      </w:pPr>
      <w:bookmarkStart w:id="49" w:name="bookmark29"/>
      <w:bookmarkEnd w:id="49"/>
      <w:r>
        <w:rPr>
          <w:highlight w:val="none"/>
        </w:rPr>
        <w:t xml:space="preserve">1.9 </w:t>
      </w:r>
      <w:r>
        <w:rPr>
          <w:rFonts w:hint="eastAsia"/>
          <w:highlight w:val="none"/>
        </w:rPr>
        <w:t>踏勘现场</w:t>
      </w:r>
    </w:p>
    <w:p w14:paraId="12D6448F">
      <w:pPr>
        <w:pStyle w:val="13"/>
        <w:kinsoku w:val="0"/>
        <w:overflowPunct w:val="0"/>
        <w:spacing w:line="288" w:lineRule="auto"/>
        <w:ind w:firstLine="420" w:firstLineChars="200"/>
        <w:rPr>
          <w:rFonts w:ascii="宋体" w:hAnsi="宋体"/>
          <w:szCs w:val="21"/>
          <w:highlight w:val="none"/>
        </w:rPr>
      </w:pPr>
      <w:r>
        <w:rPr>
          <w:rFonts w:ascii="宋体" w:hAnsi="宋体"/>
          <w:szCs w:val="21"/>
          <w:highlight w:val="none"/>
        </w:rPr>
        <w:t>1.9.1</w:t>
      </w:r>
      <w:r>
        <w:rPr>
          <w:rFonts w:hint="eastAsia" w:ascii="宋体" w:hAnsi="宋体"/>
          <w:szCs w:val="21"/>
          <w:highlight w:val="none"/>
        </w:rPr>
        <w:t>投标人须知前附表规定组织踏勘现场的，招标人按投标人须知前附表规定的时间、地点组织投标人踏勘项目现场。部分投标人未按时参加踏勘现场的，不影响踏勘现场的正常进行。</w:t>
      </w:r>
    </w:p>
    <w:p w14:paraId="33478D40">
      <w:pPr>
        <w:pStyle w:val="13"/>
        <w:kinsoku w:val="0"/>
        <w:overflowPunct w:val="0"/>
        <w:spacing w:line="288" w:lineRule="auto"/>
        <w:ind w:firstLine="420" w:firstLineChars="200"/>
        <w:rPr>
          <w:rFonts w:ascii="宋体" w:hAnsi="宋体"/>
          <w:szCs w:val="21"/>
          <w:highlight w:val="none"/>
        </w:rPr>
      </w:pPr>
      <w:r>
        <w:rPr>
          <w:rFonts w:ascii="宋体" w:hAnsi="宋体"/>
          <w:szCs w:val="21"/>
          <w:highlight w:val="none"/>
        </w:rPr>
        <w:t>1.9.2</w:t>
      </w:r>
      <w:r>
        <w:rPr>
          <w:rFonts w:hint="eastAsia" w:ascii="宋体" w:hAnsi="宋体"/>
          <w:szCs w:val="21"/>
          <w:highlight w:val="none"/>
        </w:rPr>
        <w:t>投标人踏勘现场发生的费用自理。</w:t>
      </w:r>
    </w:p>
    <w:p w14:paraId="2AD6FF72">
      <w:pPr>
        <w:pStyle w:val="13"/>
        <w:kinsoku w:val="0"/>
        <w:overflowPunct w:val="0"/>
        <w:spacing w:line="288" w:lineRule="auto"/>
        <w:ind w:firstLine="420" w:firstLineChars="200"/>
        <w:rPr>
          <w:rFonts w:ascii="宋体" w:hAnsi="宋体"/>
          <w:szCs w:val="21"/>
          <w:highlight w:val="none"/>
        </w:rPr>
      </w:pPr>
      <w:r>
        <w:rPr>
          <w:rFonts w:ascii="宋体" w:hAnsi="宋体"/>
          <w:szCs w:val="21"/>
          <w:highlight w:val="none"/>
        </w:rPr>
        <w:t>1.9.3</w:t>
      </w:r>
      <w:r>
        <w:rPr>
          <w:rFonts w:hint="eastAsia" w:ascii="宋体" w:hAnsi="宋体"/>
          <w:szCs w:val="21"/>
          <w:highlight w:val="none"/>
        </w:rPr>
        <w:t>除招标人的原因外，投标人自行负责在踏勘现场中所发生的人员伤亡和财产损失。</w:t>
      </w:r>
    </w:p>
    <w:p w14:paraId="1C6E0703">
      <w:pPr>
        <w:pStyle w:val="13"/>
        <w:kinsoku w:val="0"/>
        <w:overflowPunct w:val="0"/>
        <w:spacing w:line="288" w:lineRule="auto"/>
        <w:ind w:firstLine="420" w:firstLineChars="200"/>
        <w:rPr>
          <w:rFonts w:ascii="宋体" w:hAnsi="宋体"/>
          <w:szCs w:val="21"/>
          <w:highlight w:val="none"/>
        </w:rPr>
      </w:pPr>
      <w:r>
        <w:rPr>
          <w:rFonts w:ascii="宋体" w:hAnsi="宋体"/>
          <w:szCs w:val="21"/>
          <w:highlight w:val="none"/>
        </w:rPr>
        <w:t>1.9.4</w:t>
      </w:r>
      <w:r>
        <w:rPr>
          <w:rFonts w:hint="eastAsia" w:ascii="宋体" w:hAnsi="宋体"/>
          <w:szCs w:val="21"/>
          <w:highlight w:val="none"/>
        </w:rPr>
        <w:t>招标人在踏勘现场中介绍的工程场地和相关的周边环境情况，供投标人在编制投标文件时参考，招标人不对投标人据此作出的判断和决策负责。</w:t>
      </w:r>
    </w:p>
    <w:p w14:paraId="158DC9A8">
      <w:pPr>
        <w:pStyle w:val="13"/>
        <w:kinsoku w:val="0"/>
        <w:overflowPunct w:val="0"/>
        <w:spacing w:line="288" w:lineRule="auto"/>
        <w:ind w:firstLine="420" w:firstLineChars="200"/>
        <w:rPr>
          <w:rFonts w:ascii="宋体" w:hAnsi="宋体"/>
          <w:szCs w:val="21"/>
          <w:highlight w:val="none"/>
        </w:rPr>
      </w:pPr>
    </w:p>
    <w:p w14:paraId="78B49B45">
      <w:pPr>
        <w:pStyle w:val="7"/>
        <w:rPr>
          <w:highlight w:val="none"/>
        </w:rPr>
      </w:pPr>
      <w:bookmarkStart w:id="50" w:name="bookmark30"/>
      <w:bookmarkEnd w:id="50"/>
      <w:r>
        <w:rPr>
          <w:highlight w:val="none"/>
        </w:rPr>
        <w:t xml:space="preserve">1.10 </w:t>
      </w:r>
      <w:r>
        <w:rPr>
          <w:rFonts w:hint="eastAsia"/>
          <w:highlight w:val="none"/>
        </w:rPr>
        <w:t>投标预备会</w:t>
      </w:r>
    </w:p>
    <w:p w14:paraId="1B0D7291">
      <w:pPr>
        <w:pStyle w:val="13"/>
        <w:kinsoku w:val="0"/>
        <w:overflowPunct w:val="0"/>
        <w:spacing w:line="288" w:lineRule="auto"/>
        <w:ind w:firstLine="420" w:firstLineChars="200"/>
        <w:rPr>
          <w:rFonts w:ascii="宋体" w:hAnsi="宋体"/>
          <w:szCs w:val="21"/>
          <w:highlight w:val="none"/>
        </w:rPr>
      </w:pPr>
      <w:r>
        <w:rPr>
          <w:rFonts w:ascii="宋体" w:hAnsi="宋体"/>
          <w:szCs w:val="21"/>
          <w:highlight w:val="none"/>
        </w:rPr>
        <w:t>1.10.1</w:t>
      </w:r>
      <w:r>
        <w:rPr>
          <w:rFonts w:hint="eastAsia" w:ascii="宋体" w:hAnsi="宋体"/>
          <w:szCs w:val="21"/>
          <w:highlight w:val="none"/>
        </w:rPr>
        <w:t>投标人须知前附表规定召开投标预备会的，招标人按投标人须知前附表规定的时间和地点召开投标预备会，澄清投标人提出的问题。</w:t>
      </w:r>
    </w:p>
    <w:p w14:paraId="6A0C4FB3">
      <w:pPr>
        <w:pStyle w:val="13"/>
        <w:kinsoku w:val="0"/>
        <w:overflowPunct w:val="0"/>
        <w:spacing w:line="288" w:lineRule="auto"/>
        <w:ind w:firstLine="420" w:firstLineChars="200"/>
        <w:rPr>
          <w:rFonts w:ascii="宋体" w:hAnsi="宋体"/>
          <w:szCs w:val="21"/>
          <w:highlight w:val="none"/>
        </w:rPr>
      </w:pPr>
      <w:r>
        <w:rPr>
          <w:rFonts w:ascii="宋体" w:hAnsi="宋体"/>
          <w:szCs w:val="21"/>
          <w:highlight w:val="none"/>
        </w:rPr>
        <w:t>1.10.2</w:t>
      </w:r>
      <w:r>
        <w:rPr>
          <w:rFonts w:hint="eastAsia" w:ascii="宋体" w:hAnsi="宋体"/>
          <w:szCs w:val="21"/>
          <w:highlight w:val="none"/>
        </w:rPr>
        <w:t>投标人应按投标人须知前附表规定的时间和形式将提出的问题送达招标人，以便招标人在会议期间澄清。</w:t>
      </w:r>
    </w:p>
    <w:p w14:paraId="3F18223B">
      <w:pPr>
        <w:pStyle w:val="13"/>
        <w:kinsoku w:val="0"/>
        <w:overflowPunct w:val="0"/>
        <w:spacing w:line="288" w:lineRule="auto"/>
        <w:ind w:firstLine="420" w:firstLineChars="200"/>
        <w:rPr>
          <w:rFonts w:ascii="宋体" w:hAnsi="宋体"/>
          <w:szCs w:val="21"/>
          <w:highlight w:val="none"/>
        </w:rPr>
      </w:pPr>
      <w:r>
        <w:rPr>
          <w:rFonts w:ascii="宋体" w:hAnsi="宋体"/>
          <w:szCs w:val="21"/>
          <w:highlight w:val="none"/>
        </w:rPr>
        <w:t>1.10.3</w:t>
      </w:r>
      <w:r>
        <w:rPr>
          <w:rFonts w:hint="eastAsia" w:ascii="宋体" w:hAnsi="宋体"/>
          <w:szCs w:val="21"/>
          <w:highlight w:val="none"/>
        </w:rPr>
        <w:t>投标预备会后，招标人将对投标人所提问题的澄清，以投标人须知前附表规定的形式通知所有潜在投标人。该澄清内容为招标文件的组成部分。</w:t>
      </w:r>
      <w:bookmarkStart w:id="51" w:name="bookmark31"/>
      <w:bookmarkEnd w:id="51"/>
    </w:p>
    <w:p w14:paraId="3870D048">
      <w:pPr>
        <w:pStyle w:val="13"/>
        <w:kinsoku w:val="0"/>
        <w:overflowPunct w:val="0"/>
        <w:spacing w:line="288" w:lineRule="auto"/>
        <w:ind w:firstLine="420" w:firstLineChars="200"/>
        <w:rPr>
          <w:rFonts w:ascii="宋体" w:hAnsi="宋体"/>
          <w:szCs w:val="21"/>
          <w:highlight w:val="none"/>
        </w:rPr>
      </w:pPr>
    </w:p>
    <w:p w14:paraId="351898AA">
      <w:pPr>
        <w:pStyle w:val="7"/>
        <w:rPr>
          <w:highlight w:val="none"/>
        </w:rPr>
      </w:pPr>
      <w:r>
        <w:rPr>
          <w:highlight w:val="none"/>
        </w:rPr>
        <w:t xml:space="preserve">1.11 </w:t>
      </w:r>
      <w:r>
        <w:rPr>
          <w:rFonts w:hint="eastAsia"/>
          <w:highlight w:val="none"/>
        </w:rPr>
        <w:t>分包</w:t>
      </w:r>
    </w:p>
    <w:p w14:paraId="0665A87E">
      <w:pPr>
        <w:pStyle w:val="13"/>
        <w:kinsoku w:val="0"/>
        <w:overflowPunct w:val="0"/>
        <w:spacing w:line="288" w:lineRule="auto"/>
        <w:ind w:firstLine="420" w:firstLineChars="200"/>
        <w:rPr>
          <w:rFonts w:ascii="宋体" w:hAnsi="宋体"/>
          <w:szCs w:val="21"/>
          <w:highlight w:val="none"/>
        </w:rPr>
      </w:pPr>
      <w:r>
        <w:rPr>
          <w:rFonts w:hint="eastAsia" w:ascii="宋体" w:hAnsi="宋体"/>
          <w:szCs w:val="21"/>
          <w:highlight w:val="none"/>
          <w:u w:val="single"/>
        </w:rPr>
        <w:t>1.11.1</w:t>
      </w:r>
      <w:r>
        <w:rPr>
          <w:rFonts w:ascii="宋体" w:hAnsi="宋体"/>
          <w:szCs w:val="21"/>
          <w:highlight w:val="none"/>
          <w:u w:val="single"/>
        </w:rPr>
        <w:t>对于非主要检测工作，中标人不具备资质的，经招标人同意后可依法分包给具备相关资质的检测单位，分包的检测工作不得再次分包。</w:t>
      </w:r>
    </w:p>
    <w:p w14:paraId="25227C44">
      <w:pPr>
        <w:pStyle w:val="7"/>
        <w:rPr>
          <w:highlight w:val="none"/>
        </w:rPr>
      </w:pPr>
      <w:bookmarkStart w:id="52" w:name="bookmark32"/>
      <w:bookmarkEnd w:id="52"/>
      <w:r>
        <w:rPr>
          <w:highlight w:val="none"/>
        </w:rPr>
        <w:t xml:space="preserve">1.12 </w:t>
      </w:r>
      <w:r>
        <w:rPr>
          <w:rFonts w:hint="eastAsia"/>
          <w:highlight w:val="none"/>
        </w:rPr>
        <w:t>响应和偏差</w:t>
      </w:r>
    </w:p>
    <w:p w14:paraId="29C2BA26">
      <w:pPr>
        <w:pStyle w:val="13"/>
        <w:kinsoku w:val="0"/>
        <w:overflowPunct w:val="0"/>
        <w:spacing w:line="288" w:lineRule="auto"/>
        <w:ind w:firstLine="420" w:firstLineChars="200"/>
        <w:rPr>
          <w:rFonts w:ascii="宋体" w:hAnsi="宋体"/>
          <w:szCs w:val="21"/>
          <w:highlight w:val="none"/>
        </w:rPr>
      </w:pPr>
      <w:r>
        <w:rPr>
          <w:rFonts w:ascii="宋体" w:hAnsi="宋体"/>
          <w:szCs w:val="21"/>
          <w:highlight w:val="none"/>
        </w:rPr>
        <w:t>1.12.1</w:t>
      </w:r>
      <w:r>
        <w:rPr>
          <w:rFonts w:hint="eastAsia" w:ascii="宋体" w:hAnsi="宋体"/>
          <w:szCs w:val="21"/>
          <w:highlight w:val="none"/>
        </w:rPr>
        <w:t>投标文件应当对招标文件的实质性要求和条件作出满足性或更有利于招标人的响应，否则，投标人的投标将被否决。实质性要求和条件见投标人须知前附表。</w:t>
      </w:r>
    </w:p>
    <w:p w14:paraId="6F67E8BD">
      <w:pPr>
        <w:pStyle w:val="13"/>
        <w:kinsoku w:val="0"/>
        <w:overflowPunct w:val="0"/>
        <w:spacing w:line="288" w:lineRule="auto"/>
        <w:ind w:firstLine="420" w:firstLineChars="200"/>
        <w:rPr>
          <w:rFonts w:ascii="宋体" w:hAnsi="宋体"/>
          <w:szCs w:val="21"/>
          <w:highlight w:val="none"/>
        </w:rPr>
      </w:pPr>
      <w:r>
        <w:rPr>
          <w:rFonts w:ascii="宋体" w:hAnsi="宋体"/>
          <w:szCs w:val="21"/>
          <w:highlight w:val="none"/>
        </w:rPr>
        <w:t>1.12.2</w:t>
      </w:r>
      <w:r>
        <w:rPr>
          <w:rFonts w:hint="eastAsia" w:ascii="宋体" w:hAnsi="宋体"/>
          <w:szCs w:val="21"/>
          <w:highlight w:val="none"/>
        </w:rPr>
        <w:t>投标人应根据招标文件的要求提供技术方案等内容以对招标文件作出响应。</w:t>
      </w:r>
    </w:p>
    <w:p w14:paraId="49BD8059">
      <w:pPr>
        <w:pStyle w:val="13"/>
        <w:kinsoku w:val="0"/>
        <w:overflowPunct w:val="0"/>
        <w:spacing w:line="288" w:lineRule="auto"/>
        <w:ind w:firstLine="420" w:firstLineChars="200"/>
        <w:rPr>
          <w:rFonts w:ascii="宋体" w:hAnsi="宋体"/>
          <w:szCs w:val="21"/>
          <w:highlight w:val="none"/>
        </w:rPr>
      </w:pPr>
      <w:r>
        <w:rPr>
          <w:rFonts w:ascii="宋体" w:hAnsi="宋体"/>
          <w:szCs w:val="21"/>
          <w:highlight w:val="none"/>
        </w:rPr>
        <w:t>1.12.3</w:t>
      </w:r>
      <w:r>
        <w:rPr>
          <w:rFonts w:hint="eastAsia" w:ascii="宋体" w:hAnsi="宋体"/>
          <w:szCs w:val="21"/>
          <w:highlight w:val="none"/>
        </w:rPr>
        <w:t>投标人须知前附表允许投标文件偏离招标文件某些要求的，偏差应当符合招标文件规定的偏差范围和幅度。</w:t>
      </w:r>
    </w:p>
    <w:p w14:paraId="700305D3">
      <w:pPr>
        <w:pStyle w:val="5"/>
        <w:rPr>
          <w:highlight w:val="none"/>
        </w:rPr>
      </w:pPr>
      <w:bookmarkStart w:id="53" w:name="_Toc103592010"/>
      <w:bookmarkStart w:id="54" w:name="_Toc533357309"/>
    </w:p>
    <w:p w14:paraId="4EEA7BD6">
      <w:pPr>
        <w:pStyle w:val="5"/>
        <w:rPr>
          <w:highlight w:val="none"/>
        </w:rPr>
      </w:pPr>
      <w:r>
        <w:rPr>
          <w:highlight w:val="none"/>
        </w:rPr>
        <w:t xml:space="preserve">2. </w:t>
      </w:r>
      <w:r>
        <w:rPr>
          <w:rFonts w:hint="eastAsia"/>
          <w:highlight w:val="none"/>
        </w:rPr>
        <w:t>招标文件</w:t>
      </w:r>
      <w:bookmarkEnd w:id="53"/>
      <w:bookmarkEnd w:id="54"/>
    </w:p>
    <w:p w14:paraId="6451D6E9">
      <w:pPr>
        <w:pStyle w:val="7"/>
        <w:rPr>
          <w:highlight w:val="none"/>
        </w:rPr>
      </w:pPr>
      <w:bookmarkStart w:id="55" w:name="bookmark34"/>
      <w:bookmarkEnd w:id="55"/>
      <w:r>
        <w:rPr>
          <w:highlight w:val="none"/>
        </w:rPr>
        <w:t xml:space="preserve">2.1 </w:t>
      </w:r>
      <w:r>
        <w:rPr>
          <w:rFonts w:hint="eastAsia"/>
          <w:highlight w:val="none"/>
        </w:rPr>
        <w:t>招标文件的组成</w:t>
      </w:r>
    </w:p>
    <w:p w14:paraId="20B87356">
      <w:pPr>
        <w:pStyle w:val="13"/>
        <w:kinsoku w:val="0"/>
        <w:overflowPunct w:val="0"/>
        <w:spacing w:line="288" w:lineRule="auto"/>
        <w:ind w:firstLine="420" w:firstLineChars="200"/>
        <w:rPr>
          <w:rFonts w:ascii="宋体" w:hAnsi="宋体"/>
          <w:szCs w:val="21"/>
          <w:highlight w:val="none"/>
        </w:rPr>
      </w:pPr>
      <w:r>
        <w:rPr>
          <w:rFonts w:hint="eastAsia" w:ascii="宋体" w:hAnsi="宋体"/>
          <w:szCs w:val="21"/>
          <w:highlight w:val="none"/>
        </w:rPr>
        <w:t>本招标文件包括：</w:t>
      </w:r>
    </w:p>
    <w:p w14:paraId="5AF9EC6D">
      <w:pPr>
        <w:pStyle w:val="13"/>
        <w:kinsoku w:val="0"/>
        <w:overflowPunct w:val="0"/>
        <w:spacing w:line="288" w:lineRule="auto"/>
        <w:ind w:firstLine="420" w:firstLineChars="200"/>
        <w:rPr>
          <w:rFonts w:ascii="宋体" w:hAnsi="宋体"/>
          <w:szCs w:val="21"/>
          <w:highlight w:val="none"/>
        </w:rPr>
      </w:pPr>
      <w:r>
        <w:rPr>
          <w:rFonts w:hint="eastAsia" w:ascii="宋体" w:hAnsi="宋体"/>
          <w:szCs w:val="21"/>
          <w:highlight w:val="none"/>
        </w:rPr>
        <w:t>（</w:t>
      </w:r>
      <w:r>
        <w:rPr>
          <w:rFonts w:ascii="宋体" w:hAnsi="宋体"/>
          <w:szCs w:val="21"/>
          <w:highlight w:val="none"/>
        </w:rPr>
        <w:t>1</w:t>
      </w:r>
      <w:r>
        <w:rPr>
          <w:rFonts w:hint="eastAsia" w:ascii="宋体" w:hAnsi="宋体"/>
          <w:szCs w:val="21"/>
          <w:highlight w:val="none"/>
        </w:rPr>
        <w:t>）招标公告；</w:t>
      </w:r>
    </w:p>
    <w:p w14:paraId="3376A863">
      <w:pPr>
        <w:pStyle w:val="13"/>
        <w:kinsoku w:val="0"/>
        <w:overflowPunct w:val="0"/>
        <w:spacing w:line="288" w:lineRule="auto"/>
        <w:ind w:firstLine="420" w:firstLineChars="200"/>
        <w:rPr>
          <w:rFonts w:ascii="宋体" w:hAnsi="宋体"/>
          <w:szCs w:val="21"/>
          <w:highlight w:val="none"/>
        </w:rPr>
      </w:pPr>
      <w:r>
        <w:rPr>
          <w:rFonts w:hint="eastAsia" w:ascii="宋体" w:hAnsi="宋体"/>
          <w:szCs w:val="21"/>
          <w:highlight w:val="none"/>
        </w:rPr>
        <w:t>（</w:t>
      </w:r>
      <w:r>
        <w:rPr>
          <w:rFonts w:ascii="宋体" w:hAnsi="宋体"/>
          <w:szCs w:val="21"/>
          <w:highlight w:val="none"/>
        </w:rPr>
        <w:t>2</w:t>
      </w:r>
      <w:r>
        <w:rPr>
          <w:rFonts w:hint="eastAsia" w:ascii="宋体" w:hAnsi="宋体"/>
          <w:szCs w:val="21"/>
          <w:highlight w:val="none"/>
        </w:rPr>
        <w:t>）投标人须知；</w:t>
      </w:r>
    </w:p>
    <w:p w14:paraId="51CBFA3D">
      <w:pPr>
        <w:pStyle w:val="13"/>
        <w:kinsoku w:val="0"/>
        <w:overflowPunct w:val="0"/>
        <w:spacing w:line="288" w:lineRule="auto"/>
        <w:ind w:firstLine="420" w:firstLineChars="200"/>
        <w:rPr>
          <w:rFonts w:ascii="宋体" w:hAnsi="宋体"/>
          <w:szCs w:val="21"/>
          <w:highlight w:val="none"/>
        </w:rPr>
      </w:pPr>
      <w:r>
        <w:rPr>
          <w:rFonts w:hint="eastAsia" w:ascii="宋体" w:hAnsi="宋体"/>
          <w:szCs w:val="21"/>
          <w:highlight w:val="none"/>
        </w:rPr>
        <w:t>（</w:t>
      </w:r>
      <w:r>
        <w:rPr>
          <w:rFonts w:ascii="宋体" w:hAnsi="宋体"/>
          <w:szCs w:val="21"/>
          <w:highlight w:val="none"/>
        </w:rPr>
        <w:t>3</w:t>
      </w:r>
      <w:r>
        <w:rPr>
          <w:rFonts w:hint="eastAsia" w:ascii="宋体" w:hAnsi="宋体"/>
          <w:szCs w:val="21"/>
          <w:highlight w:val="none"/>
        </w:rPr>
        <w:t>）评标办法；</w:t>
      </w:r>
    </w:p>
    <w:p w14:paraId="543CA76E">
      <w:pPr>
        <w:pStyle w:val="13"/>
        <w:kinsoku w:val="0"/>
        <w:overflowPunct w:val="0"/>
        <w:spacing w:line="288" w:lineRule="auto"/>
        <w:ind w:firstLine="420" w:firstLineChars="200"/>
        <w:rPr>
          <w:rFonts w:ascii="宋体" w:hAnsi="宋体"/>
          <w:szCs w:val="21"/>
          <w:highlight w:val="none"/>
        </w:rPr>
      </w:pPr>
      <w:r>
        <w:rPr>
          <w:rFonts w:hint="eastAsia" w:ascii="宋体" w:hAnsi="宋体"/>
          <w:szCs w:val="21"/>
          <w:highlight w:val="none"/>
        </w:rPr>
        <w:t>（</w:t>
      </w:r>
      <w:r>
        <w:rPr>
          <w:rFonts w:ascii="宋体" w:hAnsi="宋体"/>
          <w:szCs w:val="21"/>
          <w:highlight w:val="none"/>
        </w:rPr>
        <w:t>4</w:t>
      </w:r>
      <w:r>
        <w:rPr>
          <w:rFonts w:hint="eastAsia" w:ascii="宋体" w:hAnsi="宋体"/>
          <w:szCs w:val="21"/>
          <w:highlight w:val="none"/>
        </w:rPr>
        <w:t>）合同条款及格式；</w:t>
      </w:r>
    </w:p>
    <w:p w14:paraId="08A946D8">
      <w:pPr>
        <w:pStyle w:val="13"/>
        <w:kinsoku w:val="0"/>
        <w:overflowPunct w:val="0"/>
        <w:spacing w:line="288" w:lineRule="auto"/>
        <w:ind w:firstLine="420" w:firstLineChars="200"/>
        <w:rPr>
          <w:rFonts w:ascii="宋体" w:hAnsi="宋体"/>
          <w:szCs w:val="21"/>
          <w:highlight w:val="none"/>
        </w:rPr>
      </w:pPr>
      <w:r>
        <w:rPr>
          <w:rFonts w:hint="eastAsia" w:ascii="宋体" w:hAnsi="宋体"/>
          <w:szCs w:val="21"/>
          <w:highlight w:val="none"/>
        </w:rPr>
        <w:t>（</w:t>
      </w:r>
      <w:r>
        <w:rPr>
          <w:rFonts w:ascii="宋体" w:hAnsi="宋体"/>
          <w:szCs w:val="21"/>
          <w:highlight w:val="none"/>
        </w:rPr>
        <w:t>5</w:t>
      </w:r>
      <w:r>
        <w:rPr>
          <w:rFonts w:hint="eastAsia" w:ascii="宋体" w:hAnsi="宋体"/>
          <w:szCs w:val="21"/>
          <w:highlight w:val="none"/>
        </w:rPr>
        <w:t>）委托人要求；</w:t>
      </w:r>
    </w:p>
    <w:p w14:paraId="1A0E9FC0">
      <w:pPr>
        <w:pStyle w:val="13"/>
        <w:kinsoku w:val="0"/>
        <w:overflowPunct w:val="0"/>
        <w:spacing w:line="288" w:lineRule="auto"/>
        <w:ind w:firstLine="420" w:firstLineChars="200"/>
        <w:rPr>
          <w:rFonts w:ascii="宋体" w:hAnsi="宋体"/>
          <w:szCs w:val="21"/>
          <w:highlight w:val="none"/>
        </w:rPr>
      </w:pPr>
      <w:r>
        <w:rPr>
          <w:rFonts w:hint="eastAsia" w:ascii="宋体" w:hAnsi="宋体"/>
          <w:szCs w:val="21"/>
          <w:highlight w:val="none"/>
        </w:rPr>
        <w:t>（</w:t>
      </w:r>
      <w:r>
        <w:rPr>
          <w:rFonts w:ascii="宋体" w:hAnsi="宋体"/>
          <w:szCs w:val="21"/>
          <w:highlight w:val="none"/>
        </w:rPr>
        <w:t>6</w:t>
      </w:r>
      <w:r>
        <w:rPr>
          <w:rFonts w:hint="eastAsia" w:ascii="宋体" w:hAnsi="宋体"/>
          <w:szCs w:val="21"/>
          <w:highlight w:val="none"/>
        </w:rPr>
        <w:t>）投标文件格式；</w:t>
      </w:r>
    </w:p>
    <w:p w14:paraId="726E9B09">
      <w:pPr>
        <w:pStyle w:val="13"/>
        <w:kinsoku w:val="0"/>
        <w:overflowPunct w:val="0"/>
        <w:spacing w:line="288" w:lineRule="auto"/>
        <w:ind w:firstLine="420" w:firstLineChars="200"/>
        <w:rPr>
          <w:rFonts w:ascii="宋体" w:hAnsi="宋体"/>
          <w:szCs w:val="21"/>
          <w:highlight w:val="none"/>
        </w:rPr>
      </w:pPr>
      <w:r>
        <w:rPr>
          <w:rFonts w:hint="eastAsia" w:ascii="宋体" w:hAnsi="宋体"/>
          <w:szCs w:val="21"/>
          <w:highlight w:val="none"/>
        </w:rPr>
        <w:t>（</w:t>
      </w:r>
      <w:r>
        <w:rPr>
          <w:rFonts w:ascii="宋体" w:hAnsi="宋体"/>
          <w:szCs w:val="21"/>
          <w:highlight w:val="none"/>
        </w:rPr>
        <w:t>7</w:t>
      </w:r>
      <w:r>
        <w:rPr>
          <w:rFonts w:hint="eastAsia" w:ascii="宋体" w:hAnsi="宋体"/>
          <w:szCs w:val="21"/>
          <w:highlight w:val="none"/>
        </w:rPr>
        <w:t>）投标人须知前附表规定的其他资料。</w:t>
      </w:r>
    </w:p>
    <w:p w14:paraId="50F27E75">
      <w:pPr>
        <w:pStyle w:val="13"/>
        <w:kinsoku w:val="0"/>
        <w:overflowPunct w:val="0"/>
        <w:spacing w:line="288" w:lineRule="auto"/>
        <w:rPr>
          <w:rFonts w:ascii="宋体" w:hAnsi="宋体"/>
          <w:szCs w:val="21"/>
          <w:highlight w:val="none"/>
        </w:rPr>
      </w:pPr>
      <w:r>
        <w:rPr>
          <w:rFonts w:hint="eastAsia" w:ascii="宋体" w:hAnsi="宋体"/>
          <w:szCs w:val="21"/>
          <w:highlight w:val="none"/>
        </w:rPr>
        <w:t>根据本章第</w:t>
      </w:r>
      <w:r>
        <w:rPr>
          <w:rFonts w:ascii="宋体" w:hAnsi="宋体"/>
          <w:szCs w:val="21"/>
          <w:highlight w:val="none"/>
        </w:rPr>
        <w:t>1.10</w:t>
      </w:r>
      <w:r>
        <w:rPr>
          <w:rFonts w:hint="eastAsia" w:ascii="宋体" w:hAnsi="宋体"/>
          <w:szCs w:val="21"/>
          <w:highlight w:val="none"/>
        </w:rPr>
        <w:t>款、第</w:t>
      </w:r>
      <w:r>
        <w:rPr>
          <w:rFonts w:ascii="宋体" w:hAnsi="宋体"/>
          <w:szCs w:val="21"/>
          <w:highlight w:val="none"/>
        </w:rPr>
        <w:t>2.2</w:t>
      </w:r>
      <w:r>
        <w:rPr>
          <w:rFonts w:hint="eastAsia" w:ascii="宋体" w:hAnsi="宋体"/>
          <w:szCs w:val="21"/>
          <w:highlight w:val="none"/>
        </w:rPr>
        <w:t>款和第</w:t>
      </w:r>
      <w:r>
        <w:rPr>
          <w:rFonts w:ascii="宋体" w:hAnsi="宋体"/>
          <w:szCs w:val="21"/>
          <w:highlight w:val="none"/>
        </w:rPr>
        <w:t>2.3</w:t>
      </w:r>
      <w:r>
        <w:rPr>
          <w:rFonts w:hint="eastAsia" w:ascii="宋体" w:hAnsi="宋体"/>
          <w:szCs w:val="21"/>
          <w:highlight w:val="none"/>
        </w:rPr>
        <w:t>款对招标文件所作的澄清、修改，构成招标文件的组成部分。</w:t>
      </w:r>
    </w:p>
    <w:p w14:paraId="27BF6877">
      <w:pPr>
        <w:pStyle w:val="7"/>
        <w:rPr>
          <w:highlight w:val="none"/>
        </w:rPr>
      </w:pPr>
      <w:bookmarkStart w:id="56" w:name="bookmark35"/>
      <w:bookmarkEnd w:id="56"/>
      <w:r>
        <w:rPr>
          <w:highlight w:val="none"/>
        </w:rPr>
        <w:t xml:space="preserve">2.2 </w:t>
      </w:r>
      <w:r>
        <w:rPr>
          <w:rFonts w:hint="eastAsia"/>
          <w:highlight w:val="none"/>
        </w:rPr>
        <w:t>招标文件的澄清</w:t>
      </w:r>
    </w:p>
    <w:p w14:paraId="1E50F828">
      <w:pPr>
        <w:pStyle w:val="13"/>
        <w:kinsoku w:val="0"/>
        <w:overflowPunct w:val="0"/>
        <w:spacing w:line="288" w:lineRule="auto"/>
        <w:ind w:firstLine="420" w:firstLineChars="200"/>
        <w:rPr>
          <w:rFonts w:ascii="宋体" w:hAnsi="宋体"/>
          <w:szCs w:val="21"/>
          <w:highlight w:val="none"/>
        </w:rPr>
      </w:pPr>
      <w:r>
        <w:rPr>
          <w:rFonts w:ascii="宋体" w:hAnsi="宋体"/>
          <w:szCs w:val="21"/>
          <w:highlight w:val="none"/>
        </w:rPr>
        <w:t>2.2.1</w:t>
      </w:r>
      <w:r>
        <w:rPr>
          <w:rFonts w:hint="eastAsia" w:ascii="宋体" w:hAnsi="宋体"/>
          <w:szCs w:val="21"/>
          <w:highlight w:val="none"/>
        </w:rPr>
        <w:t>投标人应仔细阅读和检查招标文件的全部内容。如发现缺页或附件不全，应及时向招标人提出，以便补齐。如有疑问，应按投标人须知前附表规定的时间和形式将提出的问题送达招标人，要求招标人对招标文件予以澄清。</w:t>
      </w:r>
    </w:p>
    <w:p w14:paraId="19D8D1A9">
      <w:pPr>
        <w:pStyle w:val="13"/>
        <w:kinsoku w:val="0"/>
        <w:overflowPunct w:val="0"/>
        <w:spacing w:line="288" w:lineRule="auto"/>
        <w:ind w:firstLine="420" w:firstLineChars="200"/>
        <w:rPr>
          <w:rFonts w:ascii="宋体" w:hAnsi="宋体"/>
          <w:szCs w:val="21"/>
          <w:highlight w:val="none"/>
        </w:rPr>
      </w:pPr>
      <w:r>
        <w:rPr>
          <w:rFonts w:ascii="宋体" w:hAnsi="宋体"/>
          <w:szCs w:val="21"/>
          <w:highlight w:val="none"/>
        </w:rPr>
        <w:t>2.2.2</w:t>
      </w:r>
      <w:r>
        <w:rPr>
          <w:rFonts w:hint="eastAsia" w:ascii="宋体" w:hAnsi="宋体"/>
          <w:szCs w:val="21"/>
          <w:highlight w:val="none"/>
        </w:rPr>
        <w:t>招标文件的澄清以投标人须知前附表规定的形式发给所有潜在投标人，但不指明澄清问题的来源。澄清发出的时间距本章第</w:t>
      </w:r>
      <w:r>
        <w:rPr>
          <w:rFonts w:ascii="宋体" w:hAnsi="宋体"/>
          <w:szCs w:val="21"/>
          <w:highlight w:val="none"/>
        </w:rPr>
        <w:t>4.2.1</w:t>
      </w:r>
      <w:r>
        <w:rPr>
          <w:rFonts w:hint="eastAsia" w:ascii="宋体" w:hAnsi="宋体"/>
          <w:szCs w:val="21"/>
          <w:highlight w:val="none"/>
        </w:rPr>
        <w:t>项规定的投标截止时间不足</w:t>
      </w:r>
      <w:r>
        <w:rPr>
          <w:rFonts w:ascii="宋体" w:hAnsi="宋体"/>
          <w:szCs w:val="21"/>
          <w:highlight w:val="none"/>
        </w:rPr>
        <w:t>15</w:t>
      </w:r>
      <w:r>
        <w:rPr>
          <w:rFonts w:hint="eastAsia" w:ascii="宋体" w:hAnsi="宋体"/>
          <w:szCs w:val="21"/>
          <w:highlight w:val="none"/>
        </w:rPr>
        <w:t>日的，并且澄清内容可能影响投标文件编制的，将相应延长投标截止时间。</w:t>
      </w:r>
    </w:p>
    <w:p w14:paraId="017B37AF">
      <w:pPr>
        <w:pStyle w:val="13"/>
        <w:kinsoku w:val="0"/>
        <w:overflowPunct w:val="0"/>
        <w:spacing w:line="288" w:lineRule="auto"/>
        <w:ind w:firstLine="420" w:firstLineChars="200"/>
        <w:rPr>
          <w:rFonts w:ascii="宋体" w:hAnsi="宋体"/>
          <w:szCs w:val="21"/>
          <w:highlight w:val="none"/>
        </w:rPr>
      </w:pPr>
      <w:r>
        <w:rPr>
          <w:rFonts w:ascii="宋体" w:hAnsi="宋体"/>
          <w:szCs w:val="21"/>
          <w:highlight w:val="none"/>
        </w:rPr>
        <w:t xml:space="preserve">2.2.3 </w:t>
      </w:r>
      <w:r>
        <w:rPr>
          <w:rFonts w:hint="eastAsia" w:ascii="宋体" w:hAnsi="宋体"/>
          <w:szCs w:val="21"/>
          <w:highlight w:val="none"/>
        </w:rPr>
        <w:t>投标人在收到澄清后，应按投标人须知前附表规定的时间和形式通知</w:t>
      </w:r>
      <w:r>
        <w:rPr>
          <w:rFonts w:hint="eastAsia" w:ascii="宋体" w:hAnsi="宋体"/>
          <w:sz w:val="24"/>
          <w:szCs w:val="24"/>
          <w:highlight w:val="none"/>
        </w:rPr>
        <w:t>招标人，</w:t>
      </w:r>
      <w:r>
        <w:rPr>
          <w:rFonts w:hint="eastAsia" w:ascii="宋体" w:hAnsi="宋体"/>
          <w:szCs w:val="21"/>
          <w:highlight w:val="none"/>
        </w:rPr>
        <w:t>确认已收到该澄清。</w:t>
      </w:r>
    </w:p>
    <w:p w14:paraId="62605A5F">
      <w:pPr>
        <w:pStyle w:val="13"/>
        <w:kinsoku w:val="0"/>
        <w:overflowPunct w:val="0"/>
        <w:spacing w:line="288" w:lineRule="auto"/>
        <w:ind w:firstLine="420" w:firstLineChars="200"/>
        <w:rPr>
          <w:rFonts w:ascii="宋体" w:hAnsi="宋体"/>
          <w:szCs w:val="21"/>
          <w:highlight w:val="none"/>
        </w:rPr>
      </w:pPr>
      <w:r>
        <w:rPr>
          <w:rFonts w:ascii="宋体" w:hAnsi="宋体"/>
          <w:szCs w:val="21"/>
          <w:highlight w:val="none"/>
        </w:rPr>
        <w:t>2.2.4</w:t>
      </w:r>
      <w:r>
        <w:rPr>
          <w:rFonts w:hint="eastAsia" w:ascii="宋体" w:hAnsi="宋体"/>
          <w:szCs w:val="21"/>
          <w:highlight w:val="none"/>
        </w:rPr>
        <w:t>除非招标人认为确有必要答复，否则，招标人有权拒绝回复投标人在本章第</w:t>
      </w:r>
      <w:r>
        <w:rPr>
          <w:rFonts w:ascii="宋体" w:hAnsi="宋体"/>
          <w:szCs w:val="21"/>
          <w:highlight w:val="none"/>
        </w:rPr>
        <w:t>2.2.1</w:t>
      </w:r>
      <w:r>
        <w:rPr>
          <w:rFonts w:hint="eastAsia" w:ascii="宋体" w:hAnsi="宋体"/>
          <w:szCs w:val="21"/>
          <w:highlight w:val="none"/>
        </w:rPr>
        <w:t>项规定的时间后的任何澄清要求。</w:t>
      </w:r>
    </w:p>
    <w:p w14:paraId="5C90ECAD">
      <w:pPr>
        <w:pStyle w:val="13"/>
        <w:kinsoku w:val="0"/>
        <w:overflowPunct w:val="0"/>
        <w:spacing w:line="288" w:lineRule="auto"/>
        <w:ind w:firstLine="420" w:firstLineChars="200"/>
        <w:rPr>
          <w:rFonts w:ascii="宋体" w:hAnsi="宋体"/>
          <w:szCs w:val="21"/>
          <w:highlight w:val="none"/>
        </w:rPr>
      </w:pPr>
    </w:p>
    <w:p w14:paraId="7F380430">
      <w:pPr>
        <w:pStyle w:val="7"/>
        <w:rPr>
          <w:highlight w:val="none"/>
        </w:rPr>
      </w:pPr>
      <w:bookmarkStart w:id="57" w:name="bookmark36"/>
      <w:bookmarkEnd w:id="57"/>
      <w:r>
        <w:rPr>
          <w:highlight w:val="none"/>
        </w:rPr>
        <w:t xml:space="preserve">2.3 </w:t>
      </w:r>
      <w:r>
        <w:rPr>
          <w:rFonts w:hint="eastAsia"/>
          <w:highlight w:val="none"/>
        </w:rPr>
        <w:t>招标文件的修改</w:t>
      </w:r>
    </w:p>
    <w:p w14:paraId="4B71617A">
      <w:pPr>
        <w:pStyle w:val="13"/>
        <w:kinsoku w:val="0"/>
        <w:overflowPunct w:val="0"/>
        <w:spacing w:line="288" w:lineRule="auto"/>
        <w:ind w:firstLine="420" w:firstLineChars="200"/>
        <w:rPr>
          <w:rFonts w:ascii="宋体" w:hAnsi="宋体"/>
          <w:szCs w:val="21"/>
          <w:highlight w:val="none"/>
        </w:rPr>
      </w:pPr>
      <w:r>
        <w:rPr>
          <w:rFonts w:ascii="宋体" w:hAnsi="宋体"/>
          <w:szCs w:val="21"/>
          <w:highlight w:val="none"/>
        </w:rPr>
        <w:t>2.3.1</w:t>
      </w:r>
      <w:r>
        <w:rPr>
          <w:rFonts w:hint="eastAsia" w:ascii="宋体" w:hAnsi="宋体"/>
          <w:szCs w:val="21"/>
          <w:highlight w:val="none"/>
        </w:rPr>
        <w:t>招标人以投标人须知前附表规定的形式修改招标文件，并通知所有潜在投标人。修改招标文件的时间距本章第</w:t>
      </w:r>
      <w:r>
        <w:rPr>
          <w:rFonts w:ascii="宋体" w:hAnsi="宋体"/>
          <w:szCs w:val="21"/>
          <w:highlight w:val="none"/>
        </w:rPr>
        <w:t>4.2.1</w:t>
      </w:r>
      <w:r>
        <w:rPr>
          <w:rFonts w:hint="eastAsia" w:ascii="宋体" w:hAnsi="宋体"/>
          <w:szCs w:val="21"/>
          <w:highlight w:val="none"/>
        </w:rPr>
        <w:t>项规定的投标截止时间不足</w:t>
      </w:r>
      <w:r>
        <w:rPr>
          <w:rFonts w:ascii="宋体" w:hAnsi="宋体"/>
          <w:szCs w:val="21"/>
          <w:highlight w:val="none"/>
        </w:rPr>
        <w:t>15</w:t>
      </w:r>
      <w:r>
        <w:rPr>
          <w:rFonts w:hint="eastAsia" w:ascii="宋体" w:hAnsi="宋体"/>
          <w:szCs w:val="21"/>
          <w:highlight w:val="none"/>
        </w:rPr>
        <w:t>日的，并且修改内容可能影响投标文件编制的，将相应延长投标截止时间。</w:t>
      </w:r>
    </w:p>
    <w:p w14:paraId="191B0B08">
      <w:pPr>
        <w:pStyle w:val="13"/>
        <w:kinsoku w:val="0"/>
        <w:overflowPunct w:val="0"/>
        <w:spacing w:line="288" w:lineRule="auto"/>
        <w:ind w:firstLine="420" w:firstLineChars="200"/>
        <w:rPr>
          <w:rFonts w:ascii="宋体" w:hAnsi="宋体"/>
          <w:szCs w:val="21"/>
          <w:highlight w:val="none"/>
        </w:rPr>
      </w:pPr>
      <w:r>
        <w:rPr>
          <w:rFonts w:ascii="宋体" w:hAnsi="宋体"/>
          <w:szCs w:val="21"/>
          <w:highlight w:val="none"/>
        </w:rPr>
        <w:t>2.3.2</w:t>
      </w:r>
      <w:r>
        <w:rPr>
          <w:rFonts w:hint="eastAsia" w:ascii="宋体" w:hAnsi="宋体"/>
          <w:szCs w:val="21"/>
          <w:highlight w:val="none"/>
        </w:rPr>
        <w:t>投标人收到修改内容后，应按投标人须知前附表规定的时间和形式通知招标人，确认已收到该修改。</w:t>
      </w:r>
    </w:p>
    <w:p w14:paraId="4BFE5F21">
      <w:pPr>
        <w:pStyle w:val="13"/>
        <w:kinsoku w:val="0"/>
        <w:overflowPunct w:val="0"/>
        <w:spacing w:line="288" w:lineRule="auto"/>
        <w:ind w:firstLine="420" w:firstLineChars="200"/>
        <w:rPr>
          <w:rFonts w:ascii="宋体" w:hAnsi="宋体"/>
          <w:szCs w:val="21"/>
          <w:highlight w:val="none"/>
        </w:rPr>
      </w:pPr>
    </w:p>
    <w:p w14:paraId="5C85965C">
      <w:pPr>
        <w:pStyle w:val="7"/>
        <w:rPr>
          <w:highlight w:val="none"/>
        </w:rPr>
      </w:pPr>
      <w:bookmarkStart w:id="58" w:name="bookmark37"/>
      <w:bookmarkEnd w:id="58"/>
      <w:r>
        <w:rPr>
          <w:highlight w:val="none"/>
        </w:rPr>
        <w:t xml:space="preserve">2.4 </w:t>
      </w:r>
      <w:r>
        <w:rPr>
          <w:rFonts w:hint="eastAsia"/>
          <w:highlight w:val="none"/>
        </w:rPr>
        <w:t>招标文件的异议</w:t>
      </w:r>
    </w:p>
    <w:p w14:paraId="53534991">
      <w:pPr>
        <w:pStyle w:val="13"/>
        <w:kinsoku w:val="0"/>
        <w:overflowPunct w:val="0"/>
        <w:spacing w:line="288" w:lineRule="auto"/>
        <w:ind w:firstLine="420" w:firstLineChars="200"/>
        <w:rPr>
          <w:rFonts w:ascii="宋体" w:hAnsi="宋体"/>
          <w:szCs w:val="21"/>
          <w:highlight w:val="none"/>
        </w:rPr>
      </w:pPr>
      <w:r>
        <w:rPr>
          <w:rFonts w:hint="eastAsia" w:ascii="宋体" w:hAnsi="宋体"/>
          <w:szCs w:val="21"/>
          <w:highlight w:val="none"/>
        </w:rPr>
        <w:t>投标人或者其他利害关系人对招标文件有异议的，应当在投标截止时间</w:t>
      </w:r>
      <w:r>
        <w:rPr>
          <w:rFonts w:ascii="宋体" w:hAnsi="宋体"/>
          <w:szCs w:val="21"/>
          <w:highlight w:val="none"/>
        </w:rPr>
        <w:t>10</w:t>
      </w:r>
      <w:r>
        <w:rPr>
          <w:rFonts w:hint="eastAsia" w:ascii="宋体" w:hAnsi="宋体"/>
          <w:szCs w:val="21"/>
          <w:highlight w:val="none"/>
        </w:rPr>
        <w:t>日前以书面形式提出。招标人将在收到异议之日起</w:t>
      </w:r>
      <w:r>
        <w:rPr>
          <w:rFonts w:ascii="宋体" w:hAnsi="宋体"/>
          <w:szCs w:val="21"/>
          <w:highlight w:val="none"/>
        </w:rPr>
        <w:t>3</w:t>
      </w:r>
      <w:r>
        <w:rPr>
          <w:rFonts w:hint="eastAsia" w:ascii="宋体" w:hAnsi="宋体"/>
          <w:szCs w:val="21"/>
          <w:highlight w:val="none"/>
        </w:rPr>
        <w:t>日内作出答复;作出答复前,将暂停招标投标活动。</w:t>
      </w:r>
    </w:p>
    <w:p w14:paraId="4E7F7E66">
      <w:pPr>
        <w:pStyle w:val="13"/>
        <w:kinsoku w:val="0"/>
        <w:overflowPunct w:val="0"/>
        <w:spacing w:line="288" w:lineRule="auto"/>
        <w:ind w:firstLine="420" w:firstLineChars="200"/>
        <w:rPr>
          <w:rFonts w:ascii="宋体" w:hAnsi="宋体"/>
          <w:szCs w:val="21"/>
          <w:highlight w:val="none"/>
        </w:rPr>
      </w:pPr>
    </w:p>
    <w:p w14:paraId="30EC337C">
      <w:pPr>
        <w:pStyle w:val="5"/>
        <w:rPr>
          <w:highlight w:val="none"/>
        </w:rPr>
      </w:pPr>
      <w:bookmarkStart w:id="59" w:name="_Toc533357310"/>
      <w:bookmarkStart w:id="60" w:name="_Toc103592011"/>
      <w:r>
        <w:rPr>
          <w:highlight w:val="none"/>
        </w:rPr>
        <w:t xml:space="preserve">3. </w:t>
      </w:r>
      <w:r>
        <w:rPr>
          <w:rFonts w:hint="eastAsia"/>
          <w:highlight w:val="none"/>
        </w:rPr>
        <w:t>投标文件</w:t>
      </w:r>
      <w:bookmarkEnd w:id="59"/>
      <w:bookmarkEnd w:id="60"/>
    </w:p>
    <w:p w14:paraId="359D7DFE">
      <w:pPr>
        <w:pStyle w:val="7"/>
        <w:ind w:firstLine="420"/>
        <w:rPr>
          <w:highlight w:val="none"/>
        </w:rPr>
      </w:pPr>
      <w:bookmarkStart w:id="61" w:name="bookmark39"/>
      <w:bookmarkEnd w:id="61"/>
      <w:r>
        <w:rPr>
          <w:highlight w:val="none"/>
        </w:rPr>
        <w:t xml:space="preserve">3.1 </w:t>
      </w:r>
      <w:r>
        <w:rPr>
          <w:rFonts w:hint="eastAsia"/>
          <w:highlight w:val="none"/>
        </w:rPr>
        <w:t>投标文件的组成</w:t>
      </w:r>
    </w:p>
    <w:p w14:paraId="41875E49">
      <w:pPr>
        <w:pStyle w:val="13"/>
        <w:kinsoku w:val="0"/>
        <w:overflowPunct w:val="0"/>
        <w:spacing w:line="288" w:lineRule="auto"/>
        <w:ind w:firstLine="420" w:firstLineChars="200"/>
        <w:rPr>
          <w:rFonts w:ascii="宋体" w:hAnsi="宋体"/>
          <w:szCs w:val="21"/>
          <w:highlight w:val="none"/>
        </w:rPr>
      </w:pPr>
      <w:r>
        <w:rPr>
          <w:rFonts w:ascii="宋体" w:hAnsi="宋体"/>
          <w:szCs w:val="21"/>
          <w:highlight w:val="none"/>
        </w:rPr>
        <w:t>3.1.1</w:t>
      </w:r>
      <w:r>
        <w:rPr>
          <w:rFonts w:hint="eastAsia" w:ascii="宋体" w:hAnsi="宋体"/>
          <w:szCs w:val="21"/>
          <w:highlight w:val="none"/>
        </w:rPr>
        <w:t>投标文件应包括下列内容：</w:t>
      </w:r>
    </w:p>
    <w:p w14:paraId="7DBFFFBA">
      <w:pPr>
        <w:pStyle w:val="13"/>
        <w:kinsoku w:val="0"/>
        <w:overflowPunct w:val="0"/>
        <w:spacing w:line="288" w:lineRule="auto"/>
        <w:ind w:firstLine="420" w:firstLineChars="200"/>
        <w:rPr>
          <w:rFonts w:ascii="宋体" w:hAnsi="宋体"/>
          <w:szCs w:val="21"/>
          <w:highlight w:val="none"/>
        </w:rPr>
      </w:pPr>
      <w:r>
        <w:rPr>
          <w:rFonts w:hint="eastAsia" w:ascii="宋体" w:hAnsi="宋体"/>
          <w:szCs w:val="21"/>
          <w:highlight w:val="none"/>
        </w:rPr>
        <w:t>（1）投标函及其附表；</w:t>
      </w:r>
    </w:p>
    <w:p w14:paraId="622BFF02">
      <w:pPr>
        <w:pStyle w:val="13"/>
        <w:kinsoku w:val="0"/>
        <w:overflowPunct w:val="0"/>
        <w:spacing w:line="288" w:lineRule="auto"/>
        <w:ind w:firstLine="420" w:firstLineChars="200"/>
        <w:rPr>
          <w:rFonts w:ascii="宋体" w:hAnsi="宋体"/>
          <w:szCs w:val="21"/>
          <w:highlight w:val="none"/>
        </w:rPr>
      </w:pPr>
      <w:r>
        <w:rPr>
          <w:rFonts w:hint="eastAsia" w:ascii="宋体" w:hAnsi="宋体"/>
          <w:szCs w:val="21"/>
          <w:highlight w:val="none"/>
        </w:rPr>
        <w:t>（2）法定代表人证明书及授权委托书；</w:t>
      </w:r>
    </w:p>
    <w:p w14:paraId="6F0605EB">
      <w:pPr>
        <w:pStyle w:val="13"/>
        <w:kinsoku w:val="0"/>
        <w:overflowPunct w:val="0"/>
        <w:spacing w:line="288" w:lineRule="auto"/>
        <w:ind w:firstLine="420" w:firstLineChars="200"/>
        <w:rPr>
          <w:rFonts w:ascii="宋体" w:hAnsi="宋体"/>
          <w:szCs w:val="21"/>
          <w:highlight w:val="none"/>
        </w:rPr>
      </w:pPr>
      <w:r>
        <w:rPr>
          <w:rFonts w:hint="eastAsia" w:ascii="宋体" w:hAnsi="宋体"/>
          <w:szCs w:val="21"/>
          <w:highlight w:val="none"/>
        </w:rPr>
        <w:t>（3）</w:t>
      </w:r>
      <w:r>
        <w:rPr>
          <w:rFonts w:hint="eastAsia" w:ascii="宋体" w:hAnsi="宋体"/>
          <w:strike/>
          <w:dstrike w:val="0"/>
          <w:sz w:val="21"/>
          <w:szCs w:val="21"/>
          <w:highlight w:val="none"/>
        </w:rPr>
        <w:t>投标保证金</w:t>
      </w:r>
      <w:r>
        <w:rPr>
          <w:rFonts w:hint="eastAsia" w:ascii="宋体" w:hAnsi="宋体"/>
          <w:szCs w:val="21"/>
          <w:highlight w:val="none"/>
        </w:rPr>
        <w:t>；</w:t>
      </w:r>
    </w:p>
    <w:p w14:paraId="2B4F2D80">
      <w:pPr>
        <w:pStyle w:val="13"/>
        <w:kinsoku w:val="0"/>
        <w:overflowPunct w:val="0"/>
        <w:spacing w:line="288" w:lineRule="auto"/>
        <w:ind w:firstLine="420" w:firstLineChars="200"/>
        <w:rPr>
          <w:rFonts w:ascii="宋体" w:hAnsi="宋体"/>
          <w:szCs w:val="21"/>
          <w:highlight w:val="none"/>
        </w:rPr>
      </w:pPr>
      <w:r>
        <w:rPr>
          <w:rFonts w:hint="eastAsia" w:ascii="宋体" w:hAnsi="宋体"/>
          <w:szCs w:val="21"/>
          <w:highlight w:val="none"/>
        </w:rPr>
        <w:t>（4）投标报价书；</w:t>
      </w:r>
    </w:p>
    <w:p w14:paraId="39638D81">
      <w:pPr>
        <w:pStyle w:val="13"/>
        <w:kinsoku w:val="0"/>
        <w:overflowPunct w:val="0"/>
        <w:spacing w:line="288" w:lineRule="auto"/>
        <w:ind w:firstLine="420" w:firstLineChars="200"/>
        <w:rPr>
          <w:rFonts w:ascii="宋体" w:hAnsi="宋体"/>
          <w:szCs w:val="21"/>
          <w:highlight w:val="none"/>
        </w:rPr>
      </w:pPr>
      <w:r>
        <w:rPr>
          <w:rFonts w:hint="eastAsia" w:ascii="宋体" w:hAnsi="宋体"/>
          <w:szCs w:val="21"/>
          <w:highlight w:val="none"/>
        </w:rPr>
        <w:t>（5）资格审查资料；</w:t>
      </w:r>
    </w:p>
    <w:p w14:paraId="549B8DFA">
      <w:pPr>
        <w:pStyle w:val="13"/>
        <w:kinsoku w:val="0"/>
        <w:overflowPunct w:val="0"/>
        <w:spacing w:line="288" w:lineRule="auto"/>
        <w:ind w:firstLine="420" w:firstLineChars="200"/>
        <w:rPr>
          <w:rFonts w:ascii="宋体" w:hAnsi="宋体"/>
          <w:szCs w:val="21"/>
          <w:highlight w:val="none"/>
        </w:rPr>
      </w:pPr>
      <w:r>
        <w:rPr>
          <w:rFonts w:hint="eastAsia" w:ascii="宋体" w:hAnsi="宋体"/>
          <w:szCs w:val="21"/>
          <w:highlight w:val="none"/>
        </w:rPr>
        <w:t>（6）类似项目情况表；</w:t>
      </w:r>
    </w:p>
    <w:p w14:paraId="13959E40">
      <w:pPr>
        <w:pStyle w:val="13"/>
        <w:kinsoku w:val="0"/>
        <w:overflowPunct w:val="0"/>
        <w:spacing w:line="288" w:lineRule="auto"/>
        <w:ind w:firstLine="420" w:firstLineChars="200"/>
        <w:rPr>
          <w:rFonts w:ascii="宋体" w:hAnsi="宋体"/>
          <w:szCs w:val="21"/>
          <w:highlight w:val="none"/>
        </w:rPr>
      </w:pPr>
      <w:r>
        <w:rPr>
          <w:rFonts w:hint="eastAsia" w:ascii="宋体" w:hAnsi="宋体"/>
          <w:szCs w:val="21"/>
          <w:highlight w:val="none"/>
        </w:rPr>
        <w:t>（7）拟投入本项目的检测人员一览表；</w:t>
      </w:r>
    </w:p>
    <w:p w14:paraId="1EAFF3D0">
      <w:pPr>
        <w:pStyle w:val="13"/>
        <w:kinsoku w:val="0"/>
        <w:overflowPunct w:val="0"/>
        <w:spacing w:line="288" w:lineRule="auto"/>
        <w:ind w:firstLine="420" w:firstLineChars="200"/>
        <w:rPr>
          <w:rFonts w:ascii="宋体" w:hAnsi="宋体"/>
          <w:szCs w:val="21"/>
          <w:highlight w:val="none"/>
        </w:rPr>
      </w:pPr>
      <w:r>
        <w:rPr>
          <w:rFonts w:hint="eastAsia" w:ascii="宋体" w:hAnsi="宋体"/>
          <w:szCs w:val="21"/>
          <w:highlight w:val="none"/>
        </w:rPr>
        <w:t>（8）拟投入本项目的检测人员简历表；</w:t>
      </w:r>
    </w:p>
    <w:p w14:paraId="1FD38F1D">
      <w:pPr>
        <w:pStyle w:val="13"/>
        <w:kinsoku w:val="0"/>
        <w:overflowPunct w:val="0"/>
        <w:spacing w:line="288" w:lineRule="auto"/>
        <w:ind w:firstLine="420" w:firstLineChars="200"/>
        <w:rPr>
          <w:rFonts w:ascii="宋体" w:hAnsi="宋体"/>
          <w:szCs w:val="21"/>
          <w:highlight w:val="none"/>
        </w:rPr>
      </w:pPr>
      <w:r>
        <w:rPr>
          <w:rFonts w:hint="eastAsia" w:ascii="宋体" w:hAnsi="宋体"/>
          <w:szCs w:val="21"/>
          <w:highlight w:val="none"/>
        </w:rPr>
        <w:t>（9）拟投入本项目的主要仪器设备一览表；</w:t>
      </w:r>
    </w:p>
    <w:p w14:paraId="29B99556">
      <w:pPr>
        <w:pStyle w:val="13"/>
        <w:kinsoku w:val="0"/>
        <w:overflowPunct w:val="0"/>
        <w:spacing w:line="288" w:lineRule="auto"/>
        <w:ind w:firstLine="420" w:firstLineChars="200"/>
        <w:rPr>
          <w:rFonts w:ascii="宋体" w:hAnsi="宋体"/>
          <w:szCs w:val="21"/>
          <w:highlight w:val="none"/>
        </w:rPr>
      </w:pPr>
      <w:r>
        <w:rPr>
          <w:rFonts w:hint="eastAsia" w:ascii="宋体" w:hAnsi="宋体"/>
          <w:szCs w:val="21"/>
          <w:highlight w:val="none"/>
        </w:rPr>
        <w:t>（10）检测方案；</w:t>
      </w:r>
    </w:p>
    <w:p w14:paraId="60B232A3">
      <w:pPr>
        <w:pStyle w:val="13"/>
        <w:kinsoku w:val="0"/>
        <w:overflowPunct w:val="0"/>
        <w:spacing w:line="288" w:lineRule="auto"/>
        <w:ind w:firstLine="420" w:firstLineChars="200"/>
        <w:rPr>
          <w:rFonts w:ascii="宋体" w:hAnsi="宋体"/>
          <w:szCs w:val="21"/>
          <w:highlight w:val="none"/>
        </w:rPr>
      </w:pPr>
      <w:r>
        <w:rPr>
          <w:rFonts w:hint="eastAsia" w:ascii="宋体" w:hAnsi="宋体"/>
          <w:szCs w:val="21"/>
          <w:highlight w:val="none"/>
        </w:rPr>
        <w:t>（11）其他资料。投标人须知前附表规定的其他资料，投标人认为有必要提交的其他资料。投标人在评标过程中作出的符合法律法规和招标文件规定的澄清确认，构成投标文件的组成部分。</w:t>
      </w:r>
    </w:p>
    <w:p w14:paraId="6543F502">
      <w:pPr>
        <w:pStyle w:val="13"/>
        <w:kinsoku w:val="0"/>
        <w:overflowPunct w:val="0"/>
        <w:spacing w:line="288" w:lineRule="auto"/>
        <w:ind w:firstLine="420" w:firstLineChars="200"/>
        <w:rPr>
          <w:rFonts w:ascii="宋体" w:hAnsi="宋体"/>
          <w:szCs w:val="21"/>
          <w:highlight w:val="none"/>
        </w:rPr>
      </w:pPr>
      <w:r>
        <w:rPr>
          <w:rFonts w:ascii="宋体" w:hAnsi="宋体"/>
          <w:szCs w:val="21"/>
          <w:highlight w:val="none"/>
        </w:rPr>
        <w:t>3.1.2</w:t>
      </w:r>
      <w:r>
        <w:rPr>
          <w:rFonts w:hint="eastAsia" w:ascii="宋体" w:hAnsi="宋体"/>
          <w:szCs w:val="21"/>
          <w:highlight w:val="none"/>
        </w:rPr>
        <w:t>投标人须知前附表规定不接受联合体投标的，或投标人没有组成联合体的，投标文件不包括本章第</w:t>
      </w:r>
      <w:r>
        <w:rPr>
          <w:rFonts w:ascii="宋体" w:hAnsi="宋体"/>
          <w:szCs w:val="21"/>
          <w:highlight w:val="none"/>
        </w:rPr>
        <w:t>3.1.1</w:t>
      </w:r>
      <w:r>
        <w:rPr>
          <w:rFonts w:hint="eastAsia" w:ascii="宋体" w:hAnsi="宋体"/>
          <w:szCs w:val="21"/>
          <w:highlight w:val="none"/>
        </w:rPr>
        <w:t>所指的联合体协议书。</w:t>
      </w:r>
    </w:p>
    <w:p w14:paraId="23E58D97">
      <w:pPr>
        <w:pStyle w:val="13"/>
        <w:kinsoku w:val="0"/>
        <w:overflowPunct w:val="0"/>
        <w:spacing w:line="288" w:lineRule="auto"/>
        <w:ind w:firstLine="420" w:firstLineChars="200"/>
        <w:rPr>
          <w:rFonts w:ascii="宋体" w:hAnsi="宋体"/>
          <w:szCs w:val="21"/>
          <w:highlight w:val="none"/>
        </w:rPr>
      </w:pPr>
      <w:r>
        <w:rPr>
          <w:rFonts w:ascii="宋体" w:hAnsi="宋体"/>
          <w:szCs w:val="21"/>
          <w:highlight w:val="none"/>
        </w:rPr>
        <w:t>3.1.3</w:t>
      </w:r>
      <w:r>
        <w:rPr>
          <w:rFonts w:hint="eastAsia" w:ascii="宋体" w:hAnsi="宋体"/>
          <w:szCs w:val="21"/>
          <w:highlight w:val="none"/>
        </w:rPr>
        <w:t>投标人须知前附表未要求提交投标保证金的，投标文件不包括本章第</w:t>
      </w:r>
      <w:r>
        <w:rPr>
          <w:rFonts w:ascii="宋体" w:hAnsi="宋体"/>
          <w:szCs w:val="21"/>
          <w:highlight w:val="none"/>
        </w:rPr>
        <w:t>3.1.1</w:t>
      </w:r>
      <w:r>
        <w:rPr>
          <w:rFonts w:hint="eastAsia" w:ascii="宋体" w:hAnsi="宋体"/>
          <w:szCs w:val="21"/>
          <w:highlight w:val="none"/>
        </w:rPr>
        <w:t>（</w:t>
      </w:r>
      <w:r>
        <w:rPr>
          <w:rFonts w:ascii="宋体" w:hAnsi="宋体"/>
          <w:szCs w:val="21"/>
          <w:highlight w:val="none"/>
        </w:rPr>
        <w:t>3</w:t>
      </w:r>
      <w:r>
        <w:rPr>
          <w:rFonts w:hint="eastAsia" w:ascii="宋体" w:hAnsi="宋体"/>
          <w:szCs w:val="21"/>
          <w:highlight w:val="none"/>
        </w:rPr>
        <w:t>）所指的投标保证金。</w:t>
      </w:r>
    </w:p>
    <w:p w14:paraId="78192E44">
      <w:pPr>
        <w:pStyle w:val="13"/>
        <w:kinsoku w:val="0"/>
        <w:overflowPunct w:val="0"/>
        <w:spacing w:line="288" w:lineRule="auto"/>
        <w:ind w:firstLine="420" w:firstLineChars="200"/>
        <w:rPr>
          <w:rFonts w:ascii="宋体" w:hAnsi="宋体"/>
          <w:szCs w:val="21"/>
          <w:highlight w:val="none"/>
        </w:rPr>
      </w:pPr>
    </w:p>
    <w:p w14:paraId="0D9C68B5">
      <w:pPr>
        <w:pStyle w:val="7"/>
        <w:rPr>
          <w:highlight w:val="none"/>
        </w:rPr>
      </w:pPr>
      <w:bookmarkStart w:id="62" w:name="bookmark40"/>
      <w:bookmarkEnd w:id="62"/>
      <w:r>
        <w:rPr>
          <w:highlight w:val="none"/>
        </w:rPr>
        <w:t xml:space="preserve">3.2 </w:t>
      </w:r>
      <w:r>
        <w:rPr>
          <w:rFonts w:hint="eastAsia"/>
          <w:highlight w:val="none"/>
        </w:rPr>
        <w:t>投标报价</w:t>
      </w:r>
    </w:p>
    <w:p w14:paraId="4286DE2E">
      <w:pPr>
        <w:pStyle w:val="13"/>
        <w:kinsoku w:val="0"/>
        <w:overflowPunct w:val="0"/>
        <w:spacing w:line="288" w:lineRule="auto"/>
        <w:ind w:firstLine="420" w:firstLineChars="200"/>
        <w:rPr>
          <w:rFonts w:ascii="宋体" w:hAnsi="宋体"/>
          <w:szCs w:val="21"/>
          <w:highlight w:val="none"/>
        </w:rPr>
      </w:pPr>
      <w:r>
        <w:rPr>
          <w:rFonts w:ascii="宋体" w:hAnsi="宋体"/>
          <w:szCs w:val="21"/>
          <w:highlight w:val="none"/>
        </w:rPr>
        <w:t>3.2.1</w:t>
      </w:r>
      <w:r>
        <w:rPr>
          <w:rFonts w:hint="eastAsia" w:ascii="宋体" w:hAnsi="宋体"/>
          <w:szCs w:val="21"/>
          <w:highlight w:val="none"/>
        </w:rPr>
        <w:t>投标报价应包括国家规定的增值税税金，除投标人须知前附表另有规定外，增值税税金按一般计税方法计算。投标人应按第六章“投标文件格式”的要求在投标函中进行报价并填写报价书。</w:t>
      </w:r>
    </w:p>
    <w:p w14:paraId="273E7931">
      <w:pPr>
        <w:pStyle w:val="13"/>
        <w:kinsoku w:val="0"/>
        <w:overflowPunct w:val="0"/>
        <w:spacing w:line="288" w:lineRule="auto"/>
        <w:ind w:firstLine="420" w:firstLineChars="200"/>
        <w:rPr>
          <w:rFonts w:ascii="宋体" w:hAnsi="宋体"/>
          <w:szCs w:val="21"/>
          <w:highlight w:val="none"/>
        </w:rPr>
      </w:pPr>
      <w:r>
        <w:rPr>
          <w:rFonts w:ascii="宋体" w:hAnsi="宋体"/>
          <w:szCs w:val="21"/>
          <w:highlight w:val="none"/>
        </w:rPr>
        <w:t>3.2.2</w:t>
      </w:r>
      <w:r>
        <w:rPr>
          <w:rFonts w:hint="eastAsia" w:ascii="宋体" w:hAnsi="宋体"/>
          <w:szCs w:val="21"/>
          <w:highlight w:val="none"/>
        </w:rPr>
        <w:t>投标人应充分了解该项目的总体情况以及影响投标报价的其他要素。</w:t>
      </w:r>
    </w:p>
    <w:p w14:paraId="5AD1A361">
      <w:pPr>
        <w:pStyle w:val="13"/>
        <w:kinsoku w:val="0"/>
        <w:overflowPunct w:val="0"/>
        <w:spacing w:line="288" w:lineRule="auto"/>
        <w:ind w:firstLine="420" w:firstLineChars="200"/>
        <w:rPr>
          <w:rFonts w:ascii="宋体" w:hAnsi="宋体"/>
          <w:szCs w:val="21"/>
          <w:highlight w:val="none"/>
        </w:rPr>
      </w:pPr>
      <w:r>
        <w:rPr>
          <w:rFonts w:ascii="宋体" w:hAnsi="宋体"/>
          <w:szCs w:val="21"/>
          <w:highlight w:val="none"/>
        </w:rPr>
        <w:t>3.2.3</w:t>
      </w:r>
      <w:r>
        <w:rPr>
          <w:rFonts w:hint="eastAsia" w:ascii="宋体" w:hAnsi="宋体"/>
          <w:szCs w:val="21"/>
          <w:highlight w:val="none"/>
        </w:rPr>
        <w:t>本项目的报价方式见投标人须知前附表。投标人在投标截止时间前修改投标函中的投标报价总额，应同时修改投标文件“报价书”中的相应报价。此修改须符合本章第</w:t>
      </w:r>
      <w:r>
        <w:rPr>
          <w:rFonts w:ascii="宋体" w:hAnsi="宋体"/>
          <w:szCs w:val="21"/>
          <w:highlight w:val="none"/>
        </w:rPr>
        <w:t>4.3</w:t>
      </w:r>
      <w:r>
        <w:rPr>
          <w:rFonts w:hint="eastAsia" w:ascii="宋体" w:hAnsi="宋体"/>
          <w:szCs w:val="21"/>
          <w:highlight w:val="none"/>
        </w:rPr>
        <w:t>款的有关要求。</w:t>
      </w:r>
    </w:p>
    <w:p w14:paraId="270A519C">
      <w:pPr>
        <w:pStyle w:val="13"/>
        <w:kinsoku w:val="0"/>
        <w:overflowPunct w:val="0"/>
        <w:spacing w:line="288" w:lineRule="auto"/>
        <w:ind w:firstLine="420" w:firstLineChars="200"/>
        <w:rPr>
          <w:rFonts w:ascii="宋体" w:hAnsi="宋体"/>
          <w:szCs w:val="21"/>
          <w:highlight w:val="none"/>
        </w:rPr>
      </w:pPr>
      <w:r>
        <w:rPr>
          <w:rFonts w:ascii="宋体" w:hAnsi="宋体"/>
          <w:szCs w:val="21"/>
          <w:highlight w:val="none"/>
        </w:rPr>
        <w:t>3.2.4</w:t>
      </w:r>
      <w:r>
        <w:rPr>
          <w:rFonts w:hint="eastAsia" w:ascii="宋体" w:hAnsi="宋体"/>
          <w:szCs w:val="21"/>
          <w:highlight w:val="none"/>
        </w:rPr>
        <w:t>招标人设有最高投标限价的，投标人的投标报价不得超过最高投标限价，最高投标限价在投标人须知前附表中载明。</w:t>
      </w:r>
    </w:p>
    <w:p w14:paraId="6241FF7E">
      <w:pPr>
        <w:pStyle w:val="13"/>
        <w:kinsoku w:val="0"/>
        <w:overflowPunct w:val="0"/>
        <w:spacing w:line="288" w:lineRule="auto"/>
        <w:ind w:firstLine="420" w:firstLineChars="200"/>
        <w:rPr>
          <w:rFonts w:ascii="宋体" w:hAnsi="宋体"/>
          <w:szCs w:val="21"/>
          <w:highlight w:val="none"/>
        </w:rPr>
      </w:pPr>
      <w:r>
        <w:rPr>
          <w:rFonts w:ascii="宋体" w:hAnsi="宋体"/>
          <w:szCs w:val="21"/>
          <w:highlight w:val="none"/>
        </w:rPr>
        <w:t>3.2.5</w:t>
      </w:r>
      <w:r>
        <w:rPr>
          <w:rFonts w:hint="eastAsia" w:ascii="宋体" w:hAnsi="宋体"/>
          <w:szCs w:val="21"/>
          <w:highlight w:val="none"/>
        </w:rPr>
        <w:t>投标报价的其他要求见投标人须知前附表。</w:t>
      </w:r>
    </w:p>
    <w:p w14:paraId="582A85CE">
      <w:pPr>
        <w:pStyle w:val="13"/>
        <w:kinsoku w:val="0"/>
        <w:overflowPunct w:val="0"/>
        <w:spacing w:line="288" w:lineRule="auto"/>
        <w:ind w:firstLine="420" w:firstLineChars="200"/>
        <w:rPr>
          <w:rFonts w:ascii="宋体" w:hAnsi="宋体"/>
          <w:szCs w:val="21"/>
          <w:highlight w:val="none"/>
        </w:rPr>
      </w:pPr>
    </w:p>
    <w:p w14:paraId="3369EB0A">
      <w:pPr>
        <w:pStyle w:val="7"/>
        <w:rPr>
          <w:highlight w:val="none"/>
        </w:rPr>
      </w:pPr>
      <w:bookmarkStart w:id="63" w:name="bookmark41"/>
      <w:bookmarkEnd w:id="63"/>
      <w:r>
        <w:rPr>
          <w:highlight w:val="none"/>
        </w:rPr>
        <w:t xml:space="preserve">3.3 </w:t>
      </w:r>
      <w:r>
        <w:rPr>
          <w:rFonts w:hint="eastAsia"/>
          <w:highlight w:val="none"/>
        </w:rPr>
        <w:t>投标有效期</w:t>
      </w:r>
    </w:p>
    <w:p w14:paraId="0B345AC4">
      <w:pPr>
        <w:pStyle w:val="13"/>
        <w:kinsoku w:val="0"/>
        <w:overflowPunct w:val="0"/>
        <w:spacing w:line="288" w:lineRule="auto"/>
        <w:ind w:firstLine="420" w:firstLineChars="200"/>
        <w:rPr>
          <w:rFonts w:ascii="宋体" w:hAnsi="宋体"/>
          <w:szCs w:val="21"/>
          <w:highlight w:val="none"/>
        </w:rPr>
      </w:pPr>
      <w:r>
        <w:rPr>
          <w:rFonts w:ascii="宋体" w:hAnsi="宋体"/>
          <w:szCs w:val="21"/>
          <w:highlight w:val="none"/>
        </w:rPr>
        <w:t>3.3.1</w:t>
      </w:r>
      <w:r>
        <w:rPr>
          <w:rFonts w:hint="eastAsia" w:ascii="宋体" w:hAnsi="宋体"/>
          <w:szCs w:val="21"/>
          <w:highlight w:val="none"/>
        </w:rPr>
        <w:t>除投标人须知前附表另有规定外，投标有效期为</w:t>
      </w:r>
      <w:r>
        <w:rPr>
          <w:rFonts w:ascii="宋体" w:hAnsi="宋体"/>
          <w:szCs w:val="21"/>
          <w:highlight w:val="none"/>
        </w:rPr>
        <w:t>90</w:t>
      </w:r>
      <w:r>
        <w:rPr>
          <w:rFonts w:hint="eastAsia" w:ascii="宋体" w:hAnsi="宋体"/>
          <w:szCs w:val="21"/>
          <w:highlight w:val="none"/>
        </w:rPr>
        <w:t>天。</w:t>
      </w:r>
    </w:p>
    <w:p w14:paraId="0F1245C3">
      <w:pPr>
        <w:pStyle w:val="13"/>
        <w:kinsoku w:val="0"/>
        <w:overflowPunct w:val="0"/>
        <w:spacing w:line="288" w:lineRule="auto"/>
        <w:ind w:firstLine="420" w:firstLineChars="200"/>
        <w:rPr>
          <w:rFonts w:ascii="宋体" w:hAnsi="宋体"/>
          <w:szCs w:val="21"/>
          <w:highlight w:val="none"/>
        </w:rPr>
      </w:pPr>
      <w:r>
        <w:rPr>
          <w:rFonts w:ascii="宋体" w:hAnsi="宋体"/>
          <w:szCs w:val="21"/>
          <w:highlight w:val="none"/>
        </w:rPr>
        <w:t>3.3.2</w:t>
      </w:r>
      <w:r>
        <w:rPr>
          <w:rFonts w:hint="eastAsia" w:ascii="宋体" w:hAnsi="宋体"/>
          <w:szCs w:val="21"/>
          <w:highlight w:val="none"/>
        </w:rPr>
        <w:t>在投标有效期内，投标人撤销投标文件的，应承担招标文件和法律规定的责任。</w:t>
      </w:r>
    </w:p>
    <w:p w14:paraId="4ACE379D">
      <w:pPr>
        <w:pStyle w:val="13"/>
        <w:kinsoku w:val="0"/>
        <w:overflowPunct w:val="0"/>
        <w:spacing w:line="288" w:lineRule="auto"/>
        <w:ind w:firstLine="420" w:firstLineChars="200"/>
        <w:rPr>
          <w:rFonts w:ascii="宋体" w:hAnsi="宋体"/>
          <w:szCs w:val="21"/>
          <w:highlight w:val="none"/>
        </w:rPr>
      </w:pPr>
    </w:p>
    <w:p w14:paraId="1EEE7FDD">
      <w:pPr>
        <w:pStyle w:val="7"/>
        <w:rPr>
          <w:highlight w:val="none"/>
        </w:rPr>
      </w:pPr>
      <w:bookmarkStart w:id="64" w:name="bookmark42"/>
      <w:bookmarkEnd w:id="64"/>
      <w:r>
        <w:rPr>
          <w:highlight w:val="none"/>
        </w:rPr>
        <w:t xml:space="preserve">3.4 </w:t>
      </w:r>
      <w:r>
        <w:rPr>
          <w:rFonts w:hint="eastAsia"/>
          <w:highlight w:val="none"/>
        </w:rPr>
        <w:t>投标保证金</w:t>
      </w:r>
    </w:p>
    <w:p w14:paraId="21FB7FDC">
      <w:pPr>
        <w:pStyle w:val="13"/>
        <w:kinsoku w:val="0"/>
        <w:overflowPunct w:val="0"/>
        <w:spacing w:line="288" w:lineRule="auto"/>
        <w:ind w:firstLine="420" w:firstLineChars="200"/>
        <w:rPr>
          <w:rFonts w:hint="eastAsia" w:ascii="宋体" w:hAnsi="宋体"/>
          <w:szCs w:val="21"/>
          <w:highlight w:val="none"/>
        </w:rPr>
      </w:pPr>
      <w:r>
        <w:rPr>
          <w:rFonts w:ascii="宋体" w:hAnsi="宋体"/>
          <w:szCs w:val="21"/>
          <w:highlight w:val="none"/>
        </w:rPr>
        <w:t>3.4.1</w:t>
      </w:r>
      <w:bookmarkStart w:id="65" w:name="bookmark43"/>
      <w:bookmarkEnd w:id="65"/>
      <w:r>
        <w:rPr>
          <w:rFonts w:hint="eastAsia" w:ascii="宋体" w:hAnsi="宋体"/>
          <w:szCs w:val="21"/>
          <w:highlight w:val="none"/>
        </w:rPr>
        <w:t xml:space="preserve"> 不要求投标人递交投标保证金</w:t>
      </w:r>
    </w:p>
    <w:p w14:paraId="25D45F42">
      <w:pPr>
        <w:pStyle w:val="13"/>
        <w:kinsoku w:val="0"/>
        <w:overflowPunct w:val="0"/>
        <w:spacing w:line="288" w:lineRule="auto"/>
        <w:ind w:firstLine="420" w:firstLineChars="200"/>
        <w:rPr>
          <w:rFonts w:ascii="宋体" w:hAnsi="宋体"/>
          <w:szCs w:val="21"/>
          <w:highlight w:val="none"/>
        </w:rPr>
      </w:pPr>
    </w:p>
    <w:p w14:paraId="57D6740C">
      <w:pPr>
        <w:pStyle w:val="7"/>
        <w:rPr>
          <w:highlight w:val="none"/>
        </w:rPr>
      </w:pPr>
      <w:bookmarkStart w:id="66" w:name="bookmark44"/>
      <w:bookmarkEnd w:id="66"/>
      <w:r>
        <w:rPr>
          <w:highlight w:val="none"/>
        </w:rPr>
        <w:t xml:space="preserve">3.5 </w:t>
      </w:r>
      <w:r>
        <w:rPr>
          <w:rFonts w:hint="eastAsia"/>
          <w:highlight w:val="none"/>
        </w:rPr>
        <w:t>资格审查资料</w:t>
      </w:r>
    </w:p>
    <w:p w14:paraId="3B6DA28B">
      <w:pPr>
        <w:pStyle w:val="13"/>
        <w:kinsoku w:val="0"/>
        <w:overflowPunct w:val="0"/>
        <w:spacing w:line="288" w:lineRule="auto"/>
        <w:ind w:firstLine="420" w:firstLineChars="200"/>
        <w:rPr>
          <w:rFonts w:ascii="宋体" w:hAnsi="宋体"/>
          <w:szCs w:val="21"/>
          <w:highlight w:val="none"/>
        </w:rPr>
      </w:pPr>
      <w:bookmarkStart w:id="67" w:name="bookmark45"/>
      <w:bookmarkEnd w:id="67"/>
      <w:r>
        <w:rPr>
          <w:rFonts w:hint="eastAsia" w:ascii="宋体" w:hAnsi="宋体"/>
          <w:szCs w:val="21"/>
          <w:highlight w:val="none"/>
        </w:rPr>
        <w:t>除投标人须知前附表另有规定外，投标人应按下列规定提供资格审查资料，以证明其满足本章第</w:t>
      </w:r>
      <w:r>
        <w:rPr>
          <w:rFonts w:ascii="宋体" w:hAnsi="宋体"/>
          <w:szCs w:val="21"/>
          <w:highlight w:val="none"/>
        </w:rPr>
        <w:t>1.4</w:t>
      </w:r>
      <w:r>
        <w:rPr>
          <w:rFonts w:hint="eastAsia" w:ascii="宋体" w:hAnsi="宋体"/>
          <w:szCs w:val="21"/>
          <w:highlight w:val="none"/>
        </w:rPr>
        <w:t>款规定的资质、财务、业绩、信誉等要求。</w:t>
      </w:r>
    </w:p>
    <w:p w14:paraId="2F32AD63">
      <w:pPr>
        <w:pStyle w:val="13"/>
        <w:kinsoku w:val="0"/>
        <w:overflowPunct w:val="0"/>
        <w:spacing w:line="288" w:lineRule="auto"/>
        <w:ind w:firstLine="420" w:firstLineChars="200"/>
        <w:rPr>
          <w:rFonts w:ascii="宋体" w:hAnsi="宋体"/>
          <w:szCs w:val="21"/>
          <w:highlight w:val="none"/>
        </w:rPr>
      </w:pPr>
      <w:r>
        <w:rPr>
          <w:rFonts w:ascii="宋体" w:hAnsi="宋体"/>
          <w:szCs w:val="21"/>
          <w:highlight w:val="none"/>
        </w:rPr>
        <w:t>3.5.1</w:t>
      </w:r>
      <w:r>
        <w:rPr>
          <w:rFonts w:hint="eastAsia" w:ascii="宋体" w:hAnsi="宋体"/>
          <w:szCs w:val="21"/>
          <w:highlight w:val="none"/>
        </w:rPr>
        <w:t>“投标人基本情况表”应附检测投标单位的营业执照副本或事业单位法人证书副本、建设行政主管部门颁发的建设工程质量检测机构资质证书、</w:t>
      </w:r>
      <w:r>
        <w:rPr>
          <w:rFonts w:ascii="宋体" w:hAnsi="宋体"/>
          <w:szCs w:val="21"/>
          <w:highlight w:val="none"/>
        </w:rPr>
        <w:t>CMA</w:t>
      </w:r>
      <w:r>
        <w:rPr>
          <w:rFonts w:hint="eastAsia" w:ascii="宋体" w:hAnsi="宋体"/>
          <w:szCs w:val="21"/>
          <w:highlight w:val="none"/>
        </w:rPr>
        <w:t>计量认证合格证书以及其他相关资料。</w:t>
      </w:r>
    </w:p>
    <w:p w14:paraId="100E4D60">
      <w:pPr>
        <w:pStyle w:val="13"/>
        <w:kinsoku w:val="0"/>
        <w:overflowPunct w:val="0"/>
        <w:spacing w:line="288" w:lineRule="auto"/>
        <w:ind w:firstLine="420" w:firstLineChars="200"/>
        <w:rPr>
          <w:rFonts w:ascii="宋体" w:hAnsi="宋体"/>
          <w:szCs w:val="21"/>
          <w:highlight w:val="none"/>
        </w:rPr>
      </w:pPr>
      <w:r>
        <w:rPr>
          <w:rFonts w:hint="eastAsia" w:ascii="宋体" w:hAnsi="宋体"/>
          <w:szCs w:val="21"/>
          <w:highlight w:val="none"/>
        </w:rPr>
        <w:t>3.5.2其他满足本章第</w:t>
      </w:r>
      <w:r>
        <w:rPr>
          <w:rFonts w:ascii="宋体" w:hAnsi="宋体"/>
          <w:szCs w:val="21"/>
          <w:highlight w:val="none"/>
        </w:rPr>
        <w:t>1.4.1</w:t>
      </w:r>
      <w:r>
        <w:rPr>
          <w:rFonts w:hint="eastAsia" w:ascii="宋体" w:hAnsi="宋体"/>
          <w:szCs w:val="21"/>
          <w:highlight w:val="none"/>
        </w:rPr>
        <w:t>项规定的要求的相关资料。</w:t>
      </w:r>
    </w:p>
    <w:p w14:paraId="6F06C7B7">
      <w:pPr>
        <w:rPr>
          <w:rFonts w:ascii="宋体" w:hAnsi="宋体"/>
          <w:highlight w:val="none"/>
        </w:rPr>
      </w:pPr>
    </w:p>
    <w:p w14:paraId="5F2AE730">
      <w:pPr>
        <w:pStyle w:val="7"/>
        <w:rPr>
          <w:highlight w:val="none"/>
        </w:rPr>
      </w:pPr>
      <w:r>
        <w:rPr>
          <w:highlight w:val="none"/>
        </w:rPr>
        <w:t xml:space="preserve">3.6 </w:t>
      </w:r>
      <w:r>
        <w:rPr>
          <w:rFonts w:hint="eastAsia"/>
          <w:highlight w:val="none"/>
        </w:rPr>
        <w:t>备选投标方案</w:t>
      </w:r>
    </w:p>
    <w:p w14:paraId="671A8E99">
      <w:pPr>
        <w:pStyle w:val="13"/>
        <w:kinsoku w:val="0"/>
        <w:overflowPunct w:val="0"/>
        <w:spacing w:line="288" w:lineRule="auto"/>
        <w:ind w:firstLine="420" w:firstLineChars="200"/>
        <w:rPr>
          <w:rFonts w:ascii="宋体" w:hAnsi="宋体"/>
          <w:szCs w:val="21"/>
          <w:highlight w:val="none"/>
        </w:rPr>
      </w:pPr>
      <w:r>
        <w:rPr>
          <w:rFonts w:ascii="宋体" w:hAnsi="宋体"/>
          <w:szCs w:val="21"/>
          <w:highlight w:val="none"/>
        </w:rPr>
        <w:t>3.6.1</w:t>
      </w:r>
      <w:r>
        <w:rPr>
          <w:rFonts w:hint="eastAsia" w:ascii="宋体" w:hAnsi="宋体"/>
          <w:szCs w:val="21"/>
          <w:highlight w:val="none"/>
        </w:rPr>
        <w:t>除投标人须知前附表规定允许外，投标人不得递交备选投标方案，否则其投标将被否决。</w:t>
      </w:r>
    </w:p>
    <w:p w14:paraId="54F31CDB">
      <w:pPr>
        <w:pStyle w:val="13"/>
        <w:kinsoku w:val="0"/>
        <w:overflowPunct w:val="0"/>
        <w:spacing w:line="288" w:lineRule="auto"/>
        <w:ind w:firstLine="420" w:firstLineChars="200"/>
        <w:rPr>
          <w:rFonts w:ascii="宋体" w:hAnsi="宋体"/>
          <w:szCs w:val="21"/>
          <w:highlight w:val="none"/>
        </w:rPr>
      </w:pPr>
      <w:r>
        <w:rPr>
          <w:rFonts w:ascii="宋体" w:hAnsi="宋体"/>
          <w:szCs w:val="21"/>
          <w:highlight w:val="none"/>
        </w:rPr>
        <w:t>3.6.2</w:t>
      </w:r>
      <w:r>
        <w:rPr>
          <w:rFonts w:hint="eastAsia" w:ascii="宋体" w:hAnsi="宋体"/>
          <w:szCs w:val="21"/>
          <w:highlight w:val="none"/>
        </w:rPr>
        <w:t>允许投标人递交备选投标方案的，只有中标人所递交的备选投标方案方可予以考虑。评标委员会认为中标人的备选投标方案优于其按照招标文件要求编制的投标方案的，招标人可以接受该备选投标方案。</w:t>
      </w:r>
    </w:p>
    <w:p w14:paraId="6C13E87C">
      <w:pPr>
        <w:pStyle w:val="13"/>
        <w:kinsoku w:val="0"/>
        <w:overflowPunct w:val="0"/>
        <w:spacing w:line="288" w:lineRule="auto"/>
        <w:ind w:firstLine="420" w:firstLineChars="200"/>
        <w:rPr>
          <w:rFonts w:ascii="宋体" w:hAnsi="宋体"/>
          <w:szCs w:val="21"/>
          <w:highlight w:val="none"/>
        </w:rPr>
      </w:pPr>
      <w:r>
        <w:rPr>
          <w:rFonts w:ascii="宋体" w:hAnsi="宋体"/>
          <w:szCs w:val="21"/>
          <w:highlight w:val="none"/>
        </w:rPr>
        <w:t>3.6.3</w:t>
      </w:r>
      <w:r>
        <w:rPr>
          <w:rFonts w:hint="eastAsia" w:ascii="宋体" w:hAnsi="宋体"/>
          <w:szCs w:val="21"/>
          <w:highlight w:val="none"/>
        </w:rPr>
        <w:t>投标人提供两个或两个以上投标报价，或者在投标文件中提供一个报价，但同时提供两个或两个以上服务方案的，视为提供备选方案。</w:t>
      </w:r>
    </w:p>
    <w:p w14:paraId="41A65689">
      <w:pPr>
        <w:pStyle w:val="13"/>
        <w:kinsoku w:val="0"/>
        <w:overflowPunct w:val="0"/>
        <w:spacing w:line="288" w:lineRule="auto"/>
        <w:ind w:firstLine="420" w:firstLineChars="200"/>
        <w:rPr>
          <w:rFonts w:ascii="宋体" w:hAnsi="宋体"/>
          <w:szCs w:val="21"/>
          <w:highlight w:val="none"/>
        </w:rPr>
      </w:pPr>
    </w:p>
    <w:p w14:paraId="5296AB71">
      <w:pPr>
        <w:pStyle w:val="7"/>
        <w:rPr>
          <w:highlight w:val="none"/>
        </w:rPr>
      </w:pPr>
      <w:bookmarkStart w:id="68" w:name="bookmark46"/>
      <w:bookmarkEnd w:id="68"/>
      <w:r>
        <w:rPr>
          <w:highlight w:val="none"/>
        </w:rPr>
        <w:t xml:space="preserve">3.7 </w:t>
      </w:r>
      <w:r>
        <w:rPr>
          <w:rFonts w:hint="eastAsia"/>
          <w:highlight w:val="none"/>
        </w:rPr>
        <w:t>投标文件的编制</w:t>
      </w:r>
    </w:p>
    <w:p w14:paraId="6F000BD5">
      <w:pPr>
        <w:pStyle w:val="13"/>
        <w:kinsoku w:val="0"/>
        <w:overflowPunct w:val="0"/>
        <w:spacing w:line="288" w:lineRule="auto"/>
        <w:ind w:firstLine="420" w:firstLineChars="200"/>
        <w:rPr>
          <w:rFonts w:ascii="宋体" w:hAnsi="宋体"/>
          <w:szCs w:val="21"/>
          <w:highlight w:val="none"/>
        </w:rPr>
      </w:pPr>
      <w:r>
        <w:rPr>
          <w:rFonts w:ascii="宋体" w:hAnsi="宋体"/>
          <w:szCs w:val="21"/>
          <w:highlight w:val="none"/>
        </w:rPr>
        <w:t>3.7.1</w:t>
      </w:r>
      <w:r>
        <w:rPr>
          <w:rFonts w:hint="eastAsia" w:ascii="宋体" w:hAnsi="宋体"/>
          <w:szCs w:val="21"/>
          <w:highlight w:val="none"/>
        </w:rPr>
        <w:t>投标文件应按第六章“投标文件格式”进行编写，如有必要，可以增加附页，作为投标文件的组成部分。</w:t>
      </w:r>
    </w:p>
    <w:p w14:paraId="053B57D4">
      <w:pPr>
        <w:pStyle w:val="13"/>
        <w:kinsoku w:val="0"/>
        <w:overflowPunct w:val="0"/>
        <w:spacing w:line="288" w:lineRule="auto"/>
        <w:ind w:firstLine="420" w:firstLineChars="200"/>
        <w:rPr>
          <w:rFonts w:ascii="宋体" w:hAnsi="宋体"/>
          <w:szCs w:val="21"/>
          <w:highlight w:val="none"/>
        </w:rPr>
      </w:pPr>
      <w:r>
        <w:rPr>
          <w:rFonts w:ascii="宋体" w:hAnsi="宋体"/>
          <w:szCs w:val="21"/>
          <w:highlight w:val="none"/>
        </w:rPr>
        <w:t>3.7.2</w:t>
      </w:r>
      <w:r>
        <w:rPr>
          <w:rFonts w:hint="eastAsia" w:ascii="宋体" w:hAnsi="宋体"/>
          <w:szCs w:val="21"/>
          <w:highlight w:val="none"/>
        </w:rPr>
        <w:t>投标文件应当对招标文件有关服务期限、投标有效期、委托人要求、招标范围等实质性内容作出响应。</w:t>
      </w:r>
    </w:p>
    <w:p w14:paraId="18D62421">
      <w:pPr>
        <w:pStyle w:val="13"/>
        <w:kinsoku w:val="0"/>
        <w:overflowPunct w:val="0"/>
        <w:spacing w:line="288" w:lineRule="auto"/>
        <w:ind w:firstLine="420" w:firstLineChars="200"/>
        <w:rPr>
          <w:rFonts w:ascii="宋体" w:hAnsi="宋体"/>
          <w:szCs w:val="21"/>
          <w:highlight w:val="none"/>
        </w:rPr>
      </w:pPr>
      <w:r>
        <w:rPr>
          <w:rFonts w:ascii="宋体" w:hAnsi="宋体"/>
          <w:szCs w:val="21"/>
          <w:highlight w:val="none"/>
        </w:rPr>
        <w:t>3.7.3</w:t>
      </w:r>
      <w:r>
        <w:rPr>
          <w:rFonts w:hint="eastAsia" w:ascii="宋体" w:hAnsi="宋体"/>
          <w:szCs w:val="21"/>
          <w:highlight w:val="none"/>
        </w:rPr>
        <w:t>投标文件全部采用电子文档，除投标人须知前附表另有规定外，投标文件所附证书证件均为原件扫描件，并采用单位和个人数字证书，按招标文件要求在相应位置加盖电子印章。由投标人的法定代表人签字或加盖电子印章的，应附法定代表人身份证明，由代理人签字或加盖电子印章的，应附由法定代表人签署的授权委托书。签字或盖章的具体要求见投标人须知前附表。</w:t>
      </w:r>
    </w:p>
    <w:p w14:paraId="240AF819">
      <w:pPr>
        <w:pStyle w:val="5"/>
        <w:rPr>
          <w:highlight w:val="none"/>
        </w:rPr>
      </w:pPr>
      <w:bookmarkStart w:id="69" w:name="_Toc533357311"/>
      <w:bookmarkStart w:id="70" w:name="_Toc103592012"/>
    </w:p>
    <w:p w14:paraId="62EC13AA">
      <w:pPr>
        <w:pStyle w:val="5"/>
        <w:rPr>
          <w:highlight w:val="none"/>
        </w:rPr>
      </w:pPr>
      <w:r>
        <w:rPr>
          <w:highlight w:val="none"/>
        </w:rPr>
        <w:t xml:space="preserve">4. </w:t>
      </w:r>
      <w:r>
        <w:rPr>
          <w:rFonts w:hint="eastAsia"/>
          <w:highlight w:val="none"/>
        </w:rPr>
        <w:t>投标</w:t>
      </w:r>
      <w:bookmarkEnd w:id="69"/>
      <w:bookmarkEnd w:id="70"/>
    </w:p>
    <w:p w14:paraId="7B726FD8">
      <w:pPr>
        <w:pStyle w:val="7"/>
        <w:ind w:firstLine="420"/>
        <w:rPr>
          <w:highlight w:val="none"/>
        </w:rPr>
      </w:pPr>
      <w:bookmarkStart w:id="71" w:name="bookmark48"/>
      <w:bookmarkEnd w:id="71"/>
      <w:r>
        <w:rPr>
          <w:highlight w:val="none"/>
        </w:rPr>
        <w:t xml:space="preserve">4.1 </w:t>
      </w:r>
      <w:r>
        <w:rPr>
          <w:rFonts w:hint="eastAsia"/>
          <w:highlight w:val="none"/>
        </w:rPr>
        <w:t>投标文件的密封和标记</w:t>
      </w:r>
    </w:p>
    <w:p w14:paraId="5C44E28A">
      <w:pPr>
        <w:pStyle w:val="13"/>
        <w:kinsoku w:val="0"/>
        <w:overflowPunct w:val="0"/>
        <w:spacing w:line="288" w:lineRule="auto"/>
        <w:ind w:firstLine="420" w:firstLineChars="200"/>
        <w:rPr>
          <w:rFonts w:ascii="宋体" w:hAnsi="宋体"/>
          <w:szCs w:val="21"/>
          <w:highlight w:val="none"/>
        </w:rPr>
      </w:pPr>
      <w:r>
        <w:rPr>
          <w:rFonts w:ascii="宋体" w:hAnsi="宋体"/>
          <w:szCs w:val="21"/>
          <w:highlight w:val="none"/>
        </w:rPr>
        <w:t>4.1.1</w:t>
      </w:r>
      <w:r>
        <w:rPr>
          <w:rFonts w:hint="eastAsia" w:ascii="宋体" w:hAnsi="宋体"/>
          <w:szCs w:val="21"/>
          <w:highlight w:val="none"/>
        </w:rPr>
        <w:t>投标人应当按照招标文件和电子招标投标交易平台的要求加密投标文件，具体要求见投标人须知前附表。</w:t>
      </w:r>
    </w:p>
    <w:p w14:paraId="0B095581">
      <w:pPr>
        <w:pStyle w:val="13"/>
        <w:kinsoku w:val="0"/>
        <w:overflowPunct w:val="0"/>
        <w:spacing w:line="288" w:lineRule="auto"/>
        <w:ind w:firstLine="420" w:firstLineChars="200"/>
        <w:rPr>
          <w:rFonts w:ascii="宋体" w:hAnsi="宋体"/>
          <w:szCs w:val="21"/>
          <w:highlight w:val="none"/>
        </w:rPr>
      </w:pPr>
      <w:r>
        <w:rPr>
          <w:rFonts w:ascii="宋体" w:hAnsi="宋体"/>
          <w:szCs w:val="21"/>
          <w:highlight w:val="none"/>
        </w:rPr>
        <w:t>4.1.2</w:t>
      </w:r>
      <w:r>
        <w:rPr>
          <w:rFonts w:hint="eastAsia" w:ascii="宋体" w:hAnsi="宋体"/>
          <w:szCs w:val="21"/>
          <w:highlight w:val="none"/>
        </w:rPr>
        <w:t>投标文件封套上应写明的内容见投标人须知前附表。</w:t>
      </w:r>
    </w:p>
    <w:p w14:paraId="7BBD1646">
      <w:pPr>
        <w:pStyle w:val="13"/>
        <w:kinsoku w:val="0"/>
        <w:overflowPunct w:val="0"/>
        <w:spacing w:line="288" w:lineRule="auto"/>
        <w:ind w:firstLine="420" w:firstLineChars="200"/>
        <w:rPr>
          <w:rFonts w:ascii="宋体" w:hAnsi="宋体"/>
          <w:strike/>
          <w:szCs w:val="21"/>
          <w:highlight w:val="none"/>
        </w:rPr>
      </w:pPr>
      <w:r>
        <w:rPr>
          <w:rFonts w:ascii="宋体" w:hAnsi="宋体"/>
          <w:strike/>
          <w:szCs w:val="21"/>
          <w:highlight w:val="none"/>
        </w:rPr>
        <w:t>4.1.3</w:t>
      </w:r>
      <w:r>
        <w:rPr>
          <w:rFonts w:hint="eastAsia" w:ascii="宋体" w:hAnsi="宋体"/>
          <w:strike/>
          <w:szCs w:val="21"/>
          <w:highlight w:val="none"/>
        </w:rPr>
        <w:t>未按本章第</w:t>
      </w:r>
      <w:r>
        <w:rPr>
          <w:rFonts w:ascii="宋体" w:hAnsi="宋体"/>
          <w:strike/>
          <w:szCs w:val="21"/>
          <w:highlight w:val="none"/>
        </w:rPr>
        <w:t>4.1.1</w:t>
      </w:r>
      <w:r>
        <w:rPr>
          <w:rFonts w:hint="eastAsia" w:ascii="宋体" w:hAnsi="宋体"/>
          <w:strike/>
          <w:szCs w:val="21"/>
          <w:highlight w:val="none"/>
        </w:rPr>
        <w:t>项要求密封的投标文件，招标人将予以拒收。</w:t>
      </w:r>
    </w:p>
    <w:p w14:paraId="4163C2C5">
      <w:pPr>
        <w:pStyle w:val="13"/>
        <w:kinsoku w:val="0"/>
        <w:overflowPunct w:val="0"/>
        <w:spacing w:line="288" w:lineRule="auto"/>
        <w:ind w:firstLine="420" w:firstLineChars="200"/>
        <w:rPr>
          <w:rFonts w:ascii="宋体" w:hAnsi="宋体"/>
          <w:szCs w:val="21"/>
          <w:highlight w:val="none"/>
        </w:rPr>
      </w:pPr>
    </w:p>
    <w:p w14:paraId="34F2BC06">
      <w:pPr>
        <w:pStyle w:val="7"/>
        <w:rPr>
          <w:highlight w:val="none"/>
        </w:rPr>
      </w:pPr>
      <w:bookmarkStart w:id="72" w:name="bookmark49"/>
      <w:bookmarkEnd w:id="72"/>
      <w:r>
        <w:rPr>
          <w:highlight w:val="none"/>
        </w:rPr>
        <w:t xml:space="preserve">4.2 </w:t>
      </w:r>
      <w:r>
        <w:rPr>
          <w:rFonts w:hint="eastAsia"/>
          <w:highlight w:val="none"/>
        </w:rPr>
        <w:t>投标文件的递交</w:t>
      </w:r>
    </w:p>
    <w:p w14:paraId="3B61E3FB">
      <w:pPr>
        <w:pStyle w:val="13"/>
        <w:kinsoku w:val="0"/>
        <w:overflowPunct w:val="0"/>
        <w:spacing w:line="288" w:lineRule="auto"/>
        <w:ind w:firstLine="420" w:firstLineChars="200"/>
        <w:rPr>
          <w:rFonts w:ascii="宋体" w:hAnsi="宋体"/>
          <w:szCs w:val="21"/>
          <w:highlight w:val="none"/>
        </w:rPr>
      </w:pPr>
      <w:r>
        <w:rPr>
          <w:rFonts w:ascii="宋体" w:hAnsi="宋体"/>
          <w:szCs w:val="21"/>
          <w:highlight w:val="none"/>
        </w:rPr>
        <w:t>4.2.1</w:t>
      </w:r>
      <w:r>
        <w:rPr>
          <w:rFonts w:hint="eastAsia" w:ascii="宋体" w:hAnsi="宋体"/>
          <w:szCs w:val="21"/>
          <w:highlight w:val="none"/>
        </w:rPr>
        <w:t>投标人应在投标人须知前附表规定的投标截止时间前递交投标文件。</w:t>
      </w:r>
    </w:p>
    <w:p w14:paraId="40209865">
      <w:pPr>
        <w:pStyle w:val="13"/>
        <w:kinsoku w:val="0"/>
        <w:overflowPunct w:val="0"/>
        <w:spacing w:line="288" w:lineRule="auto"/>
        <w:ind w:firstLine="420" w:firstLineChars="200"/>
        <w:rPr>
          <w:rFonts w:ascii="宋体" w:hAnsi="宋体"/>
          <w:szCs w:val="21"/>
          <w:highlight w:val="none"/>
        </w:rPr>
      </w:pPr>
      <w:r>
        <w:rPr>
          <w:rFonts w:ascii="宋体" w:hAnsi="宋体"/>
          <w:szCs w:val="21"/>
          <w:highlight w:val="none"/>
        </w:rPr>
        <w:t>4.2.2</w:t>
      </w:r>
      <w:r>
        <w:rPr>
          <w:rFonts w:hint="eastAsia" w:ascii="宋体" w:hAnsi="宋体"/>
          <w:szCs w:val="21"/>
          <w:highlight w:val="none"/>
        </w:rPr>
        <w:t>投标人通过下载招标文件的电子招标投标交易平台递交电子投标文件。</w:t>
      </w:r>
    </w:p>
    <w:p w14:paraId="7B1A6885">
      <w:pPr>
        <w:pStyle w:val="13"/>
        <w:kinsoku w:val="0"/>
        <w:overflowPunct w:val="0"/>
        <w:spacing w:line="288" w:lineRule="auto"/>
        <w:ind w:firstLine="420" w:firstLineChars="200"/>
        <w:rPr>
          <w:rFonts w:ascii="宋体" w:hAnsi="宋体"/>
          <w:szCs w:val="21"/>
          <w:highlight w:val="none"/>
        </w:rPr>
      </w:pPr>
      <w:r>
        <w:rPr>
          <w:rFonts w:ascii="宋体" w:hAnsi="宋体"/>
          <w:szCs w:val="21"/>
          <w:highlight w:val="none"/>
        </w:rPr>
        <w:t>4.2.3</w:t>
      </w:r>
      <w:r>
        <w:rPr>
          <w:rFonts w:hint="eastAsia" w:ascii="宋体" w:hAnsi="宋体"/>
          <w:szCs w:val="21"/>
          <w:highlight w:val="none"/>
        </w:rPr>
        <w:t>除投标人须知前附表另有规定外，投标人所递交的投标文件不予退还。</w:t>
      </w:r>
    </w:p>
    <w:p w14:paraId="2E672FA8">
      <w:pPr>
        <w:pStyle w:val="13"/>
        <w:kinsoku w:val="0"/>
        <w:overflowPunct w:val="0"/>
        <w:spacing w:line="288" w:lineRule="auto"/>
        <w:ind w:firstLine="420" w:firstLineChars="200"/>
        <w:rPr>
          <w:rFonts w:ascii="宋体" w:hAnsi="宋体"/>
          <w:szCs w:val="21"/>
          <w:highlight w:val="none"/>
        </w:rPr>
      </w:pPr>
      <w:r>
        <w:rPr>
          <w:rFonts w:ascii="宋体" w:hAnsi="宋体"/>
          <w:szCs w:val="21"/>
          <w:highlight w:val="none"/>
        </w:rPr>
        <w:t>4.2.4</w:t>
      </w:r>
      <w:r>
        <w:rPr>
          <w:rFonts w:hint="eastAsia" w:ascii="宋体" w:hAnsi="宋体"/>
          <w:szCs w:val="21"/>
          <w:highlight w:val="none"/>
        </w:rPr>
        <w:t>投标人完成电子投标文件上传后，电子招标投标交易平台即时向投标人发出递交回执通知。递交时间以递交回执通知载明的传输完成时间为准。</w:t>
      </w:r>
    </w:p>
    <w:p w14:paraId="6F9B2ADC">
      <w:pPr>
        <w:pStyle w:val="13"/>
        <w:kinsoku w:val="0"/>
        <w:overflowPunct w:val="0"/>
        <w:spacing w:line="288" w:lineRule="auto"/>
        <w:ind w:firstLine="420" w:firstLineChars="200"/>
        <w:rPr>
          <w:rFonts w:ascii="宋体" w:hAnsi="宋体"/>
          <w:szCs w:val="21"/>
          <w:highlight w:val="none"/>
        </w:rPr>
      </w:pPr>
      <w:r>
        <w:rPr>
          <w:rFonts w:ascii="宋体" w:hAnsi="宋体"/>
          <w:szCs w:val="21"/>
          <w:highlight w:val="none"/>
        </w:rPr>
        <w:t>4.2.5</w:t>
      </w:r>
      <w:r>
        <w:rPr>
          <w:rFonts w:hint="eastAsia" w:ascii="宋体" w:hAnsi="宋体"/>
          <w:szCs w:val="21"/>
          <w:highlight w:val="none"/>
        </w:rPr>
        <w:t>逾期送达的投标文件，电子招标投标交易平台将予以拒收。</w:t>
      </w:r>
      <w:bookmarkStart w:id="73" w:name="bookmark50"/>
      <w:bookmarkEnd w:id="73"/>
    </w:p>
    <w:p w14:paraId="55351A6F">
      <w:pPr>
        <w:pStyle w:val="13"/>
        <w:kinsoku w:val="0"/>
        <w:overflowPunct w:val="0"/>
        <w:spacing w:line="288" w:lineRule="auto"/>
        <w:ind w:firstLine="420" w:firstLineChars="200"/>
        <w:rPr>
          <w:rFonts w:ascii="宋体" w:hAnsi="宋体"/>
          <w:szCs w:val="21"/>
          <w:highlight w:val="none"/>
        </w:rPr>
      </w:pPr>
    </w:p>
    <w:p w14:paraId="0E3C2460">
      <w:pPr>
        <w:pStyle w:val="7"/>
        <w:rPr>
          <w:highlight w:val="none"/>
        </w:rPr>
      </w:pPr>
      <w:r>
        <w:rPr>
          <w:highlight w:val="none"/>
        </w:rPr>
        <w:t xml:space="preserve">4.3 </w:t>
      </w:r>
      <w:r>
        <w:rPr>
          <w:rFonts w:hint="eastAsia"/>
          <w:highlight w:val="none"/>
        </w:rPr>
        <w:t>投标文件的修改与撤回</w:t>
      </w:r>
    </w:p>
    <w:p w14:paraId="311DDDA0">
      <w:pPr>
        <w:pStyle w:val="13"/>
        <w:kinsoku w:val="0"/>
        <w:overflowPunct w:val="0"/>
        <w:spacing w:line="288" w:lineRule="auto"/>
        <w:ind w:firstLine="420" w:firstLineChars="200"/>
        <w:rPr>
          <w:rFonts w:ascii="宋体" w:hAnsi="宋体"/>
          <w:szCs w:val="21"/>
          <w:highlight w:val="none"/>
        </w:rPr>
      </w:pPr>
      <w:r>
        <w:rPr>
          <w:rFonts w:ascii="宋体" w:hAnsi="宋体"/>
          <w:szCs w:val="21"/>
          <w:highlight w:val="none"/>
        </w:rPr>
        <w:t>4.3.1</w:t>
      </w:r>
      <w:r>
        <w:rPr>
          <w:rFonts w:hint="eastAsia" w:ascii="宋体" w:hAnsi="宋体"/>
          <w:szCs w:val="21"/>
          <w:highlight w:val="none"/>
        </w:rPr>
        <w:t>在本章第</w:t>
      </w:r>
      <w:r>
        <w:rPr>
          <w:rFonts w:ascii="宋体" w:hAnsi="宋体"/>
          <w:szCs w:val="21"/>
          <w:highlight w:val="none"/>
        </w:rPr>
        <w:t>4.2.1</w:t>
      </w:r>
      <w:r>
        <w:rPr>
          <w:rFonts w:hint="eastAsia" w:ascii="宋体" w:hAnsi="宋体"/>
          <w:szCs w:val="21"/>
          <w:highlight w:val="none"/>
        </w:rPr>
        <w:t>项规定的投标截止时间前，投标人可以修改或撤回已递交的投标文件，但应以书面形式通知招标人。</w:t>
      </w:r>
    </w:p>
    <w:p w14:paraId="5ACE9B44">
      <w:pPr>
        <w:pStyle w:val="13"/>
        <w:kinsoku w:val="0"/>
        <w:overflowPunct w:val="0"/>
        <w:spacing w:line="288" w:lineRule="auto"/>
        <w:ind w:firstLine="420" w:firstLineChars="200"/>
        <w:rPr>
          <w:rFonts w:ascii="宋体" w:hAnsi="宋体"/>
          <w:szCs w:val="21"/>
          <w:highlight w:val="none"/>
        </w:rPr>
      </w:pPr>
      <w:r>
        <w:rPr>
          <w:rFonts w:ascii="宋体" w:hAnsi="宋体"/>
          <w:szCs w:val="21"/>
          <w:highlight w:val="none"/>
        </w:rPr>
        <w:t>4.3.2</w:t>
      </w:r>
      <w:r>
        <w:rPr>
          <w:rFonts w:hint="eastAsia" w:ascii="宋体" w:hAnsi="宋体"/>
          <w:szCs w:val="21"/>
          <w:highlight w:val="none"/>
        </w:rPr>
        <w:t>投标人修改或撤回已递交投标文件的通知，应按照本章第</w:t>
      </w:r>
      <w:r>
        <w:rPr>
          <w:rFonts w:ascii="宋体" w:hAnsi="宋体"/>
          <w:szCs w:val="21"/>
          <w:highlight w:val="none"/>
        </w:rPr>
        <w:t>3.7.3</w:t>
      </w:r>
      <w:r>
        <w:rPr>
          <w:rFonts w:hint="eastAsia" w:ascii="宋体" w:hAnsi="宋体"/>
          <w:szCs w:val="21"/>
          <w:highlight w:val="none"/>
        </w:rPr>
        <w:t>项的要求加盖电子印章。电子招标投标交易平台收到通知后，即时向投标人发出确认回执通知。</w:t>
      </w:r>
    </w:p>
    <w:p w14:paraId="5439E1C4">
      <w:pPr>
        <w:pStyle w:val="13"/>
        <w:kinsoku w:val="0"/>
        <w:overflowPunct w:val="0"/>
        <w:spacing w:line="288" w:lineRule="auto"/>
        <w:ind w:firstLine="420" w:firstLineChars="200"/>
        <w:rPr>
          <w:rFonts w:ascii="宋体" w:hAnsi="宋体"/>
          <w:strike/>
          <w:dstrike w:val="0"/>
          <w:sz w:val="21"/>
          <w:szCs w:val="21"/>
          <w:highlight w:val="none"/>
        </w:rPr>
      </w:pPr>
      <w:r>
        <w:rPr>
          <w:rFonts w:ascii="宋体" w:hAnsi="宋体"/>
          <w:strike/>
          <w:dstrike w:val="0"/>
          <w:sz w:val="21"/>
          <w:szCs w:val="21"/>
          <w:highlight w:val="none"/>
        </w:rPr>
        <w:t>4.3.3</w:t>
      </w:r>
      <w:r>
        <w:rPr>
          <w:rFonts w:hint="eastAsia" w:ascii="宋体" w:hAnsi="宋体"/>
          <w:strike/>
          <w:dstrike w:val="0"/>
          <w:sz w:val="21"/>
          <w:szCs w:val="21"/>
          <w:highlight w:val="none"/>
        </w:rPr>
        <w:t>投标人撤回投标文件的，招标人自收到投标人书面撤回通知之日起</w:t>
      </w:r>
      <w:r>
        <w:rPr>
          <w:rFonts w:ascii="宋体" w:hAnsi="宋体"/>
          <w:strike/>
          <w:dstrike w:val="0"/>
          <w:sz w:val="21"/>
          <w:szCs w:val="21"/>
          <w:highlight w:val="none"/>
        </w:rPr>
        <w:t>5</w:t>
      </w:r>
      <w:r>
        <w:rPr>
          <w:rFonts w:hint="eastAsia" w:ascii="宋体" w:hAnsi="宋体"/>
          <w:strike/>
          <w:dstrike w:val="0"/>
          <w:sz w:val="21"/>
          <w:szCs w:val="21"/>
          <w:highlight w:val="none"/>
        </w:rPr>
        <w:t>日内退还已收取的投标保证金。</w:t>
      </w:r>
    </w:p>
    <w:p w14:paraId="3727FA11">
      <w:pPr>
        <w:pStyle w:val="13"/>
        <w:kinsoku w:val="0"/>
        <w:overflowPunct w:val="0"/>
        <w:spacing w:line="288" w:lineRule="auto"/>
        <w:ind w:firstLine="420" w:firstLineChars="200"/>
        <w:rPr>
          <w:rFonts w:ascii="宋体" w:hAnsi="宋体"/>
          <w:szCs w:val="21"/>
          <w:highlight w:val="none"/>
        </w:rPr>
      </w:pPr>
      <w:r>
        <w:rPr>
          <w:rFonts w:ascii="宋体" w:hAnsi="宋体"/>
          <w:szCs w:val="21"/>
          <w:highlight w:val="none"/>
        </w:rPr>
        <w:t>4.3.4</w:t>
      </w:r>
      <w:r>
        <w:rPr>
          <w:rFonts w:hint="eastAsia" w:ascii="宋体" w:hAnsi="宋体"/>
          <w:szCs w:val="21"/>
          <w:highlight w:val="none"/>
        </w:rPr>
        <w:t>修改的内容为投标文件的组成部分。修改的投标文件应按照本章第</w:t>
      </w:r>
      <w:r>
        <w:rPr>
          <w:rFonts w:ascii="宋体" w:hAnsi="宋体"/>
          <w:szCs w:val="21"/>
          <w:highlight w:val="none"/>
        </w:rPr>
        <w:t>3</w:t>
      </w:r>
      <w:r>
        <w:rPr>
          <w:rFonts w:hint="eastAsia" w:ascii="宋体" w:hAnsi="宋体"/>
          <w:szCs w:val="21"/>
          <w:highlight w:val="none"/>
        </w:rPr>
        <w:t>条、第</w:t>
      </w:r>
      <w:r>
        <w:rPr>
          <w:rFonts w:ascii="宋体" w:hAnsi="宋体"/>
          <w:szCs w:val="21"/>
          <w:highlight w:val="none"/>
        </w:rPr>
        <w:t>4</w:t>
      </w:r>
      <w:r>
        <w:rPr>
          <w:rFonts w:hint="eastAsia" w:ascii="宋体" w:hAnsi="宋体"/>
          <w:szCs w:val="21"/>
          <w:highlight w:val="none"/>
        </w:rPr>
        <w:t>条的规定进行编制、密封、标记和递交，并标明“修改”字样。</w:t>
      </w:r>
    </w:p>
    <w:p w14:paraId="787B6519">
      <w:pPr>
        <w:pStyle w:val="5"/>
        <w:rPr>
          <w:highlight w:val="none"/>
        </w:rPr>
      </w:pPr>
      <w:bookmarkStart w:id="74" w:name="_Toc103592013"/>
      <w:bookmarkStart w:id="75" w:name="_Toc533357312"/>
    </w:p>
    <w:p w14:paraId="5474B6E9">
      <w:pPr>
        <w:pStyle w:val="5"/>
        <w:rPr>
          <w:highlight w:val="none"/>
        </w:rPr>
      </w:pPr>
      <w:r>
        <w:rPr>
          <w:highlight w:val="none"/>
        </w:rPr>
        <w:t xml:space="preserve">5. </w:t>
      </w:r>
      <w:r>
        <w:rPr>
          <w:rFonts w:hint="eastAsia"/>
          <w:highlight w:val="none"/>
        </w:rPr>
        <w:t>开标</w:t>
      </w:r>
      <w:bookmarkEnd w:id="74"/>
      <w:bookmarkEnd w:id="75"/>
    </w:p>
    <w:p w14:paraId="50995844">
      <w:pPr>
        <w:pStyle w:val="7"/>
        <w:ind w:firstLine="420"/>
        <w:rPr>
          <w:highlight w:val="none"/>
        </w:rPr>
      </w:pPr>
      <w:bookmarkStart w:id="76" w:name="bookmark53"/>
      <w:bookmarkEnd w:id="76"/>
      <w:bookmarkStart w:id="77" w:name="bookmark52"/>
      <w:bookmarkEnd w:id="77"/>
      <w:r>
        <w:rPr>
          <w:highlight w:val="none"/>
        </w:rPr>
        <w:t xml:space="preserve">5.1 </w:t>
      </w:r>
      <w:r>
        <w:rPr>
          <w:rFonts w:hint="eastAsia"/>
          <w:highlight w:val="none"/>
        </w:rPr>
        <w:t>开标时间和地点</w:t>
      </w:r>
    </w:p>
    <w:p w14:paraId="2141099B">
      <w:pPr>
        <w:pStyle w:val="13"/>
        <w:kinsoku w:val="0"/>
        <w:overflowPunct w:val="0"/>
        <w:spacing w:line="288" w:lineRule="auto"/>
        <w:ind w:firstLine="420" w:firstLineChars="200"/>
        <w:rPr>
          <w:rFonts w:ascii="宋体" w:hAnsi="宋体"/>
          <w:szCs w:val="21"/>
          <w:highlight w:val="none"/>
        </w:rPr>
      </w:pPr>
      <w:r>
        <w:rPr>
          <w:rFonts w:hint="eastAsia" w:ascii="宋体" w:hAnsi="宋体"/>
          <w:szCs w:val="21"/>
          <w:highlight w:val="none"/>
        </w:rPr>
        <w:t>招标人在本章第</w:t>
      </w:r>
      <w:r>
        <w:rPr>
          <w:rFonts w:ascii="宋体" w:hAnsi="宋体"/>
          <w:szCs w:val="21"/>
          <w:highlight w:val="none"/>
        </w:rPr>
        <w:t>4.2.1</w:t>
      </w:r>
      <w:r>
        <w:rPr>
          <w:rFonts w:hint="eastAsia" w:ascii="宋体" w:hAnsi="宋体"/>
          <w:szCs w:val="21"/>
          <w:highlight w:val="none"/>
        </w:rPr>
        <w:t>项规定的投标截止时间（开标时间）</w:t>
      </w:r>
      <w:r>
        <w:rPr>
          <w:rFonts w:ascii="宋体" w:hAnsi="宋体"/>
          <w:szCs w:val="21"/>
          <w:highlight w:val="none"/>
        </w:rPr>
        <w:t>,</w:t>
      </w:r>
      <w:r>
        <w:rPr>
          <w:rFonts w:hint="eastAsia" w:ascii="宋体" w:hAnsi="宋体"/>
          <w:szCs w:val="21"/>
          <w:highlight w:val="none"/>
        </w:rPr>
        <w:t>通过电子招标投标交易平台公开开标。开标时，投标人代表有权出席开标会，也可以自主决定不参加开标会。</w:t>
      </w:r>
    </w:p>
    <w:p w14:paraId="437EEA5C">
      <w:pPr>
        <w:rPr>
          <w:rFonts w:ascii="宋体" w:hAnsi="宋体"/>
          <w:highlight w:val="none"/>
        </w:rPr>
      </w:pPr>
    </w:p>
    <w:p w14:paraId="23BD759A">
      <w:pPr>
        <w:pStyle w:val="7"/>
        <w:rPr>
          <w:highlight w:val="none"/>
        </w:rPr>
      </w:pPr>
      <w:bookmarkStart w:id="78" w:name="bookmark54"/>
      <w:bookmarkEnd w:id="78"/>
      <w:r>
        <w:rPr>
          <w:highlight w:val="none"/>
        </w:rPr>
        <w:t xml:space="preserve">5.2 </w:t>
      </w:r>
      <w:r>
        <w:rPr>
          <w:rFonts w:hint="eastAsia"/>
          <w:highlight w:val="none"/>
        </w:rPr>
        <w:t>开标程序</w:t>
      </w:r>
    </w:p>
    <w:p w14:paraId="11259753">
      <w:pPr>
        <w:pStyle w:val="13"/>
        <w:kinsoku w:val="0"/>
        <w:overflowPunct w:val="0"/>
        <w:spacing w:line="288" w:lineRule="auto"/>
        <w:ind w:firstLine="420" w:firstLineChars="200"/>
        <w:rPr>
          <w:rFonts w:ascii="宋体" w:hAnsi="宋体"/>
          <w:szCs w:val="21"/>
          <w:highlight w:val="none"/>
        </w:rPr>
      </w:pPr>
      <w:r>
        <w:rPr>
          <w:rFonts w:ascii="宋体" w:hAnsi="宋体"/>
          <w:szCs w:val="21"/>
          <w:highlight w:val="none"/>
        </w:rPr>
        <w:t>5.2.1</w:t>
      </w:r>
      <w:r>
        <w:rPr>
          <w:rFonts w:hint="eastAsia" w:ascii="宋体" w:hAnsi="宋体"/>
          <w:szCs w:val="21"/>
          <w:highlight w:val="none"/>
        </w:rPr>
        <w:t>主持人按下列程序进行开标：</w:t>
      </w:r>
    </w:p>
    <w:p w14:paraId="32ACD3D9">
      <w:pPr>
        <w:pStyle w:val="13"/>
        <w:kinsoku w:val="0"/>
        <w:overflowPunct w:val="0"/>
        <w:spacing w:line="288" w:lineRule="auto"/>
        <w:ind w:firstLine="420" w:firstLineChars="200"/>
        <w:rPr>
          <w:rFonts w:ascii="宋体" w:hAnsi="宋体"/>
          <w:szCs w:val="21"/>
          <w:highlight w:val="none"/>
        </w:rPr>
      </w:pPr>
      <w:r>
        <w:rPr>
          <w:rFonts w:hint="eastAsia" w:ascii="宋体" w:hAnsi="宋体"/>
          <w:szCs w:val="21"/>
          <w:highlight w:val="none"/>
        </w:rPr>
        <w:t>（</w:t>
      </w:r>
      <w:r>
        <w:rPr>
          <w:rFonts w:ascii="宋体" w:hAnsi="宋体"/>
          <w:szCs w:val="21"/>
          <w:highlight w:val="none"/>
        </w:rPr>
        <w:t>1</w:t>
      </w:r>
      <w:r>
        <w:rPr>
          <w:rFonts w:hint="eastAsia" w:ascii="宋体" w:hAnsi="宋体"/>
          <w:szCs w:val="21"/>
          <w:highlight w:val="none"/>
        </w:rPr>
        <w:t>）宣布开标纪律；</w:t>
      </w:r>
    </w:p>
    <w:p w14:paraId="3022A8A3">
      <w:pPr>
        <w:pStyle w:val="13"/>
        <w:kinsoku w:val="0"/>
        <w:overflowPunct w:val="0"/>
        <w:spacing w:line="288" w:lineRule="auto"/>
        <w:ind w:firstLine="420" w:firstLineChars="200"/>
        <w:rPr>
          <w:rFonts w:ascii="宋体" w:hAnsi="宋体"/>
          <w:szCs w:val="21"/>
          <w:highlight w:val="none"/>
        </w:rPr>
      </w:pPr>
      <w:r>
        <w:rPr>
          <w:rFonts w:hint="eastAsia" w:ascii="宋体" w:hAnsi="宋体"/>
          <w:szCs w:val="21"/>
          <w:highlight w:val="none"/>
        </w:rPr>
        <w:t>（</w:t>
      </w:r>
      <w:r>
        <w:rPr>
          <w:rFonts w:ascii="宋体" w:hAnsi="宋体"/>
          <w:szCs w:val="21"/>
          <w:highlight w:val="none"/>
        </w:rPr>
        <w:t>2</w:t>
      </w:r>
      <w:r>
        <w:rPr>
          <w:rFonts w:hint="eastAsia" w:ascii="宋体" w:hAnsi="宋体"/>
          <w:szCs w:val="21"/>
          <w:highlight w:val="none"/>
        </w:rPr>
        <w:t>）公布在投标截止时间前递交投标文件的投标人名称；</w:t>
      </w:r>
    </w:p>
    <w:p w14:paraId="36713F99">
      <w:pPr>
        <w:pStyle w:val="13"/>
        <w:kinsoku w:val="0"/>
        <w:overflowPunct w:val="0"/>
        <w:spacing w:line="288" w:lineRule="auto"/>
        <w:ind w:firstLine="420" w:firstLineChars="200"/>
        <w:rPr>
          <w:rFonts w:ascii="宋体" w:hAnsi="宋体"/>
          <w:szCs w:val="21"/>
          <w:highlight w:val="none"/>
        </w:rPr>
      </w:pPr>
      <w:r>
        <w:rPr>
          <w:rFonts w:hint="eastAsia" w:ascii="宋体" w:hAnsi="宋体"/>
          <w:szCs w:val="21"/>
          <w:highlight w:val="none"/>
        </w:rPr>
        <w:t>（</w:t>
      </w:r>
      <w:r>
        <w:rPr>
          <w:rFonts w:ascii="宋体" w:hAnsi="宋体"/>
          <w:szCs w:val="21"/>
          <w:highlight w:val="none"/>
        </w:rPr>
        <w:t>3</w:t>
      </w:r>
      <w:r>
        <w:rPr>
          <w:rFonts w:hint="eastAsia" w:ascii="宋体" w:hAnsi="宋体"/>
          <w:szCs w:val="21"/>
          <w:highlight w:val="none"/>
        </w:rPr>
        <w:t>）宣布开标人、唱标人、记录人、监标人等有关人员姓名；</w:t>
      </w:r>
    </w:p>
    <w:p w14:paraId="70161253">
      <w:pPr>
        <w:pStyle w:val="13"/>
        <w:kinsoku w:val="0"/>
        <w:overflowPunct w:val="0"/>
        <w:spacing w:line="288" w:lineRule="auto"/>
        <w:ind w:firstLine="420" w:firstLineChars="200"/>
        <w:rPr>
          <w:rFonts w:ascii="宋体" w:hAnsi="宋体"/>
          <w:szCs w:val="21"/>
          <w:highlight w:val="none"/>
        </w:rPr>
      </w:pPr>
      <w:r>
        <w:rPr>
          <w:rFonts w:hint="eastAsia" w:ascii="宋体" w:hAnsi="宋体"/>
          <w:szCs w:val="21"/>
          <w:highlight w:val="none"/>
        </w:rPr>
        <w:t>（</w:t>
      </w:r>
      <w:r>
        <w:rPr>
          <w:rFonts w:ascii="宋体" w:hAnsi="宋体"/>
          <w:szCs w:val="21"/>
          <w:highlight w:val="none"/>
        </w:rPr>
        <w:t>4</w:t>
      </w:r>
      <w:r>
        <w:rPr>
          <w:rFonts w:hint="eastAsia" w:ascii="宋体" w:hAnsi="宋体"/>
          <w:szCs w:val="21"/>
          <w:highlight w:val="none"/>
        </w:rPr>
        <w:t>）投标人通过电子招标投标交易平台对已递交的电子投标文件进行解密，公布招标项目名称、投标人名称、投标报价及其他内容，并记录在案；</w:t>
      </w:r>
    </w:p>
    <w:p w14:paraId="04B16B73">
      <w:pPr>
        <w:pStyle w:val="13"/>
        <w:kinsoku w:val="0"/>
        <w:overflowPunct w:val="0"/>
        <w:spacing w:line="288" w:lineRule="auto"/>
        <w:ind w:firstLine="420" w:firstLineChars="200"/>
        <w:rPr>
          <w:rFonts w:ascii="宋体" w:hAnsi="宋体"/>
          <w:szCs w:val="21"/>
          <w:highlight w:val="none"/>
        </w:rPr>
      </w:pPr>
      <w:r>
        <w:rPr>
          <w:rFonts w:hint="eastAsia" w:ascii="宋体" w:hAnsi="宋体"/>
          <w:szCs w:val="21"/>
          <w:highlight w:val="none"/>
        </w:rPr>
        <w:t>（</w:t>
      </w:r>
      <w:r>
        <w:rPr>
          <w:rFonts w:ascii="宋体" w:hAnsi="宋体"/>
          <w:szCs w:val="21"/>
          <w:highlight w:val="none"/>
        </w:rPr>
        <w:t>5</w:t>
      </w:r>
      <w:r>
        <w:rPr>
          <w:rFonts w:hint="eastAsia" w:ascii="宋体" w:hAnsi="宋体"/>
          <w:szCs w:val="21"/>
          <w:highlight w:val="none"/>
        </w:rPr>
        <w:t>）投标人代表、招标人代表、监标人、记录人等有关人员在开标记录上签字确认；若有关人员不签字的，不影响开标程序；</w:t>
      </w:r>
    </w:p>
    <w:p w14:paraId="32A1821D">
      <w:pPr>
        <w:pStyle w:val="13"/>
        <w:kinsoku w:val="0"/>
        <w:overflowPunct w:val="0"/>
        <w:spacing w:line="288" w:lineRule="auto"/>
        <w:ind w:firstLine="420" w:firstLineChars="200"/>
        <w:rPr>
          <w:rFonts w:ascii="宋体" w:hAnsi="宋体"/>
          <w:szCs w:val="21"/>
          <w:highlight w:val="none"/>
        </w:rPr>
      </w:pPr>
      <w:r>
        <w:rPr>
          <w:rFonts w:hint="eastAsia" w:ascii="宋体" w:hAnsi="宋体"/>
          <w:szCs w:val="21"/>
          <w:highlight w:val="none"/>
        </w:rPr>
        <w:t>（</w:t>
      </w:r>
      <w:r>
        <w:rPr>
          <w:rFonts w:ascii="宋体" w:hAnsi="宋体"/>
          <w:szCs w:val="21"/>
          <w:highlight w:val="none"/>
        </w:rPr>
        <w:t>6</w:t>
      </w:r>
      <w:r>
        <w:rPr>
          <w:rFonts w:hint="eastAsia" w:ascii="宋体" w:hAnsi="宋体"/>
          <w:szCs w:val="21"/>
          <w:highlight w:val="none"/>
        </w:rPr>
        <w:t>）开标结束。</w:t>
      </w:r>
    </w:p>
    <w:p w14:paraId="414D5FE3">
      <w:pPr>
        <w:pStyle w:val="13"/>
        <w:kinsoku w:val="0"/>
        <w:overflowPunct w:val="0"/>
        <w:spacing w:line="288" w:lineRule="auto"/>
        <w:ind w:firstLine="420" w:firstLineChars="200"/>
        <w:rPr>
          <w:rFonts w:ascii="宋体" w:hAnsi="宋体"/>
          <w:szCs w:val="21"/>
          <w:highlight w:val="none"/>
        </w:rPr>
      </w:pPr>
      <w:r>
        <w:rPr>
          <w:rFonts w:ascii="宋体" w:hAnsi="宋体"/>
          <w:szCs w:val="21"/>
          <w:highlight w:val="none"/>
        </w:rPr>
        <w:t>5.2.2</w:t>
      </w:r>
      <w:r>
        <w:rPr>
          <w:rFonts w:hint="eastAsia" w:ascii="宋体" w:hAnsi="宋体"/>
          <w:szCs w:val="21"/>
          <w:highlight w:val="none"/>
          <w:u w:val="single"/>
        </w:rPr>
        <w:t>投标截止时间前未完成投标文件传输的或因投标人之外的原因造成投标文件未解密且未按要求递交备用光盘的，视为投标人撤回投标文件。因投标人原因造成投标文件未解密或未在规定的时间内解密的，视为撤销其投标文件。</w:t>
      </w:r>
    </w:p>
    <w:p w14:paraId="1902D580">
      <w:pPr>
        <w:pStyle w:val="13"/>
        <w:kinsoku w:val="0"/>
        <w:overflowPunct w:val="0"/>
        <w:spacing w:line="288" w:lineRule="auto"/>
        <w:ind w:firstLine="420" w:firstLineChars="200"/>
        <w:rPr>
          <w:rFonts w:ascii="宋体" w:hAnsi="宋体"/>
          <w:szCs w:val="21"/>
          <w:highlight w:val="none"/>
        </w:rPr>
      </w:pPr>
      <w:r>
        <w:rPr>
          <w:rFonts w:ascii="宋体" w:hAnsi="宋体"/>
          <w:szCs w:val="21"/>
          <w:highlight w:val="none"/>
        </w:rPr>
        <w:t>5.2.3</w:t>
      </w:r>
      <w:r>
        <w:rPr>
          <w:rFonts w:hint="eastAsia" w:ascii="宋体" w:hAnsi="宋体"/>
          <w:szCs w:val="21"/>
          <w:highlight w:val="none"/>
        </w:rPr>
        <w:t>开标时，两个（含两个）以上的投标人加密打包投标文件电脑机器特征码一致的，不参与下一程序，并由评标委员会否决其投标。</w:t>
      </w:r>
    </w:p>
    <w:p w14:paraId="1637F8B3">
      <w:pPr>
        <w:pStyle w:val="13"/>
        <w:kinsoku w:val="0"/>
        <w:overflowPunct w:val="0"/>
        <w:spacing w:line="288" w:lineRule="auto"/>
        <w:ind w:firstLine="420" w:firstLineChars="200"/>
        <w:rPr>
          <w:rFonts w:ascii="宋体" w:hAnsi="宋体"/>
          <w:szCs w:val="21"/>
          <w:highlight w:val="none"/>
        </w:rPr>
      </w:pPr>
    </w:p>
    <w:p w14:paraId="4201E6AE">
      <w:pPr>
        <w:pStyle w:val="7"/>
        <w:rPr>
          <w:highlight w:val="none"/>
        </w:rPr>
      </w:pPr>
      <w:bookmarkStart w:id="79" w:name="bookmark55"/>
      <w:bookmarkEnd w:id="79"/>
      <w:r>
        <w:rPr>
          <w:highlight w:val="none"/>
        </w:rPr>
        <w:t xml:space="preserve">5.3 </w:t>
      </w:r>
      <w:r>
        <w:rPr>
          <w:rFonts w:hint="eastAsia"/>
          <w:highlight w:val="none"/>
        </w:rPr>
        <w:t>开标异议</w:t>
      </w:r>
    </w:p>
    <w:p w14:paraId="2234995D">
      <w:pPr>
        <w:pStyle w:val="13"/>
        <w:kinsoku w:val="0"/>
        <w:overflowPunct w:val="0"/>
        <w:spacing w:line="288" w:lineRule="auto"/>
        <w:ind w:firstLine="420" w:firstLineChars="200"/>
        <w:rPr>
          <w:rFonts w:ascii="宋体" w:hAnsi="宋体"/>
          <w:szCs w:val="21"/>
          <w:highlight w:val="none"/>
        </w:rPr>
      </w:pPr>
      <w:r>
        <w:rPr>
          <w:rFonts w:hint="eastAsia" w:ascii="宋体" w:hAnsi="宋体"/>
          <w:szCs w:val="21"/>
          <w:highlight w:val="none"/>
        </w:rPr>
        <w:t>投标人对开标有异议的，应当在开标现场提出，并出示本人身份证，招标人当场作出答复，并制作记录。</w:t>
      </w:r>
    </w:p>
    <w:p w14:paraId="0C54CAEE">
      <w:pPr>
        <w:pStyle w:val="5"/>
        <w:rPr>
          <w:highlight w:val="none"/>
        </w:rPr>
      </w:pPr>
      <w:bookmarkStart w:id="80" w:name="_Toc533357313"/>
      <w:bookmarkStart w:id="81" w:name="_Toc103592014"/>
    </w:p>
    <w:p w14:paraId="1EA63B18">
      <w:pPr>
        <w:pStyle w:val="5"/>
        <w:rPr>
          <w:highlight w:val="none"/>
        </w:rPr>
      </w:pPr>
      <w:r>
        <w:rPr>
          <w:highlight w:val="none"/>
        </w:rPr>
        <w:t xml:space="preserve">6. </w:t>
      </w:r>
      <w:r>
        <w:rPr>
          <w:rFonts w:hint="eastAsia"/>
          <w:highlight w:val="none"/>
        </w:rPr>
        <w:t>评标</w:t>
      </w:r>
      <w:bookmarkEnd w:id="80"/>
      <w:bookmarkEnd w:id="81"/>
    </w:p>
    <w:p w14:paraId="2A09F89C">
      <w:pPr>
        <w:pStyle w:val="7"/>
        <w:ind w:firstLine="420"/>
        <w:rPr>
          <w:highlight w:val="none"/>
        </w:rPr>
      </w:pPr>
      <w:bookmarkStart w:id="82" w:name="bookmark57"/>
      <w:bookmarkEnd w:id="82"/>
      <w:r>
        <w:rPr>
          <w:highlight w:val="none"/>
        </w:rPr>
        <w:t xml:space="preserve">6.1 </w:t>
      </w:r>
      <w:r>
        <w:rPr>
          <w:rFonts w:hint="eastAsia"/>
          <w:highlight w:val="none"/>
        </w:rPr>
        <w:t>评标委员会</w:t>
      </w:r>
    </w:p>
    <w:p w14:paraId="0ECF9F39">
      <w:pPr>
        <w:pStyle w:val="13"/>
        <w:kinsoku w:val="0"/>
        <w:overflowPunct w:val="0"/>
        <w:spacing w:line="288" w:lineRule="auto"/>
        <w:ind w:firstLine="420" w:firstLineChars="200"/>
        <w:rPr>
          <w:rFonts w:ascii="宋体" w:hAnsi="宋体"/>
          <w:szCs w:val="21"/>
          <w:highlight w:val="none"/>
        </w:rPr>
      </w:pPr>
      <w:r>
        <w:rPr>
          <w:rFonts w:ascii="宋体" w:hAnsi="宋体"/>
          <w:szCs w:val="21"/>
          <w:highlight w:val="none"/>
        </w:rPr>
        <w:t>6.1.1</w:t>
      </w:r>
      <w:r>
        <w:rPr>
          <w:rFonts w:hint="eastAsia" w:ascii="宋体" w:hAnsi="宋体"/>
          <w:szCs w:val="21"/>
          <w:highlight w:val="none"/>
        </w:rPr>
        <w:t>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14:paraId="37E024F3">
      <w:pPr>
        <w:pStyle w:val="13"/>
        <w:kinsoku w:val="0"/>
        <w:overflowPunct w:val="0"/>
        <w:spacing w:line="288" w:lineRule="auto"/>
        <w:ind w:firstLine="420" w:firstLineChars="200"/>
        <w:rPr>
          <w:rFonts w:ascii="宋体" w:hAnsi="宋体"/>
          <w:szCs w:val="21"/>
          <w:highlight w:val="none"/>
        </w:rPr>
      </w:pPr>
      <w:r>
        <w:rPr>
          <w:rFonts w:ascii="宋体" w:hAnsi="宋体"/>
          <w:szCs w:val="21"/>
          <w:highlight w:val="none"/>
        </w:rPr>
        <w:t>6.1.2</w:t>
      </w:r>
      <w:r>
        <w:rPr>
          <w:rFonts w:hint="eastAsia" w:ascii="宋体" w:hAnsi="宋体"/>
          <w:szCs w:val="21"/>
          <w:highlight w:val="none"/>
        </w:rPr>
        <w:t>评标委员会成员有下列情形之一的，应当回避：</w:t>
      </w:r>
    </w:p>
    <w:p w14:paraId="33AFD743">
      <w:pPr>
        <w:pStyle w:val="13"/>
        <w:kinsoku w:val="0"/>
        <w:overflowPunct w:val="0"/>
        <w:spacing w:line="288" w:lineRule="auto"/>
        <w:ind w:firstLine="420" w:firstLineChars="200"/>
        <w:rPr>
          <w:rFonts w:ascii="宋体" w:hAnsi="宋体"/>
          <w:szCs w:val="21"/>
          <w:highlight w:val="none"/>
        </w:rPr>
      </w:pPr>
      <w:r>
        <w:rPr>
          <w:rFonts w:hint="eastAsia" w:ascii="宋体" w:hAnsi="宋体"/>
          <w:szCs w:val="21"/>
          <w:highlight w:val="none"/>
        </w:rPr>
        <w:t>（</w:t>
      </w:r>
      <w:r>
        <w:rPr>
          <w:rFonts w:ascii="宋体" w:hAnsi="宋体"/>
          <w:szCs w:val="21"/>
          <w:highlight w:val="none"/>
        </w:rPr>
        <w:t>1</w:t>
      </w:r>
      <w:r>
        <w:rPr>
          <w:rFonts w:hint="eastAsia" w:ascii="宋体" w:hAnsi="宋体"/>
          <w:szCs w:val="21"/>
          <w:highlight w:val="none"/>
        </w:rPr>
        <w:t>）投标人或投标人主要负责人的近亲属；</w:t>
      </w:r>
    </w:p>
    <w:p w14:paraId="62960883">
      <w:pPr>
        <w:pStyle w:val="13"/>
        <w:kinsoku w:val="0"/>
        <w:overflowPunct w:val="0"/>
        <w:spacing w:line="288" w:lineRule="auto"/>
        <w:ind w:firstLine="420" w:firstLineChars="200"/>
        <w:rPr>
          <w:rFonts w:ascii="宋体" w:hAnsi="宋体"/>
          <w:szCs w:val="21"/>
          <w:highlight w:val="none"/>
        </w:rPr>
      </w:pPr>
      <w:r>
        <w:rPr>
          <w:rFonts w:hint="eastAsia" w:ascii="宋体" w:hAnsi="宋体"/>
          <w:szCs w:val="21"/>
          <w:highlight w:val="none"/>
        </w:rPr>
        <w:t>（</w:t>
      </w:r>
      <w:r>
        <w:rPr>
          <w:rFonts w:ascii="宋体" w:hAnsi="宋体"/>
          <w:szCs w:val="21"/>
          <w:highlight w:val="none"/>
        </w:rPr>
        <w:t>2</w:t>
      </w:r>
      <w:r>
        <w:rPr>
          <w:rFonts w:hint="eastAsia" w:ascii="宋体" w:hAnsi="宋体"/>
          <w:szCs w:val="21"/>
          <w:highlight w:val="none"/>
        </w:rPr>
        <w:t>）项目主管部门或者行政监督部门的人员；</w:t>
      </w:r>
    </w:p>
    <w:p w14:paraId="1B40423E">
      <w:pPr>
        <w:pStyle w:val="13"/>
        <w:kinsoku w:val="0"/>
        <w:overflowPunct w:val="0"/>
        <w:spacing w:line="288" w:lineRule="auto"/>
        <w:ind w:firstLine="420" w:firstLineChars="200"/>
        <w:rPr>
          <w:rFonts w:ascii="宋体" w:hAnsi="宋体"/>
          <w:szCs w:val="21"/>
          <w:highlight w:val="none"/>
        </w:rPr>
      </w:pPr>
      <w:r>
        <w:rPr>
          <w:rFonts w:hint="eastAsia" w:ascii="宋体" w:hAnsi="宋体"/>
          <w:szCs w:val="21"/>
          <w:highlight w:val="none"/>
        </w:rPr>
        <w:t>（</w:t>
      </w:r>
      <w:r>
        <w:rPr>
          <w:rFonts w:ascii="宋体" w:hAnsi="宋体"/>
          <w:szCs w:val="21"/>
          <w:highlight w:val="none"/>
        </w:rPr>
        <w:t>3</w:t>
      </w:r>
      <w:r>
        <w:rPr>
          <w:rFonts w:hint="eastAsia" w:ascii="宋体" w:hAnsi="宋体"/>
          <w:szCs w:val="21"/>
          <w:highlight w:val="none"/>
        </w:rPr>
        <w:t>）与投标人有经济利益关系，可能影响对投标公正评审的；</w:t>
      </w:r>
    </w:p>
    <w:p w14:paraId="682A9C66">
      <w:pPr>
        <w:pStyle w:val="13"/>
        <w:kinsoku w:val="0"/>
        <w:overflowPunct w:val="0"/>
        <w:spacing w:line="288" w:lineRule="auto"/>
        <w:ind w:firstLine="420" w:firstLineChars="200"/>
        <w:rPr>
          <w:rFonts w:ascii="宋体" w:hAnsi="宋体"/>
          <w:szCs w:val="21"/>
          <w:highlight w:val="none"/>
        </w:rPr>
      </w:pPr>
      <w:r>
        <w:rPr>
          <w:rFonts w:hint="eastAsia" w:ascii="宋体" w:hAnsi="宋体"/>
          <w:szCs w:val="21"/>
          <w:highlight w:val="none"/>
        </w:rPr>
        <w:t>（</w:t>
      </w:r>
      <w:r>
        <w:rPr>
          <w:rFonts w:ascii="宋体" w:hAnsi="宋体"/>
          <w:szCs w:val="21"/>
          <w:highlight w:val="none"/>
        </w:rPr>
        <w:t>4</w:t>
      </w:r>
      <w:r>
        <w:rPr>
          <w:rFonts w:hint="eastAsia" w:ascii="宋体" w:hAnsi="宋体"/>
          <w:szCs w:val="21"/>
          <w:highlight w:val="none"/>
        </w:rPr>
        <w:t>）曾因在招标、评标以及其他与招标投标有关活动中从事违法行为而受过行政处罚或刑事处罚的</w:t>
      </w:r>
    </w:p>
    <w:p w14:paraId="59287C52">
      <w:pPr>
        <w:pStyle w:val="13"/>
        <w:kinsoku w:val="0"/>
        <w:overflowPunct w:val="0"/>
        <w:spacing w:line="288" w:lineRule="auto"/>
        <w:ind w:firstLine="420" w:firstLineChars="200"/>
        <w:rPr>
          <w:rFonts w:ascii="宋体" w:hAnsi="宋体"/>
          <w:szCs w:val="21"/>
          <w:highlight w:val="none"/>
        </w:rPr>
      </w:pPr>
      <w:r>
        <w:rPr>
          <w:rFonts w:hint="eastAsia" w:ascii="宋体" w:hAnsi="宋体"/>
          <w:szCs w:val="21"/>
          <w:highlight w:val="none"/>
        </w:rPr>
        <w:t>（</w:t>
      </w:r>
      <w:r>
        <w:rPr>
          <w:rFonts w:ascii="宋体" w:hAnsi="宋体"/>
          <w:szCs w:val="21"/>
          <w:highlight w:val="none"/>
        </w:rPr>
        <w:t>5</w:t>
      </w:r>
      <w:r>
        <w:rPr>
          <w:rFonts w:hint="eastAsia" w:ascii="宋体" w:hAnsi="宋体"/>
          <w:szCs w:val="21"/>
          <w:highlight w:val="none"/>
        </w:rPr>
        <w:t>）与投标人有其他利害关系。</w:t>
      </w:r>
    </w:p>
    <w:p w14:paraId="25C682F0">
      <w:pPr>
        <w:pStyle w:val="13"/>
        <w:kinsoku w:val="0"/>
        <w:overflowPunct w:val="0"/>
        <w:spacing w:line="288" w:lineRule="auto"/>
        <w:ind w:firstLine="420" w:firstLineChars="200"/>
        <w:rPr>
          <w:rFonts w:ascii="宋体" w:hAnsi="宋体"/>
          <w:szCs w:val="21"/>
          <w:highlight w:val="none"/>
        </w:rPr>
      </w:pPr>
      <w:r>
        <w:rPr>
          <w:rFonts w:ascii="宋体" w:hAnsi="宋体"/>
          <w:szCs w:val="21"/>
          <w:highlight w:val="none"/>
        </w:rPr>
        <w:t>6.1.3</w:t>
      </w:r>
      <w:r>
        <w:rPr>
          <w:rFonts w:hint="eastAsia" w:ascii="宋体" w:hAnsi="宋体"/>
          <w:szCs w:val="21"/>
          <w:highlight w:val="none"/>
        </w:rPr>
        <w:t>评标过程中，评标委员会成员有回避事由、擅离职守或者因健康等原因不能继续评标的，招标人有权更换。被更换的评标委员会成员作出的评审结论无效，由更换后的评标委员会成员重新进行评审。</w:t>
      </w:r>
    </w:p>
    <w:p w14:paraId="0E6DACB5">
      <w:pPr>
        <w:pStyle w:val="13"/>
        <w:kinsoku w:val="0"/>
        <w:overflowPunct w:val="0"/>
        <w:spacing w:line="288" w:lineRule="auto"/>
        <w:ind w:firstLine="420" w:firstLineChars="200"/>
        <w:rPr>
          <w:rFonts w:ascii="宋体" w:hAnsi="宋体"/>
          <w:szCs w:val="21"/>
          <w:highlight w:val="none"/>
        </w:rPr>
      </w:pPr>
    </w:p>
    <w:p w14:paraId="5A0F4E7A">
      <w:pPr>
        <w:pStyle w:val="7"/>
        <w:rPr>
          <w:highlight w:val="none"/>
        </w:rPr>
      </w:pPr>
      <w:bookmarkStart w:id="83" w:name="bookmark58"/>
      <w:bookmarkEnd w:id="83"/>
      <w:r>
        <w:rPr>
          <w:highlight w:val="none"/>
        </w:rPr>
        <w:t xml:space="preserve">6.2 </w:t>
      </w:r>
      <w:r>
        <w:rPr>
          <w:rFonts w:hint="eastAsia"/>
          <w:highlight w:val="none"/>
        </w:rPr>
        <w:t>评标原则</w:t>
      </w:r>
    </w:p>
    <w:p w14:paraId="0BCD861B">
      <w:pPr>
        <w:pStyle w:val="13"/>
        <w:kinsoku w:val="0"/>
        <w:overflowPunct w:val="0"/>
        <w:spacing w:line="288" w:lineRule="auto"/>
        <w:ind w:firstLine="420" w:firstLineChars="200"/>
        <w:rPr>
          <w:rFonts w:ascii="宋体" w:hAnsi="宋体"/>
          <w:szCs w:val="21"/>
          <w:highlight w:val="none"/>
        </w:rPr>
      </w:pPr>
      <w:r>
        <w:rPr>
          <w:rFonts w:hint="eastAsia" w:ascii="宋体" w:hAnsi="宋体"/>
          <w:szCs w:val="21"/>
          <w:highlight w:val="none"/>
        </w:rPr>
        <w:t>评标活动遵循公平、公正、科学和择优的原则。</w:t>
      </w:r>
    </w:p>
    <w:p w14:paraId="751321FD">
      <w:pPr>
        <w:pStyle w:val="13"/>
        <w:kinsoku w:val="0"/>
        <w:overflowPunct w:val="0"/>
        <w:spacing w:line="288" w:lineRule="auto"/>
        <w:ind w:firstLine="420" w:firstLineChars="200"/>
        <w:rPr>
          <w:rFonts w:ascii="宋体" w:hAnsi="宋体"/>
          <w:szCs w:val="21"/>
          <w:highlight w:val="none"/>
        </w:rPr>
      </w:pPr>
    </w:p>
    <w:p w14:paraId="29A0D54A">
      <w:pPr>
        <w:pStyle w:val="7"/>
        <w:rPr>
          <w:highlight w:val="none"/>
        </w:rPr>
      </w:pPr>
      <w:bookmarkStart w:id="84" w:name="bookmark59"/>
      <w:bookmarkEnd w:id="84"/>
      <w:r>
        <w:rPr>
          <w:highlight w:val="none"/>
        </w:rPr>
        <w:t xml:space="preserve">6.3 </w:t>
      </w:r>
      <w:r>
        <w:rPr>
          <w:rFonts w:hint="eastAsia"/>
          <w:highlight w:val="none"/>
        </w:rPr>
        <w:t>评标</w:t>
      </w:r>
    </w:p>
    <w:p w14:paraId="501B0907">
      <w:pPr>
        <w:pStyle w:val="13"/>
        <w:kinsoku w:val="0"/>
        <w:overflowPunct w:val="0"/>
        <w:spacing w:line="288" w:lineRule="auto"/>
        <w:ind w:firstLine="420" w:firstLineChars="200"/>
        <w:rPr>
          <w:rFonts w:ascii="宋体" w:hAnsi="宋体"/>
          <w:szCs w:val="21"/>
          <w:highlight w:val="none"/>
        </w:rPr>
      </w:pPr>
      <w:r>
        <w:rPr>
          <w:rFonts w:ascii="宋体" w:hAnsi="宋体"/>
          <w:szCs w:val="21"/>
          <w:highlight w:val="none"/>
        </w:rPr>
        <w:t>6.3.1</w:t>
      </w:r>
      <w:r>
        <w:rPr>
          <w:rFonts w:hint="eastAsia" w:ascii="宋体" w:hAnsi="宋体"/>
          <w:szCs w:val="21"/>
          <w:highlight w:val="none"/>
        </w:rPr>
        <w:t>评标委员会按照第三章“评标办法”规定的方法、评审因素、标准和程序对投标文件进行评审。第三章“评标办法”没有规定的方法、评审因素和标准，不作为评标依据。</w:t>
      </w:r>
    </w:p>
    <w:p w14:paraId="4A8C3103">
      <w:pPr>
        <w:pStyle w:val="13"/>
        <w:kinsoku w:val="0"/>
        <w:overflowPunct w:val="0"/>
        <w:spacing w:line="288" w:lineRule="auto"/>
        <w:ind w:firstLine="420" w:firstLineChars="200"/>
        <w:rPr>
          <w:rFonts w:ascii="宋体" w:hAnsi="宋体"/>
          <w:szCs w:val="21"/>
          <w:highlight w:val="none"/>
        </w:rPr>
      </w:pPr>
      <w:r>
        <w:rPr>
          <w:rFonts w:ascii="宋体" w:hAnsi="宋体"/>
          <w:szCs w:val="21"/>
          <w:highlight w:val="none"/>
        </w:rPr>
        <w:t>6.3.2</w:t>
      </w:r>
      <w:r>
        <w:rPr>
          <w:rFonts w:hint="eastAsia" w:ascii="宋体" w:hAnsi="宋体"/>
          <w:szCs w:val="21"/>
          <w:highlight w:val="none"/>
        </w:rPr>
        <w:t>评标完成后，评标委员会应当向招标人提交书面评标报告和中标候选人名单。评标委员会推荐中标候选人的人数见投标人须知前附表。</w:t>
      </w:r>
    </w:p>
    <w:p w14:paraId="05397E29">
      <w:pPr>
        <w:pStyle w:val="5"/>
        <w:rPr>
          <w:highlight w:val="none"/>
        </w:rPr>
      </w:pPr>
      <w:bookmarkStart w:id="85" w:name="bookmark60"/>
      <w:bookmarkEnd w:id="85"/>
      <w:bookmarkStart w:id="86" w:name="_Toc103592015"/>
      <w:bookmarkStart w:id="87" w:name="_Toc533357314"/>
    </w:p>
    <w:p w14:paraId="2A057BBF">
      <w:pPr>
        <w:pStyle w:val="5"/>
        <w:rPr>
          <w:highlight w:val="none"/>
        </w:rPr>
      </w:pPr>
      <w:r>
        <w:rPr>
          <w:highlight w:val="none"/>
        </w:rPr>
        <w:t xml:space="preserve">7. </w:t>
      </w:r>
      <w:r>
        <w:rPr>
          <w:rFonts w:hint="eastAsia"/>
          <w:highlight w:val="none"/>
        </w:rPr>
        <w:t>合同授予</w:t>
      </w:r>
      <w:bookmarkEnd w:id="86"/>
      <w:bookmarkEnd w:id="87"/>
    </w:p>
    <w:p w14:paraId="67C5AD21">
      <w:pPr>
        <w:pStyle w:val="7"/>
        <w:ind w:firstLine="420"/>
        <w:rPr>
          <w:highlight w:val="none"/>
        </w:rPr>
      </w:pPr>
      <w:bookmarkStart w:id="88" w:name="bookmark61"/>
      <w:bookmarkEnd w:id="88"/>
      <w:r>
        <w:rPr>
          <w:highlight w:val="none"/>
        </w:rPr>
        <w:t xml:space="preserve">7.1 </w:t>
      </w:r>
      <w:r>
        <w:rPr>
          <w:rFonts w:hint="eastAsia"/>
          <w:highlight w:val="none"/>
        </w:rPr>
        <w:t>中标候选人公示</w:t>
      </w:r>
    </w:p>
    <w:p w14:paraId="15690A74">
      <w:pPr>
        <w:pStyle w:val="13"/>
        <w:kinsoku w:val="0"/>
        <w:overflowPunct w:val="0"/>
        <w:spacing w:line="288" w:lineRule="auto"/>
        <w:ind w:firstLine="420" w:firstLineChars="200"/>
        <w:rPr>
          <w:rFonts w:ascii="宋体" w:hAnsi="宋体"/>
          <w:szCs w:val="21"/>
          <w:highlight w:val="none"/>
        </w:rPr>
      </w:pPr>
      <w:r>
        <w:rPr>
          <w:rFonts w:hint="eastAsia" w:ascii="宋体" w:hAnsi="宋体"/>
          <w:szCs w:val="21"/>
          <w:highlight w:val="none"/>
        </w:rPr>
        <w:t>招标人在收到评标报告之日起</w:t>
      </w:r>
      <w:r>
        <w:rPr>
          <w:rFonts w:ascii="宋体" w:hAnsi="宋体"/>
          <w:szCs w:val="21"/>
          <w:highlight w:val="none"/>
        </w:rPr>
        <w:t>3</w:t>
      </w:r>
      <w:r>
        <w:rPr>
          <w:rFonts w:hint="eastAsia" w:ascii="宋体" w:hAnsi="宋体"/>
          <w:szCs w:val="21"/>
          <w:highlight w:val="none"/>
        </w:rPr>
        <w:t>日内，按照投标人须知前附表规定的公示媒介和期限公示中标候选人，公示期不得少于</w:t>
      </w:r>
      <w:r>
        <w:rPr>
          <w:rFonts w:ascii="宋体" w:hAnsi="宋体"/>
          <w:szCs w:val="21"/>
          <w:highlight w:val="none"/>
        </w:rPr>
        <w:t>3</w:t>
      </w:r>
      <w:r>
        <w:rPr>
          <w:rFonts w:hint="eastAsia" w:ascii="宋体" w:hAnsi="宋体"/>
          <w:szCs w:val="21"/>
          <w:highlight w:val="none"/>
        </w:rPr>
        <w:t>天。</w:t>
      </w:r>
    </w:p>
    <w:p w14:paraId="14809ED1">
      <w:pPr>
        <w:pStyle w:val="7"/>
        <w:rPr>
          <w:highlight w:val="none"/>
        </w:rPr>
      </w:pPr>
      <w:bookmarkStart w:id="89" w:name="bookmark62"/>
      <w:bookmarkEnd w:id="89"/>
      <w:r>
        <w:rPr>
          <w:highlight w:val="none"/>
        </w:rPr>
        <w:t xml:space="preserve">7.2 </w:t>
      </w:r>
      <w:r>
        <w:rPr>
          <w:rFonts w:hint="eastAsia"/>
          <w:highlight w:val="none"/>
        </w:rPr>
        <w:t>评标结果异议</w:t>
      </w:r>
    </w:p>
    <w:p w14:paraId="5A0DB038">
      <w:pPr>
        <w:pStyle w:val="13"/>
        <w:kinsoku w:val="0"/>
        <w:overflowPunct w:val="0"/>
        <w:spacing w:line="288" w:lineRule="auto"/>
        <w:ind w:firstLine="420" w:firstLineChars="200"/>
        <w:rPr>
          <w:rFonts w:ascii="宋体" w:hAnsi="宋体"/>
          <w:szCs w:val="21"/>
          <w:highlight w:val="none"/>
        </w:rPr>
      </w:pPr>
      <w:r>
        <w:rPr>
          <w:rFonts w:hint="eastAsia" w:ascii="宋体" w:hAnsi="宋体"/>
          <w:szCs w:val="21"/>
          <w:highlight w:val="none"/>
        </w:rPr>
        <w:t>投标人或者其他利害关系人对评标结果有异议的，应当在中标候选人公示期间提出。招标人将在收到异议之日起</w:t>
      </w:r>
      <w:r>
        <w:rPr>
          <w:rFonts w:ascii="宋体" w:hAnsi="宋体"/>
          <w:szCs w:val="21"/>
          <w:highlight w:val="none"/>
        </w:rPr>
        <w:t>3</w:t>
      </w:r>
      <w:r>
        <w:rPr>
          <w:rFonts w:hint="eastAsia" w:ascii="宋体" w:hAnsi="宋体"/>
          <w:szCs w:val="21"/>
          <w:highlight w:val="none"/>
        </w:rPr>
        <w:t>日内作出答复；作出答复前，将暂停招标投标活动。</w:t>
      </w:r>
    </w:p>
    <w:p w14:paraId="501B6AA6">
      <w:pPr>
        <w:pStyle w:val="13"/>
        <w:kinsoku w:val="0"/>
        <w:overflowPunct w:val="0"/>
        <w:spacing w:line="288" w:lineRule="auto"/>
        <w:ind w:firstLine="420" w:firstLineChars="200"/>
        <w:rPr>
          <w:rFonts w:ascii="宋体" w:hAnsi="宋体"/>
          <w:szCs w:val="21"/>
          <w:highlight w:val="none"/>
        </w:rPr>
      </w:pPr>
    </w:p>
    <w:p w14:paraId="6E30D040">
      <w:pPr>
        <w:pStyle w:val="7"/>
        <w:rPr>
          <w:highlight w:val="none"/>
        </w:rPr>
      </w:pPr>
      <w:bookmarkStart w:id="90" w:name="bookmark63"/>
      <w:bookmarkEnd w:id="90"/>
      <w:r>
        <w:rPr>
          <w:highlight w:val="none"/>
        </w:rPr>
        <w:t xml:space="preserve">7.3 </w:t>
      </w:r>
      <w:r>
        <w:rPr>
          <w:rFonts w:hint="eastAsia"/>
          <w:highlight w:val="none"/>
        </w:rPr>
        <w:t>中标候选人履约能力审查</w:t>
      </w:r>
    </w:p>
    <w:p w14:paraId="051F2829">
      <w:pPr>
        <w:pStyle w:val="13"/>
        <w:kinsoku w:val="0"/>
        <w:overflowPunct w:val="0"/>
        <w:spacing w:line="288" w:lineRule="auto"/>
        <w:ind w:firstLine="420" w:firstLineChars="200"/>
        <w:rPr>
          <w:rFonts w:ascii="宋体" w:hAnsi="宋体"/>
          <w:szCs w:val="21"/>
          <w:highlight w:val="none"/>
        </w:rPr>
      </w:pPr>
      <w:r>
        <w:rPr>
          <w:rFonts w:hint="eastAsia" w:ascii="宋体" w:hAnsi="宋体"/>
          <w:szCs w:val="21"/>
          <w:highlight w:val="none"/>
        </w:rPr>
        <w:t>中标候选人的经营、财务状况发生较大变化或存在违法行为，招标人认为可能影响其履约能力的，将在发出中标通知书前提请原评标委员会按照招标文件规定的标准和方法进行审查确认。</w:t>
      </w:r>
    </w:p>
    <w:p w14:paraId="757C4E59">
      <w:pPr>
        <w:pStyle w:val="13"/>
        <w:kinsoku w:val="0"/>
        <w:overflowPunct w:val="0"/>
        <w:spacing w:line="288" w:lineRule="auto"/>
        <w:ind w:firstLine="420" w:firstLineChars="200"/>
        <w:rPr>
          <w:rFonts w:ascii="宋体" w:hAnsi="宋体"/>
          <w:szCs w:val="21"/>
          <w:highlight w:val="none"/>
        </w:rPr>
      </w:pPr>
    </w:p>
    <w:p w14:paraId="5D2C4FDF">
      <w:pPr>
        <w:pStyle w:val="7"/>
        <w:rPr>
          <w:highlight w:val="none"/>
        </w:rPr>
      </w:pPr>
      <w:bookmarkStart w:id="91" w:name="bookmark64"/>
      <w:bookmarkEnd w:id="91"/>
      <w:r>
        <w:rPr>
          <w:highlight w:val="none"/>
        </w:rPr>
        <w:t xml:space="preserve">7.4 </w:t>
      </w:r>
      <w:r>
        <w:rPr>
          <w:rFonts w:hint="eastAsia"/>
          <w:highlight w:val="none"/>
        </w:rPr>
        <w:t>定标</w:t>
      </w:r>
    </w:p>
    <w:p w14:paraId="1CE94B98">
      <w:pPr>
        <w:pStyle w:val="13"/>
        <w:kinsoku w:val="0"/>
        <w:overflowPunct w:val="0"/>
        <w:spacing w:line="288" w:lineRule="auto"/>
        <w:ind w:firstLine="420" w:firstLineChars="200"/>
        <w:rPr>
          <w:rFonts w:ascii="宋体" w:hAnsi="宋体"/>
          <w:szCs w:val="21"/>
          <w:highlight w:val="none"/>
        </w:rPr>
      </w:pPr>
      <w:r>
        <w:rPr>
          <w:rFonts w:hint="eastAsia" w:ascii="宋体" w:hAnsi="宋体"/>
          <w:szCs w:val="21"/>
          <w:highlight w:val="none"/>
        </w:rPr>
        <w:t>按照投标人须知前附表的规定，招标人或招标人授权的评标委员会依法确定中标人。</w:t>
      </w:r>
    </w:p>
    <w:p w14:paraId="3D803EDB">
      <w:pPr>
        <w:pStyle w:val="13"/>
        <w:kinsoku w:val="0"/>
        <w:overflowPunct w:val="0"/>
        <w:spacing w:line="288" w:lineRule="auto"/>
        <w:ind w:firstLine="420" w:firstLineChars="200"/>
        <w:rPr>
          <w:rFonts w:ascii="宋体" w:hAnsi="宋体"/>
          <w:szCs w:val="21"/>
          <w:highlight w:val="none"/>
        </w:rPr>
      </w:pPr>
    </w:p>
    <w:p w14:paraId="1A5338A9">
      <w:pPr>
        <w:pStyle w:val="7"/>
        <w:rPr>
          <w:highlight w:val="none"/>
        </w:rPr>
      </w:pPr>
      <w:bookmarkStart w:id="92" w:name="bookmark65"/>
      <w:bookmarkEnd w:id="92"/>
      <w:r>
        <w:rPr>
          <w:highlight w:val="none"/>
        </w:rPr>
        <w:t xml:space="preserve">7.5 </w:t>
      </w:r>
      <w:r>
        <w:rPr>
          <w:rFonts w:hint="eastAsia"/>
          <w:highlight w:val="none"/>
        </w:rPr>
        <w:t>中标通知</w:t>
      </w:r>
    </w:p>
    <w:p w14:paraId="4C8840B5">
      <w:pPr>
        <w:pStyle w:val="13"/>
        <w:kinsoku w:val="0"/>
        <w:overflowPunct w:val="0"/>
        <w:spacing w:line="288" w:lineRule="auto"/>
        <w:ind w:firstLine="420" w:firstLineChars="200"/>
        <w:rPr>
          <w:rFonts w:ascii="宋体" w:hAnsi="宋体"/>
          <w:szCs w:val="21"/>
          <w:highlight w:val="none"/>
        </w:rPr>
      </w:pPr>
      <w:r>
        <w:rPr>
          <w:rFonts w:hint="eastAsia" w:ascii="宋体" w:hAnsi="宋体"/>
          <w:szCs w:val="21"/>
          <w:highlight w:val="none"/>
        </w:rPr>
        <w:t>在本章第</w:t>
      </w:r>
      <w:r>
        <w:rPr>
          <w:rFonts w:ascii="宋体" w:hAnsi="宋体"/>
          <w:szCs w:val="21"/>
          <w:highlight w:val="none"/>
        </w:rPr>
        <w:t>3.3</w:t>
      </w:r>
      <w:r>
        <w:rPr>
          <w:rFonts w:hint="eastAsia" w:ascii="宋体" w:hAnsi="宋体"/>
          <w:szCs w:val="21"/>
          <w:highlight w:val="none"/>
        </w:rPr>
        <w:t>款规定的投标有效期内，招标人以书面形式向中标人发出中标通知书，同时将中标结果通知未中标的投标人。</w:t>
      </w:r>
    </w:p>
    <w:p w14:paraId="3418BBC5">
      <w:pPr>
        <w:pStyle w:val="13"/>
        <w:kinsoku w:val="0"/>
        <w:overflowPunct w:val="0"/>
        <w:spacing w:line="288" w:lineRule="auto"/>
        <w:ind w:firstLine="420" w:firstLineChars="200"/>
        <w:rPr>
          <w:rFonts w:ascii="宋体" w:hAnsi="宋体"/>
          <w:szCs w:val="21"/>
          <w:highlight w:val="none"/>
        </w:rPr>
      </w:pPr>
    </w:p>
    <w:p w14:paraId="42AC5540">
      <w:pPr>
        <w:pStyle w:val="7"/>
        <w:rPr>
          <w:strike/>
          <w:dstrike w:val="0"/>
          <w:highlight w:val="none"/>
        </w:rPr>
      </w:pPr>
      <w:bookmarkStart w:id="93" w:name="bookmark66"/>
      <w:bookmarkEnd w:id="93"/>
      <w:r>
        <w:rPr>
          <w:strike/>
          <w:dstrike w:val="0"/>
          <w:highlight w:val="none"/>
        </w:rPr>
        <w:t xml:space="preserve">7.6 </w:t>
      </w:r>
      <w:r>
        <w:rPr>
          <w:rFonts w:hint="eastAsia"/>
          <w:strike/>
          <w:dstrike w:val="0"/>
          <w:highlight w:val="none"/>
        </w:rPr>
        <w:t>履约保证金</w:t>
      </w:r>
    </w:p>
    <w:p w14:paraId="4D60B779">
      <w:pPr>
        <w:pStyle w:val="13"/>
        <w:kinsoku w:val="0"/>
        <w:overflowPunct w:val="0"/>
        <w:spacing w:line="288" w:lineRule="auto"/>
        <w:ind w:firstLine="420" w:firstLineChars="200"/>
        <w:rPr>
          <w:rFonts w:ascii="宋体" w:hAnsi="宋体"/>
          <w:strike/>
          <w:dstrike w:val="0"/>
          <w:szCs w:val="21"/>
          <w:highlight w:val="none"/>
        </w:rPr>
      </w:pPr>
      <w:r>
        <w:rPr>
          <w:rFonts w:ascii="宋体" w:hAnsi="宋体"/>
          <w:strike/>
          <w:dstrike w:val="0"/>
          <w:szCs w:val="21"/>
          <w:highlight w:val="none"/>
        </w:rPr>
        <w:t>7.6.1</w:t>
      </w:r>
      <w:r>
        <w:rPr>
          <w:rFonts w:hint="eastAsia" w:ascii="宋体" w:hAnsi="宋体"/>
          <w:strike/>
          <w:dstrike w:val="0"/>
          <w:szCs w:val="21"/>
          <w:highlight w:val="none"/>
        </w:rPr>
        <w:t>在签订合同前，中标人应按投标人须知前附表规定的形式、金额和招标文件第四章“合同条款及格式”规定的或者事先经过招标人书面认可的履约保证金格式向招标人提交履约保证金。除投标人须知前附表另有规定外，履约保证金为中标合同金额的</w:t>
      </w:r>
      <w:r>
        <w:rPr>
          <w:rFonts w:ascii="宋体" w:hAnsi="宋体"/>
          <w:strike/>
          <w:dstrike w:val="0"/>
          <w:szCs w:val="21"/>
          <w:highlight w:val="none"/>
        </w:rPr>
        <w:t>10%</w:t>
      </w:r>
      <w:r>
        <w:rPr>
          <w:rFonts w:hint="eastAsia" w:ascii="宋体" w:hAnsi="宋体"/>
          <w:strike/>
          <w:dstrike w:val="0"/>
          <w:szCs w:val="21"/>
          <w:highlight w:val="none"/>
        </w:rPr>
        <w:t>。联合体中标的，其履约保证金以联合体各方或者联合体中牵头人的名义提交。</w:t>
      </w:r>
    </w:p>
    <w:p w14:paraId="120D0653">
      <w:pPr>
        <w:pStyle w:val="13"/>
        <w:kinsoku w:val="0"/>
        <w:overflowPunct w:val="0"/>
        <w:spacing w:line="288" w:lineRule="auto"/>
        <w:ind w:firstLine="420" w:firstLineChars="200"/>
        <w:rPr>
          <w:rFonts w:ascii="宋体" w:hAnsi="宋体"/>
          <w:strike/>
          <w:dstrike w:val="0"/>
          <w:szCs w:val="21"/>
          <w:highlight w:val="none"/>
        </w:rPr>
      </w:pPr>
      <w:r>
        <w:rPr>
          <w:rFonts w:ascii="宋体" w:hAnsi="宋体"/>
          <w:strike/>
          <w:dstrike w:val="0"/>
          <w:szCs w:val="21"/>
          <w:highlight w:val="none"/>
        </w:rPr>
        <w:t>7.6.2</w:t>
      </w:r>
      <w:r>
        <w:rPr>
          <w:rFonts w:hint="eastAsia" w:ascii="宋体" w:hAnsi="宋体"/>
          <w:strike/>
          <w:dstrike w:val="0"/>
          <w:szCs w:val="21"/>
          <w:highlight w:val="none"/>
        </w:rPr>
        <w:t>中标人不能按本章第</w:t>
      </w:r>
      <w:r>
        <w:rPr>
          <w:rFonts w:ascii="宋体" w:hAnsi="宋体"/>
          <w:strike/>
          <w:dstrike w:val="0"/>
          <w:szCs w:val="21"/>
          <w:highlight w:val="none"/>
        </w:rPr>
        <w:t>7.6.1</w:t>
      </w:r>
      <w:r>
        <w:rPr>
          <w:rFonts w:hint="eastAsia" w:ascii="宋体" w:hAnsi="宋体"/>
          <w:strike/>
          <w:dstrike w:val="0"/>
          <w:szCs w:val="21"/>
          <w:highlight w:val="none"/>
        </w:rPr>
        <w:t>项要求提交履约保证金的，视为放弃中标，其投标保证金不予退还，给招标人造成的损失超过投标保证金数额的，中标人还应当对超过部分予以赔偿。</w:t>
      </w:r>
    </w:p>
    <w:p w14:paraId="7B3555AE">
      <w:pPr>
        <w:pStyle w:val="13"/>
        <w:kinsoku w:val="0"/>
        <w:overflowPunct w:val="0"/>
        <w:spacing w:line="288" w:lineRule="auto"/>
        <w:ind w:firstLine="420" w:firstLineChars="200"/>
        <w:rPr>
          <w:rFonts w:ascii="宋体" w:hAnsi="宋体"/>
          <w:szCs w:val="21"/>
          <w:highlight w:val="none"/>
        </w:rPr>
      </w:pPr>
    </w:p>
    <w:p w14:paraId="3803CD97">
      <w:pPr>
        <w:pStyle w:val="7"/>
        <w:rPr>
          <w:highlight w:val="none"/>
        </w:rPr>
      </w:pPr>
      <w:bookmarkStart w:id="94" w:name="bookmark67"/>
      <w:bookmarkEnd w:id="94"/>
      <w:r>
        <w:rPr>
          <w:highlight w:val="none"/>
        </w:rPr>
        <w:t xml:space="preserve">7.7 </w:t>
      </w:r>
      <w:r>
        <w:rPr>
          <w:rFonts w:hint="eastAsia"/>
          <w:highlight w:val="none"/>
        </w:rPr>
        <w:t>签订合同</w:t>
      </w:r>
    </w:p>
    <w:p w14:paraId="30B9B172">
      <w:pPr>
        <w:pStyle w:val="13"/>
        <w:kinsoku w:val="0"/>
        <w:overflowPunct w:val="0"/>
        <w:spacing w:line="288" w:lineRule="auto"/>
        <w:ind w:firstLine="420" w:firstLineChars="200"/>
        <w:rPr>
          <w:rFonts w:ascii="宋体" w:hAnsi="宋体"/>
          <w:szCs w:val="21"/>
          <w:highlight w:val="none"/>
        </w:rPr>
      </w:pPr>
      <w:r>
        <w:rPr>
          <w:rFonts w:ascii="宋体" w:hAnsi="宋体"/>
          <w:szCs w:val="21"/>
          <w:highlight w:val="none"/>
        </w:rPr>
        <w:t>7.7.1</w:t>
      </w:r>
      <w:r>
        <w:rPr>
          <w:rFonts w:hint="eastAsia" w:ascii="宋体" w:hAnsi="宋体"/>
          <w:szCs w:val="21"/>
          <w:highlight w:val="none"/>
        </w:rPr>
        <w:t>招标人和中标人应当在中标通知书发出之日起</w:t>
      </w:r>
      <w:r>
        <w:rPr>
          <w:rFonts w:ascii="宋体" w:hAnsi="宋体"/>
          <w:szCs w:val="21"/>
          <w:highlight w:val="none"/>
        </w:rPr>
        <w:t>30</w:t>
      </w:r>
      <w:r>
        <w:rPr>
          <w:rFonts w:hint="eastAsia" w:ascii="宋体" w:hAnsi="宋体"/>
          <w:szCs w:val="21"/>
          <w:highlight w:val="none"/>
        </w:rPr>
        <w:t>日内，根据招标文件和中标人的投标文件订立书面合同。中标人无正当理由拒签合同，在签订合同时向招标人提出附加条件，或者不按照招标文件要求提交履约保证金的，招标人有权取消其中标资格，其投标保证金不予退还；给招标人造成的损失超过投标保证金数额的，中标人还应当对超过部分予以赔偿。</w:t>
      </w:r>
    </w:p>
    <w:p w14:paraId="18065661">
      <w:pPr>
        <w:pStyle w:val="13"/>
        <w:kinsoku w:val="0"/>
        <w:overflowPunct w:val="0"/>
        <w:spacing w:line="288" w:lineRule="auto"/>
        <w:ind w:firstLine="420" w:firstLineChars="200"/>
        <w:rPr>
          <w:rFonts w:ascii="宋体" w:hAnsi="宋体"/>
          <w:szCs w:val="21"/>
          <w:highlight w:val="none"/>
        </w:rPr>
      </w:pPr>
      <w:r>
        <w:rPr>
          <w:rFonts w:ascii="宋体" w:hAnsi="宋体"/>
          <w:szCs w:val="21"/>
          <w:highlight w:val="none"/>
        </w:rPr>
        <w:t>7.7.2</w:t>
      </w:r>
      <w:r>
        <w:rPr>
          <w:rFonts w:hint="eastAsia" w:ascii="宋体" w:hAnsi="宋体"/>
          <w:szCs w:val="21"/>
          <w:highlight w:val="none"/>
        </w:rPr>
        <w:t>发出中标通知书后，招标人无正当理由拒签合同，或者在签订合同时向中标人提出附加条件的，招标人向中标人退还投标保证金；给中标人造成损失的，还应当赔偿损失。</w:t>
      </w:r>
    </w:p>
    <w:p w14:paraId="61729839">
      <w:pPr>
        <w:pStyle w:val="13"/>
        <w:kinsoku w:val="0"/>
        <w:overflowPunct w:val="0"/>
        <w:spacing w:line="288" w:lineRule="auto"/>
        <w:ind w:firstLine="420" w:firstLineChars="200"/>
        <w:rPr>
          <w:rFonts w:ascii="宋体" w:hAnsi="宋体"/>
          <w:szCs w:val="21"/>
          <w:highlight w:val="none"/>
        </w:rPr>
      </w:pPr>
      <w:r>
        <w:rPr>
          <w:rFonts w:ascii="宋体" w:hAnsi="宋体"/>
          <w:szCs w:val="21"/>
          <w:highlight w:val="none"/>
        </w:rPr>
        <w:t>7.7.3</w:t>
      </w:r>
      <w:r>
        <w:rPr>
          <w:rFonts w:hint="eastAsia" w:ascii="宋体" w:hAnsi="宋体"/>
          <w:szCs w:val="21"/>
          <w:highlight w:val="none"/>
        </w:rPr>
        <w:t>联合体中标的，联合体各方应当共同与招标人签订合同，就中标项目向招标人承担连带责任。</w:t>
      </w:r>
    </w:p>
    <w:p w14:paraId="2EB5BC01">
      <w:pPr>
        <w:pStyle w:val="5"/>
        <w:rPr>
          <w:highlight w:val="none"/>
        </w:rPr>
      </w:pPr>
      <w:bookmarkStart w:id="95" w:name="bookmark68"/>
      <w:bookmarkEnd w:id="95"/>
      <w:bookmarkStart w:id="96" w:name="_Toc103592016"/>
      <w:bookmarkStart w:id="97" w:name="_Toc533357315"/>
    </w:p>
    <w:p w14:paraId="6AB8B7AD">
      <w:pPr>
        <w:pStyle w:val="5"/>
        <w:rPr>
          <w:highlight w:val="none"/>
        </w:rPr>
      </w:pPr>
      <w:r>
        <w:rPr>
          <w:highlight w:val="none"/>
        </w:rPr>
        <w:t xml:space="preserve">8. </w:t>
      </w:r>
      <w:r>
        <w:rPr>
          <w:rFonts w:hint="eastAsia"/>
          <w:highlight w:val="none"/>
        </w:rPr>
        <w:t>纪律和监督</w:t>
      </w:r>
      <w:bookmarkEnd w:id="96"/>
      <w:bookmarkEnd w:id="97"/>
    </w:p>
    <w:p w14:paraId="5856028E">
      <w:pPr>
        <w:pStyle w:val="7"/>
        <w:rPr>
          <w:highlight w:val="none"/>
        </w:rPr>
      </w:pPr>
      <w:bookmarkStart w:id="98" w:name="bookmark69"/>
      <w:bookmarkEnd w:id="98"/>
      <w:r>
        <w:rPr>
          <w:highlight w:val="none"/>
        </w:rPr>
        <w:t xml:space="preserve">8.1 </w:t>
      </w:r>
      <w:r>
        <w:rPr>
          <w:rFonts w:hint="eastAsia"/>
          <w:highlight w:val="none"/>
        </w:rPr>
        <w:t>对招标人的纪律要求</w:t>
      </w:r>
    </w:p>
    <w:p w14:paraId="648EF642">
      <w:pPr>
        <w:pStyle w:val="13"/>
        <w:kinsoku w:val="0"/>
        <w:overflowPunct w:val="0"/>
        <w:spacing w:line="288" w:lineRule="auto"/>
        <w:ind w:firstLine="420" w:firstLineChars="200"/>
        <w:rPr>
          <w:rFonts w:ascii="宋体" w:hAnsi="宋体"/>
          <w:szCs w:val="21"/>
          <w:highlight w:val="none"/>
        </w:rPr>
      </w:pPr>
      <w:r>
        <w:rPr>
          <w:rFonts w:hint="eastAsia" w:ascii="宋体" w:hAnsi="宋体"/>
          <w:szCs w:val="21"/>
          <w:highlight w:val="none"/>
        </w:rPr>
        <w:t>招标人不得泄露招标投标活动中应当保密的情况和资料，不得与投标人串通损害国家利益、社会公共利益或者他人合法权益。</w:t>
      </w:r>
    </w:p>
    <w:p w14:paraId="1B64C82F">
      <w:pPr>
        <w:pStyle w:val="13"/>
        <w:kinsoku w:val="0"/>
        <w:overflowPunct w:val="0"/>
        <w:spacing w:line="288" w:lineRule="auto"/>
        <w:ind w:firstLine="420" w:firstLineChars="200"/>
        <w:rPr>
          <w:rFonts w:ascii="宋体" w:hAnsi="宋体"/>
          <w:szCs w:val="21"/>
          <w:highlight w:val="none"/>
        </w:rPr>
      </w:pPr>
    </w:p>
    <w:p w14:paraId="6EDBCDBA">
      <w:pPr>
        <w:pStyle w:val="7"/>
        <w:rPr>
          <w:highlight w:val="none"/>
        </w:rPr>
      </w:pPr>
      <w:bookmarkStart w:id="99" w:name="bookmark70"/>
      <w:bookmarkEnd w:id="99"/>
      <w:r>
        <w:rPr>
          <w:highlight w:val="none"/>
        </w:rPr>
        <w:t xml:space="preserve">8.2 </w:t>
      </w:r>
      <w:r>
        <w:rPr>
          <w:rFonts w:hint="eastAsia"/>
          <w:highlight w:val="none"/>
        </w:rPr>
        <w:t>对投标人的纪律要求</w:t>
      </w:r>
    </w:p>
    <w:p w14:paraId="259FD5A2">
      <w:pPr>
        <w:pStyle w:val="13"/>
        <w:kinsoku w:val="0"/>
        <w:overflowPunct w:val="0"/>
        <w:spacing w:line="288" w:lineRule="auto"/>
        <w:ind w:firstLine="420" w:firstLineChars="200"/>
        <w:rPr>
          <w:rFonts w:ascii="宋体" w:hAnsi="宋体"/>
          <w:szCs w:val="21"/>
          <w:highlight w:val="none"/>
        </w:rPr>
      </w:pPr>
      <w:r>
        <w:rPr>
          <w:rFonts w:hint="eastAsia" w:ascii="宋体" w:hAnsi="宋体"/>
          <w:szCs w:val="21"/>
          <w:highlight w:val="none"/>
        </w:rPr>
        <w:t>投标人不得相互串通投标或者与招标人串通投标，不得向招标人或者评标委员会成员行贿谋取中标，不得以他人名义投标或者以其他方式弄虚作假骗取中标；投标人不得以任何方式干扰、影响评标工作。</w:t>
      </w:r>
    </w:p>
    <w:p w14:paraId="5EB02465">
      <w:pPr>
        <w:pStyle w:val="13"/>
        <w:kinsoku w:val="0"/>
        <w:overflowPunct w:val="0"/>
        <w:spacing w:line="288" w:lineRule="auto"/>
        <w:ind w:firstLine="420" w:firstLineChars="200"/>
        <w:rPr>
          <w:rFonts w:ascii="宋体" w:hAnsi="宋体"/>
          <w:szCs w:val="21"/>
          <w:highlight w:val="none"/>
        </w:rPr>
      </w:pPr>
    </w:p>
    <w:p w14:paraId="3B5BD41D">
      <w:pPr>
        <w:pStyle w:val="7"/>
        <w:rPr>
          <w:highlight w:val="none"/>
        </w:rPr>
      </w:pPr>
      <w:bookmarkStart w:id="100" w:name="bookmark71"/>
      <w:bookmarkEnd w:id="100"/>
      <w:r>
        <w:rPr>
          <w:highlight w:val="none"/>
        </w:rPr>
        <w:t xml:space="preserve">8.3 </w:t>
      </w:r>
      <w:r>
        <w:rPr>
          <w:rFonts w:hint="eastAsia"/>
          <w:highlight w:val="none"/>
        </w:rPr>
        <w:t>对评标委员会成员的纪律要求</w:t>
      </w:r>
    </w:p>
    <w:p w14:paraId="5C53F0DA">
      <w:pPr>
        <w:pStyle w:val="13"/>
        <w:kinsoku w:val="0"/>
        <w:overflowPunct w:val="0"/>
        <w:spacing w:line="288" w:lineRule="auto"/>
        <w:ind w:firstLine="420" w:firstLineChars="200"/>
        <w:rPr>
          <w:rFonts w:ascii="宋体" w:hAnsi="宋体"/>
          <w:szCs w:val="21"/>
          <w:highlight w:val="none"/>
        </w:rPr>
      </w:pPr>
      <w:r>
        <w:rPr>
          <w:rFonts w:hint="eastAsia" w:ascii="宋体" w:hAnsi="宋体"/>
          <w:szCs w:val="21"/>
          <w:highlight w:val="none"/>
        </w:rPr>
        <w:t>评标委员会成员不得收受他人的财物或者其他好处，不得向他人透露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14:paraId="348980C3">
      <w:pPr>
        <w:pStyle w:val="13"/>
        <w:kinsoku w:val="0"/>
        <w:overflowPunct w:val="0"/>
        <w:spacing w:line="288" w:lineRule="auto"/>
        <w:ind w:firstLine="420" w:firstLineChars="200"/>
        <w:rPr>
          <w:rFonts w:ascii="宋体" w:hAnsi="宋体"/>
          <w:szCs w:val="21"/>
          <w:highlight w:val="none"/>
        </w:rPr>
      </w:pPr>
    </w:p>
    <w:p w14:paraId="65657F84">
      <w:pPr>
        <w:pStyle w:val="7"/>
        <w:rPr>
          <w:highlight w:val="none"/>
        </w:rPr>
      </w:pPr>
      <w:bookmarkStart w:id="101" w:name="bookmark72"/>
      <w:bookmarkEnd w:id="101"/>
      <w:r>
        <w:rPr>
          <w:highlight w:val="none"/>
        </w:rPr>
        <w:t xml:space="preserve">8.4 </w:t>
      </w:r>
      <w:r>
        <w:rPr>
          <w:rFonts w:hint="eastAsia"/>
          <w:highlight w:val="none"/>
        </w:rPr>
        <w:t>对与评标活动有关的工作人员的纪律要求</w:t>
      </w:r>
    </w:p>
    <w:p w14:paraId="79AD5F81">
      <w:pPr>
        <w:pStyle w:val="13"/>
        <w:kinsoku w:val="0"/>
        <w:overflowPunct w:val="0"/>
        <w:spacing w:line="288" w:lineRule="auto"/>
        <w:ind w:firstLine="420" w:firstLineChars="200"/>
        <w:rPr>
          <w:rFonts w:ascii="宋体" w:hAnsi="宋体"/>
          <w:szCs w:val="21"/>
          <w:highlight w:val="none"/>
        </w:rPr>
      </w:pPr>
      <w:r>
        <w:rPr>
          <w:rFonts w:hint="eastAsia" w:ascii="宋体" w:hAnsi="宋体"/>
          <w:szCs w:val="21"/>
          <w:highlight w:val="none"/>
        </w:rPr>
        <w:t>与评标活动有关的工作人员不得收受他人的财物或者其他好处，不得向他人透露对投标文件的评审和比较、中标候选人的推荐情况以及评标有关的其他情况。在评标活动中，与评标活动有关的工作人员不得擅离职守，影响评标程序正常进行。</w:t>
      </w:r>
    </w:p>
    <w:p w14:paraId="5A6C6C1C">
      <w:pPr>
        <w:pStyle w:val="13"/>
        <w:kinsoku w:val="0"/>
        <w:overflowPunct w:val="0"/>
        <w:spacing w:line="288" w:lineRule="auto"/>
        <w:ind w:firstLine="420" w:firstLineChars="200"/>
        <w:rPr>
          <w:rFonts w:ascii="宋体" w:hAnsi="宋体"/>
          <w:szCs w:val="21"/>
          <w:highlight w:val="none"/>
        </w:rPr>
      </w:pPr>
    </w:p>
    <w:p w14:paraId="5DEC21B8">
      <w:pPr>
        <w:pStyle w:val="7"/>
        <w:rPr>
          <w:highlight w:val="none"/>
        </w:rPr>
      </w:pPr>
      <w:bookmarkStart w:id="102" w:name="bookmark73"/>
      <w:bookmarkEnd w:id="102"/>
      <w:r>
        <w:rPr>
          <w:highlight w:val="none"/>
        </w:rPr>
        <w:t xml:space="preserve">8.5 </w:t>
      </w:r>
      <w:r>
        <w:rPr>
          <w:rFonts w:hint="eastAsia"/>
          <w:highlight w:val="none"/>
        </w:rPr>
        <w:t>投诉</w:t>
      </w:r>
    </w:p>
    <w:p w14:paraId="1A84A945">
      <w:pPr>
        <w:pStyle w:val="13"/>
        <w:kinsoku w:val="0"/>
        <w:overflowPunct w:val="0"/>
        <w:spacing w:line="288" w:lineRule="auto"/>
        <w:ind w:firstLine="420" w:firstLineChars="200"/>
        <w:rPr>
          <w:rFonts w:ascii="宋体" w:hAnsi="宋体"/>
          <w:szCs w:val="21"/>
          <w:highlight w:val="none"/>
        </w:rPr>
      </w:pPr>
      <w:r>
        <w:rPr>
          <w:rFonts w:ascii="宋体" w:hAnsi="宋体"/>
          <w:szCs w:val="21"/>
          <w:highlight w:val="none"/>
        </w:rPr>
        <w:t>8.5.1</w:t>
      </w:r>
      <w:r>
        <w:rPr>
          <w:rFonts w:hint="eastAsia" w:ascii="宋体" w:hAnsi="宋体"/>
          <w:szCs w:val="21"/>
          <w:highlight w:val="none"/>
        </w:rPr>
        <w:t>投标人或者其他利害关系人认为招标投标活动不符合法律、行政法规规定的，可以自知道或者应当知道之日起</w:t>
      </w:r>
      <w:r>
        <w:rPr>
          <w:rFonts w:ascii="宋体" w:hAnsi="宋体"/>
          <w:szCs w:val="21"/>
          <w:highlight w:val="none"/>
        </w:rPr>
        <w:t>10</w:t>
      </w:r>
      <w:r>
        <w:rPr>
          <w:rFonts w:hint="eastAsia" w:ascii="宋体" w:hAnsi="宋体"/>
          <w:szCs w:val="21"/>
          <w:highlight w:val="none"/>
        </w:rPr>
        <w:t>日内向有关行政监督部门投诉。投诉应当有明确的请求和必要的证明材料。</w:t>
      </w:r>
    </w:p>
    <w:p w14:paraId="26425188">
      <w:pPr>
        <w:pStyle w:val="13"/>
        <w:kinsoku w:val="0"/>
        <w:overflowPunct w:val="0"/>
        <w:spacing w:line="288" w:lineRule="auto"/>
        <w:ind w:firstLine="420" w:firstLineChars="200"/>
        <w:rPr>
          <w:rFonts w:ascii="宋体" w:hAnsi="宋体"/>
          <w:szCs w:val="21"/>
          <w:highlight w:val="none"/>
        </w:rPr>
      </w:pPr>
      <w:r>
        <w:rPr>
          <w:rFonts w:ascii="宋体" w:hAnsi="宋体"/>
          <w:szCs w:val="21"/>
          <w:highlight w:val="none"/>
        </w:rPr>
        <w:t>8.5.2</w:t>
      </w:r>
      <w:r>
        <w:rPr>
          <w:rFonts w:hint="eastAsia" w:ascii="宋体" w:hAnsi="宋体"/>
          <w:szCs w:val="21"/>
          <w:highlight w:val="none"/>
        </w:rPr>
        <w:t>投标人或者其他利害关系人对招标文件、开标和评标结果提出投诉的，应当按照投标人须知第</w:t>
      </w:r>
      <w:r>
        <w:rPr>
          <w:rFonts w:ascii="宋体" w:hAnsi="宋体"/>
          <w:szCs w:val="21"/>
          <w:highlight w:val="none"/>
        </w:rPr>
        <w:t>2.4</w:t>
      </w:r>
      <w:r>
        <w:rPr>
          <w:rFonts w:hint="eastAsia" w:ascii="宋体" w:hAnsi="宋体"/>
          <w:szCs w:val="21"/>
          <w:highlight w:val="none"/>
        </w:rPr>
        <w:t>款、第</w:t>
      </w:r>
      <w:r>
        <w:rPr>
          <w:rFonts w:ascii="宋体" w:hAnsi="宋体"/>
          <w:szCs w:val="21"/>
          <w:highlight w:val="none"/>
        </w:rPr>
        <w:t>5.3</w:t>
      </w:r>
      <w:r>
        <w:rPr>
          <w:rFonts w:hint="eastAsia" w:ascii="宋体" w:hAnsi="宋体"/>
          <w:szCs w:val="21"/>
          <w:highlight w:val="none"/>
        </w:rPr>
        <w:t>款和第</w:t>
      </w:r>
      <w:r>
        <w:rPr>
          <w:rFonts w:ascii="宋体" w:hAnsi="宋体"/>
          <w:szCs w:val="21"/>
          <w:highlight w:val="none"/>
        </w:rPr>
        <w:t>7.2</w:t>
      </w:r>
      <w:r>
        <w:rPr>
          <w:rFonts w:hint="eastAsia" w:ascii="宋体" w:hAnsi="宋体"/>
          <w:szCs w:val="21"/>
          <w:highlight w:val="none"/>
        </w:rPr>
        <w:t>款的规定先向招标人提出异议。异议答复期间不计算在第</w:t>
      </w:r>
      <w:r>
        <w:rPr>
          <w:rFonts w:ascii="宋体" w:hAnsi="宋体"/>
          <w:szCs w:val="21"/>
          <w:highlight w:val="none"/>
        </w:rPr>
        <w:t>8.5.1</w:t>
      </w:r>
      <w:r>
        <w:rPr>
          <w:rFonts w:hint="eastAsia" w:ascii="宋体" w:hAnsi="宋体"/>
          <w:szCs w:val="21"/>
          <w:highlight w:val="none"/>
        </w:rPr>
        <w:t>项规定的期限内。</w:t>
      </w:r>
    </w:p>
    <w:p w14:paraId="3334FF7E">
      <w:pPr>
        <w:pStyle w:val="5"/>
        <w:rPr>
          <w:highlight w:val="none"/>
        </w:rPr>
      </w:pPr>
      <w:bookmarkStart w:id="103" w:name="bookmark74"/>
      <w:bookmarkEnd w:id="103"/>
      <w:bookmarkStart w:id="104" w:name="_Toc103592017"/>
    </w:p>
    <w:p w14:paraId="4CFF6E6F">
      <w:pPr>
        <w:pStyle w:val="5"/>
        <w:rPr>
          <w:highlight w:val="none"/>
        </w:rPr>
      </w:pPr>
      <w:r>
        <w:rPr>
          <w:highlight w:val="none"/>
        </w:rPr>
        <w:t xml:space="preserve">9. </w:t>
      </w:r>
      <w:r>
        <w:rPr>
          <w:rFonts w:hint="eastAsia"/>
          <w:highlight w:val="none"/>
        </w:rPr>
        <w:t>是否采用电子招标投标</w:t>
      </w:r>
      <w:bookmarkEnd w:id="104"/>
    </w:p>
    <w:p w14:paraId="584B68C3">
      <w:pPr>
        <w:pStyle w:val="13"/>
        <w:kinsoku w:val="0"/>
        <w:overflowPunct w:val="0"/>
        <w:spacing w:line="288" w:lineRule="auto"/>
        <w:ind w:firstLine="420" w:firstLineChars="200"/>
        <w:rPr>
          <w:rFonts w:ascii="宋体" w:hAnsi="宋体"/>
          <w:szCs w:val="21"/>
          <w:highlight w:val="none"/>
        </w:rPr>
      </w:pPr>
      <w:r>
        <w:rPr>
          <w:rFonts w:hint="eastAsia" w:ascii="宋体" w:hAnsi="宋体"/>
          <w:szCs w:val="21"/>
          <w:highlight w:val="none"/>
        </w:rPr>
        <w:t>本招标项目采用电子招标投标方式，具体要求见投标人须知前附表。</w:t>
      </w:r>
    </w:p>
    <w:p w14:paraId="46FB17CA">
      <w:pPr>
        <w:pStyle w:val="5"/>
        <w:rPr>
          <w:highlight w:val="none"/>
        </w:rPr>
      </w:pPr>
      <w:bookmarkStart w:id="105" w:name="bookmark75"/>
      <w:bookmarkEnd w:id="105"/>
      <w:bookmarkStart w:id="106" w:name="_Toc103592018"/>
    </w:p>
    <w:p w14:paraId="20380A59">
      <w:pPr>
        <w:pStyle w:val="5"/>
        <w:rPr>
          <w:highlight w:val="none"/>
        </w:rPr>
      </w:pPr>
      <w:r>
        <w:rPr>
          <w:highlight w:val="none"/>
        </w:rPr>
        <w:t xml:space="preserve">10. </w:t>
      </w:r>
      <w:r>
        <w:rPr>
          <w:rFonts w:hint="eastAsia"/>
          <w:highlight w:val="none"/>
        </w:rPr>
        <w:t>需要补充的其他内容</w:t>
      </w:r>
      <w:bookmarkEnd w:id="106"/>
    </w:p>
    <w:p w14:paraId="76D8E2A6">
      <w:pPr>
        <w:ind w:firstLine="424" w:firstLineChars="202"/>
        <w:rPr>
          <w:rFonts w:ascii="宋体" w:hAnsi="宋体"/>
          <w:highlight w:val="none"/>
        </w:rPr>
      </w:pPr>
      <w:r>
        <w:rPr>
          <w:rFonts w:hint="eastAsia" w:ascii="宋体" w:hAnsi="宋体"/>
          <w:highlight w:val="none"/>
        </w:rPr>
        <w:t>需要补充的其他内容：见投标人须知前附表。</w:t>
      </w:r>
    </w:p>
    <w:p w14:paraId="1F039B20">
      <w:pPr>
        <w:ind w:firstLine="424" w:firstLineChars="202"/>
        <w:rPr>
          <w:rFonts w:ascii="宋体" w:hAnsi="宋体"/>
          <w:highlight w:val="none"/>
        </w:rPr>
      </w:pPr>
    </w:p>
    <w:p w14:paraId="36ADCEB8">
      <w:pPr>
        <w:ind w:firstLine="424" w:firstLineChars="202"/>
        <w:rPr>
          <w:rFonts w:ascii="宋体" w:hAnsi="宋体"/>
          <w:highlight w:val="none"/>
        </w:rPr>
      </w:pPr>
    </w:p>
    <w:p w14:paraId="220338D5">
      <w:pPr>
        <w:pStyle w:val="3"/>
        <w:rPr>
          <w:highlight w:val="none"/>
        </w:rPr>
      </w:pPr>
      <w:r>
        <w:rPr>
          <w:szCs w:val="24"/>
          <w:highlight w:val="none"/>
        </w:rPr>
        <w:br w:type="page"/>
      </w:r>
      <w:bookmarkStart w:id="107" w:name="_Toc103592019"/>
      <w:bookmarkStart w:id="108" w:name="_Toc533357317"/>
      <w:r>
        <w:rPr>
          <w:rFonts w:hint="eastAsia"/>
          <w:highlight w:val="none"/>
        </w:rPr>
        <w:t xml:space="preserve">第三章  </w:t>
      </w:r>
      <w:bookmarkStart w:id="109" w:name="_Hlk129012851"/>
      <w:r>
        <w:rPr>
          <w:rFonts w:hint="eastAsia"/>
          <w:highlight w:val="none"/>
        </w:rPr>
        <w:t>评标办法</w:t>
      </w:r>
      <w:bookmarkEnd w:id="109"/>
      <w:r>
        <w:rPr>
          <w:rFonts w:hint="eastAsia"/>
          <w:highlight w:val="none"/>
        </w:rPr>
        <w:t>（综合评估法）</w:t>
      </w:r>
      <w:bookmarkEnd w:id="107"/>
      <w:bookmarkEnd w:id="108"/>
    </w:p>
    <w:p w14:paraId="4606E6BB">
      <w:pPr>
        <w:pStyle w:val="4"/>
        <w:rPr>
          <w:rFonts w:ascii="宋体" w:hAnsi="宋体"/>
          <w:highlight w:val="none"/>
        </w:rPr>
      </w:pPr>
      <w:bookmarkStart w:id="110" w:name="_Toc103592020"/>
      <w:bookmarkStart w:id="111" w:name="_Toc533357318"/>
      <w:r>
        <w:rPr>
          <w:rFonts w:hint="eastAsia" w:ascii="宋体" w:hAnsi="宋体"/>
          <w:highlight w:val="none"/>
        </w:rPr>
        <w:t>评标办法前附表</w:t>
      </w:r>
      <w:bookmarkEnd w:id="110"/>
      <w:bookmarkEnd w:id="111"/>
    </w:p>
    <w:tbl>
      <w:tblPr>
        <w:tblStyle w:val="27"/>
        <w:tblW w:w="103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851"/>
        <w:gridCol w:w="1550"/>
        <w:gridCol w:w="7136"/>
      </w:tblGrid>
      <w:tr w14:paraId="2B9F4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18" w:type="dxa"/>
            <w:gridSpan w:val="2"/>
            <w:vAlign w:val="center"/>
          </w:tcPr>
          <w:p w14:paraId="5232DBD7">
            <w:pPr>
              <w:spacing w:line="276" w:lineRule="auto"/>
              <w:jc w:val="center"/>
              <w:rPr>
                <w:rFonts w:ascii="宋体" w:hAnsi="宋体"/>
                <w:b/>
                <w:szCs w:val="21"/>
                <w:highlight w:val="none"/>
              </w:rPr>
            </w:pPr>
            <w:r>
              <w:rPr>
                <w:rFonts w:hint="eastAsia" w:ascii="宋体" w:hAnsi="宋体"/>
                <w:b/>
                <w:szCs w:val="21"/>
                <w:highlight w:val="none"/>
              </w:rPr>
              <w:t>条款号</w:t>
            </w:r>
          </w:p>
        </w:tc>
        <w:tc>
          <w:tcPr>
            <w:tcW w:w="1550" w:type="dxa"/>
            <w:vAlign w:val="center"/>
          </w:tcPr>
          <w:p w14:paraId="5B843BBD">
            <w:pPr>
              <w:spacing w:line="276" w:lineRule="auto"/>
              <w:jc w:val="center"/>
              <w:rPr>
                <w:rFonts w:ascii="宋体" w:hAnsi="宋体"/>
                <w:b/>
                <w:szCs w:val="21"/>
                <w:highlight w:val="none"/>
              </w:rPr>
            </w:pPr>
            <w:r>
              <w:rPr>
                <w:rFonts w:hint="eastAsia" w:ascii="宋体" w:hAnsi="宋体"/>
                <w:b/>
                <w:szCs w:val="21"/>
                <w:highlight w:val="none"/>
              </w:rPr>
              <w:t>评审因素</w:t>
            </w:r>
          </w:p>
        </w:tc>
        <w:tc>
          <w:tcPr>
            <w:tcW w:w="7136" w:type="dxa"/>
            <w:vAlign w:val="center"/>
          </w:tcPr>
          <w:p w14:paraId="2C411A9C">
            <w:pPr>
              <w:spacing w:line="276" w:lineRule="auto"/>
              <w:jc w:val="center"/>
              <w:rPr>
                <w:rFonts w:ascii="宋体" w:hAnsi="宋体"/>
                <w:b/>
                <w:szCs w:val="21"/>
                <w:highlight w:val="none"/>
              </w:rPr>
            </w:pPr>
            <w:r>
              <w:rPr>
                <w:rFonts w:hint="eastAsia" w:ascii="宋体" w:hAnsi="宋体"/>
                <w:b/>
                <w:szCs w:val="21"/>
                <w:highlight w:val="none"/>
              </w:rPr>
              <w:t>评审标准</w:t>
            </w:r>
          </w:p>
        </w:tc>
      </w:tr>
      <w:tr w14:paraId="3D5BD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67" w:type="dxa"/>
            <w:vAlign w:val="center"/>
          </w:tcPr>
          <w:p w14:paraId="1422B4DF">
            <w:pPr>
              <w:spacing w:line="276" w:lineRule="auto"/>
              <w:jc w:val="center"/>
              <w:rPr>
                <w:rFonts w:ascii="宋体" w:hAnsi="宋体"/>
                <w:szCs w:val="21"/>
                <w:highlight w:val="none"/>
              </w:rPr>
            </w:pPr>
            <w:r>
              <w:rPr>
                <w:rFonts w:ascii="宋体" w:hAnsi="宋体"/>
                <w:szCs w:val="21"/>
                <w:highlight w:val="none"/>
              </w:rPr>
              <w:t>1</w:t>
            </w:r>
          </w:p>
        </w:tc>
        <w:tc>
          <w:tcPr>
            <w:tcW w:w="851" w:type="dxa"/>
            <w:vAlign w:val="center"/>
          </w:tcPr>
          <w:p w14:paraId="1399CD2A">
            <w:pPr>
              <w:spacing w:line="276" w:lineRule="auto"/>
              <w:jc w:val="center"/>
              <w:rPr>
                <w:rFonts w:ascii="宋体" w:hAnsi="宋体"/>
                <w:szCs w:val="21"/>
                <w:highlight w:val="none"/>
              </w:rPr>
            </w:pPr>
            <w:r>
              <w:rPr>
                <w:rFonts w:hint="eastAsia" w:ascii="宋体" w:hAnsi="宋体"/>
                <w:szCs w:val="21"/>
                <w:highlight w:val="none"/>
              </w:rPr>
              <w:t>评标方法</w:t>
            </w:r>
          </w:p>
        </w:tc>
        <w:tc>
          <w:tcPr>
            <w:tcW w:w="1550" w:type="dxa"/>
            <w:vAlign w:val="center"/>
          </w:tcPr>
          <w:p w14:paraId="6F367A2D">
            <w:pPr>
              <w:spacing w:line="276" w:lineRule="auto"/>
              <w:jc w:val="center"/>
              <w:rPr>
                <w:rFonts w:ascii="宋体" w:hAnsi="宋体" w:cs="宋体"/>
                <w:szCs w:val="21"/>
                <w:highlight w:val="none"/>
              </w:rPr>
            </w:pPr>
            <w:r>
              <w:rPr>
                <w:rFonts w:hint="eastAsia" w:ascii="宋体" w:hAnsi="宋体" w:cs="宋体"/>
                <w:szCs w:val="21"/>
                <w:highlight w:val="none"/>
              </w:rPr>
              <w:t>中标候选人排序方法</w:t>
            </w:r>
          </w:p>
        </w:tc>
        <w:tc>
          <w:tcPr>
            <w:tcW w:w="7136" w:type="dxa"/>
            <w:vAlign w:val="center"/>
          </w:tcPr>
          <w:p w14:paraId="4FB44130">
            <w:pPr>
              <w:spacing w:line="276" w:lineRule="auto"/>
              <w:rPr>
                <w:rFonts w:ascii="宋体" w:hAnsi="宋体"/>
                <w:szCs w:val="21"/>
                <w:highlight w:val="none"/>
              </w:rPr>
            </w:pPr>
            <w:r>
              <w:rPr>
                <w:rFonts w:hint="eastAsia" w:ascii="宋体" w:hAnsi="宋体"/>
                <w:szCs w:val="21"/>
                <w:highlight w:val="none"/>
              </w:rPr>
              <w:t>本次评标采用综合评估法。评标委员会对满足招标文件实质性要求的投标文件，按照本章第2.2款规定的评分标准进行打分，并按得分由高到低顺序推荐中标候选人，排序的前一~三名为第一中标候选人、第二中标候选人和第三中标候选人。总得分相等时，以投标报价低的优先；报价也相等的，以检测方案得分高的优先；如果检测方案得分也相等，由评标委员会采用记名投票方式，以得票多的优先。</w:t>
            </w:r>
          </w:p>
        </w:tc>
      </w:tr>
      <w:tr w14:paraId="222D1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67" w:type="dxa"/>
            <w:vMerge w:val="restart"/>
            <w:vAlign w:val="center"/>
          </w:tcPr>
          <w:p w14:paraId="2644413E">
            <w:pPr>
              <w:spacing w:line="276" w:lineRule="auto"/>
              <w:jc w:val="center"/>
              <w:rPr>
                <w:rFonts w:ascii="宋体" w:hAnsi="宋体"/>
                <w:szCs w:val="21"/>
                <w:highlight w:val="none"/>
              </w:rPr>
            </w:pPr>
            <w:r>
              <w:rPr>
                <w:rFonts w:ascii="宋体" w:hAnsi="宋体"/>
                <w:szCs w:val="21"/>
                <w:highlight w:val="none"/>
              </w:rPr>
              <w:t>2.1.1</w:t>
            </w:r>
          </w:p>
        </w:tc>
        <w:tc>
          <w:tcPr>
            <w:tcW w:w="851" w:type="dxa"/>
            <w:vMerge w:val="restart"/>
            <w:vAlign w:val="center"/>
          </w:tcPr>
          <w:p w14:paraId="6E8BDC0F">
            <w:pPr>
              <w:spacing w:line="276" w:lineRule="auto"/>
              <w:jc w:val="center"/>
              <w:rPr>
                <w:rFonts w:ascii="宋体" w:hAnsi="宋体"/>
                <w:szCs w:val="21"/>
                <w:highlight w:val="none"/>
              </w:rPr>
            </w:pPr>
            <w:r>
              <w:rPr>
                <w:rFonts w:hint="eastAsia" w:ascii="宋体" w:hAnsi="宋体"/>
                <w:szCs w:val="21"/>
                <w:highlight w:val="none"/>
              </w:rPr>
              <w:t>形式评审标准</w:t>
            </w:r>
          </w:p>
        </w:tc>
        <w:tc>
          <w:tcPr>
            <w:tcW w:w="1550" w:type="dxa"/>
            <w:vAlign w:val="center"/>
          </w:tcPr>
          <w:p w14:paraId="62E72D9D">
            <w:pPr>
              <w:spacing w:line="276" w:lineRule="auto"/>
              <w:jc w:val="center"/>
              <w:rPr>
                <w:rFonts w:ascii="宋体" w:hAnsi="宋体" w:cs="宋体"/>
                <w:szCs w:val="21"/>
                <w:highlight w:val="none"/>
              </w:rPr>
            </w:pPr>
            <w:r>
              <w:rPr>
                <w:rFonts w:hint="eastAsia" w:ascii="宋体" w:hAnsi="宋体" w:cs="宋体"/>
                <w:szCs w:val="21"/>
                <w:highlight w:val="none"/>
              </w:rPr>
              <w:t>投标人名称</w:t>
            </w:r>
          </w:p>
        </w:tc>
        <w:tc>
          <w:tcPr>
            <w:tcW w:w="7136" w:type="dxa"/>
            <w:vAlign w:val="center"/>
          </w:tcPr>
          <w:p w14:paraId="0B5B4866">
            <w:pPr>
              <w:spacing w:line="276" w:lineRule="auto"/>
              <w:rPr>
                <w:rFonts w:ascii="宋体" w:hAnsi="宋体"/>
                <w:szCs w:val="21"/>
                <w:highlight w:val="none"/>
              </w:rPr>
            </w:pPr>
            <w:r>
              <w:rPr>
                <w:rFonts w:hint="eastAsia" w:ascii="宋体" w:hAnsi="宋体"/>
                <w:szCs w:val="21"/>
                <w:highlight w:val="none"/>
              </w:rPr>
              <w:t>与营业执照（或事业单位法人证书）、资质证书一致。</w:t>
            </w:r>
          </w:p>
        </w:tc>
      </w:tr>
      <w:tr w14:paraId="11576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67" w:type="dxa"/>
            <w:vMerge w:val="continue"/>
            <w:vAlign w:val="center"/>
          </w:tcPr>
          <w:p w14:paraId="2DB833BD">
            <w:pPr>
              <w:spacing w:line="276" w:lineRule="auto"/>
              <w:rPr>
                <w:rFonts w:ascii="宋体" w:hAnsi="宋体"/>
                <w:szCs w:val="21"/>
                <w:highlight w:val="none"/>
              </w:rPr>
            </w:pPr>
          </w:p>
        </w:tc>
        <w:tc>
          <w:tcPr>
            <w:tcW w:w="851" w:type="dxa"/>
            <w:vMerge w:val="continue"/>
            <w:vAlign w:val="center"/>
          </w:tcPr>
          <w:p w14:paraId="2C2D125F">
            <w:pPr>
              <w:spacing w:line="276" w:lineRule="auto"/>
              <w:rPr>
                <w:rFonts w:ascii="宋体" w:hAnsi="宋体"/>
                <w:szCs w:val="21"/>
                <w:highlight w:val="none"/>
              </w:rPr>
            </w:pPr>
          </w:p>
        </w:tc>
        <w:tc>
          <w:tcPr>
            <w:tcW w:w="1550" w:type="dxa"/>
            <w:vAlign w:val="center"/>
          </w:tcPr>
          <w:p w14:paraId="518B671F">
            <w:pPr>
              <w:spacing w:line="276" w:lineRule="auto"/>
              <w:jc w:val="center"/>
              <w:rPr>
                <w:rFonts w:ascii="宋体" w:hAnsi="宋体" w:cs="宋体"/>
                <w:szCs w:val="21"/>
                <w:highlight w:val="none"/>
              </w:rPr>
            </w:pPr>
            <w:r>
              <w:rPr>
                <w:rFonts w:hint="eastAsia" w:ascii="宋体" w:hAnsi="宋体" w:cs="宋体"/>
                <w:szCs w:val="21"/>
                <w:highlight w:val="none"/>
              </w:rPr>
              <w:t>投标函及其附表签字盖章</w:t>
            </w:r>
          </w:p>
        </w:tc>
        <w:tc>
          <w:tcPr>
            <w:tcW w:w="7136" w:type="dxa"/>
            <w:vAlign w:val="center"/>
          </w:tcPr>
          <w:p w14:paraId="43BA7160">
            <w:pPr>
              <w:spacing w:line="276" w:lineRule="auto"/>
              <w:rPr>
                <w:rFonts w:ascii="宋体" w:hAnsi="宋体"/>
                <w:szCs w:val="21"/>
                <w:highlight w:val="none"/>
              </w:rPr>
            </w:pPr>
            <w:r>
              <w:rPr>
                <w:rFonts w:hint="eastAsia" w:ascii="宋体" w:hAnsi="宋体"/>
                <w:szCs w:val="21"/>
                <w:highlight w:val="none"/>
              </w:rPr>
              <w:t>投标函及其附表格式及签字盖章符合招标文件要求，由法定代表人签字的，应附法定代表人证明书，由代理人签字的，应附法定代表人证明书及授权委托书。</w:t>
            </w:r>
          </w:p>
        </w:tc>
      </w:tr>
      <w:tr w14:paraId="6D927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67" w:type="dxa"/>
            <w:vMerge w:val="continue"/>
            <w:vAlign w:val="center"/>
          </w:tcPr>
          <w:p w14:paraId="65E910A4">
            <w:pPr>
              <w:spacing w:line="276" w:lineRule="auto"/>
              <w:rPr>
                <w:rFonts w:ascii="宋体" w:hAnsi="宋体"/>
                <w:szCs w:val="21"/>
                <w:highlight w:val="none"/>
              </w:rPr>
            </w:pPr>
          </w:p>
        </w:tc>
        <w:tc>
          <w:tcPr>
            <w:tcW w:w="851" w:type="dxa"/>
            <w:vMerge w:val="continue"/>
            <w:vAlign w:val="center"/>
          </w:tcPr>
          <w:p w14:paraId="3C294B2C">
            <w:pPr>
              <w:spacing w:line="276" w:lineRule="auto"/>
              <w:rPr>
                <w:rFonts w:ascii="宋体" w:hAnsi="宋体"/>
                <w:szCs w:val="21"/>
                <w:highlight w:val="none"/>
              </w:rPr>
            </w:pPr>
          </w:p>
        </w:tc>
        <w:tc>
          <w:tcPr>
            <w:tcW w:w="1550" w:type="dxa"/>
            <w:vAlign w:val="center"/>
          </w:tcPr>
          <w:p w14:paraId="7390260C">
            <w:pPr>
              <w:spacing w:line="276" w:lineRule="auto"/>
              <w:jc w:val="center"/>
              <w:rPr>
                <w:rFonts w:ascii="宋体" w:hAnsi="宋体" w:cs="宋体"/>
                <w:szCs w:val="21"/>
                <w:highlight w:val="none"/>
              </w:rPr>
            </w:pPr>
            <w:r>
              <w:rPr>
                <w:rFonts w:hint="eastAsia" w:ascii="宋体" w:hAnsi="宋体" w:cs="宋体"/>
                <w:szCs w:val="21"/>
                <w:highlight w:val="none"/>
              </w:rPr>
              <w:t>投标文件格式</w:t>
            </w:r>
          </w:p>
        </w:tc>
        <w:tc>
          <w:tcPr>
            <w:tcW w:w="7136" w:type="dxa"/>
            <w:vAlign w:val="center"/>
          </w:tcPr>
          <w:p w14:paraId="50E5C69C">
            <w:pPr>
              <w:spacing w:line="276" w:lineRule="auto"/>
              <w:rPr>
                <w:rFonts w:ascii="宋体" w:hAnsi="宋体"/>
                <w:szCs w:val="21"/>
                <w:highlight w:val="none"/>
              </w:rPr>
            </w:pPr>
            <w:r>
              <w:rPr>
                <w:rFonts w:hint="eastAsia" w:ascii="宋体" w:hAnsi="宋体"/>
                <w:szCs w:val="21"/>
                <w:highlight w:val="none"/>
              </w:rPr>
              <w:t>符合第六章“投标文件格式”的规定。</w:t>
            </w:r>
          </w:p>
        </w:tc>
      </w:tr>
      <w:tr w14:paraId="19C76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67" w:type="dxa"/>
            <w:vMerge w:val="continue"/>
            <w:vAlign w:val="center"/>
          </w:tcPr>
          <w:p w14:paraId="222E2438">
            <w:pPr>
              <w:spacing w:line="276" w:lineRule="auto"/>
              <w:rPr>
                <w:rFonts w:ascii="宋体" w:hAnsi="宋体"/>
                <w:szCs w:val="21"/>
                <w:highlight w:val="none"/>
              </w:rPr>
            </w:pPr>
          </w:p>
        </w:tc>
        <w:tc>
          <w:tcPr>
            <w:tcW w:w="851" w:type="dxa"/>
            <w:vMerge w:val="continue"/>
            <w:vAlign w:val="center"/>
          </w:tcPr>
          <w:p w14:paraId="5744CDFE">
            <w:pPr>
              <w:spacing w:line="276" w:lineRule="auto"/>
              <w:rPr>
                <w:rFonts w:ascii="宋体" w:hAnsi="宋体"/>
                <w:szCs w:val="21"/>
                <w:highlight w:val="none"/>
              </w:rPr>
            </w:pPr>
          </w:p>
        </w:tc>
        <w:tc>
          <w:tcPr>
            <w:tcW w:w="1550" w:type="dxa"/>
            <w:vAlign w:val="center"/>
          </w:tcPr>
          <w:p w14:paraId="6024C903">
            <w:pPr>
              <w:spacing w:line="276" w:lineRule="auto"/>
              <w:jc w:val="center"/>
              <w:rPr>
                <w:rFonts w:ascii="宋体" w:hAnsi="宋体" w:cs="宋体"/>
                <w:szCs w:val="21"/>
                <w:highlight w:val="none"/>
              </w:rPr>
            </w:pPr>
            <w:r>
              <w:rPr>
                <w:rFonts w:hint="eastAsia" w:ascii="宋体" w:hAnsi="宋体" w:cs="宋体"/>
                <w:szCs w:val="21"/>
                <w:highlight w:val="none"/>
              </w:rPr>
              <w:t>备选投标方案</w:t>
            </w:r>
          </w:p>
        </w:tc>
        <w:tc>
          <w:tcPr>
            <w:tcW w:w="7136" w:type="dxa"/>
            <w:vAlign w:val="center"/>
          </w:tcPr>
          <w:p w14:paraId="535F31ED">
            <w:pPr>
              <w:spacing w:line="276" w:lineRule="auto"/>
              <w:rPr>
                <w:rFonts w:ascii="宋体" w:hAnsi="宋体"/>
                <w:szCs w:val="21"/>
                <w:highlight w:val="none"/>
              </w:rPr>
            </w:pPr>
            <w:r>
              <w:rPr>
                <w:rFonts w:hint="eastAsia" w:ascii="宋体" w:hAnsi="宋体"/>
                <w:szCs w:val="21"/>
                <w:highlight w:val="none"/>
              </w:rPr>
              <w:t>不允许。</w:t>
            </w:r>
          </w:p>
        </w:tc>
      </w:tr>
      <w:tr w14:paraId="71953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67" w:type="dxa"/>
            <w:vMerge w:val="continue"/>
            <w:vAlign w:val="center"/>
          </w:tcPr>
          <w:p w14:paraId="11FF9CCE">
            <w:pPr>
              <w:spacing w:line="276" w:lineRule="auto"/>
              <w:rPr>
                <w:rFonts w:ascii="宋体" w:hAnsi="宋体"/>
                <w:szCs w:val="21"/>
                <w:highlight w:val="none"/>
              </w:rPr>
            </w:pPr>
          </w:p>
        </w:tc>
        <w:tc>
          <w:tcPr>
            <w:tcW w:w="851" w:type="dxa"/>
            <w:vMerge w:val="continue"/>
            <w:vAlign w:val="center"/>
          </w:tcPr>
          <w:p w14:paraId="555F184C">
            <w:pPr>
              <w:spacing w:line="276" w:lineRule="auto"/>
              <w:rPr>
                <w:rFonts w:ascii="宋体" w:hAnsi="宋体"/>
                <w:szCs w:val="21"/>
                <w:highlight w:val="none"/>
              </w:rPr>
            </w:pPr>
          </w:p>
        </w:tc>
        <w:tc>
          <w:tcPr>
            <w:tcW w:w="1550" w:type="dxa"/>
          </w:tcPr>
          <w:p w14:paraId="085AC459">
            <w:pPr>
              <w:spacing w:line="276" w:lineRule="auto"/>
              <w:jc w:val="center"/>
              <w:rPr>
                <w:rFonts w:ascii="宋体" w:hAnsi="宋体" w:cs="宋体"/>
                <w:szCs w:val="21"/>
                <w:highlight w:val="none"/>
              </w:rPr>
            </w:pPr>
            <w:r>
              <w:rPr>
                <w:rFonts w:hint="eastAsia" w:ascii="宋体" w:hAnsi="宋体" w:cs="宋体"/>
                <w:szCs w:val="21"/>
                <w:highlight w:val="none"/>
              </w:rPr>
              <w:t>投标人机器码</w:t>
            </w:r>
          </w:p>
        </w:tc>
        <w:tc>
          <w:tcPr>
            <w:tcW w:w="7136" w:type="dxa"/>
          </w:tcPr>
          <w:p w14:paraId="7AC6D59E">
            <w:pPr>
              <w:spacing w:line="276" w:lineRule="auto"/>
              <w:rPr>
                <w:rFonts w:ascii="宋体" w:hAnsi="宋体"/>
                <w:szCs w:val="21"/>
                <w:highlight w:val="none"/>
              </w:rPr>
            </w:pPr>
            <w:r>
              <w:rPr>
                <w:rFonts w:hint="eastAsia" w:ascii="宋体" w:hAnsi="宋体"/>
                <w:szCs w:val="21"/>
                <w:highlight w:val="none"/>
              </w:rPr>
              <w:t>不同投标人机器码相同（以</w:t>
            </w:r>
            <w:r>
              <w:rPr>
                <w:rFonts w:hint="eastAsia" w:ascii="宋体" w:hAnsi="宋体"/>
                <w:szCs w:val="21"/>
                <w:highlight w:val="none"/>
                <w:lang w:eastAsia="zh-CN"/>
              </w:rPr>
              <w:t>广州交易集团有限公司（广州公共资源交易中心）</w:t>
            </w:r>
            <w:r>
              <w:rPr>
                <w:rFonts w:hint="eastAsia" w:ascii="宋体" w:hAnsi="宋体"/>
                <w:szCs w:val="21"/>
                <w:highlight w:val="none"/>
              </w:rPr>
              <w:t>评标系统的检索信息为准），将被否决。</w:t>
            </w:r>
          </w:p>
        </w:tc>
      </w:tr>
      <w:tr w14:paraId="59873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67" w:type="dxa"/>
            <w:vMerge w:val="restart"/>
            <w:vAlign w:val="center"/>
          </w:tcPr>
          <w:p w14:paraId="360668D5">
            <w:pPr>
              <w:spacing w:line="276" w:lineRule="auto"/>
              <w:jc w:val="center"/>
              <w:rPr>
                <w:rFonts w:ascii="宋体" w:hAnsi="宋体"/>
                <w:szCs w:val="21"/>
                <w:highlight w:val="none"/>
              </w:rPr>
            </w:pPr>
            <w:r>
              <w:rPr>
                <w:rFonts w:ascii="宋体" w:hAnsi="宋体"/>
                <w:szCs w:val="21"/>
                <w:highlight w:val="none"/>
              </w:rPr>
              <w:t>2.1.2</w:t>
            </w:r>
          </w:p>
        </w:tc>
        <w:tc>
          <w:tcPr>
            <w:tcW w:w="851" w:type="dxa"/>
            <w:vMerge w:val="restart"/>
            <w:vAlign w:val="center"/>
          </w:tcPr>
          <w:p w14:paraId="74F3A5B7">
            <w:pPr>
              <w:spacing w:line="276" w:lineRule="auto"/>
              <w:rPr>
                <w:rFonts w:hint="eastAsia" w:ascii="宋体" w:hAnsi="宋体" w:eastAsia="宋体" w:cs="宋体"/>
                <w:szCs w:val="21"/>
                <w:highlight w:val="none"/>
              </w:rPr>
            </w:pPr>
            <w:r>
              <w:rPr>
                <w:rFonts w:hint="eastAsia" w:ascii="宋体" w:hAnsi="宋体" w:eastAsia="宋体" w:cs="宋体"/>
                <w:szCs w:val="21"/>
                <w:highlight w:val="none"/>
              </w:rPr>
              <w:t>资格评审标准</w:t>
            </w:r>
          </w:p>
        </w:tc>
        <w:tc>
          <w:tcPr>
            <w:tcW w:w="1550" w:type="dxa"/>
            <w:vAlign w:val="center"/>
          </w:tcPr>
          <w:p w14:paraId="6E6D5C30">
            <w:pPr>
              <w:spacing w:line="276" w:lineRule="auto"/>
              <w:rPr>
                <w:rFonts w:hint="eastAsia" w:ascii="宋体" w:hAnsi="宋体" w:eastAsia="宋体" w:cs="宋体"/>
                <w:szCs w:val="21"/>
                <w:highlight w:val="none"/>
              </w:rPr>
            </w:pPr>
            <w:r>
              <w:rPr>
                <w:rFonts w:hint="eastAsia" w:ascii="宋体" w:hAnsi="宋体" w:eastAsia="宋体" w:cs="宋体"/>
                <w:szCs w:val="21"/>
                <w:highlight w:val="none"/>
              </w:rPr>
              <w:t>营业执照（或事业单位法人证书）</w:t>
            </w:r>
          </w:p>
        </w:tc>
        <w:tc>
          <w:tcPr>
            <w:tcW w:w="7136" w:type="dxa"/>
            <w:vAlign w:val="center"/>
          </w:tcPr>
          <w:p w14:paraId="62C615D8">
            <w:pPr>
              <w:spacing w:line="276" w:lineRule="auto"/>
              <w:rPr>
                <w:rFonts w:hint="eastAsia" w:ascii="宋体" w:hAnsi="宋体" w:eastAsia="宋体" w:cs="宋体"/>
                <w:szCs w:val="21"/>
                <w:highlight w:val="none"/>
              </w:rPr>
            </w:pPr>
            <w:r>
              <w:rPr>
                <w:rFonts w:hint="eastAsia" w:ascii="宋体" w:hAnsi="宋体" w:eastAsia="宋体" w:cs="宋体"/>
                <w:szCs w:val="21"/>
                <w:highlight w:val="none"/>
              </w:rPr>
              <w:t>符合第二章“投标人须知”第3.5.1项规定。</w:t>
            </w:r>
          </w:p>
        </w:tc>
      </w:tr>
      <w:tr w14:paraId="554FC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67" w:type="dxa"/>
            <w:vMerge w:val="continue"/>
            <w:vAlign w:val="center"/>
          </w:tcPr>
          <w:p w14:paraId="388BA63C">
            <w:pPr>
              <w:spacing w:line="276" w:lineRule="auto"/>
              <w:jc w:val="center"/>
              <w:rPr>
                <w:rFonts w:ascii="宋体" w:hAnsi="宋体"/>
                <w:szCs w:val="21"/>
                <w:highlight w:val="none"/>
              </w:rPr>
            </w:pPr>
          </w:p>
        </w:tc>
        <w:tc>
          <w:tcPr>
            <w:tcW w:w="851" w:type="dxa"/>
            <w:vMerge w:val="continue"/>
            <w:vAlign w:val="center"/>
          </w:tcPr>
          <w:p w14:paraId="36CBBC7E">
            <w:pPr>
              <w:spacing w:line="276" w:lineRule="auto"/>
              <w:rPr>
                <w:rFonts w:hint="eastAsia" w:ascii="宋体" w:hAnsi="宋体" w:eastAsia="宋体" w:cs="宋体"/>
                <w:szCs w:val="21"/>
                <w:highlight w:val="none"/>
              </w:rPr>
            </w:pPr>
          </w:p>
        </w:tc>
        <w:tc>
          <w:tcPr>
            <w:tcW w:w="1550" w:type="dxa"/>
            <w:vAlign w:val="center"/>
          </w:tcPr>
          <w:p w14:paraId="784CAE43">
            <w:pPr>
              <w:spacing w:line="276" w:lineRule="auto"/>
              <w:rPr>
                <w:rFonts w:hint="eastAsia" w:ascii="宋体" w:hAnsi="宋体" w:eastAsia="宋体" w:cs="宋体"/>
                <w:szCs w:val="21"/>
                <w:highlight w:val="none"/>
              </w:rPr>
            </w:pPr>
            <w:r>
              <w:rPr>
                <w:rFonts w:hint="eastAsia" w:ascii="宋体" w:hAnsi="宋体" w:eastAsia="宋体" w:cs="宋体"/>
                <w:szCs w:val="21"/>
                <w:highlight w:val="none"/>
              </w:rPr>
              <w:t>资质要求</w:t>
            </w:r>
          </w:p>
        </w:tc>
        <w:tc>
          <w:tcPr>
            <w:tcW w:w="7136" w:type="dxa"/>
            <w:vAlign w:val="center"/>
          </w:tcPr>
          <w:p w14:paraId="50D7852F">
            <w:pPr>
              <w:spacing w:line="276" w:lineRule="auto"/>
              <w:rPr>
                <w:rFonts w:hint="eastAsia" w:ascii="宋体" w:hAnsi="宋体" w:eastAsia="宋体" w:cs="宋体"/>
                <w:szCs w:val="21"/>
                <w:highlight w:val="none"/>
              </w:rPr>
            </w:pPr>
            <w:r>
              <w:rPr>
                <w:rFonts w:hint="eastAsia" w:ascii="宋体" w:hAnsi="宋体" w:eastAsia="宋体" w:cs="宋体"/>
                <w:szCs w:val="21"/>
                <w:highlight w:val="none"/>
              </w:rPr>
              <w:t>符合第二章“投标人须知”第1.4.1项规定。</w:t>
            </w:r>
          </w:p>
        </w:tc>
      </w:tr>
      <w:tr w14:paraId="5BA3F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67" w:type="dxa"/>
            <w:vMerge w:val="continue"/>
            <w:vAlign w:val="center"/>
          </w:tcPr>
          <w:p w14:paraId="2198C051">
            <w:pPr>
              <w:spacing w:line="276" w:lineRule="auto"/>
              <w:jc w:val="center"/>
              <w:rPr>
                <w:rFonts w:ascii="宋体" w:hAnsi="宋体"/>
                <w:szCs w:val="21"/>
                <w:highlight w:val="none"/>
              </w:rPr>
            </w:pPr>
          </w:p>
        </w:tc>
        <w:tc>
          <w:tcPr>
            <w:tcW w:w="851" w:type="dxa"/>
            <w:vMerge w:val="continue"/>
            <w:vAlign w:val="center"/>
          </w:tcPr>
          <w:p w14:paraId="4966E171">
            <w:pPr>
              <w:spacing w:line="276" w:lineRule="auto"/>
              <w:rPr>
                <w:rFonts w:hint="eastAsia" w:ascii="宋体" w:hAnsi="宋体" w:eastAsia="宋体" w:cs="宋体"/>
                <w:szCs w:val="21"/>
                <w:highlight w:val="none"/>
              </w:rPr>
            </w:pPr>
          </w:p>
        </w:tc>
        <w:tc>
          <w:tcPr>
            <w:tcW w:w="1550" w:type="dxa"/>
            <w:vAlign w:val="center"/>
          </w:tcPr>
          <w:p w14:paraId="407AEB01">
            <w:pPr>
              <w:spacing w:line="276" w:lineRule="auto"/>
              <w:rPr>
                <w:rFonts w:hint="eastAsia" w:ascii="宋体" w:hAnsi="宋体" w:eastAsia="宋体" w:cs="宋体"/>
                <w:szCs w:val="21"/>
                <w:highlight w:val="none"/>
              </w:rPr>
            </w:pPr>
            <w:r>
              <w:rPr>
                <w:rFonts w:hint="eastAsia" w:ascii="宋体" w:hAnsi="宋体" w:eastAsia="宋体" w:cs="宋体"/>
                <w:szCs w:val="21"/>
                <w:highlight w:val="none"/>
              </w:rPr>
              <w:t>业绩要求</w:t>
            </w:r>
          </w:p>
        </w:tc>
        <w:tc>
          <w:tcPr>
            <w:tcW w:w="7136" w:type="dxa"/>
            <w:vAlign w:val="center"/>
          </w:tcPr>
          <w:p w14:paraId="00CD5756">
            <w:pPr>
              <w:spacing w:line="276" w:lineRule="auto"/>
              <w:rPr>
                <w:rFonts w:hint="eastAsia" w:ascii="宋体" w:hAnsi="宋体" w:eastAsia="宋体" w:cs="宋体"/>
                <w:szCs w:val="21"/>
                <w:highlight w:val="none"/>
              </w:rPr>
            </w:pPr>
            <w:r>
              <w:rPr>
                <w:rFonts w:hint="eastAsia" w:ascii="宋体" w:hAnsi="宋体" w:eastAsia="宋体" w:cs="宋体"/>
                <w:szCs w:val="21"/>
                <w:highlight w:val="none"/>
              </w:rPr>
              <w:t>/</w:t>
            </w:r>
          </w:p>
        </w:tc>
      </w:tr>
      <w:tr w14:paraId="76783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67" w:type="dxa"/>
            <w:vMerge w:val="continue"/>
            <w:vAlign w:val="center"/>
          </w:tcPr>
          <w:p w14:paraId="28F63654">
            <w:pPr>
              <w:spacing w:line="276" w:lineRule="auto"/>
              <w:jc w:val="center"/>
              <w:rPr>
                <w:rFonts w:ascii="宋体" w:hAnsi="宋体"/>
                <w:szCs w:val="21"/>
                <w:highlight w:val="none"/>
              </w:rPr>
            </w:pPr>
          </w:p>
        </w:tc>
        <w:tc>
          <w:tcPr>
            <w:tcW w:w="851" w:type="dxa"/>
            <w:vMerge w:val="continue"/>
            <w:vAlign w:val="center"/>
          </w:tcPr>
          <w:p w14:paraId="354EBC7F">
            <w:pPr>
              <w:spacing w:line="276" w:lineRule="auto"/>
              <w:rPr>
                <w:rFonts w:hint="eastAsia" w:ascii="宋体" w:hAnsi="宋体" w:eastAsia="宋体" w:cs="宋体"/>
                <w:szCs w:val="21"/>
                <w:highlight w:val="none"/>
              </w:rPr>
            </w:pPr>
          </w:p>
        </w:tc>
        <w:tc>
          <w:tcPr>
            <w:tcW w:w="1550" w:type="dxa"/>
            <w:vAlign w:val="center"/>
          </w:tcPr>
          <w:p w14:paraId="2ED47126">
            <w:pPr>
              <w:spacing w:line="276" w:lineRule="auto"/>
              <w:rPr>
                <w:rFonts w:hint="eastAsia" w:ascii="宋体" w:hAnsi="宋体" w:eastAsia="宋体" w:cs="宋体"/>
                <w:szCs w:val="21"/>
                <w:highlight w:val="none"/>
              </w:rPr>
            </w:pPr>
            <w:r>
              <w:rPr>
                <w:rFonts w:hint="eastAsia" w:ascii="宋体" w:hAnsi="宋体" w:eastAsia="宋体" w:cs="宋体"/>
                <w:szCs w:val="21"/>
                <w:highlight w:val="none"/>
              </w:rPr>
              <w:t>项目负责人</w:t>
            </w:r>
          </w:p>
        </w:tc>
        <w:tc>
          <w:tcPr>
            <w:tcW w:w="7136" w:type="dxa"/>
            <w:vAlign w:val="center"/>
          </w:tcPr>
          <w:p w14:paraId="035075C9">
            <w:pPr>
              <w:spacing w:line="276" w:lineRule="auto"/>
              <w:rPr>
                <w:rFonts w:hint="eastAsia" w:ascii="宋体" w:hAnsi="宋体" w:eastAsia="宋体" w:cs="宋体"/>
                <w:szCs w:val="21"/>
                <w:highlight w:val="none"/>
              </w:rPr>
            </w:pPr>
            <w:r>
              <w:rPr>
                <w:rFonts w:hint="eastAsia" w:ascii="宋体" w:hAnsi="宋体" w:eastAsia="宋体" w:cs="宋体"/>
                <w:szCs w:val="21"/>
                <w:highlight w:val="none"/>
              </w:rPr>
              <w:t>符合第二章“投标人须知”第1.4.1项规定。</w:t>
            </w:r>
          </w:p>
        </w:tc>
      </w:tr>
      <w:tr w14:paraId="47FEB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767" w:type="dxa"/>
            <w:vMerge w:val="continue"/>
            <w:vAlign w:val="center"/>
          </w:tcPr>
          <w:p w14:paraId="598B7D16">
            <w:pPr>
              <w:spacing w:line="276" w:lineRule="auto"/>
              <w:jc w:val="center"/>
              <w:rPr>
                <w:rFonts w:ascii="宋体" w:hAnsi="宋体"/>
                <w:szCs w:val="21"/>
                <w:highlight w:val="none"/>
              </w:rPr>
            </w:pPr>
          </w:p>
        </w:tc>
        <w:tc>
          <w:tcPr>
            <w:tcW w:w="851" w:type="dxa"/>
            <w:vMerge w:val="continue"/>
            <w:vAlign w:val="center"/>
          </w:tcPr>
          <w:p w14:paraId="7CE60126">
            <w:pPr>
              <w:spacing w:line="276" w:lineRule="auto"/>
              <w:rPr>
                <w:rFonts w:hint="eastAsia" w:ascii="宋体" w:hAnsi="宋体" w:eastAsia="宋体" w:cs="宋体"/>
                <w:szCs w:val="21"/>
                <w:highlight w:val="none"/>
              </w:rPr>
            </w:pPr>
          </w:p>
        </w:tc>
        <w:tc>
          <w:tcPr>
            <w:tcW w:w="1550" w:type="dxa"/>
            <w:vAlign w:val="center"/>
          </w:tcPr>
          <w:p w14:paraId="731B09B7">
            <w:pPr>
              <w:spacing w:line="276" w:lineRule="auto"/>
              <w:rPr>
                <w:rFonts w:hint="eastAsia" w:ascii="宋体" w:hAnsi="宋体" w:eastAsia="宋体" w:cs="宋体"/>
                <w:szCs w:val="21"/>
                <w:highlight w:val="none"/>
              </w:rPr>
            </w:pPr>
            <w:r>
              <w:rPr>
                <w:rFonts w:hint="eastAsia" w:ascii="宋体" w:hAnsi="宋体" w:eastAsia="宋体" w:cs="宋体"/>
                <w:szCs w:val="21"/>
                <w:highlight w:val="none"/>
              </w:rPr>
              <w:t>其他主要人员</w:t>
            </w:r>
          </w:p>
        </w:tc>
        <w:tc>
          <w:tcPr>
            <w:tcW w:w="7136" w:type="dxa"/>
            <w:vAlign w:val="center"/>
          </w:tcPr>
          <w:p w14:paraId="15201949">
            <w:pPr>
              <w:spacing w:line="276" w:lineRule="auto"/>
              <w:rPr>
                <w:rFonts w:hint="eastAsia" w:ascii="宋体" w:hAnsi="宋体" w:eastAsia="宋体" w:cs="宋体"/>
                <w:szCs w:val="21"/>
                <w:highlight w:val="none"/>
              </w:rPr>
            </w:pPr>
            <w:r>
              <w:rPr>
                <w:rFonts w:hint="eastAsia" w:ascii="宋体" w:hAnsi="宋体" w:eastAsia="宋体" w:cs="宋体"/>
                <w:szCs w:val="21"/>
                <w:highlight w:val="none"/>
              </w:rPr>
              <w:t>/</w:t>
            </w:r>
          </w:p>
        </w:tc>
      </w:tr>
      <w:tr w14:paraId="026DE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67" w:type="dxa"/>
            <w:vMerge w:val="continue"/>
            <w:vAlign w:val="center"/>
          </w:tcPr>
          <w:p w14:paraId="7551FB5D">
            <w:pPr>
              <w:spacing w:line="276" w:lineRule="auto"/>
              <w:jc w:val="center"/>
              <w:rPr>
                <w:rFonts w:ascii="宋体" w:hAnsi="宋体"/>
                <w:szCs w:val="21"/>
                <w:highlight w:val="none"/>
              </w:rPr>
            </w:pPr>
          </w:p>
        </w:tc>
        <w:tc>
          <w:tcPr>
            <w:tcW w:w="851" w:type="dxa"/>
            <w:vMerge w:val="continue"/>
            <w:vAlign w:val="center"/>
          </w:tcPr>
          <w:p w14:paraId="434D00DB">
            <w:pPr>
              <w:spacing w:line="276" w:lineRule="auto"/>
              <w:rPr>
                <w:rFonts w:hint="eastAsia" w:ascii="宋体" w:hAnsi="宋体" w:eastAsia="宋体" w:cs="宋体"/>
                <w:szCs w:val="21"/>
                <w:highlight w:val="none"/>
              </w:rPr>
            </w:pPr>
          </w:p>
        </w:tc>
        <w:tc>
          <w:tcPr>
            <w:tcW w:w="1550" w:type="dxa"/>
            <w:vAlign w:val="center"/>
          </w:tcPr>
          <w:p w14:paraId="564E46E8">
            <w:pPr>
              <w:spacing w:line="276" w:lineRule="auto"/>
              <w:rPr>
                <w:rFonts w:hint="eastAsia" w:ascii="宋体" w:hAnsi="宋体" w:eastAsia="宋体" w:cs="宋体"/>
                <w:szCs w:val="21"/>
                <w:highlight w:val="none"/>
              </w:rPr>
            </w:pPr>
            <w:r>
              <w:rPr>
                <w:rFonts w:hint="eastAsia" w:ascii="宋体" w:hAnsi="宋体" w:eastAsia="宋体" w:cs="宋体"/>
                <w:szCs w:val="21"/>
                <w:highlight w:val="none"/>
              </w:rPr>
              <w:t>试验检测仪器设备</w:t>
            </w:r>
          </w:p>
        </w:tc>
        <w:tc>
          <w:tcPr>
            <w:tcW w:w="7136" w:type="dxa"/>
            <w:vAlign w:val="center"/>
          </w:tcPr>
          <w:p w14:paraId="6C937C14">
            <w:pPr>
              <w:spacing w:line="276" w:lineRule="auto"/>
              <w:rPr>
                <w:rFonts w:hint="eastAsia" w:ascii="宋体" w:hAnsi="宋体" w:eastAsia="宋体" w:cs="宋体"/>
                <w:szCs w:val="21"/>
                <w:highlight w:val="none"/>
              </w:rPr>
            </w:pPr>
            <w:r>
              <w:rPr>
                <w:rFonts w:hint="eastAsia" w:ascii="宋体" w:hAnsi="宋体" w:eastAsia="宋体" w:cs="宋体"/>
                <w:szCs w:val="21"/>
                <w:highlight w:val="none"/>
              </w:rPr>
              <w:t>/</w:t>
            </w:r>
          </w:p>
        </w:tc>
      </w:tr>
      <w:tr w14:paraId="1E44A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67" w:type="dxa"/>
            <w:vMerge w:val="continue"/>
            <w:vAlign w:val="center"/>
          </w:tcPr>
          <w:p w14:paraId="02DFEECB">
            <w:pPr>
              <w:spacing w:line="276" w:lineRule="auto"/>
              <w:jc w:val="center"/>
              <w:rPr>
                <w:rFonts w:ascii="宋体" w:hAnsi="宋体"/>
                <w:szCs w:val="21"/>
                <w:highlight w:val="none"/>
              </w:rPr>
            </w:pPr>
          </w:p>
        </w:tc>
        <w:tc>
          <w:tcPr>
            <w:tcW w:w="851" w:type="dxa"/>
            <w:vMerge w:val="continue"/>
            <w:vAlign w:val="center"/>
          </w:tcPr>
          <w:p w14:paraId="1933B18E">
            <w:pPr>
              <w:spacing w:line="276" w:lineRule="auto"/>
              <w:rPr>
                <w:rFonts w:hint="eastAsia" w:ascii="宋体" w:hAnsi="宋体" w:eastAsia="宋体" w:cs="宋体"/>
                <w:szCs w:val="21"/>
                <w:highlight w:val="none"/>
              </w:rPr>
            </w:pPr>
          </w:p>
        </w:tc>
        <w:tc>
          <w:tcPr>
            <w:tcW w:w="1550" w:type="dxa"/>
            <w:vAlign w:val="center"/>
          </w:tcPr>
          <w:p w14:paraId="6DA40771">
            <w:pPr>
              <w:spacing w:line="276" w:lineRule="auto"/>
              <w:rPr>
                <w:rFonts w:hint="eastAsia" w:ascii="宋体" w:hAnsi="宋体" w:eastAsia="宋体" w:cs="宋体"/>
                <w:szCs w:val="21"/>
                <w:highlight w:val="none"/>
              </w:rPr>
            </w:pPr>
            <w:r>
              <w:rPr>
                <w:rFonts w:hint="eastAsia" w:ascii="宋体" w:hAnsi="宋体" w:eastAsia="宋体" w:cs="宋体"/>
                <w:szCs w:val="21"/>
                <w:highlight w:val="none"/>
              </w:rPr>
              <w:t>其他要求</w:t>
            </w:r>
          </w:p>
        </w:tc>
        <w:tc>
          <w:tcPr>
            <w:tcW w:w="7136" w:type="dxa"/>
            <w:vAlign w:val="center"/>
          </w:tcPr>
          <w:p w14:paraId="394EF7F3">
            <w:pPr>
              <w:spacing w:line="276" w:lineRule="auto"/>
              <w:rPr>
                <w:rFonts w:hint="eastAsia" w:ascii="宋体" w:hAnsi="宋体" w:eastAsia="宋体" w:cs="宋体"/>
                <w:szCs w:val="21"/>
                <w:highlight w:val="none"/>
              </w:rPr>
            </w:pPr>
            <w:r>
              <w:rPr>
                <w:rFonts w:hint="eastAsia" w:ascii="宋体" w:hAnsi="宋体" w:eastAsia="宋体" w:cs="宋体"/>
                <w:szCs w:val="21"/>
                <w:highlight w:val="none"/>
              </w:rPr>
              <w:t>符合第二章“投标人须知”第1.4.1项规定。</w:t>
            </w:r>
          </w:p>
        </w:tc>
      </w:tr>
      <w:tr w14:paraId="115DE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67" w:type="dxa"/>
            <w:vMerge w:val="continue"/>
            <w:vAlign w:val="center"/>
          </w:tcPr>
          <w:p w14:paraId="5F482E7E">
            <w:pPr>
              <w:spacing w:line="276" w:lineRule="auto"/>
              <w:jc w:val="center"/>
              <w:rPr>
                <w:rFonts w:ascii="宋体" w:hAnsi="宋体"/>
                <w:szCs w:val="21"/>
                <w:highlight w:val="none"/>
              </w:rPr>
            </w:pPr>
          </w:p>
        </w:tc>
        <w:tc>
          <w:tcPr>
            <w:tcW w:w="851" w:type="dxa"/>
            <w:vMerge w:val="continue"/>
            <w:vAlign w:val="center"/>
          </w:tcPr>
          <w:p w14:paraId="2A0B0075">
            <w:pPr>
              <w:spacing w:line="276" w:lineRule="auto"/>
              <w:rPr>
                <w:rFonts w:hint="eastAsia" w:ascii="宋体" w:hAnsi="宋体" w:eastAsia="宋体" w:cs="宋体"/>
                <w:szCs w:val="21"/>
                <w:highlight w:val="none"/>
              </w:rPr>
            </w:pPr>
          </w:p>
        </w:tc>
        <w:tc>
          <w:tcPr>
            <w:tcW w:w="1550" w:type="dxa"/>
            <w:vAlign w:val="center"/>
          </w:tcPr>
          <w:p w14:paraId="2B45E69F">
            <w:pPr>
              <w:spacing w:line="276" w:lineRule="auto"/>
              <w:rPr>
                <w:rFonts w:hint="eastAsia" w:ascii="宋体" w:hAnsi="宋体" w:eastAsia="宋体" w:cs="宋体"/>
                <w:szCs w:val="21"/>
                <w:highlight w:val="none"/>
              </w:rPr>
            </w:pPr>
            <w:r>
              <w:rPr>
                <w:rFonts w:hint="eastAsia" w:ascii="宋体" w:hAnsi="宋体" w:eastAsia="宋体" w:cs="宋体"/>
                <w:szCs w:val="21"/>
                <w:highlight w:val="none"/>
              </w:rPr>
              <w:t>联合体投标人</w:t>
            </w:r>
          </w:p>
        </w:tc>
        <w:tc>
          <w:tcPr>
            <w:tcW w:w="7136" w:type="dxa"/>
            <w:vAlign w:val="center"/>
          </w:tcPr>
          <w:p w14:paraId="7D4C5833">
            <w:pPr>
              <w:spacing w:line="276" w:lineRule="auto"/>
              <w:rPr>
                <w:rFonts w:hint="eastAsia" w:ascii="宋体" w:hAnsi="宋体" w:eastAsia="宋体" w:cs="宋体"/>
                <w:szCs w:val="21"/>
                <w:highlight w:val="none"/>
              </w:rPr>
            </w:pPr>
            <w:r>
              <w:rPr>
                <w:rFonts w:hint="eastAsia" w:ascii="宋体" w:hAnsi="宋体" w:eastAsia="宋体" w:cs="宋体"/>
                <w:szCs w:val="21"/>
                <w:highlight w:val="none"/>
              </w:rPr>
              <w:t>本项目接受联合体投标。</w:t>
            </w:r>
          </w:p>
        </w:tc>
      </w:tr>
      <w:tr w14:paraId="149A4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67" w:type="dxa"/>
            <w:vMerge w:val="continue"/>
            <w:vAlign w:val="center"/>
          </w:tcPr>
          <w:p w14:paraId="6058D8D2">
            <w:pPr>
              <w:spacing w:line="276" w:lineRule="auto"/>
              <w:jc w:val="center"/>
              <w:rPr>
                <w:rFonts w:ascii="宋体" w:hAnsi="宋体"/>
                <w:szCs w:val="21"/>
                <w:highlight w:val="none"/>
              </w:rPr>
            </w:pPr>
          </w:p>
        </w:tc>
        <w:tc>
          <w:tcPr>
            <w:tcW w:w="851" w:type="dxa"/>
            <w:vMerge w:val="continue"/>
            <w:vAlign w:val="center"/>
          </w:tcPr>
          <w:p w14:paraId="1F0E56BE">
            <w:pPr>
              <w:spacing w:line="276" w:lineRule="auto"/>
              <w:rPr>
                <w:rFonts w:hint="eastAsia" w:ascii="宋体" w:hAnsi="宋体" w:eastAsia="宋体" w:cs="宋体"/>
                <w:szCs w:val="21"/>
                <w:highlight w:val="none"/>
              </w:rPr>
            </w:pPr>
          </w:p>
        </w:tc>
        <w:tc>
          <w:tcPr>
            <w:tcW w:w="1550" w:type="dxa"/>
            <w:vAlign w:val="center"/>
          </w:tcPr>
          <w:p w14:paraId="4308E14C">
            <w:pPr>
              <w:spacing w:line="276" w:lineRule="auto"/>
              <w:rPr>
                <w:rFonts w:hint="eastAsia" w:ascii="宋体" w:hAnsi="宋体" w:eastAsia="宋体" w:cs="宋体"/>
                <w:szCs w:val="21"/>
                <w:highlight w:val="none"/>
              </w:rPr>
            </w:pPr>
            <w:r>
              <w:rPr>
                <w:rFonts w:hint="eastAsia" w:ascii="宋体" w:hAnsi="宋体" w:eastAsia="宋体" w:cs="宋体"/>
                <w:szCs w:val="21"/>
                <w:highlight w:val="none"/>
              </w:rPr>
              <w:t>不存在禁止投标的情形</w:t>
            </w:r>
          </w:p>
        </w:tc>
        <w:tc>
          <w:tcPr>
            <w:tcW w:w="7136" w:type="dxa"/>
            <w:vAlign w:val="center"/>
          </w:tcPr>
          <w:p w14:paraId="2070B601">
            <w:pPr>
              <w:spacing w:line="276" w:lineRule="auto"/>
              <w:rPr>
                <w:rFonts w:hint="eastAsia" w:ascii="宋体" w:hAnsi="宋体" w:eastAsia="宋体" w:cs="宋体"/>
                <w:szCs w:val="21"/>
                <w:highlight w:val="none"/>
              </w:rPr>
            </w:pPr>
            <w:r>
              <w:rPr>
                <w:rFonts w:hint="eastAsia" w:ascii="宋体" w:hAnsi="宋体" w:eastAsia="宋体" w:cs="宋体"/>
                <w:szCs w:val="21"/>
                <w:highlight w:val="none"/>
              </w:rPr>
              <w:t>不存在第二章“投标人须知”第 1.4.3 项规定的任何一种情形（以《投标申请人声明》为准）</w:t>
            </w:r>
          </w:p>
        </w:tc>
      </w:tr>
      <w:tr w14:paraId="69310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jc w:val="center"/>
        </w:trPr>
        <w:tc>
          <w:tcPr>
            <w:tcW w:w="767" w:type="dxa"/>
            <w:vMerge w:val="continue"/>
            <w:vAlign w:val="center"/>
          </w:tcPr>
          <w:p w14:paraId="137F6FB9">
            <w:pPr>
              <w:spacing w:line="276" w:lineRule="auto"/>
              <w:jc w:val="center"/>
              <w:rPr>
                <w:rFonts w:ascii="宋体" w:hAnsi="宋体"/>
                <w:szCs w:val="21"/>
                <w:highlight w:val="none"/>
              </w:rPr>
            </w:pPr>
          </w:p>
        </w:tc>
        <w:tc>
          <w:tcPr>
            <w:tcW w:w="851" w:type="dxa"/>
            <w:vMerge w:val="continue"/>
            <w:vAlign w:val="center"/>
          </w:tcPr>
          <w:p w14:paraId="05C120AF">
            <w:pPr>
              <w:spacing w:line="276" w:lineRule="auto"/>
              <w:rPr>
                <w:rFonts w:hint="eastAsia" w:ascii="宋体" w:hAnsi="宋体" w:eastAsia="宋体" w:cs="宋体"/>
                <w:szCs w:val="21"/>
                <w:highlight w:val="none"/>
              </w:rPr>
            </w:pPr>
          </w:p>
        </w:tc>
        <w:tc>
          <w:tcPr>
            <w:tcW w:w="1550" w:type="dxa"/>
            <w:vAlign w:val="top"/>
          </w:tcPr>
          <w:p w14:paraId="29B7C8A7">
            <w:pPr>
              <w:spacing w:line="276" w:lineRule="auto"/>
              <w:rPr>
                <w:rFonts w:hint="eastAsia" w:ascii="宋体" w:hAnsi="宋体" w:eastAsia="宋体" w:cs="宋体"/>
                <w:szCs w:val="21"/>
                <w:highlight w:val="none"/>
              </w:rPr>
            </w:pPr>
            <w:r>
              <w:rPr>
                <w:rFonts w:hint="eastAsia" w:ascii="宋体" w:hAnsi="宋体" w:eastAsia="宋体" w:cs="宋体"/>
                <w:szCs w:val="21"/>
                <w:highlight w:val="none"/>
                <w:lang w:val="en-US" w:eastAsia="zh-CN"/>
              </w:rPr>
              <w:t>信誉要求</w:t>
            </w:r>
          </w:p>
        </w:tc>
        <w:tc>
          <w:tcPr>
            <w:tcW w:w="7136" w:type="dxa"/>
            <w:vAlign w:val="top"/>
          </w:tcPr>
          <w:p w14:paraId="18A12E59">
            <w:pPr>
              <w:spacing w:line="276" w:lineRule="auto"/>
              <w:rPr>
                <w:rFonts w:hint="eastAsia" w:ascii="宋体" w:hAnsi="宋体" w:eastAsia="宋体" w:cs="宋体"/>
                <w:szCs w:val="21"/>
                <w:highlight w:val="none"/>
              </w:rPr>
            </w:pPr>
            <w:r>
              <w:rPr>
                <w:rFonts w:hint="eastAsia" w:ascii="宋体" w:hAnsi="宋体" w:eastAsia="宋体" w:cs="宋体"/>
                <w:szCs w:val="21"/>
                <w:highlight w:val="none"/>
              </w:rPr>
              <w:t>未被列入拖欠农民工工资失信联合惩戒对象名单</w:t>
            </w:r>
            <w:r>
              <w:rPr>
                <w:rFonts w:hint="eastAsia" w:ascii="宋体" w:hAnsi="宋体" w:eastAsia="宋体" w:cs="宋体"/>
                <w:szCs w:val="21"/>
                <w:highlight w:val="none"/>
                <w:lang w:eastAsia="zh-CN"/>
              </w:rPr>
              <w:t>，</w:t>
            </w:r>
            <w:r>
              <w:rPr>
                <w:rFonts w:hint="eastAsia" w:ascii="宋体" w:hAnsi="宋体" w:eastAsia="宋体" w:cs="宋体"/>
                <w:szCs w:val="21"/>
                <w:highlight w:val="none"/>
              </w:rPr>
              <w:t>本项评审投标人无需提供资料，按资格评审时</w:t>
            </w:r>
            <w:r>
              <w:rPr>
                <w:rFonts w:hint="eastAsia" w:ascii="宋体" w:hAnsi="宋体" w:cs="宋体"/>
                <w:szCs w:val="21"/>
                <w:highlight w:val="none"/>
                <w:lang w:eastAsia="zh-CN"/>
              </w:rPr>
              <w:t>广州交易集团有限公司（广州公共资源交易中心）</w:t>
            </w:r>
            <w:r>
              <w:rPr>
                <w:rFonts w:hint="eastAsia" w:ascii="宋体" w:hAnsi="宋体" w:eastAsia="宋体" w:cs="宋体"/>
                <w:szCs w:val="21"/>
                <w:highlight w:val="none"/>
              </w:rPr>
              <w:t>交易系统比对的结果进行评审。</w:t>
            </w:r>
          </w:p>
        </w:tc>
      </w:tr>
      <w:tr w14:paraId="60857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67" w:type="dxa"/>
            <w:vMerge w:val="restart"/>
            <w:vAlign w:val="center"/>
          </w:tcPr>
          <w:p w14:paraId="3245BC4E">
            <w:pPr>
              <w:spacing w:line="276" w:lineRule="auto"/>
              <w:jc w:val="center"/>
              <w:rPr>
                <w:rFonts w:ascii="宋体" w:hAnsi="宋体"/>
                <w:szCs w:val="21"/>
                <w:highlight w:val="none"/>
              </w:rPr>
            </w:pPr>
            <w:r>
              <w:rPr>
                <w:rFonts w:ascii="宋体" w:hAnsi="宋体"/>
                <w:szCs w:val="21"/>
                <w:highlight w:val="none"/>
              </w:rPr>
              <w:t>2.1.3</w:t>
            </w:r>
          </w:p>
        </w:tc>
        <w:tc>
          <w:tcPr>
            <w:tcW w:w="851" w:type="dxa"/>
            <w:vMerge w:val="restart"/>
            <w:vAlign w:val="center"/>
          </w:tcPr>
          <w:p w14:paraId="11E9BF0E">
            <w:pPr>
              <w:spacing w:line="276" w:lineRule="auto"/>
              <w:jc w:val="center"/>
              <w:rPr>
                <w:rFonts w:ascii="宋体" w:hAnsi="宋体"/>
                <w:szCs w:val="21"/>
                <w:highlight w:val="none"/>
              </w:rPr>
            </w:pPr>
            <w:r>
              <w:rPr>
                <w:rFonts w:hint="eastAsia" w:ascii="宋体" w:hAnsi="宋体"/>
                <w:szCs w:val="21"/>
                <w:highlight w:val="none"/>
              </w:rPr>
              <w:t>响应性评审标准</w:t>
            </w:r>
          </w:p>
        </w:tc>
        <w:tc>
          <w:tcPr>
            <w:tcW w:w="1550" w:type="dxa"/>
            <w:vAlign w:val="center"/>
          </w:tcPr>
          <w:p w14:paraId="79CB2BD8">
            <w:pPr>
              <w:spacing w:line="276" w:lineRule="auto"/>
              <w:jc w:val="center"/>
              <w:rPr>
                <w:rFonts w:ascii="宋体" w:hAnsi="宋体" w:cs="宋体"/>
                <w:szCs w:val="21"/>
                <w:highlight w:val="none"/>
              </w:rPr>
            </w:pPr>
            <w:r>
              <w:rPr>
                <w:rFonts w:hint="eastAsia" w:ascii="宋体" w:hAnsi="宋体" w:cs="宋体"/>
                <w:szCs w:val="21"/>
                <w:highlight w:val="none"/>
              </w:rPr>
              <w:t>投标报价</w:t>
            </w:r>
          </w:p>
        </w:tc>
        <w:tc>
          <w:tcPr>
            <w:tcW w:w="7136" w:type="dxa"/>
            <w:vAlign w:val="center"/>
          </w:tcPr>
          <w:p w14:paraId="5D072A89">
            <w:pPr>
              <w:spacing w:line="276" w:lineRule="auto"/>
              <w:rPr>
                <w:rFonts w:ascii="宋体" w:hAnsi="宋体" w:cs="宋体"/>
                <w:szCs w:val="21"/>
                <w:highlight w:val="none"/>
              </w:rPr>
            </w:pPr>
            <w:r>
              <w:rPr>
                <w:rFonts w:hint="eastAsia" w:ascii="宋体" w:hAnsi="宋体" w:cs="宋体"/>
                <w:szCs w:val="21"/>
                <w:highlight w:val="none"/>
              </w:rPr>
              <w:t>符合第二章“投标人须知”第3.2规定；</w:t>
            </w:r>
          </w:p>
        </w:tc>
      </w:tr>
      <w:tr w14:paraId="28540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67" w:type="dxa"/>
            <w:vMerge w:val="continue"/>
            <w:vAlign w:val="center"/>
          </w:tcPr>
          <w:p w14:paraId="6F186524">
            <w:pPr>
              <w:spacing w:line="276" w:lineRule="auto"/>
              <w:jc w:val="center"/>
              <w:rPr>
                <w:rFonts w:ascii="宋体" w:hAnsi="宋体"/>
                <w:szCs w:val="21"/>
                <w:highlight w:val="none"/>
              </w:rPr>
            </w:pPr>
          </w:p>
        </w:tc>
        <w:tc>
          <w:tcPr>
            <w:tcW w:w="851" w:type="dxa"/>
            <w:vMerge w:val="continue"/>
            <w:vAlign w:val="center"/>
          </w:tcPr>
          <w:p w14:paraId="4D6764BE">
            <w:pPr>
              <w:spacing w:line="276" w:lineRule="auto"/>
              <w:jc w:val="center"/>
              <w:rPr>
                <w:rFonts w:ascii="宋体" w:hAnsi="宋体"/>
                <w:szCs w:val="21"/>
                <w:highlight w:val="none"/>
              </w:rPr>
            </w:pPr>
          </w:p>
        </w:tc>
        <w:tc>
          <w:tcPr>
            <w:tcW w:w="1550" w:type="dxa"/>
            <w:vAlign w:val="center"/>
          </w:tcPr>
          <w:p w14:paraId="4B2AA633">
            <w:pPr>
              <w:spacing w:line="276" w:lineRule="auto"/>
              <w:jc w:val="center"/>
              <w:rPr>
                <w:rFonts w:ascii="宋体" w:hAnsi="宋体" w:cs="宋体"/>
                <w:szCs w:val="21"/>
                <w:highlight w:val="none"/>
              </w:rPr>
            </w:pPr>
            <w:r>
              <w:rPr>
                <w:rFonts w:hint="eastAsia" w:ascii="宋体" w:hAnsi="宋体" w:cs="宋体"/>
                <w:szCs w:val="21"/>
                <w:highlight w:val="none"/>
              </w:rPr>
              <w:t>投标内容</w:t>
            </w:r>
          </w:p>
        </w:tc>
        <w:tc>
          <w:tcPr>
            <w:tcW w:w="7136" w:type="dxa"/>
            <w:vAlign w:val="center"/>
          </w:tcPr>
          <w:p w14:paraId="4B95E9BD">
            <w:pPr>
              <w:spacing w:line="276" w:lineRule="auto"/>
              <w:rPr>
                <w:rFonts w:ascii="宋体" w:hAnsi="宋体" w:cs="宋体"/>
                <w:szCs w:val="21"/>
                <w:highlight w:val="none"/>
              </w:rPr>
            </w:pPr>
            <w:r>
              <w:rPr>
                <w:rFonts w:hint="eastAsia" w:ascii="宋体" w:hAnsi="宋体" w:cs="宋体"/>
                <w:szCs w:val="21"/>
                <w:highlight w:val="none"/>
              </w:rPr>
              <w:t>符合第二章“投标人须知”第1.3.1规定；</w:t>
            </w:r>
          </w:p>
        </w:tc>
      </w:tr>
      <w:tr w14:paraId="50FC1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67" w:type="dxa"/>
            <w:vMerge w:val="continue"/>
            <w:vAlign w:val="center"/>
          </w:tcPr>
          <w:p w14:paraId="49F4651C">
            <w:pPr>
              <w:spacing w:line="276" w:lineRule="auto"/>
              <w:jc w:val="center"/>
              <w:rPr>
                <w:rFonts w:ascii="宋体" w:hAnsi="宋体"/>
                <w:szCs w:val="21"/>
                <w:highlight w:val="none"/>
              </w:rPr>
            </w:pPr>
          </w:p>
        </w:tc>
        <w:tc>
          <w:tcPr>
            <w:tcW w:w="851" w:type="dxa"/>
            <w:vMerge w:val="continue"/>
            <w:vAlign w:val="center"/>
          </w:tcPr>
          <w:p w14:paraId="7F906172">
            <w:pPr>
              <w:spacing w:line="276" w:lineRule="auto"/>
              <w:jc w:val="center"/>
              <w:rPr>
                <w:rFonts w:ascii="宋体" w:hAnsi="宋体"/>
                <w:szCs w:val="21"/>
                <w:highlight w:val="none"/>
              </w:rPr>
            </w:pPr>
          </w:p>
        </w:tc>
        <w:tc>
          <w:tcPr>
            <w:tcW w:w="1550" w:type="dxa"/>
            <w:vAlign w:val="center"/>
          </w:tcPr>
          <w:p w14:paraId="286B8B06">
            <w:pPr>
              <w:spacing w:line="276" w:lineRule="auto"/>
              <w:jc w:val="center"/>
              <w:rPr>
                <w:rFonts w:ascii="宋体" w:hAnsi="宋体" w:cs="宋体"/>
                <w:szCs w:val="21"/>
                <w:highlight w:val="none"/>
              </w:rPr>
            </w:pPr>
            <w:r>
              <w:rPr>
                <w:rFonts w:hint="eastAsia" w:ascii="宋体" w:hAnsi="宋体" w:cs="宋体"/>
                <w:szCs w:val="21"/>
                <w:highlight w:val="none"/>
              </w:rPr>
              <w:t>服务期限</w:t>
            </w:r>
          </w:p>
        </w:tc>
        <w:tc>
          <w:tcPr>
            <w:tcW w:w="7136" w:type="dxa"/>
            <w:vAlign w:val="center"/>
          </w:tcPr>
          <w:p w14:paraId="6169A742">
            <w:pPr>
              <w:spacing w:line="276" w:lineRule="auto"/>
              <w:rPr>
                <w:rFonts w:ascii="宋体" w:hAnsi="宋体" w:cs="宋体"/>
                <w:szCs w:val="21"/>
                <w:highlight w:val="none"/>
              </w:rPr>
            </w:pPr>
            <w:r>
              <w:rPr>
                <w:rFonts w:hint="eastAsia" w:ascii="宋体" w:hAnsi="宋体" w:cs="宋体"/>
                <w:szCs w:val="21"/>
                <w:highlight w:val="none"/>
              </w:rPr>
              <w:t>符合第二章“投标人须知”第1.3.2规定；</w:t>
            </w:r>
          </w:p>
        </w:tc>
      </w:tr>
      <w:tr w14:paraId="10032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67" w:type="dxa"/>
            <w:vMerge w:val="continue"/>
            <w:vAlign w:val="center"/>
          </w:tcPr>
          <w:p w14:paraId="4C333031">
            <w:pPr>
              <w:spacing w:line="276" w:lineRule="auto"/>
              <w:jc w:val="center"/>
              <w:rPr>
                <w:rFonts w:ascii="宋体" w:hAnsi="宋体"/>
                <w:szCs w:val="21"/>
                <w:highlight w:val="none"/>
              </w:rPr>
            </w:pPr>
          </w:p>
        </w:tc>
        <w:tc>
          <w:tcPr>
            <w:tcW w:w="851" w:type="dxa"/>
            <w:vMerge w:val="continue"/>
            <w:vAlign w:val="center"/>
          </w:tcPr>
          <w:p w14:paraId="11483750">
            <w:pPr>
              <w:spacing w:line="276" w:lineRule="auto"/>
              <w:jc w:val="center"/>
              <w:rPr>
                <w:rFonts w:ascii="宋体" w:hAnsi="宋体"/>
                <w:szCs w:val="21"/>
                <w:highlight w:val="none"/>
              </w:rPr>
            </w:pPr>
          </w:p>
        </w:tc>
        <w:tc>
          <w:tcPr>
            <w:tcW w:w="1550" w:type="dxa"/>
            <w:vAlign w:val="center"/>
          </w:tcPr>
          <w:p w14:paraId="690A1A71">
            <w:pPr>
              <w:spacing w:line="276" w:lineRule="auto"/>
              <w:jc w:val="center"/>
              <w:rPr>
                <w:rFonts w:ascii="宋体" w:hAnsi="宋体" w:cs="宋体"/>
                <w:szCs w:val="21"/>
                <w:highlight w:val="none"/>
              </w:rPr>
            </w:pPr>
            <w:r>
              <w:rPr>
                <w:rFonts w:hint="eastAsia" w:ascii="宋体" w:hAnsi="宋体" w:cs="宋体"/>
                <w:szCs w:val="21"/>
                <w:highlight w:val="none"/>
              </w:rPr>
              <w:t>质量标准</w:t>
            </w:r>
          </w:p>
        </w:tc>
        <w:tc>
          <w:tcPr>
            <w:tcW w:w="7136" w:type="dxa"/>
            <w:vAlign w:val="center"/>
          </w:tcPr>
          <w:p w14:paraId="2BB8AAA0">
            <w:pPr>
              <w:spacing w:line="276" w:lineRule="auto"/>
              <w:rPr>
                <w:rFonts w:ascii="宋体" w:hAnsi="宋体" w:cs="宋体"/>
                <w:szCs w:val="21"/>
                <w:highlight w:val="none"/>
              </w:rPr>
            </w:pPr>
            <w:r>
              <w:rPr>
                <w:rFonts w:hint="eastAsia" w:ascii="宋体" w:hAnsi="宋体" w:cs="宋体"/>
                <w:szCs w:val="21"/>
                <w:highlight w:val="none"/>
              </w:rPr>
              <w:t>符合第二章“投标人须知”第1.3.3规定；</w:t>
            </w:r>
          </w:p>
        </w:tc>
      </w:tr>
      <w:tr w14:paraId="0BD21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67" w:type="dxa"/>
            <w:vMerge w:val="continue"/>
            <w:vAlign w:val="center"/>
          </w:tcPr>
          <w:p w14:paraId="180E41E1">
            <w:pPr>
              <w:spacing w:line="276" w:lineRule="auto"/>
              <w:jc w:val="center"/>
              <w:rPr>
                <w:rFonts w:ascii="宋体" w:hAnsi="宋体"/>
                <w:szCs w:val="21"/>
                <w:highlight w:val="none"/>
              </w:rPr>
            </w:pPr>
          </w:p>
        </w:tc>
        <w:tc>
          <w:tcPr>
            <w:tcW w:w="851" w:type="dxa"/>
            <w:vMerge w:val="continue"/>
            <w:vAlign w:val="center"/>
          </w:tcPr>
          <w:p w14:paraId="7B1BE0F8">
            <w:pPr>
              <w:spacing w:line="276" w:lineRule="auto"/>
              <w:jc w:val="center"/>
              <w:rPr>
                <w:rFonts w:ascii="宋体" w:hAnsi="宋体"/>
                <w:szCs w:val="21"/>
                <w:highlight w:val="none"/>
              </w:rPr>
            </w:pPr>
          </w:p>
        </w:tc>
        <w:tc>
          <w:tcPr>
            <w:tcW w:w="1550" w:type="dxa"/>
            <w:vAlign w:val="center"/>
          </w:tcPr>
          <w:p w14:paraId="7277608D">
            <w:pPr>
              <w:spacing w:line="276" w:lineRule="auto"/>
              <w:jc w:val="center"/>
              <w:rPr>
                <w:rFonts w:ascii="宋体" w:hAnsi="宋体" w:cs="宋体"/>
                <w:szCs w:val="21"/>
                <w:highlight w:val="none"/>
              </w:rPr>
            </w:pPr>
            <w:r>
              <w:rPr>
                <w:rFonts w:hint="eastAsia" w:ascii="宋体" w:hAnsi="宋体" w:cs="宋体"/>
                <w:szCs w:val="21"/>
                <w:highlight w:val="none"/>
              </w:rPr>
              <w:t>投标有效期</w:t>
            </w:r>
          </w:p>
        </w:tc>
        <w:tc>
          <w:tcPr>
            <w:tcW w:w="7136" w:type="dxa"/>
          </w:tcPr>
          <w:p w14:paraId="44AD8909">
            <w:pPr>
              <w:spacing w:line="276" w:lineRule="auto"/>
              <w:rPr>
                <w:rFonts w:ascii="宋体" w:hAnsi="宋体" w:cs="宋体"/>
                <w:szCs w:val="21"/>
                <w:highlight w:val="none"/>
              </w:rPr>
            </w:pPr>
            <w:r>
              <w:rPr>
                <w:rFonts w:hint="eastAsia" w:ascii="宋体" w:hAnsi="宋体" w:cs="宋体"/>
                <w:szCs w:val="21"/>
                <w:highlight w:val="none"/>
              </w:rPr>
              <w:t>符合第二章“投标人须知”第3.3.1规定；</w:t>
            </w:r>
          </w:p>
        </w:tc>
      </w:tr>
      <w:tr w14:paraId="61D10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767" w:type="dxa"/>
            <w:vMerge w:val="continue"/>
            <w:vAlign w:val="center"/>
          </w:tcPr>
          <w:p w14:paraId="5E179254">
            <w:pPr>
              <w:spacing w:line="276" w:lineRule="auto"/>
              <w:jc w:val="center"/>
              <w:rPr>
                <w:rFonts w:ascii="宋体" w:hAnsi="宋体"/>
                <w:szCs w:val="21"/>
                <w:highlight w:val="none"/>
              </w:rPr>
            </w:pPr>
          </w:p>
        </w:tc>
        <w:tc>
          <w:tcPr>
            <w:tcW w:w="851" w:type="dxa"/>
            <w:vMerge w:val="continue"/>
            <w:vAlign w:val="center"/>
          </w:tcPr>
          <w:p w14:paraId="06F1E701">
            <w:pPr>
              <w:spacing w:line="276" w:lineRule="auto"/>
              <w:jc w:val="center"/>
              <w:rPr>
                <w:rFonts w:ascii="宋体" w:hAnsi="宋体"/>
                <w:szCs w:val="21"/>
                <w:highlight w:val="none"/>
              </w:rPr>
            </w:pPr>
          </w:p>
        </w:tc>
        <w:tc>
          <w:tcPr>
            <w:tcW w:w="1550" w:type="dxa"/>
            <w:vAlign w:val="center"/>
          </w:tcPr>
          <w:p w14:paraId="6C6CEDBC">
            <w:pPr>
              <w:spacing w:line="276" w:lineRule="auto"/>
              <w:jc w:val="center"/>
              <w:rPr>
                <w:rFonts w:ascii="宋体" w:hAnsi="宋体" w:cs="宋体"/>
                <w:szCs w:val="21"/>
                <w:highlight w:val="none"/>
              </w:rPr>
            </w:pPr>
            <w:r>
              <w:rPr>
                <w:rFonts w:hint="eastAsia" w:ascii="宋体" w:hAnsi="宋体" w:cs="宋体"/>
                <w:szCs w:val="21"/>
                <w:highlight w:val="none"/>
              </w:rPr>
              <w:t>串通投标情形</w:t>
            </w:r>
          </w:p>
        </w:tc>
        <w:tc>
          <w:tcPr>
            <w:tcW w:w="7136" w:type="dxa"/>
          </w:tcPr>
          <w:p w14:paraId="51FFDEB2">
            <w:pPr>
              <w:spacing w:line="276" w:lineRule="auto"/>
              <w:rPr>
                <w:rFonts w:ascii="宋体" w:hAnsi="宋体" w:cs="宋体"/>
                <w:szCs w:val="21"/>
                <w:highlight w:val="none"/>
              </w:rPr>
            </w:pPr>
            <w:r>
              <w:rPr>
                <w:rFonts w:hint="eastAsia" w:ascii="宋体" w:hAnsi="宋体" w:cs="宋体"/>
                <w:szCs w:val="21"/>
                <w:highlight w:val="none"/>
              </w:rPr>
              <w:t>不存在串通投标情形（串通投标情形以《中华人民共和国招标投标法实施条例》的规定为准）；</w:t>
            </w:r>
          </w:p>
        </w:tc>
      </w:tr>
      <w:tr w14:paraId="4961F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18" w:type="dxa"/>
            <w:gridSpan w:val="2"/>
            <w:vAlign w:val="center"/>
          </w:tcPr>
          <w:p w14:paraId="7A6316EF">
            <w:pPr>
              <w:spacing w:line="276" w:lineRule="auto"/>
              <w:jc w:val="center"/>
              <w:rPr>
                <w:rFonts w:ascii="宋体" w:hAnsi="宋体"/>
                <w:szCs w:val="21"/>
                <w:highlight w:val="none"/>
              </w:rPr>
            </w:pPr>
            <w:r>
              <w:rPr>
                <w:rFonts w:ascii="宋体" w:hAnsi="宋体"/>
                <w:szCs w:val="21"/>
                <w:highlight w:val="none"/>
              </w:rPr>
              <w:t>2.2.1</w:t>
            </w:r>
          </w:p>
        </w:tc>
        <w:tc>
          <w:tcPr>
            <w:tcW w:w="1550" w:type="dxa"/>
            <w:vAlign w:val="center"/>
          </w:tcPr>
          <w:p w14:paraId="3003BDAD">
            <w:pPr>
              <w:spacing w:line="276" w:lineRule="auto"/>
              <w:jc w:val="center"/>
              <w:rPr>
                <w:rFonts w:ascii="宋体" w:hAnsi="宋体" w:cs="宋体"/>
                <w:szCs w:val="21"/>
                <w:highlight w:val="none"/>
              </w:rPr>
            </w:pPr>
            <w:r>
              <w:rPr>
                <w:rFonts w:hint="eastAsia" w:ascii="宋体" w:hAnsi="宋体" w:cs="宋体"/>
                <w:szCs w:val="21"/>
                <w:highlight w:val="none"/>
              </w:rPr>
              <w:t>分值构成</w:t>
            </w:r>
          </w:p>
          <w:p w14:paraId="6651389A">
            <w:pPr>
              <w:spacing w:line="276" w:lineRule="auto"/>
              <w:jc w:val="center"/>
              <w:rPr>
                <w:rFonts w:ascii="宋体" w:hAnsi="宋体" w:cs="宋体"/>
                <w:szCs w:val="21"/>
                <w:highlight w:val="none"/>
              </w:rPr>
            </w:pPr>
            <w:r>
              <w:rPr>
                <w:rFonts w:ascii="宋体" w:hAnsi="宋体" w:cs="宋体"/>
                <w:szCs w:val="21"/>
                <w:highlight w:val="none"/>
              </w:rPr>
              <w:t>(</w:t>
            </w:r>
            <w:r>
              <w:rPr>
                <w:rFonts w:hint="eastAsia" w:ascii="宋体" w:hAnsi="宋体" w:cs="宋体"/>
                <w:szCs w:val="21"/>
                <w:highlight w:val="none"/>
              </w:rPr>
              <w:t>总分</w:t>
            </w:r>
            <w:r>
              <w:rPr>
                <w:rFonts w:ascii="宋体" w:hAnsi="宋体" w:cs="宋体"/>
                <w:szCs w:val="21"/>
                <w:highlight w:val="none"/>
              </w:rPr>
              <w:t>100</w:t>
            </w:r>
            <w:r>
              <w:rPr>
                <w:rFonts w:hint="eastAsia" w:ascii="宋体" w:hAnsi="宋体" w:cs="宋体"/>
                <w:szCs w:val="21"/>
                <w:highlight w:val="none"/>
              </w:rPr>
              <w:t>分</w:t>
            </w:r>
            <w:r>
              <w:rPr>
                <w:rFonts w:ascii="宋体" w:hAnsi="宋体" w:cs="宋体"/>
                <w:szCs w:val="21"/>
                <w:highlight w:val="none"/>
              </w:rPr>
              <w:t>)</w:t>
            </w:r>
          </w:p>
        </w:tc>
        <w:tc>
          <w:tcPr>
            <w:tcW w:w="7136" w:type="dxa"/>
            <w:vAlign w:val="center"/>
          </w:tcPr>
          <w:p w14:paraId="46245D33">
            <w:pPr>
              <w:spacing w:line="276" w:lineRule="auto"/>
              <w:rPr>
                <w:rFonts w:ascii="宋体" w:hAnsi="宋体"/>
                <w:szCs w:val="21"/>
                <w:highlight w:val="none"/>
              </w:rPr>
            </w:pPr>
            <w:r>
              <w:rPr>
                <w:rFonts w:hint="eastAsia" w:ascii="宋体" w:hAnsi="宋体"/>
                <w:b/>
                <w:szCs w:val="21"/>
                <w:highlight w:val="none"/>
              </w:rPr>
              <w:t>A企业综合实力部分：</w:t>
            </w:r>
            <w:r>
              <w:rPr>
                <w:rFonts w:ascii="宋体" w:hAnsi="宋体"/>
                <w:bCs/>
                <w:szCs w:val="21"/>
                <w:highlight w:val="none"/>
                <w:u w:val="single"/>
              </w:rPr>
              <w:t>60</w:t>
            </w:r>
            <w:r>
              <w:rPr>
                <w:rFonts w:hint="eastAsia" w:ascii="宋体" w:hAnsi="宋体"/>
                <w:bCs/>
                <w:szCs w:val="21"/>
                <w:highlight w:val="none"/>
              </w:rPr>
              <w:t>分</w:t>
            </w:r>
          </w:p>
          <w:p w14:paraId="65D89834">
            <w:pPr>
              <w:spacing w:line="276" w:lineRule="auto"/>
              <w:rPr>
                <w:rFonts w:ascii="宋体" w:hAnsi="宋体"/>
                <w:b/>
                <w:szCs w:val="21"/>
                <w:highlight w:val="none"/>
              </w:rPr>
            </w:pPr>
            <w:r>
              <w:rPr>
                <w:rFonts w:hint="eastAsia" w:ascii="宋体" w:hAnsi="宋体"/>
                <w:b/>
                <w:szCs w:val="21"/>
                <w:highlight w:val="none"/>
              </w:rPr>
              <w:t>B技术方案部分：</w:t>
            </w:r>
            <w:r>
              <w:rPr>
                <w:rFonts w:ascii="宋体" w:hAnsi="宋体"/>
                <w:bCs/>
                <w:szCs w:val="21"/>
                <w:highlight w:val="none"/>
                <w:u w:val="single"/>
              </w:rPr>
              <w:t>25</w:t>
            </w:r>
            <w:r>
              <w:rPr>
                <w:rFonts w:hint="eastAsia" w:ascii="宋体" w:hAnsi="宋体"/>
                <w:bCs/>
                <w:szCs w:val="21"/>
                <w:highlight w:val="none"/>
              </w:rPr>
              <w:t>分</w:t>
            </w:r>
          </w:p>
          <w:p w14:paraId="14F5D6E5">
            <w:pPr>
              <w:spacing w:line="276" w:lineRule="auto"/>
              <w:rPr>
                <w:rFonts w:ascii="宋体" w:hAnsi="宋体"/>
                <w:szCs w:val="21"/>
                <w:highlight w:val="none"/>
              </w:rPr>
            </w:pPr>
            <w:r>
              <w:rPr>
                <w:rFonts w:hint="eastAsia" w:ascii="宋体" w:hAnsi="宋体"/>
                <w:b/>
                <w:szCs w:val="21"/>
                <w:highlight w:val="none"/>
              </w:rPr>
              <w:t>C投标报价部分：</w:t>
            </w:r>
            <w:r>
              <w:rPr>
                <w:rFonts w:ascii="宋体" w:hAnsi="宋体"/>
                <w:bCs/>
                <w:szCs w:val="21"/>
                <w:highlight w:val="none"/>
                <w:u w:val="single"/>
              </w:rPr>
              <w:t>15</w:t>
            </w:r>
            <w:r>
              <w:rPr>
                <w:rFonts w:hint="eastAsia" w:ascii="宋体" w:hAnsi="宋体"/>
                <w:bCs/>
                <w:szCs w:val="21"/>
                <w:highlight w:val="none"/>
              </w:rPr>
              <w:t>分</w:t>
            </w:r>
          </w:p>
          <w:p w14:paraId="39C00AAB">
            <w:pPr>
              <w:spacing w:line="276" w:lineRule="auto"/>
              <w:rPr>
                <w:rFonts w:ascii="宋体" w:hAnsi="宋体"/>
                <w:b/>
                <w:szCs w:val="21"/>
                <w:highlight w:val="none"/>
                <w:u w:val="single"/>
              </w:rPr>
            </w:pPr>
            <w:r>
              <w:rPr>
                <w:rFonts w:hint="eastAsia" w:ascii="宋体" w:hAnsi="宋体"/>
                <w:b/>
                <w:szCs w:val="21"/>
                <w:highlight w:val="none"/>
              </w:rPr>
              <w:t>D其他因素部分：</w:t>
            </w:r>
            <w:r>
              <w:rPr>
                <w:rFonts w:hint="eastAsia" w:ascii="宋体" w:hAnsi="宋体"/>
                <w:b/>
                <w:szCs w:val="21"/>
                <w:highlight w:val="none"/>
                <w:u w:val="single"/>
              </w:rPr>
              <w:t>企业诚信综合评价排名得分</w:t>
            </w:r>
          </w:p>
          <w:p w14:paraId="25BB31A2">
            <w:pPr>
              <w:spacing w:line="276" w:lineRule="auto"/>
              <w:rPr>
                <w:rFonts w:ascii="宋体" w:hAnsi="宋体" w:cs="宋体"/>
                <w:szCs w:val="21"/>
                <w:highlight w:val="none"/>
              </w:rPr>
            </w:pPr>
            <w:r>
              <w:rPr>
                <w:rFonts w:hint="eastAsia" w:ascii="宋体" w:hAnsi="宋体" w:cs="宋体"/>
                <w:szCs w:val="21"/>
                <w:highlight w:val="none"/>
              </w:rPr>
              <w:t>注：1）投标人综合得分为各评委A+B+C的总分去掉一个最高分和一个最低分后计取的算术平均分（分数出现小数点时，保留小数点后二位，第三位小数四舍五入）；</w:t>
            </w:r>
          </w:p>
          <w:p w14:paraId="7DBE557D">
            <w:pPr>
              <w:spacing w:line="276" w:lineRule="auto"/>
              <w:rPr>
                <w:rFonts w:ascii="宋体" w:hAnsi="宋体" w:cs="宋体"/>
                <w:szCs w:val="21"/>
                <w:highlight w:val="none"/>
              </w:rPr>
            </w:pPr>
            <w:r>
              <w:rPr>
                <w:rFonts w:hint="eastAsia" w:ascii="宋体" w:hAnsi="宋体" w:cs="宋体"/>
                <w:szCs w:val="21"/>
                <w:highlight w:val="none"/>
              </w:rPr>
              <w:t>投标人综合得分权重90%；企业诚信综合评价排名得分权重10%；</w:t>
            </w:r>
          </w:p>
          <w:p w14:paraId="319F05CD">
            <w:pPr>
              <w:spacing w:line="276" w:lineRule="auto"/>
              <w:jc w:val="left"/>
              <w:rPr>
                <w:rFonts w:ascii="宋体" w:hAnsi="宋体"/>
                <w:szCs w:val="21"/>
                <w:highlight w:val="none"/>
              </w:rPr>
            </w:pPr>
            <w:r>
              <w:rPr>
                <w:rFonts w:hint="eastAsia" w:ascii="宋体" w:hAnsi="宋体" w:cs="宋体"/>
                <w:szCs w:val="21"/>
                <w:highlight w:val="none"/>
              </w:rPr>
              <w:t>投标人总得分=综合得分×综合得分权重+企业诚信综合评价排名得分×企业诚信综合评价排名得分权重。（综合得分乘权重后最高得分为90分，企业诚信综合评价排名得分乘权重后最高得分为10分。）</w:t>
            </w:r>
          </w:p>
        </w:tc>
      </w:tr>
      <w:tr w14:paraId="4DDAC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18" w:type="dxa"/>
            <w:gridSpan w:val="2"/>
            <w:vAlign w:val="center"/>
          </w:tcPr>
          <w:p w14:paraId="5D6BFB07">
            <w:pPr>
              <w:spacing w:line="276" w:lineRule="auto"/>
              <w:jc w:val="center"/>
              <w:rPr>
                <w:rFonts w:ascii="宋体" w:hAnsi="宋体"/>
                <w:szCs w:val="21"/>
                <w:highlight w:val="none"/>
              </w:rPr>
            </w:pPr>
            <w:r>
              <w:rPr>
                <w:rFonts w:ascii="宋体" w:hAnsi="宋体"/>
                <w:szCs w:val="21"/>
                <w:highlight w:val="none"/>
              </w:rPr>
              <w:t>2.2.2</w:t>
            </w:r>
          </w:p>
        </w:tc>
        <w:tc>
          <w:tcPr>
            <w:tcW w:w="1550" w:type="dxa"/>
            <w:vAlign w:val="center"/>
          </w:tcPr>
          <w:p w14:paraId="3A895651">
            <w:pPr>
              <w:spacing w:line="276" w:lineRule="auto"/>
              <w:jc w:val="center"/>
              <w:rPr>
                <w:rFonts w:ascii="宋体" w:hAnsi="宋体" w:cs="宋体"/>
                <w:szCs w:val="21"/>
                <w:highlight w:val="none"/>
              </w:rPr>
            </w:pPr>
            <w:r>
              <w:rPr>
                <w:rFonts w:hint="eastAsia" w:ascii="宋体" w:hAnsi="宋体" w:cs="宋体"/>
                <w:szCs w:val="21"/>
                <w:highlight w:val="none"/>
              </w:rPr>
              <w:t>评标参考价计算方法</w:t>
            </w:r>
          </w:p>
        </w:tc>
        <w:tc>
          <w:tcPr>
            <w:tcW w:w="7136" w:type="dxa"/>
            <w:vAlign w:val="center"/>
          </w:tcPr>
          <w:p w14:paraId="0520E5CE">
            <w:pPr>
              <w:spacing w:line="276" w:lineRule="auto"/>
              <w:jc w:val="left"/>
              <w:rPr>
                <w:rFonts w:ascii="宋体" w:hAnsi="宋体"/>
                <w:szCs w:val="21"/>
                <w:highlight w:val="none"/>
              </w:rPr>
            </w:pPr>
            <w:r>
              <w:rPr>
                <w:rFonts w:hint="eastAsia" w:ascii="宋体" w:hAnsi="宋体" w:cs="宋体"/>
                <w:szCs w:val="21"/>
                <w:highlight w:val="none"/>
              </w:rPr>
              <w:t>当通过初步评审的有效投标人大于5名时，去掉一个最高价和一个最低价，取余下有效投标人的投标报价的算术平均值作为评标参考价；当通过初步评审的有效投标人小于或等于5名时取所有入围的有效投标人的投标报价的算术平均值作为评标参考价。</w:t>
            </w:r>
          </w:p>
        </w:tc>
      </w:tr>
      <w:tr w14:paraId="123C7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1618" w:type="dxa"/>
            <w:gridSpan w:val="2"/>
            <w:vAlign w:val="center"/>
          </w:tcPr>
          <w:p w14:paraId="15F80DC6">
            <w:pPr>
              <w:spacing w:line="276" w:lineRule="auto"/>
              <w:jc w:val="center"/>
              <w:rPr>
                <w:rFonts w:ascii="宋体" w:hAnsi="宋体"/>
                <w:szCs w:val="21"/>
                <w:highlight w:val="none"/>
              </w:rPr>
            </w:pPr>
            <w:r>
              <w:rPr>
                <w:rFonts w:ascii="宋体" w:hAnsi="宋体"/>
                <w:szCs w:val="21"/>
                <w:highlight w:val="none"/>
              </w:rPr>
              <w:t>2.2.3</w:t>
            </w:r>
          </w:p>
        </w:tc>
        <w:tc>
          <w:tcPr>
            <w:tcW w:w="1550" w:type="dxa"/>
            <w:vAlign w:val="center"/>
          </w:tcPr>
          <w:p w14:paraId="15CA7818">
            <w:pPr>
              <w:spacing w:line="276" w:lineRule="auto"/>
              <w:jc w:val="center"/>
              <w:rPr>
                <w:rFonts w:ascii="宋体" w:hAnsi="宋体" w:cs="宋体"/>
                <w:szCs w:val="21"/>
                <w:highlight w:val="none"/>
              </w:rPr>
            </w:pPr>
            <w:r>
              <w:rPr>
                <w:rFonts w:hint="eastAsia" w:ascii="宋体" w:hAnsi="宋体" w:cs="宋体"/>
                <w:szCs w:val="21"/>
                <w:highlight w:val="none"/>
              </w:rPr>
              <w:t>投标报价的偏差率计算公式</w:t>
            </w:r>
          </w:p>
        </w:tc>
        <w:tc>
          <w:tcPr>
            <w:tcW w:w="7136" w:type="dxa"/>
            <w:vAlign w:val="center"/>
          </w:tcPr>
          <w:p w14:paraId="6B3E8763">
            <w:pPr>
              <w:spacing w:line="276" w:lineRule="auto"/>
              <w:rPr>
                <w:rFonts w:ascii="宋体" w:hAnsi="宋体"/>
                <w:szCs w:val="21"/>
                <w:highlight w:val="none"/>
              </w:rPr>
            </w:pPr>
            <w:r>
              <w:rPr>
                <w:rFonts w:hint="eastAsia" w:ascii="宋体" w:hAnsi="宋体"/>
                <w:szCs w:val="21"/>
                <w:highlight w:val="none"/>
              </w:rPr>
              <w:t>投标报价的偏差率=（有效投标报价-</w:t>
            </w:r>
            <w:r>
              <w:rPr>
                <w:rFonts w:hint="eastAsia" w:ascii="宋体" w:hAnsi="宋体" w:cs="宋体"/>
                <w:szCs w:val="21"/>
                <w:highlight w:val="none"/>
              </w:rPr>
              <w:t>评标参考价</w:t>
            </w:r>
            <w:r>
              <w:rPr>
                <w:rFonts w:hint="eastAsia" w:ascii="宋体" w:hAnsi="宋体"/>
                <w:szCs w:val="21"/>
                <w:highlight w:val="none"/>
              </w:rPr>
              <w:t>）/</w:t>
            </w:r>
            <w:r>
              <w:rPr>
                <w:rFonts w:hint="eastAsia" w:ascii="宋体" w:hAnsi="宋体" w:cs="宋体"/>
                <w:szCs w:val="21"/>
                <w:highlight w:val="none"/>
              </w:rPr>
              <w:t>评标参考价</w:t>
            </w:r>
            <w:r>
              <w:rPr>
                <w:rFonts w:hint="eastAsia" w:ascii="宋体" w:hAnsi="宋体"/>
                <w:szCs w:val="21"/>
                <w:highlight w:val="none"/>
              </w:rPr>
              <w:t>×100%（偏差率出现小数点时，保留小数点后2位，第三位小数四舍五入。）</w:t>
            </w:r>
          </w:p>
        </w:tc>
      </w:tr>
      <w:tr w14:paraId="36A24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767" w:type="dxa"/>
            <w:vMerge w:val="restart"/>
            <w:vAlign w:val="center"/>
          </w:tcPr>
          <w:p w14:paraId="2F314FB9">
            <w:pPr>
              <w:spacing w:line="276" w:lineRule="auto"/>
              <w:jc w:val="center"/>
              <w:rPr>
                <w:rFonts w:ascii="宋体" w:hAnsi="宋体"/>
                <w:szCs w:val="21"/>
                <w:highlight w:val="none"/>
              </w:rPr>
            </w:pPr>
            <w:r>
              <w:rPr>
                <w:rFonts w:hint="eastAsia" w:ascii="宋体" w:hAnsi="宋体" w:cs="宋体"/>
                <w:szCs w:val="21"/>
                <w:highlight w:val="none"/>
              </w:rPr>
              <w:t>2.2.4（1）</w:t>
            </w:r>
          </w:p>
        </w:tc>
        <w:tc>
          <w:tcPr>
            <w:tcW w:w="851" w:type="dxa"/>
            <w:vMerge w:val="restart"/>
            <w:vAlign w:val="center"/>
          </w:tcPr>
          <w:p w14:paraId="13D271C6">
            <w:pPr>
              <w:spacing w:line="276" w:lineRule="auto"/>
              <w:jc w:val="center"/>
              <w:rPr>
                <w:rFonts w:ascii="宋体" w:hAnsi="宋体" w:cs="宋体"/>
                <w:szCs w:val="21"/>
                <w:highlight w:val="none"/>
              </w:rPr>
            </w:pPr>
            <w:r>
              <w:rPr>
                <w:rFonts w:hint="eastAsia" w:ascii="宋体" w:hAnsi="宋体" w:cs="宋体"/>
                <w:szCs w:val="21"/>
                <w:highlight w:val="none"/>
              </w:rPr>
              <w:t>企业综合实力评分标准</w:t>
            </w:r>
          </w:p>
        </w:tc>
        <w:tc>
          <w:tcPr>
            <w:tcW w:w="1550" w:type="dxa"/>
            <w:vAlign w:val="center"/>
          </w:tcPr>
          <w:p w14:paraId="02A2C1C7">
            <w:pPr>
              <w:spacing w:line="276" w:lineRule="auto"/>
              <w:jc w:val="center"/>
              <w:rPr>
                <w:rFonts w:ascii="宋体" w:hAnsi="宋体" w:cs="宋体"/>
                <w:szCs w:val="21"/>
                <w:highlight w:val="none"/>
              </w:rPr>
            </w:pPr>
            <w:r>
              <w:rPr>
                <w:rFonts w:hint="eastAsia" w:ascii="宋体" w:hAnsi="宋体" w:cs="宋体"/>
                <w:szCs w:val="21"/>
                <w:highlight w:val="none"/>
              </w:rPr>
              <w:t>类似项目业绩</w:t>
            </w:r>
          </w:p>
        </w:tc>
        <w:tc>
          <w:tcPr>
            <w:tcW w:w="7136" w:type="dxa"/>
            <w:vAlign w:val="center"/>
          </w:tcPr>
          <w:p w14:paraId="5A5D3869">
            <w:pPr>
              <w:spacing w:line="276" w:lineRule="auto"/>
              <w:jc w:val="left"/>
              <w:rPr>
                <w:rFonts w:ascii="宋体" w:hAnsi="宋体" w:cs="宋体"/>
                <w:szCs w:val="21"/>
                <w:highlight w:val="none"/>
              </w:rPr>
            </w:pPr>
            <w:r>
              <w:rPr>
                <w:rFonts w:hint="eastAsia" w:ascii="宋体" w:hAnsi="宋体" w:cs="宋体"/>
                <w:szCs w:val="21"/>
                <w:highlight w:val="none"/>
              </w:rPr>
              <w:t>详见本章附表：综合评分表</w:t>
            </w:r>
          </w:p>
        </w:tc>
      </w:tr>
      <w:tr w14:paraId="66318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767" w:type="dxa"/>
            <w:vMerge w:val="continue"/>
            <w:vAlign w:val="center"/>
          </w:tcPr>
          <w:p w14:paraId="28C8C6D8">
            <w:pPr>
              <w:spacing w:line="276" w:lineRule="auto"/>
              <w:jc w:val="center"/>
              <w:rPr>
                <w:rFonts w:ascii="宋体" w:hAnsi="宋体"/>
                <w:szCs w:val="21"/>
                <w:highlight w:val="none"/>
              </w:rPr>
            </w:pPr>
          </w:p>
        </w:tc>
        <w:tc>
          <w:tcPr>
            <w:tcW w:w="851" w:type="dxa"/>
            <w:vMerge w:val="continue"/>
            <w:vAlign w:val="center"/>
          </w:tcPr>
          <w:p w14:paraId="3870AE00">
            <w:pPr>
              <w:spacing w:line="276" w:lineRule="auto"/>
              <w:jc w:val="center"/>
              <w:rPr>
                <w:rFonts w:ascii="宋体" w:hAnsi="宋体"/>
                <w:szCs w:val="21"/>
                <w:highlight w:val="none"/>
              </w:rPr>
            </w:pPr>
          </w:p>
        </w:tc>
        <w:tc>
          <w:tcPr>
            <w:tcW w:w="1550" w:type="dxa"/>
            <w:vAlign w:val="center"/>
          </w:tcPr>
          <w:p w14:paraId="6B5F839F">
            <w:pPr>
              <w:spacing w:line="276" w:lineRule="auto"/>
              <w:jc w:val="center"/>
              <w:rPr>
                <w:rFonts w:ascii="宋体" w:hAnsi="宋体" w:cs="宋体"/>
                <w:szCs w:val="21"/>
                <w:highlight w:val="none"/>
              </w:rPr>
            </w:pPr>
            <w:r>
              <w:rPr>
                <w:rFonts w:hint="eastAsia" w:ascii="宋体" w:hAnsi="宋体" w:cs="宋体"/>
                <w:szCs w:val="21"/>
                <w:highlight w:val="none"/>
              </w:rPr>
              <w:t>投标人信誉综合评价</w:t>
            </w:r>
          </w:p>
        </w:tc>
        <w:tc>
          <w:tcPr>
            <w:tcW w:w="7136" w:type="dxa"/>
            <w:vAlign w:val="center"/>
          </w:tcPr>
          <w:p w14:paraId="215BD01B">
            <w:pPr>
              <w:spacing w:line="276" w:lineRule="auto"/>
              <w:jc w:val="left"/>
              <w:rPr>
                <w:rFonts w:ascii="宋体" w:hAnsi="宋体" w:cs="宋体"/>
                <w:szCs w:val="21"/>
                <w:highlight w:val="none"/>
              </w:rPr>
            </w:pPr>
            <w:r>
              <w:rPr>
                <w:rFonts w:hint="eastAsia" w:ascii="宋体" w:hAnsi="宋体" w:cs="宋体"/>
                <w:szCs w:val="21"/>
                <w:highlight w:val="none"/>
              </w:rPr>
              <w:t>详见本章附表：综合评分表</w:t>
            </w:r>
          </w:p>
        </w:tc>
      </w:tr>
      <w:tr w14:paraId="03DB9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67" w:type="dxa"/>
            <w:vMerge w:val="continue"/>
            <w:vAlign w:val="center"/>
          </w:tcPr>
          <w:p w14:paraId="0BABFE0C">
            <w:pPr>
              <w:spacing w:line="276" w:lineRule="auto"/>
              <w:jc w:val="center"/>
              <w:rPr>
                <w:rFonts w:ascii="宋体" w:hAnsi="宋体"/>
                <w:szCs w:val="21"/>
                <w:highlight w:val="none"/>
              </w:rPr>
            </w:pPr>
          </w:p>
        </w:tc>
        <w:tc>
          <w:tcPr>
            <w:tcW w:w="851" w:type="dxa"/>
            <w:vMerge w:val="continue"/>
            <w:vAlign w:val="center"/>
          </w:tcPr>
          <w:p w14:paraId="5CE3455B">
            <w:pPr>
              <w:spacing w:line="276" w:lineRule="auto"/>
              <w:jc w:val="center"/>
              <w:rPr>
                <w:rFonts w:ascii="宋体" w:hAnsi="宋体"/>
                <w:szCs w:val="21"/>
                <w:highlight w:val="none"/>
              </w:rPr>
            </w:pPr>
          </w:p>
        </w:tc>
        <w:tc>
          <w:tcPr>
            <w:tcW w:w="1550" w:type="dxa"/>
            <w:vAlign w:val="center"/>
          </w:tcPr>
          <w:p w14:paraId="1413E519">
            <w:pPr>
              <w:spacing w:line="276" w:lineRule="auto"/>
              <w:jc w:val="center"/>
              <w:rPr>
                <w:rFonts w:ascii="宋体" w:hAnsi="宋体" w:cs="宋体"/>
                <w:szCs w:val="21"/>
                <w:highlight w:val="none"/>
              </w:rPr>
            </w:pPr>
            <w:r>
              <w:rPr>
                <w:rFonts w:hint="eastAsia" w:ascii="宋体" w:hAnsi="宋体" w:cs="宋体"/>
                <w:szCs w:val="21"/>
                <w:highlight w:val="none"/>
              </w:rPr>
              <w:t>拟投入人员综合水平</w:t>
            </w:r>
          </w:p>
        </w:tc>
        <w:tc>
          <w:tcPr>
            <w:tcW w:w="7136" w:type="dxa"/>
            <w:vAlign w:val="center"/>
          </w:tcPr>
          <w:p w14:paraId="242E27B5">
            <w:pPr>
              <w:spacing w:line="276" w:lineRule="auto"/>
              <w:jc w:val="left"/>
              <w:rPr>
                <w:rFonts w:ascii="宋体" w:hAnsi="宋体" w:cs="宋体"/>
                <w:szCs w:val="21"/>
                <w:highlight w:val="none"/>
              </w:rPr>
            </w:pPr>
            <w:r>
              <w:rPr>
                <w:rFonts w:hint="eastAsia" w:ascii="宋体" w:hAnsi="宋体" w:cs="宋体"/>
                <w:szCs w:val="21"/>
                <w:highlight w:val="none"/>
              </w:rPr>
              <w:t>详见本章附表：综合评分表</w:t>
            </w:r>
          </w:p>
        </w:tc>
      </w:tr>
      <w:tr w14:paraId="42476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3" w:hRule="atLeast"/>
          <w:jc w:val="center"/>
        </w:trPr>
        <w:tc>
          <w:tcPr>
            <w:tcW w:w="767" w:type="dxa"/>
            <w:vMerge w:val="restart"/>
            <w:vAlign w:val="center"/>
          </w:tcPr>
          <w:p w14:paraId="05089E2B">
            <w:pPr>
              <w:spacing w:line="276" w:lineRule="auto"/>
              <w:jc w:val="center"/>
              <w:rPr>
                <w:rFonts w:ascii="宋体" w:hAnsi="宋体"/>
                <w:szCs w:val="21"/>
                <w:highlight w:val="none"/>
              </w:rPr>
            </w:pPr>
            <w:r>
              <w:rPr>
                <w:rFonts w:hint="eastAsia" w:ascii="宋体" w:hAnsi="宋体" w:cs="宋体"/>
                <w:szCs w:val="21"/>
                <w:highlight w:val="none"/>
              </w:rPr>
              <w:t>2.2.4（2）</w:t>
            </w:r>
          </w:p>
        </w:tc>
        <w:tc>
          <w:tcPr>
            <w:tcW w:w="851" w:type="dxa"/>
            <w:vMerge w:val="restart"/>
            <w:vAlign w:val="center"/>
          </w:tcPr>
          <w:p w14:paraId="2CFD76BC">
            <w:pPr>
              <w:spacing w:line="276" w:lineRule="auto"/>
              <w:jc w:val="center"/>
              <w:rPr>
                <w:rFonts w:ascii="宋体" w:hAnsi="宋体"/>
                <w:szCs w:val="21"/>
                <w:highlight w:val="none"/>
              </w:rPr>
            </w:pPr>
            <w:r>
              <w:rPr>
                <w:rFonts w:hint="eastAsia" w:ascii="宋体" w:hAnsi="宋体" w:cs="宋体"/>
                <w:szCs w:val="21"/>
                <w:highlight w:val="none"/>
              </w:rPr>
              <w:t>技术方案评分标准</w:t>
            </w:r>
          </w:p>
        </w:tc>
        <w:tc>
          <w:tcPr>
            <w:tcW w:w="1550" w:type="dxa"/>
            <w:vAlign w:val="center"/>
          </w:tcPr>
          <w:p w14:paraId="6160A318">
            <w:pPr>
              <w:spacing w:line="276" w:lineRule="auto"/>
              <w:rPr>
                <w:rFonts w:ascii="宋体" w:hAnsi="宋体" w:cs="宋体"/>
                <w:szCs w:val="21"/>
                <w:highlight w:val="none"/>
              </w:rPr>
            </w:pPr>
            <w:r>
              <w:rPr>
                <w:rFonts w:hint="eastAsia" w:ascii="宋体" w:hAnsi="宋体" w:cs="宋体"/>
                <w:szCs w:val="21"/>
                <w:highlight w:val="none"/>
              </w:rPr>
              <w:t>拟投入机械设备计划</w:t>
            </w:r>
          </w:p>
        </w:tc>
        <w:tc>
          <w:tcPr>
            <w:tcW w:w="7136" w:type="dxa"/>
            <w:vAlign w:val="center"/>
          </w:tcPr>
          <w:p w14:paraId="108CB963">
            <w:pPr>
              <w:spacing w:line="276" w:lineRule="auto"/>
              <w:rPr>
                <w:rFonts w:ascii="宋体" w:hAnsi="宋体"/>
                <w:szCs w:val="21"/>
                <w:highlight w:val="none"/>
              </w:rPr>
            </w:pPr>
            <w:r>
              <w:rPr>
                <w:rFonts w:hint="eastAsia" w:ascii="宋体" w:hAnsi="宋体" w:cs="宋体"/>
                <w:szCs w:val="21"/>
                <w:highlight w:val="none"/>
              </w:rPr>
              <w:t>详见本章附表：综合评分表</w:t>
            </w:r>
          </w:p>
        </w:tc>
      </w:tr>
      <w:tr w14:paraId="2DE0E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3" w:hRule="atLeast"/>
          <w:jc w:val="center"/>
        </w:trPr>
        <w:tc>
          <w:tcPr>
            <w:tcW w:w="767" w:type="dxa"/>
            <w:vMerge w:val="continue"/>
            <w:vAlign w:val="center"/>
          </w:tcPr>
          <w:p w14:paraId="0A7B7CDF">
            <w:pPr>
              <w:spacing w:line="276" w:lineRule="auto"/>
              <w:jc w:val="center"/>
              <w:rPr>
                <w:rFonts w:ascii="宋体" w:hAnsi="宋体" w:cs="宋体"/>
                <w:szCs w:val="21"/>
                <w:highlight w:val="none"/>
              </w:rPr>
            </w:pPr>
          </w:p>
        </w:tc>
        <w:tc>
          <w:tcPr>
            <w:tcW w:w="851" w:type="dxa"/>
            <w:vMerge w:val="continue"/>
            <w:vAlign w:val="center"/>
          </w:tcPr>
          <w:p w14:paraId="71E6D728">
            <w:pPr>
              <w:spacing w:line="276" w:lineRule="auto"/>
              <w:jc w:val="center"/>
              <w:rPr>
                <w:rFonts w:ascii="宋体" w:hAnsi="宋体" w:cs="宋体"/>
                <w:szCs w:val="21"/>
                <w:highlight w:val="none"/>
              </w:rPr>
            </w:pPr>
          </w:p>
        </w:tc>
        <w:tc>
          <w:tcPr>
            <w:tcW w:w="1550" w:type="dxa"/>
            <w:vAlign w:val="center"/>
          </w:tcPr>
          <w:p w14:paraId="0088DAEF">
            <w:pPr>
              <w:spacing w:line="276" w:lineRule="auto"/>
              <w:rPr>
                <w:rFonts w:ascii="宋体" w:hAnsi="宋体" w:cs="宋体"/>
                <w:szCs w:val="21"/>
                <w:highlight w:val="none"/>
              </w:rPr>
            </w:pPr>
            <w:r>
              <w:rPr>
                <w:rFonts w:hint="eastAsia" w:ascii="宋体" w:hAnsi="宋体"/>
                <w:szCs w:val="21"/>
                <w:highlight w:val="none"/>
              </w:rPr>
              <w:t>检测方案</w:t>
            </w:r>
          </w:p>
        </w:tc>
        <w:tc>
          <w:tcPr>
            <w:tcW w:w="7136" w:type="dxa"/>
            <w:vAlign w:val="center"/>
          </w:tcPr>
          <w:p w14:paraId="299413DB">
            <w:pPr>
              <w:spacing w:line="276" w:lineRule="auto"/>
              <w:rPr>
                <w:rFonts w:ascii="宋体" w:hAnsi="宋体" w:cs="宋体"/>
                <w:szCs w:val="21"/>
                <w:highlight w:val="none"/>
              </w:rPr>
            </w:pPr>
            <w:r>
              <w:rPr>
                <w:rFonts w:hint="eastAsia" w:ascii="宋体" w:hAnsi="宋体" w:cs="宋体"/>
                <w:szCs w:val="21"/>
                <w:highlight w:val="none"/>
              </w:rPr>
              <w:t>详见本章附表：综合评分表</w:t>
            </w:r>
          </w:p>
        </w:tc>
      </w:tr>
      <w:tr w14:paraId="78B6B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67" w:type="dxa"/>
            <w:vAlign w:val="center"/>
          </w:tcPr>
          <w:p w14:paraId="3981CCC6">
            <w:pPr>
              <w:spacing w:line="276" w:lineRule="auto"/>
              <w:jc w:val="center"/>
              <w:rPr>
                <w:rFonts w:ascii="宋体" w:hAnsi="宋体" w:cs="宋体"/>
                <w:szCs w:val="21"/>
                <w:highlight w:val="none"/>
              </w:rPr>
            </w:pPr>
            <w:r>
              <w:rPr>
                <w:rFonts w:hint="eastAsia" w:ascii="宋体" w:hAnsi="宋体" w:cs="宋体"/>
                <w:szCs w:val="21"/>
                <w:highlight w:val="none"/>
              </w:rPr>
              <w:t>2.2.4（3）</w:t>
            </w:r>
          </w:p>
        </w:tc>
        <w:tc>
          <w:tcPr>
            <w:tcW w:w="851" w:type="dxa"/>
            <w:vAlign w:val="center"/>
          </w:tcPr>
          <w:p w14:paraId="047146D9">
            <w:pPr>
              <w:spacing w:line="276" w:lineRule="auto"/>
              <w:ind w:left="-107" w:leftChars="-51" w:right="-107" w:rightChars="-51"/>
              <w:jc w:val="center"/>
              <w:rPr>
                <w:rFonts w:ascii="宋体" w:hAnsi="宋体" w:cs="宋体"/>
                <w:szCs w:val="21"/>
                <w:highlight w:val="none"/>
              </w:rPr>
            </w:pPr>
            <w:r>
              <w:rPr>
                <w:rFonts w:hint="eastAsia" w:ascii="宋体" w:hAnsi="宋体" w:cs="宋体"/>
                <w:szCs w:val="21"/>
                <w:highlight w:val="none"/>
              </w:rPr>
              <w:t>投标报价评分标准</w:t>
            </w:r>
          </w:p>
        </w:tc>
        <w:tc>
          <w:tcPr>
            <w:tcW w:w="8686" w:type="dxa"/>
            <w:gridSpan w:val="2"/>
            <w:vAlign w:val="center"/>
          </w:tcPr>
          <w:p w14:paraId="40ED037D">
            <w:pPr>
              <w:widowControl/>
              <w:spacing w:line="276" w:lineRule="auto"/>
              <w:rPr>
                <w:rFonts w:ascii="宋体" w:hAnsi="宋体" w:cs="宋体"/>
                <w:kern w:val="0"/>
                <w:szCs w:val="21"/>
                <w:highlight w:val="none"/>
              </w:rPr>
            </w:pPr>
            <w:r>
              <w:rPr>
                <w:rFonts w:hint="eastAsia" w:ascii="宋体" w:hAnsi="宋体"/>
                <w:szCs w:val="21"/>
                <w:highlight w:val="none"/>
              </w:rPr>
              <w:t>以评标参考价作为计算各有效投标报价得分的基础，当有效投标报价等于评标参考价时得15分；投标有效报价与评标参考价之差，每上偏1%扣1.0分，下偏1%扣0.5分；最多减至0分止。</w:t>
            </w:r>
            <w:r>
              <w:rPr>
                <w:rFonts w:hint="eastAsia" w:ascii="宋体" w:hAnsi="宋体"/>
                <w:b/>
                <w:szCs w:val="21"/>
                <w:highlight w:val="none"/>
              </w:rPr>
              <w:t>得分精确到小数点后两位。</w:t>
            </w:r>
          </w:p>
        </w:tc>
      </w:tr>
      <w:tr w14:paraId="04173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67" w:type="dxa"/>
            <w:vAlign w:val="center"/>
          </w:tcPr>
          <w:p w14:paraId="0DB09E7C">
            <w:pPr>
              <w:spacing w:line="276" w:lineRule="auto"/>
              <w:jc w:val="center"/>
              <w:rPr>
                <w:rFonts w:ascii="宋体" w:hAnsi="宋体" w:cs="宋体"/>
                <w:szCs w:val="21"/>
                <w:highlight w:val="none"/>
              </w:rPr>
            </w:pPr>
            <w:r>
              <w:rPr>
                <w:rFonts w:ascii="宋体" w:hAnsi="宋体"/>
                <w:szCs w:val="21"/>
                <w:highlight w:val="none"/>
              </w:rPr>
              <w:t>2.2.4</w:t>
            </w:r>
            <w:r>
              <w:rPr>
                <w:rFonts w:hint="eastAsia" w:ascii="宋体" w:hAnsi="宋体"/>
                <w:szCs w:val="21"/>
                <w:highlight w:val="none"/>
              </w:rPr>
              <w:t>（</w:t>
            </w:r>
            <w:r>
              <w:rPr>
                <w:rFonts w:ascii="宋体" w:hAnsi="宋体"/>
                <w:szCs w:val="21"/>
                <w:highlight w:val="none"/>
              </w:rPr>
              <w:t>4</w:t>
            </w:r>
            <w:r>
              <w:rPr>
                <w:rFonts w:hint="eastAsia" w:ascii="宋体" w:hAnsi="宋体"/>
                <w:szCs w:val="21"/>
                <w:highlight w:val="none"/>
              </w:rPr>
              <w:t>）</w:t>
            </w:r>
          </w:p>
        </w:tc>
        <w:tc>
          <w:tcPr>
            <w:tcW w:w="851" w:type="dxa"/>
            <w:vAlign w:val="center"/>
          </w:tcPr>
          <w:p w14:paraId="5F83927F">
            <w:pPr>
              <w:spacing w:line="276" w:lineRule="auto"/>
              <w:ind w:left="-126" w:leftChars="-60" w:right="-107" w:rightChars="-51"/>
              <w:jc w:val="center"/>
              <w:rPr>
                <w:rFonts w:ascii="宋体" w:hAnsi="宋体" w:cs="宋体"/>
                <w:szCs w:val="21"/>
                <w:highlight w:val="none"/>
              </w:rPr>
            </w:pPr>
            <w:r>
              <w:rPr>
                <w:rFonts w:hint="eastAsia" w:ascii="宋体" w:hAnsi="宋体" w:cs="宋体"/>
                <w:szCs w:val="21"/>
                <w:highlight w:val="none"/>
              </w:rPr>
              <w:t>其他因素评分标准</w:t>
            </w:r>
          </w:p>
        </w:tc>
        <w:tc>
          <w:tcPr>
            <w:tcW w:w="8686" w:type="dxa"/>
            <w:gridSpan w:val="2"/>
            <w:vAlign w:val="center"/>
          </w:tcPr>
          <w:p w14:paraId="239EB273">
            <w:pPr>
              <w:widowControl/>
              <w:spacing w:line="276" w:lineRule="auto"/>
              <w:rPr>
                <w:rFonts w:ascii="宋体" w:hAnsi="宋体" w:cs="宋体"/>
                <w:szCs w:val="21"/>
                <w:highlight w:val="none"/>
              </w:rPr>
            </w:pPr>
            <w:r>
              <w:rPr>
                <w:rFonts w:hint="eastAsia" w:ascii="宋体" w:hAnsi="宋体" w:cs="宋体"/>
                <w:szCs w:val="21"/>
                <w:highlight w:val="none"/>
              </w:rPr>
              <w:t>投标人诚信得分=在广州市检测单位诚信评价中60日诚信分得分×10%。</w:t>
            </w:r>
          </w:p>
          <w:p w14:paraId="14A35F41">
            <w:pPr>
              <w:widowControl/>
              <w:spacing w:line="276" w:lineRule="auto"/>
              <w:rPr>
                <w:rFonts w:ascii="宋体" w:hAnsi="宋体" w:cs="宋体"/>
                <w:szCs w:val="21"/>
                <w:highlight w:val="none"/>
              </w:rPr>
            </w:pPr>
            <w:r>
              <w:rPr>
                <w:rFonts w:hint="eastAsia" w:ascii="宋体" w:hAnsi="宋体" w:cs="宋体"/>
                <w:szCs w:val="21"/>
                <w:highlight w:val="none"/>
              </w:rPr>
              <w:t>注：（1）在广州市检测单位诚信评价系统中直接查询。（2）查询地址：</w:t>
            </w:r>
            <w:r>
              <w:rPr>
                <w:highlight w:val="none"/>
              </w:rPr>
              <w:t>https://rhjg.gzcqs.com/evaluationPage</w:t>
            </w:r>
            <w:r>
              <w:rPr>
                <w:rFonts w:hint="eastAsia" w:ascii="宋体" w:hAnsi="宋体" w:cs="宋体"/>
                <w:szCs w:val="21"/>
                <w:highlight w:val="none"/>
              </w:rPr>
              <w:t>。若评标时网址有变化，以最新的网址为准。（3）得分以投标截止当天查询为准。（4）若投标人为联合体，以联合体牵头人（主办方）的企业诚信综合评价排名得分为准。</w:t>
            </w:r>
          </w:p>
        </w:tc>
      </w:tr>
    </w:tbl>
    <w:p w14:paraId="6ACB4343">
      <w:pPr>
        <w:pStyle w:val="5"/>
        <w:rPr>
          <w:highlight w:val="none"/>
        </w:rPr>
      </w:pPr>
      <w:r>
        <w:rPr>
          <w:rFonts w:cs="宋体"/>
          <w:szCs w:val="21"/>
          <w:highlight w:val="none"/>
        </w:rPr>
        <w:br w:type="page"/>
      </w:r>
      <w:bookmarkStart w:id="112" w:name="_Toc103592021"/>
      <w:r>
        <w:rPr>
          <w:rFonts w:hint="eastAsia"/>
          <w:highlight w:val="none"/>
        </w:rPr>
        <w:t>附表一：形式评审表</w:t>
      </w:r>
      <w:bookmarkEnd w:id="112"/>
    </w:p>
    <w:p w14:paraId="77DE6F96">
      <w:pPr>
        <w:spacing w:line="360" w:lineRule="auto"/>
        <w:jc w:val="center"/>
        <w:rPr>
          <w:rFonts w:ascii="宋体" w:hAnsi="宋体" w:cs="宋体"/>
          <w:sz w:val="28"/>
          <w:szCs w:val="28"/>
          <w:highlight w:val="none"/>
        </w:rPr>
      </w:pPr>
      <w:r>
        <w:rPr>
          <w:rFonts w:hint="eastAsia" w:ascii="宋体" w:hAnsi="宋体" w:cs="宋体"/>
          <w:sz w:val="28"/>
          <w:szCs w:val="28"/>
          <w:highlight w:val="none"/>
        </w:rPr>
        <w:t>形式评审表</w:t>
      </w:r>
    </w:p>
    <w:tbl>
      <w:tblPr>
        <w:tblStyle w:val="27"/>
        <w:tblpPr w:leftFromText="180" w:rightFromText="180" w:vertAnchor="text" w:horzAnchor="margin" w:tblpXSpec="center" w:tblpY="157"/>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4258"/>
        <w:gridCol w:w="761"/>
        <w:gridCol w:w="762"/>
        <w:gridCol w:w="762"/>
        <w:gridCol w:w="762"/>
        <w:gridCol w:w="762"/>
      </w:tblGrid>
      <w:tr w14:paraId="3FA59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534" w:type="dxa"/>
            <w:vAlign w:val="center"/>
          </w:tcPr>
          <w:p w14:paraId="635F2C8F">
            <w:pPr>
              <w:tabs>
                <w:tab w:val="left" w:pos="720"/>
              </w:tabs>
              <w:snapToGrid w:val="0"/>
              <w:spacing w:line="276" w:lineRule="auto"/>
              <w:jc w:val="center"/>
              <w:rPr>
                <w:rFonts w:ascii="宋体" w:hAnsi="宋体"/>
                <w:sz w:val="18"/>
                <w:szCs w:val="18"/>
                <w:highlight w:val="none"/>
              </w:rPr>
            </w:pPr>
            <w:r>
              <w:rPr>
                <w:rFonts w:hint="eastAsia" w:ascii="宋体" w:hAnsi="宋体"/>
                <w:sz w:val="18"/>
                <w:szCs w:val="18"/>
                <w:highlight w:val="none"/>
              </w:rPr>
              <w:t>编号</w:t>
            </w:r>
          </w:p>
        </w:tc>
        <w:tc>
          <w:tcPr>
            <w:tcW w:w="4258" w:type="dxa"/>
            <w:tcBorders>
              <w:tl2br w:val="single" w:color="auto" w:sz="4" w:space="0"/>
            </w:tcBorders>
            <w:vAlign w:val="center"/>
          </w:tcPr>
          <w:p w14:paraId="7CD088EB">
            <w:pPr>
              <w:tabs>
                <w:tab w:val="left" w:pos="720"/>
              </w:tabs>
              <w:snapToGrid w:val="0"/>
              <w:spacing w:line="276" w:lineRule="auto"/>
              <w:ind w:firstLine="2070" w:firstLineChars="1150"/>
              <w:rPr>
                <w:rFonts w:ascii="宋体" w:hAnsi="宋体"/>
                <w:sz w:val="18"/>
                <w:szCs w:val="18"/>
                <w:highlight w:val="none"/>
              </w:rPr>
            </w:pPr>
            <w:r>
              <w:rPr>
                <w:rFonts w:hint="eastAsia" w:ascii="宋体" w:hAnsi="宋体"/>
                <w:sz w:val="18"/>
                <w:szCs w:val="18"/>
                <w:highlight w:val="none"/>
              </w:rPr>
              <w:t>投标人名称</w:t>
            </w:r>
          </w:p>
          <w:p w14:paraId="349DF90C">
            <w:pPr>
              <w:tabs>
                <w:tab w:val="left" w:pos="720"/>
              </w:tabs>
              <w:snapToGrid w:val="0"/>
              <w:spacing w:line="276" w:lineRule="auto"/>
              <w:rPr>
                <w:rFonts w:ascii="宋体" w:hAnsi="宋体"/>
                <w:sz w:val="18"/>
                <w:szCs w:val="18"/>
                <w:highlight w:val="none"/>
              </w:rPr>
            </w:pPr>
            <w:r>
              <w:rPr>
                <w:rFonts w:hint="eastAsia" w:ascii="宋体" w:hAnsi="宋体"/>
                <w:sz w:val="18"/>
                <w:szCs w:val="18"/>
                <w:highlight w:val="none"/>
              </w:rPr>
              <w:t>评审项目</w:t>
            </w:r>
          </w:p>
        </w:tc>
        <w:tc>
          <w:tcPr>
            <w:tcW w:w="761" w:type="dxa"/>
            <w:vAlign w:val="center"/>
          </w:tcPr>
          <w:p w14:paraId="54F5F944">
            <w:pPr>
              <w:tabs>
                <w:tab w:val="left" w:pos="720"/>
              </w:tabs>
              <w:snapToGrid w:val="0"/>
              <w:spacing w:line="276" w:lineRule="auto"/>
              <w:rPr>
                <w:rFonts w:ascii="宋体" w:hAnsi="宋体"/>
                <w:sz w:val="18"/>
                <w:szCs w:val="18"/>
                <w:highlight w:val="none"/>
              </w:rPr>
            </w:pPr>
          </w:p>
        </w:tc>
        <w:tc>
          <w:tcPr>
            <w:tcW w:w="762" w:type="dxa"/>
            <w:vAlign w:val="center"/>
          </w:tcPr>
          <w:p w14:paraId="2CD30B1C">
            <w:pPr>
              <w:tabs>
                <w:tab w:val="left" w:pos="720"/>
              </w:tabs>
              <w:snapToGrid w:val="0"/>
              <w:spacing w:line="276" w:lineRule="auto"/>
              <w:jc w:val="center"/>
              <w:rPr>
                <w:rFonts w:ascii="宋体" w:hAnsi="宋体"/>
                <w:sz w:val="18"/>
                <w:szCs w:val="18"/>
                <w:highlight w:val="none"/>
              </w:rPr>
            </w:pPr>
          </w:p>
        </w:tc>
        <w:tc>
          <w:tcPr>
            <w:tcW w:w="762" w:type="dxa"/>
            <w:vAlign w:val="center"/>
          </w:tcPr>
          <w:p w14:paraId="3AE73E5F">
            <w:pPr>
              <w:tabs>
                <w:tab w:val="left" w:pos="720"/>
              </w:tabs>
              <w:snapToGrid w:val="0"/>
              <w:spacing w:line="276" w:lineRule="auto"/>
              <w:jc w:val="center"/>
              <w:rPr>
                <w:rFonts w:ascii="宋体" w:hAnsi="宋体"/>
                <w:sz w:val="18"/>
                <w:szCs w:val="18"/>
                <w:highlight w:val="none"/>
              </w:rPr>
            </w:pPr>
          </w:p>
        </w:tc>
        <w:tc>
          <w:tcPr>
            <w:tcW w:w="762" w:type="dxa"/>
            <w:vAlign w:val="center"/>
          </w:tcPr>
          <w:p w14:paraId="211CC9A4">
            <w:pPr>
              <w:tabs>
                <w:tab w:val="left" w:pos="720"/>
              </w:tabs>
              <w:snapToGrid w:val="0"/>
              <w:spacing w:line="276" w:lineRule="auto"/>
              <w:jc w:val="center"/>
              <w:rPr>
                <w:rFonts w:ascii="宋体" w:hAnsi="宋体"/>
                <w:sz w:val="18"/>
                <w:szCs w:val="18"/>
                <w:highlight w:val="none"/>
              </w:rPr>
            </w:pPr>
          </w:p>
        </w:tc>
        <w:tc>
          <w:tcPr>
            <w:tcW w:w="762" w:type="dxa"/>
            <w:vAlign w:val="center"/>
          </w:tcPr>
          <w:p w14:paraId="27A791CC">
            <w:pPr>
              <w:tabs>
                <w:tab w:val="left" w:pos="720"/>
              </w:tabs>
              <w:snapToGrid w:val="0"/>
              <w:spacing w:line="276" w:lineRule="auto"/>
              <w:jc w:val="center"/>
              <w:rPr>
                <w:rFonts w:ascii="宋体" w:hAnsi="宋体"/>
                <w:sz w:val="18"/>
                <w:szCs w:val="18"/>
                <w:highlight w:val="none"/>
              </w:rPr>
            </w:pPr>
          </w:p>
        </w:tc>
      </w:tr>
      <w:tr w14:paraId="19086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534" w:type="dxa"/>
            <w:vAlign w:val="center"/>
          </w:tcPr>
          <w:p w14:paraId="1D59EBC0">
            <w:pPr>
              <w:tabs>
                <w:tab w:val="left" w:pos="720"/>
              </w:tabs>
              <w:snapToGrid w:val="0"/>
              <w:spacing w:line="276" w:lineRule="auto"/>
              <w:jc w:val="center"/>
              <w:rPr>
                <w:rFonts w:ascii="宋体" w:hAnsi="宋体"/>
                <w:sz w:val="18"/>
                <w:szCs w:val="18"/>
                <w:highlight w:val="none"/>
              </w:rPr>
            </w:pPr>
            <w:r>
              <w:rPr>
                <w:rFonts w:hint="eastAsia" w:ascii="宋体" w:hAnsi="宋体"/>
                <w:sz w:val="18"/>
                <w:szCs w:val="18"/>
                <w:highlight w:val="none"/>
              </w:rPr>
              <w:t>1</w:t>
            </w:r>
          </w:p>
        </w:tc>
        <w:tc>
          <w:tcPr>
            <w:tcW w:w="4258" w:type="dxa"/>
            <w:vAlign w:val="center"/>
          </w:tcPr>
          <w:p w14:paraId="08874D2F">
            <w:pPr>
              <w:tabs>
                <w:tab w:val="left" w:pos="720"/>
              </w:tabs>
              <w:snapToGrid w:val="0"/>
              <w:spacing w:line="276" w:lineRule="auto"/>
              <w:rPr>
                <w:rFonts w:ascii="宋体" w:hAnsi="宋体"/>
                <w:sz w:val="18"/>
                <w:szCs w:val="18"/>
                <w:highlight w:val="none"/>
              </w:rPr>
            </w:pPr>
            <w:r>
              <w:rPr>
                <w:rFonts w:hint="eastAsia" w:ascii="宋体" w:hAnsi="宋体"/>
                <w:sz w:val="18"/>
                <w:szCs w:val="18"/>
                <w:highlight w:val="none"/>
              </w:rPr>
              <w:t>投标人名称：与营业执照（或事业单位法人证书）、资质证书一致。</w:t>
            </w:r>
          </w:p>
        </w:tc>
        <w:tc>
          <w:tcPr>
            <w:tcW w:w="761" w:type="dxa"/>
            <w:vAlign w:val="center"/>
          </w:tcPr>
          <w:p w14:paraId="6A09DE41">
            <w:pPr>
              <w:tabs>
                <w:tab w:val="left" w:pos="720"/>
              </w:tabs>
              <w:snapToGrid w:val="0"/>
              <w:spacing w:line="276" w:lineRule="auto"/>
              <w:jc w:val="center"/>
              <w:rPr>
                <w:rFonts w:ascii="宋体" w:hAnsi="宋体"/>
                <w:sz w:val="18"/>
                <w:szCs w:val="18"/>
                <w:highlight w:val="none"/>
              </w:rPr>
            </w:pPr>
          </w:p>
        </w:tc>
        <w:tc>
          <w:tcPr>
            <w:tcW w:w="762" w:type="dxa"/>
            <w:vAlign w:val="center"/>
          </w:tcPr>
          <w:p w14:paraId="68C59496">
            <w:pPr>
              <w:tabs>
                <w:tab w:val="left" w:pos="720"/>
              </w:tabs>
              <w:snapToGrid w:val="0"/>
              <w:spacing w:line="276" w:lineRule="auto"/>
              <w:jc w:val="center"/>
              <w:rPr>
                <w:rFonts w:ascii="宋体" w:hAnsi="宋体"/>
                <w:sz w:val="18"/>
                <w:szCs w:val="18"/>
                <w:highlight w:val="none"/>
              </w:rPr>
            </w:pPr>
          </w:p>
        </w:tc>
        <w:tc>
          <w:tcPr>
            <w:tcW w:w="762" w:type="dxa"/>
            <w:vAlign w:val="center"/>
          </w:tcPr>
          <w:p w14:paraId="357D502E">
            <w:pPr>
              <w:tabs>
                <w:tab w:val="left" w:pos="720"/>
              </w:tabs>
              <w:snapToGrid w:val="0"/>
              <w:spacing w:line="276" w:lineRule="auto"/>
              <w:jc w:val="center"/>
              <w:rPr>
                <w:rFonts w:ascii="宋体" w:hAnsi="宋体"/>
                <w:sz w:val="18"/>
                <w:szCs w:val="18"/>
                <w:highlight w:val="none"/>
              </w:rPr>
            </w:pPr>
          </w:p>
        </w:tc>
        <w:tc>
          <w:tcPr>
            <w:tcW w:w="762" w:type="dxa"/>
            <w:vAlign w:val="center"/>
          </w:tcPr>
          <w:p w14:paraId="1DDCF8EE">
            <w:pPr>
              <w:tabs>
                <w:tab w:val="left" w:pos="720"/>
              </w:tabs>
              <w:snapToGrid w:val="0"/>
              <w:spacing w:line="276" w:lineRule="auto"/>
              <w:jc w:val="center"/>
              <w:rPr>
                <w:rFonts w:ascii="宋体" w:hAnsi="宋体"/>
                <w:sz w:val="18"/>
                <w:szCs w:val="18"/>
                <w:highlight w:val="none"/>
              </w:rPr>
            </w:pPr>
          </w:p>
        </w:tc>
        <w:tc>
          <w:tcPr>
            <w:tcW w:w="762" w:type="dxa"/>
            <w:vAlign w:val="center"/>
          </w:tcPr>
          <w:p w14:paraId="46B4A927">
            <w:pPr>
              <w:tabs>
                <w:tab w:val="left" w:pos="720"/>
              </w:tabs>
              <w:snapToGrid w:val="0"/>
              <w:spacing w:line="276" w:lineRule="auto"/>
              <w:jc w:val="center"/>
              <w:rPr>
                <w:rFonts w:ascii="宋体" w:hAnsi="宋体"/>
                <w:sz w:val="18"/>
                <w:szCs w:val="18"/>
                <w:highlight w:val="none"/>
              </w:rPr>
            </w:pPr>
          </w:p>
        </w:tc>
      </w:tr>
      <w:tr w14:paraId="63DEB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534" w:type="dxa"/>
            <w:vAlign w:val="center"/>
          </w:tcPr>
          <w:p w14:paraId="6B017DC3">
            <w:pPr>
              <w:tabs>
                <w:tab w:val="left" w:pos="720"/>
              </w:tabs>
              <w:snapToGrid w:val="0"/>
              <w:spacing w:line="276" w:lineRule="auto"/>
              <w:jc w:val="center"/>
              <w:rPr>
                <w:rFonts w:ascii="宋体" w:hAnsi="宋体"/>
                <w:sz w:val="18"/>
                <w:szCs w:val="18"/>
                <w:highlight w:val="none"/>
              </w:rPr>
            </w:pPr>
            <w:r>
              <w:rPr>
                <w:rFonts w:hint="eastAsia" w:ascii="宋体" w:hAnsi="宋体"/>
                <w:sz w:val="18"/>
                <w:szCs w:val="18"/>
                <w:highlight w:val="none"/>
              </w:rPr>
              <w:t>2</w:t>
            </w:r>
          </w:p>
        </w:tc>
        <w:tc>
          <w:tcPr>
            <w:tcW w:w="4258" w:type="dxa"/>
            <w:vAlign w:val="center"/>
          </w:tcPr>
          <w:p w14:paraId="324197F5">
            <w:pPr>
              <w:tabs>
                <w:tab w:val="left" w:pos="720"/>
              </w:tabs>
              <w:snapToGrid w:val="0"/>
              <w:spacing w:line="276" w:lineRule="auto"/>
              <w:rPr>
                <w:rFonts w:ascii="宋体" w:hAnsi="宋体"/>
                <w:sz w:val="18"/>
                <w:szCs w:val="18"/>
                <w:highlight w:val="none"/>
              </w:rPr>
            </w:pPr>
            <w:r>
              <w:rPr>
                <w:rFonts w:hint="eastAsia" w:ascii="宋体" w:hAnsi="宋体"/>
                <w:sz w:val="18"/>
                <w:szCs w:val="18"/>
                <w:highlight w:val="none"/>
              </w:rPr>
              <w:t>投标函及其附表签字盖章：投标函及其附表格式及签字盖章符合招标文件要求，由法定代表人签字的，应附法定代表人证明书，由代理人签字的，应附法定代表人证明书及授权委托书。</w:t>
            </w:r>
          </w:p>
        </w:tc>
        <w:tc>
          <w:tcPr>
            <w:tcW w:w="761" w:type="dxa"/>
            <w:vAlign w:val="center"/>
          </w:tcPr>
          <w:p w14:paraId="6DFA8F2C">
            <w:pPr>
              <w:tabs>
                <w:tab w:val="left" w:pos="720"/>
              </w:tabs>
              <w:snapToGrid w:val="0"/>
              <w:spacing w:line="276" w:lineRule="auto"/>
              <w:jc w:val="center"/>
              <w:rPr>
                <w:rFonts w:ascii="宋体" w:hAnsi="宋体"/>
                <w:sz w:val="18"/>
                <w:szCs w:val="18"/>
                <w:highlight w:val="none"/>
              </w:rPr>
            </w:pPr>
          </w:p>
        </w:tc>
        <w:tc>
          <w:tcPr>
            <w:tcW w:w="762" w:type="dxa"/>
            <w:vAlign w:val="center"/>
          </w:tcPr>
          <w:p w14:paraId="26397BFC">
            <w:pPr>
              <w:tabs>
                <w:tab w:val="left" w:pos="720"/>
              </w:tabs>
              <w:snapToGrid w:val="0"/>
              <w:spacing w:line="276" w:lineRule="auto"/>
              <w:jc w:val="center"/>
              <w:rPr>
                <w:rFonts w:ascii="宋体" w:hAnsi="宋体"/>
                <w:sz w:val="18"/>
                <w:szCs w:val="18"/>
                <w:highlight w:val="none"/>
              </w:rPr>
            </w:pPr>
          </w:p>
        </w:tc>
        <w:tc>
          <w:tcPr>
            <w:tcW w:w="762" w:type="dxa"/>
            <w:vAlign w:val="center"/>
          </w:tcPr>
          <w:p w14:paraId="02316320">
            <w:pPr>
              <w:tabs>
                <w:tab w:val="left" w:pos="720"/>
              </w:tabs>
              <w:snapToGrid w:val="0"/>
              <w:spacing w:line="276" w:lineRule="auto"/>
              <w:jc w:val="center"/>
              <w:rPr>
                <w:rFonts w:ascii="宋体" w:hAnsi="宋体"/>
                <w:sz w:val="18"/>
                <w:szCs w:val="18"/>
                <w:highlight w:val="none"/>
              </w:rPr>
            </w:pPr>
          </w:p>
        </w:tc>
        <w:tc>
          <w:tcPr>
            <w:tcW w:w="762" w:type="dxa"/>
            <w:vAlign w:val="center"/>
          </w:tcPr>
          <w:p w14:paraId="788372BF">
            <w:pPr>
              <w:tabs>
                <w:tab w:val="left" w:pos="720"/>
              </w:tabs>
              <w:snapToGrid w:val="0"/>
              <w:spacing w:line="276" w:lineRule="auto"/>
              <w:jc w:val="center"/>
              <w:rPr>
                <w:rFonts w:ascii="宋体" w:hAnsi="宋体"/>
                <w:sz w:val="18"/>
                <w:szCs w:val="18"/>
                <w:highlight w:val="none"/>
              </w:rPr>
            </w:pPr>
          </w:p>
        </w:tc>
        <w:tc>
          <w:tcPr>
            <w:tcW w:w="762" w:type="dxa"/>
            <w:vAlign w:val="center"/>
          </w:tcPr>
          <w:p w14:paraId="00E441AD">
            <w:pPr>
              <w:tabs>
                <w:tab w:val="left" w:pos="720"/>
              </w:tabs>
              <w:snapToGrid w:val="0"/>
              <w:spacing w:line="276" w:lineRule="auto"/>
              <w:jc w:val="center"/>
              <w:rPr>
                <w:rFonts w:ascii="宋体" w:hAnsi="宋体"/>
                <w:sz w:val="18"/>
                <w:szCs w:val="18"/>
                <w:highlight w:val="none"/>
              </w:rPr>
            </w:pPr>
          </w:p>
        </w:tc>
      </w:tr>
      <w:tr w14:paraId="63B8A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34" w:type="dxa"/>
            <w:vAlign w:val="center"/>
          </w:tcPr>
          <w:p w14:paraId="236B1344">
            <w:pPr>
              <w:tabs>
                <w:tab w:val="left" w:pos="720"/>
              </w:tabs>
              <w:snapToGrid w:val="0"/>
              <w:spacing w:line="276" w:lineRule="auto"/>
              <w:jc w:val="center"/>
              <w:rPr>
                <w:rFonts w:ascii="宋体" w:hAnsi="宋体"/>
                <w:sz w:val="18"/>
                <w:szCs w:val="18"/>
                <w:highlight w:val="none"/>
              </w:rPr>
            </w:pPr>
            <w:r>
              <w:rPr>
                <w:rFonts w:hint="eastAsia" w:ascii="宋体" w:hAnsi="宋体"/>
                <w:sz w:val="18"/>
                <w:szCs w:val="18"/>
                <w:highlight w:val="none"/>
              </w:rPr>
              <w:t>3</w:t>
            </w:r>
          </w:p>
        </w:tc>
        <w:tc>
          <w:tcPr>
            <w:tcW w:w="4258" w:type="dxa"/>
            <w:vAlign w:val="center"/>
          </w:tcPr>
          <w:p w14:paraId="445EFD42">
            <w:pPr>
              <w:tabs>
                <w:tab w:val="left" w:pos="720"/>
              </w:tabs>
              <w:snapToGrid w:val="0"/>
              <w:spacing w:line="276" w:lineRule="auto"/>
              <w:rPr>
                <w:rFonts w:ascii="宋体" w:hAnsi="宋体"/>
                <w:sz w:val="18"/>
                <w:szCs w:val="18"/>
                <w:highlight w:val="none"/>
              </w:rPr>
            </w:pPr>
            <w:r>
              <w:rPr>
                <w:rFonts w:hint="eastAsia" w:ascii="宋体" w:hAnsi="宋体"/>
                <w:sz w:val="18"/>
                <w:szCs w:val="18"/>
                <w:highlight w:val="none"/>
              </w:rPr>
              <w:t>投标文件格式：符合第六章“投标文件格式”的规定。</w:t>
            </w:r>
          </w:p>
        </w:tc>
        <w:tc>
          <w:tcPr>
            <w:tcW w:w="761" w:type="dxa"/>
            <w:vAlign w:val="center"/>
          </w:tcPr>
          <w:p w14:paraId="28A45682">
            <w:pPr>
              <w:tabs>
                <w:tab w:val="left" w:pos="720"/>
              </w:tabs>
              <w:snapToGrid w:val="0"/>
              <w:spacing w:line="276" w:lineRule="auto"/>
              <w:jc w:val="center"/>
              <w:rPr>
                <w:rFonts w:ascii="宋体" w:hAnsi="宋体"/>
                <w:sz w:val="18"/>
                <w:szCs w:val="18"/>
                <w:highlight w:val="none"/>
              </w:rPr>
            </w:pPr>
          </w:p>
        </w:tc>
        <w:tc>
          <w:tcPr>
            <w:tcW w:w="762" w:type="dxa"/>
            <w:vAlign w:val="center"/>
          </w:tcPr>
          <w:p w14:paraId="112BAD56">
            <w:pPr>
              <w:tabs>
                <w:tab w:val="left" w:pos="720"/>
              </w:tabs>
              <w:snapToGrid w:val="0"/>
              <w:spacing w:line="276" w:lineRule="auto"/>
              <w:jc w:val="center"/>
              <w:rPr>
                <w:rFonts w:ascii="宋体" w:hAnsi="宋体"/>
                <w:sz w:val="18"/>
                <w:szCs w:val="18"/>
                <w:highlight w:val="none"/>
              </w:rPr>
            </w:pPr>
          </w:p>
        </w:tc>
        <w:tc>
          <w:tcPr>
            <w:tcW w:w="762" w:type="dxa"/>
            <w:vAlign w:val="center"/>
          </w:tcPr>
          <w:p w14:paraId="69A29F11">
            <w:pPr>
              <w:tabs>
                <w:tab w:val="left" w:pos="720"/>
              </w:tabs>
              <w:snapToGrid w:val="0"/>
              <w:spacing w:line="276" w:lineRule="auto"/>
              <w:jc w:val="center"/>
              <w:rPr>
                <w:rFonts w:ascii="宋体" w:hAnsi="宋体"/>
                <w:sz w:val="18"/>
                <w:szCs w:val="18"/>
                <w:highlight w:val="none"/>
              </w:rPr>
            </w:pPr>
          </w:p>
        </w:tc>
        <w:tc>
          <w:tcPr>
            <w:tcW w:w="762" w:type="dxa"/>
            <w:vAlign w:val="center"/>
          </w:tcPr>
          <w:p w14:paraId="202E03DE">
            <w:pPr>
              <w:tabs>
                <w:tab w:val="left" w:pos="720"/>
              </w:tabs>
              <w:snapToGrid w:val="0"/>
              <w:spacing w:line="276" w:lineRule="auto"/>
              <w:jc w:val="center"/>
              <w:rPr>
                <w:rFonts w:ascii="宋体" w:hAnsi="宋体"/>
                <w:sz w:val="18"/>
                <w:szCs w:val="18"/>
                <w:highlight w:val="none"/>
              </w:rPr>
            </w:pPr>
          </w:p>
        </w:tc>
        <w:tc>
          <w:tcPr>
            <w:tcW w:w="762" w:type="dxa"/>
            <w:vAlign w:val="center"/>
          </w:tcPr>
          <w:p w14:paraId="3D510C88">
            <w:pPr>
              <w:tabs>
                <w:tab w:val="left" w:pos="720"/>
              </w:tabs>
              <w:snapToGrid w:val="0"/>
              <w:spacing w:line="276" w:lineRule="auto"/>
              <w:jc w:val="center"/>
              <w:rPr>
                <w:rFonts w:ascii="宋体" w:hAnsi="宋体"/>
                <w:sz w:val="18"/>
                <w:szCs w:val="18"/>
                <w:highlight w:val="none"/>
              </w:rPr>
            </w:pPr>
          </w:p>
        </w:tc>
      </w:tr>
      <w:tr w14:paraId="5BF8A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34" w:type="dxa"/>
            <w:vAlign w:val="center"/>
          </w:tcPr>
          <w:p w14:paraId="73C427E8">
            <w:pPr>
              <w:tabs>
                <w:tab w:val="left" w:pos="720"/>
              </w:tabs>
              <w:snapToGrid w:val="0"/>
              <w:spacing w:line="276" w:lineRule="auto"/>
              <w:jc w:val="center"/>
              <w:rPr>
                <w:rFonts w:ascii="宋体" w:hAnsi="宋体"/>
                <w:sz w:val="18"/>
                <w:szCs w:val="18"/>
                <w:highlight w:val="none"/>
              </w:rPr>
            </w:pPr>
            <w:r>
              <w:rPr>
                <w:rFonts w:hint="eastAsia" w:ascii="宋体" w:hAnsi="宋体"/>
                <w:sz w:val="18"/>
                <w:szCs w:val="18"/>
                <w:highlight w:val="none"/>
              </w:rPr>
              <w:t>4</w:t>
            </w:r>
          </w:p>
        </w:tc>
        <w:tc>
          <w:tcPr>
            <w:tcW w:w="4258" w:type="dxa"/>
            <w:vAlign w:val="center"/>
          </w:tcPr>
          <w:p w14:paraId="60DD004D">
            <w:pPr>
              <w:tabs>
                <w:tab w:val="left" w:pos="720"/>
              </w:tabs>
              <w:snapToGrid w:val="0"/>
              <w:spacing w:line="276" w:lineRule="auto"/>
              <w:rPr>
                <w:rFonts w:ascii="宋体" w:hAnsi="宋体"/>
                <w:sz w:val="18"/>
                <w:szCs w:val="18"/>
                <w:highlight w:val="none"/>
              </w:rPr>
            </w:pPr>
            <w:r>
              <w:rPr>
                <w:rFonts w:hint="eastAsia" w:ascii="宋体" w:hAnsi="宋体"/>
                <w:sz w:val="18"/>
                <w:szCs w:val="18"/>
                <w:highlight w:val="none"/>
              </w:rPr>
              <w:t>备选投标方案：不允许。</w:t>
            </w:r>
          </w:p>
        </w:tc>
        <w:tc>
          <w:tcPr>
            <w:tcW w:w="761" w:type="dxa"/>
            <w:vAlign w:val="center"/>
          </w:tcPr>
          <w:p w14:paraId="47DB388E">
            <w:pPr>
              <w:tabs>
                <w:tab w:val="left" w:pos="720"/>
              </w:tabs>
              <w:snapToGrid w:val="0"/>
              <w:spacing w:line="276" w:lineRule="auto"/>
              <w:jc w:val="center"/>
              <w:rPr>
                <w:rFonts w:ascii="宋体" w:hAnsi="宋体"/>
                <w:sz w:val="18"/>
                <w:szCs w:val="18"/>
                <w:highlight w:val="none"/>
              </w:rPr>
            </w:pPr>
          </w:p>
        </w:tc>
        <w:tc>
          <w:tcPr>
            <w:tcW w:w="762" w:type="dxa"/>
            <w:vAlign w:val="center"/>
          </w:tcPr>
          <w:p w14:paraId="0A18549E">
            <w:pPr>
              <w:tabs>
                <w:tab w:val="left" w:pos="720"/>
              </w:tabs>
              <w:snapToGrid w:val="0"/>
              <w:spacing w:line="276" w:lineRule="auto"/>
              <w:jc w:val="center"/>
              <w:rPr>
                <w:rFonts w:ascii="宋体" w:hAnsi="宋体"/>
                <w:sz w:val="18"/>
                <w:szCs w:val="18"/>
                <w:highlight w:val="none"/>
              </w:rPr>
            </w:pPr>
          </w:p>
        </w:tc>
        <w:tc>
          <w:tcPr>
            <w:tcW w:w="762" w:type="dxa"/>
            <w:vAlign w:val="center"/>
          </w:tcPr>
          <w:p w14:paraId="27473588">
            <w:pPr>
              <w:tabs>
                <w:tab w:val="left" w:pos="720"/>
              </w:tabs>
              <w:snapToGrid w:val="0"/>
              <w:spacing w:line="276" w:lineRule="auto"/>
              <w:jc w:val="center"/>
              <w:rPr>
                <w:rFonts w:ascii="宋体" w:hAnsi="宋体"/>
                <w:sz w:val="18"/>
                <w:szCs w:val="18"/>
                <w:highlight w:val="none"/>
              </w:rPr>
            </w:pPr>
          </w:p>
        </w:tc>
        <w:tc>
          <w:tcPr>
            <w:tcW w:w="762" w:type="dxa"/>
            <w:vAlign w:val="center"/>
          </w:tcPr>
          <w:p w14:paraId="55FB7742">
            <w:pPr>
              <w:tabs>
                <w:tab w:val="left" w:pos="720"/>
              </w:tabs>
              <w:snapToGrid w:val="0"/>
              <w:spacing w:line="276" w:lineRule="auto"/>
              <w:jc w:val="center"/>
              <w:rPr>
                <w:rFonts w:ascii="宋体" w:hAnsi="宋体"/>
                <w:sz w:val="18"/>
                <w:szCs w:val="18"/>
                <w:highlight w:val="none"/>
              </w:rPr>
            </w:pPr>
          </w:p>
        </w:tc>
        <w:tc>
          <w:tcPr>
            <w:tcW w:w="762" w:type="dxa"/>
            <w:vAlign w:val="center"/>
          </w:tcPr>
          <w:p w14:paraId="161C1D45">
            <w:pPr>
              <w:tabs>
                <w:tab w:val="left" w:pos="720"/>
              </w:tabs>
              <w:snapToGrid w:val="0"/>
              <w:spacing w:line="276" w:lineRule="auto"/>
              <w:jc w:val="center"/>
              <w:rPr>
                <w:rFonts w:ascii="宋体" w:hAnsi="宋体"/>
                <w:sz w:val="18"/>
                <w:szCs w:val="18"/>
                <w:highlight w:val="none"/>
              </w:rPr>
            </w:pPr>
          </w:p>
        </w:tc>
      </w:tr>
      <w:tr w14:paraId="48031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534" w:type="dxa"/>
            <w:vAlign w:val="center"/>
          </w:tcPr>
          <w:p w14:paraId="246789AB">
            <w:pPr>
              <w:tabs>
                <w:tab w:val="left" w:pos="720"/>
              </w:tabs>
              <w:snapToGrid w:val="0"/>
              <w:spacing w:line="276" w:lineRule="auto"/>
              <w:jc w:val="center"/>
              <w:rPr>
                <w:rFonts w:ascii="宋体" w:hAnsi="宋体"/>
                <w:sz w:val="18"/>
                <w:szCs w:val="18"/>
                <w:highlight w:val="none"/>
              </w:rPr>
            </w:pPr>
            <w:r>
              <w:rPr>
                <w:rFonts w:hint="eastAsia" w:ascii="宋体" w:hAnsi="宋体"/>
                <w:sz w:val="18"/>
                <w:szCs w:val="18"/>
                <w:highlight w:val="none"/>
              </w:rPr>
              <w:t>5</w:t>
            </w:r>
          </w:p>
        </w:tc>
        <w:tc>
          <w:tcPr>
            <w:tcW w:w="4258" w:type="dxa"/>
            <w:vAlign w:val="center"/>
          </w:tcPr>
          <w:p w14:paraId="050A2850">
            <w:pPr>
              <w:tabs>
                <w:tab w:val="left" w:pos="720"/>
              </w:tabs>
              <w:snapToGrid w:val="0"/>
              <w:spacing w:line="276" w:lineRule="auto"/>
              <w:rPr>
                <w:rFonts w:ascii="宋体" w:hAnsi="宋体"/>
                <w:sz w:val="18"/>
                <w:szCs w:val="18"/>
                <w:highlight w:val="none"/>
              </w:rPr>
            </w:pPr>
            <w:r>
              <w:rPr>
                <w:rFonts w:hint="eastAsia" w:ascii="宋体" w:hAnsi="宋体"/>
                <w:sz w:val="18"/>
                <w:szCs w:val="18"/>
                <w:highlight w:val="none"/>
              </w:rPr>
              <w:t>投标人机器码：不同投标人机器码相同（以</w:t>
            </w:r>
            <w:r>
              <w:rPr>
                <w:rFonts w:hint="eastAsia" w:ascii="宋体" w:hAnsi="宋体"/>
                <w:sz w:val="18"/>
                <w:szCs w:val="18"/>
                <w:highlight w:val="none"/>
                <w:lang w:eastAsia="zh-CN"/>
              </w:rPr>
              <w:t>广州交易集团有限公司（广州公共资源交易中心）</w:t>
            </w:r>
            <w:r>
              <w:rPr>
                <w:rFonts w:hint="eastAsia" w:ascii="宋体" w:hAnsi="宋体"/>
                <w:sz w:val="18"/>
                <w:szCs w:val="18"/>
                <w:highlight w:val="none"/>
              </w:rPr>
              <w:t>评标系统的检索信息为准），将被否决。</w:t>
            </w:r>
          </w:p>
        </w:tc>
        <w:tc>
          <w:tcPr>
            <w:tcW w:w="761" w:type="dxa"/>
            <w:vAlign w:val="center"/>
          </w:tcPr>
          <w:p w14:paraId="7860CDAB">
            <w:pPr>
              <w:tabs>
                <w:tab w:val="left" w:pos="720"/>
              </w:tabs>
              <w:snapToGrid w:val="0"/>
              <w:spacing w:line="276" w:lineRule="auto"/>
              <w:jc w:val="center"/>
              <w:rPr>
                <w:rFonts w:ascii="宋体" w:hAnsi="宋体"/>
                <w:sz w:val="18"/>
                <w:szCs w:val="18"/>
                <w:highlight w:val="none"/>
              </w:rPr>
            </w:pPr>
          </w:p>
        </w:tc>
        <w:tc>
          <w:tcPr>
            <w:tcW w:w="762" w:type="dxa"/>
            <w:vAlign w:val="center"/>
          </w:tcPr>
          <w:p w14:paraId="012D3194">
            <w:pPr>
              <w:tabs>
                <w:tab w:val="left" w:pos="720"/>
              </w:tabs>
              <w:snapToGrid w:val="0"/>
              <w:spacing w:line="276" w:lineRule="auto"/>
              <w:jc w:val="center"/>
              <w:rPr>
                <w:rFonts w:ascii="宋体" w:hAnsi="宋体"/>
                <w:sz w:val="18"/>
                <w:szCs w:val="18"/>
                <w:highlight w:val="none"/>
              </w:rPr>
            </w:pPr>
          </w:p>
        </w:tc>
        <w:tc>
          <w:tcPr>
            <w:tcW w:w="762" w:type="dxa"/>
            <w:vAlign w:val="center"/>
          </w:tcPr>
          <w:p w14:paraId="3E32E45C">
            <w:pPr>
              <w:tabs>
                <w:tab w:val="left" w:pos="720"/>
              </w:tabs>
              <w:snapToGrid w:val="0"/>
              <w:spacing w:line="276" w:lineRule="auto"/>
              <w:jc w:val="center"/>
              <w:rPr>
                <w:rFonts w:ascii="宋体" w:hAnsi="宋体"/>
                <w:sz w:val="18"/>
                <w:szCs w:val="18"/>
                <w:highlight w:val="none"/>
              </w:rPr>
            </w:pPr>
          </w:p>
        </w:tc>
        <w:tc>
          <w:tcPr>
            <w:tcW w:w="762" w:type="dxa"/>
            <w:vAlign w:val="center"/>
          </w:tcPr>
          <w:p w14:paraId="51A2C212">
            <w:pPr>
              <w:tabs>
                <w:tab w:val="left" w:pos="720"/>
              </w:tabs>
              <w:snapToGrid w:val="0"/>
              <w:spacing w:line="276" w:lineRule="auto"/>
              <w:jc w:val="center"/>
              <w:rPr>
                <w:rFonts w:ascii="宋体" w:hAnsi="宋体"/>
                <w:sz w:val="18"/>
                <w:szCs w:val="18"/>
                <w:highlight w:val="none"/>
              </w:rPr>
            </w:pPr>
          </w:p>
        </w:tc>
        <w:tc>
          <w:tcPr>
            <w:tcW w:w="762" w:type="dxa"/>
            <w:vAlign w:val="center"/>
          </w:tcPr>
          <w:p w14:paraId="591117D2">
            <w:pPr>
              <w:tabs>
                <w:tab w:val="left" w:pos="720"/>
              </w:tabs>
              <w:snapToGrid w:val="0"/>
              <w:spacing w:line="276" w:lineRule="auto"/>
              <w:jc w:val="center"/>
              <w:rPr>
                <w:rFonts w:ascii="宋体" w:hAnsi="宋体"/>
                <w:sz w:val="18"/>
                <w:szCs w:val="18"/>
                <w:highlight w:val="none"/>
              </w:rPr>
            </w:pPr>
          </w:p>
        </w:tc>
      </w:tr>
      <w:tr w14:paraId="7F567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534" w:type="dxa"/>
            <w:vAlign w:val="center"/>
          </w:tcPr>
          <w:p w14:paraId="0914C17C">
            <w:pPr>
              <w:tabs>
                <w:tab w:val="left" w:pos="720"/>
              </w:tabs>
              <w:snapToGrid w:val="0"/>
              <w:spacing w:line="276" w:lineRule="auto"/>
              <w:jc w:val="center"/>
              <w:rPr>
                <w:rFonts w:ascii="宋体" w:hAnsi="宋体"/>
                <w:sz w:val="18"/>
                <w:szCs w:val="18"/>
                <w:highlight w:val="none"/>
              </w:rPr>
            </w:pPr>
            <w:r>
              <w:rPr>
                <w:rFonts w:hint="eastAsia" w:ascii="宋体" w:hAnsi="宋体"/>
                <w:sz w:val="18"/>
                <w:szCs w:val="18"/>
                <w:highlight w:val="none"/>
              </w:rPr>
              <w:t>结论</w:t>
            </w:r>
          </w:p>
        </w:tc>
        <w:tc>
          <w:tcPr>
            <w:tcW w:w="4258" w:type="dxa"/>
            <w:vAlign w:val="center"/>
          </w:tcPr>
          <w:p w14:paraId="6EF2F2C4">
            <w:pPr>
              <w:tabs>
                <w:tab w:val="left" w:pos="720"/>
              </w:tabs>
              <w:snapToGrid w:val="0"/>
              <w:spacing w:line="276" w:lineRule="auto"/>
              <w:rPr>
                <w:rFonts w:ascii="宋体" w:hAnsi="宋体"/>
                <w:sz w:val="18"/>
                <w:szCs w:val="18"/>
                <w:highlight w:val="none"/>
              </w:rPr>
            </w:pPr>
            <w:r>
              <w:rPr>
                <w:rFonts w:hint="eastAsia" w:ascii="宋体" w:hAnsi="宋体"/>
                <w:sz w:val="18"/>
                <w:szCs w:val="18"/>
                <w:highlight w:val="none"/>
              </w:rPr>
              <w:t>是否通过并进入下一阶段评审</w:t>
            </w:r>
          </w:p>
        </w:tc>
        <w:tc>
          <w:tcPr>
            <w:tcW w:w="761" w:type="dxa"/>
            <w:vAlign w:val="center"/>
          </w:tcPr>
          <w:p w14:paraId="15CCC88B">
            <w:pPr>
              <w:tabs>
                <w:tab w:val="left" w:pos="720"/>
              </w:tabs>
              <w:snapToGrid w:val="0"/>
              <w:spacing w:line="276" w:lineRule="auto"/>
              <w:jc w:val="center"/>
              <w:rPr>
                <w:rFonts w:ascii="宋体" w:hAnsi="宋体"/>
                <w:sz w:val="18"/>
                <w:szCs w:val="18"/>
                <w:highlight w:val="none"/>
              </w:rPr>
            </w:pPr>
          </w:p>
        </w:tc>
        <w:tc>
          <w:tcPr>
            <w:tcW w:w="762" w:type="dxa"/>
            <w:vAlign w:val="center"/>
          </w:tcPr>
          <w:p w14:paraId="08DFD417">
            <w:pPr>
              <w:tabs>
                <w:tab w:val="left" w:pos="720"/>
              </w:tabs>
              <w:snapToGrid w:val="0"/>
              <w:spacing w:line="276" w:lineRule="auto"/>
              <w:jc w:val="center"/>
              <w:rPr>
                <w:rFonts w:ascii="宋体" w:hAnsi="宋体"/>
                <w:sz w:val="18"/>
                <w:szCs w:val="18"/>
                <w:highlight w:val="none"/>
              </w:rPr>
            </w:pPr>
          </w:p>
        </w:tc>
        <w:tc>
          <w:tcPr>
            <w:tcW w:w="762" w:type="dxa"/>
            <w:vAlign w:val="center"/>
          </w:tcPr>
          <w:p w14:paraId="17D580EF">
            <w:pPr>
              <w:tabs>
                <w:tab w:val="left" w:pos="720"/>
              </w:tabs>
              <w:snapToGrid w:val="0"/>
              <w:spacing w:line="276" w:lineRule="auto"/>
              <w:jc w:val="center"/>
              <w:rPr>
                <w:rFonts w:ascii="宋体" w:hAnsi="宋体"/>
                <w:sz w:val="18"/>
                <w:szCs w:val="18"/>
                <w:highlight w:val="none"/>
              </w:rPr>
            </w:pPr>
          </w:p>
        </w:tc>
        <w:tc>
          <w:tcPr>
            <w:tcW w:w="762" w:type="dxa"/>
            <w:vAlign w:val="center"/>
          </w:tcPr>
          <w:p w14:paraId="0A955632">
            <w:pPr>
              <w:tabs>
                <w:tab w:val="left" w:pos="720"/>
              </w:tabs>
              <w:snapToGrid w:val="0"/>
              <w:spacing w:line="276" w:lineRule="auto"/>
              <w:jc w:val="center"/>
              <w:rPr>
                <w:rFonts w:ascii="宋体" w:hAnsi="宋体"/>
                <w:sz w:val="18"/>
                <w:szCs w:val="18"/>
                <w:highlight w:val="none"/>
              </w:rPr>
            </w:pPr>
          </w:p>
        </w:tc>
        <w:tc>
          <w:tcPr>
            <w:tcW w:w="762" w:type="dxa"/>
            <w:vAlign w:val="center"/>
          </w:tcPr>
          <w:p w14:paraId="224669CD">
            <w:pPr>
              <w:tabs>
                <w:tab w:val="left" w:pos="720"/>
              </w:tabs>
              <w:snapToGrid w:val="0"/>
              <w:spacing w:line="276" w:lineRule="auto"/>
              <w:jc w:val="center"/>
              <w:rPr>
                <w:rFonts w:ascii="宋体" w:hAnsi="宋体"/>
                <w:sz w:val="18"/>
                <w:szCs w:val="18"/>
                <w:highlight w:val="none"/>
              </w:rPr>
            </w:pPr>
          </w:p>
        </w:tc>
      </w:tr>
    </w:tbl>
    <w:p w14:paraId="1E5F939F">
      <w:pPr>
        <w:rPr>
          <w:rFonts w:ascii="宋体" w:hAnsi="宋体"/>
          <w:sz w:val="18"/>
          <w:szCs w:val="18"/>
          <w:highlight w:val="none"/>
        </w:rPr>
      </w:pPr>
    </w:p>
    <w:p w14:paraId="54380043">
      <w:pPr>
        <w:tabs>
          <w:tab w:val="left" w:pos="720"/>
        </w:tabs>
        <w:snapToGrid w:val="0"/>
        <w:rPr>
          <w:rFonts w:ascii="宋体" w:hAnsi="宋体" w:cs="宋体"/>
          <w:sz w:val="18"/>
          <w:szCs w:val="18"/>
          <w:highlight w:val="none"/>
        </w:rPr>
      </w:pPr>
      <w:r>
        <w:rPr>
          <w:rFonts w:hint="eastAsia" w:ascii="宋体" w:hAnsi="宋体" w:cs="宋体"/>
          <w:sz w:val="18"/>
          <w:szCs w:val="18"/>
          <w:highlight w:val="none"/>
        </w:rPr>
        <w:t>备注：1、“是否通过并进入下一阶段评审”一栏应写“通过”“不通过”。</w:t>
      </w:r>
    </w:p>
    <w:p w14:paraId="6F2D4B11">
      <w:pPr>
        <w:tabs>
          <w:tab w:val="left" w:pos="720"/>
        </w:tabs>
        <w:snapToGrid w:val="0"/>
        <w:ind w:firstLine="540" w:firstLineChars="300"/>
        <w:rPr>
          <w:rFonts w:ascii="宋体" w:hAnsi="宋体" w:cs="宋体"/>
          <w:sz w:val="18"/>
          <w:szCs w:val="18"/>
          <w:highlight w:val="none"/>
        </w:rPr>
      </w:pPr>
      <w:r>
        <w:rPr>
          <w:rFonts w:hint="eastAsia" w:ascii="宋体" w:hAnsi="宋体" w:cs="宋体"/>
          <w:sz w:val="18"/>
          <w:szCs w:val="18"/>
          <w:highlight w:val="none"/>
        </w:rPr>
        <w:t>2、符合要求的打“√”，不符合的打“×”。</w:t>
      </w:r>
    </w:p>
    <w:p w14:paraId="367BE59D">
      <w:pPr>
        <w:tabs>
          <w:tab w:val="left" w:pos="720"/>
        </w:tabs>
        <w:snapToGrid w:val="0"/>
        <w:ind w:firstLine="540" w:firstLineChars="300"/>
        <w:rPr>
          <w:rFonts w:ascii="宋体" w:hAnsi="宋体" w:cs="宋体"/>
          <w:sz w:val="18"/>
          <w:szCs w:val="18"/>
          <w:highlight w:val="none"/>
        </w:rPr>
      </w:pPr>
      <w:r>
        <w:rPr>
          <w:rFonts w:hint="eastAsia" w:ascii="宋体" w:hAnsi="宋体" w:cs="宋体"/>
          <w:sz w:val="18"/>
          <w:szCs w:val="18"/>
          <w:highlight w:val="none"/>
        </w:rPr>
        <w:t>3、经评标委员会审核后，出现一个“×”的结论为“不通过”，即按废标处理。</w:t>
      </w:r>
    </w:p>
    <w:p w14:paraId="00D264DB">
      <w:pPr>
        <w:tabs>
          <w:tab w:val="left" w:pos="720"/>
        </w:tabs>
        <w:snapToGrid w:val="0"/>
        <w:ind w:firstLine="540" w:firstLineChars="300"/>
        <w:jc w:val="left"/>
        <w:rPr>
          <w:rFonts w:ascii="宋体" w:hAnsi="宋体" w:cs="宋体"/>
          <w:sz w:val="18"/>
          <w:szCs w:val="18"/>
          <w:highlight w:val="none"/>
        </w:rPr>
      </w:pPr>
      <w:r>
        <w:rPr>
          <w:rFonts w:hint="eastAsia" w:ascii="宋体" w:hAnsi="宋体" w:cs="宋体"/>
          <w:sz w:val="18"/>
          <w:szCs w:val="18"/>
          <w:highlight w:val="none"/>
        </w:rPr>
        <w:t>4、表中全部条件满足为“通过”，同意进入下一阶段评审。</w:t>
      </w:r>
    </w:p>
    <w:p w14:paraId="3C8824DD">
      <w:pPr>
        <w:tabs>
          <w:tab w:val="left" w:pos="720"/>
        </w:tabs>
        <w:snapToGrid w:val="0"/>
        <w:ind w:firstLine="540" w:firstLineChars="300"/>
        <w:jc w:val="left"/>
        <w:rPr>
          <w:highlight w:val="none"/>
        </w:rPr>
      </w:pPr>
      <w:r>
        <w:rPr>
          <w:rFonts w:hint="eastAsia" w:ascii="宋体" w:hAnsi="宋体" w:cs="宋体"/>
          <w:sz w:val="18"/>
          <w:szCs w:val="18"/>
          <w:highlight w:val="none"/>
        </w:rPr>
        <w:t>5、若评委意见不一致时，则按少数服从多数的原则，决定该投标人是否通过形式审查，进入下一阶段评审。</w:t>
      </w:r>
      <w:r>
        <w:rPr>
          <w:highlight w:val="none"/>
        </w:rPr>
        <w:br w:type="page"/>
      </w:r>
      <w:bookmarkStart w:id="113" w:name="_Toc103592022"/>
      <w:r>
        <w:rPr>
          <w:rFonts w:hint="eastAsia"/>
          <w:highlight w:val="none"/>
        </w:rPr>
        <w:t>附表二：资格评审表</w:t>
      </w:r>
      <w:bookmarkEnd w:id="113"/>
    </w:p>
    <w:p w14:paraId="07C4EFA3">
      <w:pPr>
        <w:spacing w:line="360" w:lineRule="auto"/>
        <w:jc w:val="center"/>
        <w:rPr>
          <w:rFonts w:ascii="宋体" w:hAnsi="宋体" w:cs="宋体"/>
          <w:sz w:val="28"/>
          <w:szCs w:val="28"/>
          <w:highlight w:val="none"/>
        </w:rPr>
      </w:pPr>
      <w:r>
        <w:rPr>
          <w:rFonts w:hint="eastAsia" w:ascii="宋体" w:hAnsi="宋体" w:cs="宋体"/>
          <w:sz w:val="28"/>
          <w:szCs w:val="28"/>
          <w:highlight w:val="none"/>
        </w:rPr>
        <w:t>资格评审表</w:t>
      </w:r>
    </w:p>
    <w:tbl>
      <w:tblPr>
        <w:tblStyle w:val="27"/>
        <w:tblpPr w:leftFromText="180" w:rightFromText="180" w:vertAnchor="text" w:horzAnchor="margin" w:tblpXSpec="center" w:tblpY="121"/>
        <w:tblOverlap w:val="never"/>
        <w:tblW w:w="94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5"/>
        <w:gridCol w:w="7487"/>
        <w:gridCol w:w="500"/>
        <w:gridCol w:w="433"/>
        <w:gridCol w:w="414"/>
      </w:tblGrid>
      <w:tr w14:paraId="0B38E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625" w:type="dxa"/>
            <w:vAlign w:val="center"/>
          </w:tcPr>
          <w:p w14:paraId="2D2CED18">
            <w:pPr>
              <w:tabs>
                <w:tab w:val="left" w:pos="720"/>
              </w:tabs>
              <w:snapToGrid w:val="0"/>
              <w:spacing w:line="276" w:lineRule="auto"/>
              <w:jc w:val="center"/>
              <w:rPr>
                <w:rFonts w:ascii="宋体" w:hAnsi="宋体"/>
                <w:sz w:val="18"/>
                <w:szCs w:val="18"/>
                <w:highlight w:val="none"/>
              </w:rPr>
            </w:pPr>
            <w:r>
              <w:rPr>
                <w:rFonts w:hint="eastAsia" w:ascii="宋体" w:hAnsi="宋体"/>
                <w:sz w:val="18"/>
                <w:szCs w:val="18"/>
                <w:highlight w:val="none"/>
              </w:rPr>
              <w:t>编号</w:t>
            </w:r>
          </w:p>
        </w:tc>
        <w:tc>
          <w:tcPr>
            <w:tcW w:w="7487" w:type="dxa"/>
            <w:tcBorders>
              <w:tl2br w:val="single" w:color="auto" w:sz="4" w:space="0"/>
            </w:tcBorders>
            <w:vAlign w:val="center"/>
          </w:tcPr>
          <w:p w14:paraId="40E8CF0E">
            <w:pPr>
              <w:tabs>
                <w:tab w:val="left" w:pos="720"/>
              </w:tabs>
              <w:snapToGrid w:val="0"/>
              <w:spacing w:line="276" w:lineRule="auto"/>
              <w:ind w:firstLine="5490" w:firstLineChars="3050"/>
              <w:rPr>
                <w:rFonts w:ascii="宋体" w:hAnsi="宋体"/>
                <w:sz w:val="18"/>
                <w:szCs w:val="18"/>
                <w:highlight w:val="none"/>
              </w:rPr>
            </w:pPr>
            <w:r>
              <w:rPr>
                <w:rFonts w:hint="eastAsia" w:ascii="宋体" w:hAnsi="宋体"/>
                <w:sz w:val="18"/>
                <w:szCs w:val="18"/>
                <w:highlight w:val="none"/>
              </w:rPr>
              <w:t>投标人名称</w:t>
            </w:r>
          </w:p>
          <w:p w14:paraId="30A45DE1">
            <w:pPr>
              <w:tabs>
                <w:tab w:val="left" w:pos="720"/>
              </w:tabs>
              <w:snapToGrid w:val="0"/>
              <w:spacing w:line="276" w:lineRule="auto"/>
              <w:rPr>
                <w:rFonts w:ascii="宋体" w:hAnsi="宋体"/>
                <w:sz w:val="18"/>
                <w:szCs w:val="18"/>
                <w:highlight w:val="none"/>
              </w:rPr>
            </w:pPr>
            <w:r>
              <w:rPr>
                <w:rFonts w:hint="eastAsia" w:ascii="宋体" w:hAnsi="宋体"/>
                <w:sz w:val="18"/>
                <w:szCs w:val="18"/>
                <w:highlight w:val="none"/>
              </w:rPr>
              <w:t>审查项目</w:t>
            </w:r>
          </w:p>
        </w:tc>
        <w:tc>
          <w:tcPr>
            <w:tcW w:w="500" w:type="dxa"/>
            <w:vAlign w:val="center"/>
          </w:tcPr>
          <w:p w14:paraId="3462C85A">
            <w:pPr>
              <w:tabs>
                <w:tab w:val="left" w:pos="720"/>
              </w:tabs>
              <w:snapToGrid w:val="0"/>
              <w:spacing w:line="276" w:lineRule="auto"/>
              <w:jc w:val="center"/>
              <w:rPr>
                <w:rFonts w:ascii="宋体" w:hAnsi="宋体"/>
                <w:sz w:val="18"/>
                <w:szCs w:val="18"/>
                <w:highlight w:val="none"/>
              </w:rPr>
            </w:pPr>
          </w:p>
        </w:tc>
        <w:tc>
          <w:tcPr>
            <w:tcW w:w="433" w:type="dxa"/>
            <w:vAlign w:val="center"/>
          </w:tcPr>
          <w:p w14:paraId="6C4CD7DD">
            <w:pPr>
              <w:tabs>
                <w:tab w:val="left" w:pos="720"/>
              </w:tabs>
              <w:snapToGrid w:val="0"/>
              <w:spacing w:line="276" w:lineRule="auto"/>
              <w:jc w:val="center"/>
              <w:rPr>
                <w:rFonts w:ascii="宋体" w:hAnsi="宋体"/>
                <w:sz w:val="18"/>
                <w:szCs w:val="18"/>
                <w:highlight w:val="none"/>
              </w:rPr>
            </w:pPr>
          </w:p>
        </w:tc>
        <w:tc>
          <w:tcPr>
            <w:tcW w:w="414" w:type="dxa"/>
            <w:vAlign w:val="center"/>
          </w:tcPr>
          <w:p w14:paraId="5BF15E28">
            <w:pPr>
              <w:tabs>
                <w:tab w:val="left" w:pos="720"/>
              </w:tabs>
              <w:snapToGrid w:val="0"/>
              <w:spacing w:line="276" w:lineRule="auto"/>
              <w:jc w:val="center"/>
              <w:rPr>
                <w:rFonts w:ascii="宋体" w:hAnsi="宋体"/>
                <w:sz w:val="18"/>
                <w:szCs w:val="18"/>
                <w:highlight w:val="none"/>
              </w:rPr>
            </w:pPr>
          </w:p>
        </w:tc>
      </w:tr>
      <w:tr w14:paraId="46E8C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625" w:type="dxa"/>
            <w:vAlign w:val="center"/>
          </w:tcPr>
          <w:p w14:paraId="5700724D">
            <w:pPr>
              <w:tabs>
                <w:tab w:val="left" w:pos="720"/>
              </w:tabs>
              <w:snapToGrid w:val="0"/>
              <w:spacing w:line="276" w:lineRule="auto"/>
              <w:jc w:val="center"/>
              <w:rPr>
                <w:rFonts w:ascii="宋体" w:hAnsi="宋体"/>
                <w:sz w:val="18"/>
                <w:szCs w:val="18"/>
                <w:highlight w:val="none"/>
              </w:rPr>
            </w:pPr>
            <w:r>
              <w:rPr>
                <w:rFonts w:hint="eastAsia" w:ascii="宋体" w:hAnsi="宋体"/>
                <w:sz w:val="18"/>
                <w:szCs w:val="18"/>
                <w:highlight w:val="none"/>
              </w:rPr>
              <w:t>1</w:t>
            </w:r>
          </w:p>
        </w:tc>
        <w:tc>
          <w:tcPr>
            <w:tcW w:w="7487" w:type="dxa"/>
            <w:vAlign w:val="center"/>
          </w:tcPr>
          <w:p w14:paraId="57F49374">
            <w:pPr>
              <w:tabs>
                <w:tab w:val="left" w:pos="720"/>
              </w:tabs>
              <w:snapToGrid w:val="0"/>
              <w:spacing w:line="276" w:lineRule="auto"/>
              <w:rPr>
                <w:rFonts w:ascii="宋体" w:hAnsi="宋体"/>
                <w:sz w:val="18"/>
                <w:szCs w:val="18"/>
                <w:highlight w:val="none"/>
              </w:rPr>
            </w:pPr>
            <w:r>
              <w:rPr>
                <w:rFonts w:hint="eastAsia" w:ascii="宋体" w:hAnsi="宋体"/>
                <w:sz w:val="18"/>
                <w:szCs w:val="18"/>
                <w:highlight w:val="none"/>
              </w:rPr>
              <w:t>投标人参加投标的意思表达清楚，投标人代表被授权有效。</w:t>
            </w:r>
          </w:p>
        </w:tc>
        <w:tc>
          <w:tcPr>
            <w:tcW w:w="500" w:type="dxa"/>
            <w:vAlign w:val="center"/>
          </w:tcPr>
          <w:p w14:paraId="56FA2737">
            <w:pPr>
              <w:tabs>
                <w:tab w:val="left" w:pos="720"/>
              </w:tabs>
              <w:snapToGrid w:val="0"/>
              <w:spacing w:line="276" w:lineRule="auto"/>
              <w:jc w:val="center"/>
              <w:rPr>
                <w:rFonts w:ascii="宋体" w:hAnsi="宋体"/>
                <w:sz w:val="18"/>
                <w:szCs w:val="18"/>
                <w:highlight w:val="none"/>
              </w:rPr>
            </w:pPr>
          </w:p>
        </w:tc>
        <w:tc>
          <w:tcPr>
            <w:tcW w:w="433" w:type="dxa"/>
            <w:vAlign w:val="center"/>
          </w:tcPr>
          <w:p w14:paraId="4EECDCB1">
            <w:pPr>
              <w:tabs>
                <w:tab w:val="left" w:pos="720"/>
              </w:tabs>
              <w:snapToGrid w:val="0"/>
              <w:spacing w:line="276" w:lineRule="auto"/>
              <w:jc w:val="center"/>
              <w:rPr>
                <w:rFonts w:ascii="宋体" w:hAnsi="宋体"/>
                <w:sz w:val="18"/>
                <w:szCs w:val="18"/>
                <w:highlight w:val="none"/>
              </w:rPr>
            </w:pPr>
          </w:p>
        </w:tc>
        <w:tc>
          <w:tcPr>
            <w:tcW w:w="414" w:type="dxa"/>
            <w:vAlign w:val="center"/>
          </w:tcPr>
          <w:p w14:paraId="13394262">
            <w:pPr>
              <w:tabs>
                <w:tab w:val="left" w:pos="720"/>
              </w:tabs>
              <w:snapToGrid w:val="0"/>
              <w:spacing w:line="276" w:lineRule="auto"/>
              <w:jc w:val="center"/>
              <w:rPr>
                <w:rFonts w:ascii="宋体" w:hAnsi="宋体"/>
                <w:sz w:val="18"/>
                <w:szCs w:val="18"/>
                <w:highlight w:val="none"/>
              </w:rPr>
            </w:pPr>
          </w:p>
        </w:tc>
      </w:tr>
      <w:tr w14:paraId="10BFB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625" w:type="dxa"/>
            <w:vAlign w:val="center"/>
          </w:tcPr>
          <w:p w14:paraId="70E31014">
            <w:pPr>
              <w:tabs>
                <w:tab w:val="left" w:pos="720"/>
              </w:tabs>
              <w:snapToGrid w:val="0"/>
              <w:spacing w:line="276" w:lineRule="auto"/>
              <w:jc w:val="center"/>
              <w:rPr>
                <w:rFonts w:ascii="宋体" w:hAnsi="宋体"/>
                <w:sz w:val="18"/>
                <w:szCs w:val="18"/>
                <w:highlight w:val="none"/>
              </w:rPr>
            </w:pPr>
            <w:r>
              <w:rPr>
                <w:rFonts w:hint="eastAsia" w:ascii="宋体" w:hAnsi="宋体"/>
                <w:sz w:val="18"/>
                <w:szCs w:val="18"/>
                <w:highlight w:val="none"/>
              </w:rPr>
              <w:t>2</w:t>
            </w:r>
          </w:p>
        </w:tc>
        <w:tc>
          <w:tcPr>
            <w:tcW w:w="7487" w:type="dxa"/>
            <w:vAlign w:val="center"/>
          </w:tcPr>
          <w:p w14:paraId="0F10D870">
            <w:pPr>
              <w:tabs>
                <w:tab w:val="left" w:pos="720"/>
              </w:tabs>
              <w:snapToGrid w:val="0"/>
              <w:spacing w:line="276" w:lineRule="auto"/>
              <w:rPr>
                <w:rFonts w:ascii="宋体" w:hAnsi="宋体"/>
                <w:sz w:val="18"/>
                <w:szCs w:val="18"/>
                <w:highlight w:val="none"/>
              </w:rPr>
            </w:pPr>
            <w:r>
              <w:rPr>
                <w:rFonts w:hint="eastAsia" w:ascii="宋体" w:hAnsi="宋体"/>
                <w:sz w:val="18"/>
                <w:szCs w:val="18"/>
                <w:highlight w:val="none"/>
              </w:rPr>
              <w:t>投标人（或联合体各成员）具有独立法人资格，持有事业单位登记管理部门核发的事业单位法人证书或工商行政（市场监督）管理部门核发的企业法人营业执照，且在营业期限内。</w:t>
            </w:r>
          </w:p>
        </w:tc>
        <w:tc>
          <w:tcPr>
            <w:tcW w:w="500" w:type="dxa"/>
            <w:vAlign w:val="center"/>
          </w:tcPr>
          <w:p w14:paraId="0DCD4FC1">
            <w:pPr>
              <w:tabs>
                <w:tab w:val="left" w:pos="720"/>
              </w:tabs>
              <w:snapToGrid w:val="0"/>
              <w:spacing w:line="276" w:lineRule="auto"/>
              <w:jc w:val="center"/>
              <w:rPr>
                <w:rFonts w:ascii="宋体" w:hAnsi="宋体"/>
                <w:sz w:val="18"/>
                <w:szCs w:val="18"/>
                <w:highlight w:val="none"/>
              </w:rPr>
            </w:pPr>
          </w:p>
        </w:tc>
        <w:tc>
          <w:tcPr>
            <w:tcW w:w="433" w:type="dxa"/>
            <w:vAlign w:val="center"/>
          </w:tcPr>
          <w:p w14:paraId="1354F3BB">
            <w:pPr>
              <w:tabs>
                <w:tab w:val="left" w:pos="720"/>
              </w:tabs>
              <w:snapToGrid w:val="0"/>
              <w:spacing w:line="276" w:lineRule="auto"/>
              <w:jc w:val="center"/>
              <w:rPr>
                <w:rFonts w:ascii="宋体" w:hAnsi="宋体"/>
                <w:sz w:val="18"/>
                <w:szCs w:val="18"/>
                <w:highlight w:val="none"/>
              </w:rPr>
            </w:pPr>
          </w:p>
        </w:tc>
        <w:tc>
          <w:tcPr>
            <w:tcW w:w="414" w:type="dxa"/>
            <w:vAlign w:val="center"/>
          </w:tcPr>
          <w:p w14:paraId="24D99361">
            <w:pPr>
              <w:tabs>
                <w:tab w:val="left" w:pos="720"/>
              </w:tabs>
              <w:snapToGrid w:val="0"/>
              <w:spacing w:line="276" w:lineRule="auto"/>
              <w:jc w:val="center"/>
              <w:rPr>
                <w:rFonts w:ascii="宋体" w:hAnsi="宋体"/>
                <w:sz w:val="18"/>
                <w:szCs w:val="18"/>
                <w:highlight w:val="none"/>
              </w:rPr>
            </w:pPr>
          </w:p>
        </w:tc>
      </w:tr>
      <w:tr w14:paraId="4B842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625" w:type="dxa"/>
            <w:vAlign w:val="center"/>
          </w:tcPr>
          <w:p w14:paraId="181614B6">
            <w:pPr>
              <w:tabs>
                <w:tab w:val="left" w:pos="720"/>
              </w:tabs>
              <w:snapToGrid w:val="0"/>
              <w:spacing w:line="276" w:lineRule="auto"/>
              <w:jc w:val="center"/>
              <w:rPr>
                <w:rFonts w:ascii="宋体" w:hAnsi="宋体"/>
                <w:sz w:val="18"/>
                <w:szCs w:val="18"/>
                <w:highlight w:val="none"/>
              </w:rPr>
            </w:pPr>
            <w:r>
              <w:rPr>
                <w:rFonts w:hint="eastAsia" w:ascii="宋体" w:hAnsi="宋体"/>
                <w:sz w:val="18"/>
                <w:szCs w:val="18"/>
                <w:highlight w:val="none"/>
              </w:rPr>
              <w:t>3</w:t>
            </w:r>
          </w:p>
        </w:tc>
        <w:tc>
          <w:tcPr>
            <w:tcW w:w="7487" w:type="dxa"/>
            <w:vAlign w:val="center"/>
          </w:tcPr>
          <w:p w14:paraId="6803FA2A">
            <w:pPr>
              <w:tabs>
                <w:tab w:val="left" w:pos="720"/>
              </w:tabs>
              <w:snapToGrid w:val="0"/>
              <w:spacing w:line="276" w:lineRule="auto"/>
              <w:rPr>
                <w:rFonts w:ascii="宋体" w:hAnsi="宋体"/>
                <w:sz w:val="18"/>
                <w:szCs w:val="18"/>
                <w:highlight w:val="none"/>
              </w:rPr>
            </w:pPr>
            <w:r>
              <w:rPr>
                <w:rFonts w:hint="eastAsia" w:ascii="宋体" w:hAnsi="宋体"/>
                <w:sz w:val="18"/>
                <w:szCs w:val="18"/>
                <w:highlight w:val="none"/>
              </w:rPr>
              <w:t>投标人（或联合体）具备有效的建设行政主管部门颁发的建设工程质量检测机构资质证书（检测范围覆盖地基基础工程检测、主体结构工程现场检测、钢结构工程检测、见证取样检测），或根据《住房和城乡建设部关于印发《建设工程质量检测机构资质标准》的通知》（建质规〔2023〕1号，以下简称新标准）具有有效的建设行政主管部门颁发的建设工程质量检测机构综合资质证书或专项资质证书（专项资质证书包括：建筑材料及构配件、主体结构及装饰装修、钢结构、地基基础、建筑节能、建筑幕墙）。</w:t>
            </w:r>
          </w:p>
        </w:tc>
        <w:tc>
          <w:tcPr>
            <w:tcW w:w="500" w:type="dxa"/>
            <w:vAlign w:val="center"/>
          </w:tcPr>
          <w:p w14:paraId="7FAC055A">
            <w:pPr>
              <w:tabs>
                <w:tab w:val="left" w:pos="720"/>
              </w:tabs>
              <w:snapToGrid w:val="0"/>
              <w:spacing w:line="276" w:lineRule="auto"/>
              <w:jc w:val="center"/>
              <w:rPr>
                <w:rFonts w:ascii="宋体" w:hAnsi="宋体"/>
                <w:sz w:val="18"/>
                <w:szCs w:val="18"/>
                <w:highlight w:val="none"/>
              </w:rPr>
            </w:pPr>
          </w:p>
        </w:tc>
        <w:tc>
          <w:tcPr>
            <w:tcW w:w="433" w:type="dxa"/>
            <w:vAlign w:val="center"/>
          </w:tcPr>
          <w:p w14:paraId="00C2EE4E">
            <w:pPr>
              <w:tabs>
                <w:tab w:val="left" w:pos="720"/>
              </w:tabs>
              <w:snapToGrid w:val="0"/>
              <w:spacing w:line="276" w:lineRule="auto"/>
              <w:jc w:val="center"/>
              <w:rPr>
                <w:rFonts w:ascii="宋体" w:hAnsi="宋体"/>
                <w:sz w:val="18"/>
                <w:szCs w:val="18"/>
                <w:highlight w:val="none"/>
              </w:rPr>
            </w:pPr>
          </w:p>
        </w:tc>
        <w:tc>
          <w:tcPr>
            <w:tcW w:w="414" w:type="dxa"/>
            <w:vAlign w:val="center"/>
          </w:tcPr>
          <w:p w14:paraId="7E97BAD8">
            <w:pPr>
              <w:tabs>
                <w:tab w:val="left" w:pos="720"/>
              </w:tabs>
              <w:snapToGrid w:val="0"/>
              <w:spacing w:line="276" w:lineRule="auto"/>
              <w:jc w:val="center"/>
              <w:rPr>
                <w:rFonts w:ascii="宋体" w:hAnsi="宋体"/>
                <w:sz w:val="18"/>
                <w:szCs w:val="18"/>
                <w:highlight w:val="none"/>
              </w:rPr>
            </w:pPr>
          </w:p>
        </w:tc>
      </w:tr>
      <w:tr w14:paraId="11275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jc w:val="center"/>
        </w:trPr>
        <w:tc>
          <w:tcPr>
            <w:tcW w:w="625" w:type="dxa"/>
            <w:vAlign w:val="center"/>
          </w:tcPr>
          <w:p w14:paraId="4C5B0FB6">
            <w:pPr>
              <w:tabs>
                <w:tab w:val="left" w:pos="720"/>
              </w:tabs>
              <w:snapToGrid w:val="0"/>
              <w:spacing w:line="276" w:lineRule="auto"/>
              <w:jc w:val="center"/>
              <w:rPr>
                <w:rFonts w:ascii="宋体" w:hAnsi="宋体"/>
                <w:sz w:val="18"/>
                <w:szCs w:val="18"/>
                <w:highlight w:val="none"/>
              </w:rPr>
            </w:pPr>
            <w:r>
              <w:rPr>
                <w:rFonts w:hint="eastAsia" w:ascii="宋体" w:hAnsi="宋体"/>
                <w:sz w:val="18"/>
                <w:szCs w:val="18"/>
                <w:highlight w:val="none"/>
              </w:rPr>
              <w:t>4</w:t>
            </w:r>
          </w:p>
        </w:tc>
        <w:tc>
          <w:tcPr>
            <w:tcW w:w="7487" w:type="dxa"/>
            <w:vAlign w:val="center"/>
          </w:tcPr>
          <w:p w14:paraId="06E23B00">
            <w:pPr>
              <w:tabs>
                <w:tab w:val="left" w:pos="720"/>
              </w:tabs>
              <w:snapToGrid w:val="0"/>
              <w:spacing w:line="276" w:lineRule="auto"/>
              <w:rPr>
                <w:rFonts w:ascii="宋体" w:hAnsi="宋体"/>
                <w:sz w:val="18"/>
                <w:szCs w:val="18"/>
                <w:highlight w:val="none"/>
              </w:rPr>
            </w:pPr>
            <w:r>
              <w:rPr>
                <w:rFonts w:hint="eastAsia" w:ascii="宋体" w:hAnsi="宋体"/>
                <w:sz w:val="18"/>
                <w:szCs w:val="18"/>
                <w:highlight w:val="none"/>
              </w:rPr>
              <w:t>投标人（或联合体）具有质量技术监督部门颁发的CMA计量认证合格证书或CMA检验检测机构资质认定证书（证书附表的认证范围覆盖招标主要内容：地基基础工程检测、主体结构工程现场检测、钢结构工程检测、见证取样检测、道路检测、节能检测、环境检测、智能化检测等），且证书在有效期内。如投标人CMA计量认证合格证书或CMA检验检测机构资质认定证书中的检测项目与上述名称不同，但表达的意思一致也视为满足该项条件。</w:t>
            </w:r>
          </w:p>
        </w:tc>
        <w:tc>
          <w:tcPr>
            <w:tcW w:w="500" w:type="dxa"/>
            <w:vAlign w:val="center"/>
          </w:tcPr>
          <w:p w14:paraId="479A3E20">
            <w:pPr>
              <w:tabs>
                <w:tab w:val="left" w:pos="720"/>
              </w:tabs>
              <w:snapToGrid w:val="0"/>
              <w:spacing w:line="276" w:lineRule="auto"/>
              <w:jc w:val="center"/>
              <w:rPr>
                <w:rFonts w:ascii="宋体" w:hAnsi="宋体"/>
                <w:sz w:val="18"/>
                <w:szCs w:val="18"/>
                <w:highlight w:val="none"/>
              </w:rPr>
            </w:pPr>
          </w:p>
        </w:tc>
        <w:tc>
          <w:tcPr>
            <w:tcW w:w="433" w:type="dxa"/>
            <w:vAlign w:val="center"/>
          </w:tcPr>
          <w:p w14:paraId="1279639D">
            <w:pPr>
              <w:tabs>
                <w:tab w:val="left" w:pos="720"/>
              </w:tabs>
              <w:snapToGrid w:val="0"/>
              <w:spacing w:line="276" w:lineRule="auto"/>
              <w:jc w:val="center"/>
              <w:rPr>
                <w:rFonts w:ascii="宋体" w:hAnsi="宋体"/>
                <w:sz w:val="18"/>
                <w:szCs w:val="18"/>
                <w:highlight w:val="none"/>
              </w:rPr>
            </w:pPr>
          </w:p>
        </w:tc>
        <w:tc>
          <w:tcPr>
            <w:tcW w:w="414" w:type="dxa"/>
            <w:vAlign w:val="center"/>
          </w:tcPr>
          <w:p w14:paraId="74945911">
            <w:pPr>
              <w:tabs>
                <w:tab w:val="left" w:pos="720"/>
              </w:tabs>
              <w:snapToGrid w:val="0"/>
              <w:spacing w:line="276" w:lineRule="auto"/>
              <w:jc w:val="center"/>
              <w:rPr>
                <w:rFonts w:ascii="宋体" w:hAnsi="宋体"/>
                <w:sz w:val="18"/>
                <w:szCs w:val="18"/>
                <w:highlight w:val="none"/>
              </w:rPr>
            </w:pPr>
          </w:p>
        </w:tc>
      </w:tr>
      <w:tr w14:paraId="47C39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625" w:type="dxa"/>
            <w:vAlign w:val="center"/>
          </w:tcPr>
          <w:p w14:paraId="2E8D9F69">
            <w:pPr>
              <w:tabs>
                <w:tab w:val="left" w:pos="720"/>
              </w:tabs>
              <w:snapToGrid w:val="0"/>
              <w:spacing w:line="276" w:lineRule="auto"/>
              <w:jc w:val="center"/>
              <w:rPr>
                <w:rFonts w:ascii="宋体" w:hAnsi="宋体"/>
                <w:sz w:val="18"/>
                <w:szCs w:val="18"/>
                <w:highlight w:val="none"/>
              </w:rPr>
            </w:pPr>
            <w:r>
              <w:rPr>
                <w:rFonts w:hint="eastAsia" w:ascii="宋体" w:hAnsi="宋体"/>
                <w:sz w:val="18"/>
                <w:szCs w:val="18"/>
                <w:highlight w:val="none"/>
              </w:rPr>
              <w:t>5</w:t>
            </w:r>
          </w:p>
        </w:tc>
        <w:tc>
          <w:tcPr>
            <w:tcW w:w="7487" w:type="dxa"/>
            <w:vAlign w:val="center"/>
          </w:tcPr>
          <w:p w14:paraId="6003E3A4">
            <w:pPr>
              <w:tabs>
                <w:tab w:val="left" w:pos="720"/>
              </w:tabs>
              <w:snapToGrid w:val="0"/>
              <w:spacing w:line="276" w:lineRule="auto"/>
              <w:rPr>
                <w:rFonts w:ascii="宋体" w:hAnsi="宋体"/>
                <w:sz w:val="18"/>
                <w:szCs w:val="18"/>
                <w:highlight w:val="none"/>
              </w:rPr>
            </w:pPr>
            <w:r>
              <w:rPr>
                <w:rFonts w:hint="eastAsia" w:ascii="宋体" w:hAnsi="宋体"/>
                <w:sz w:val="18"/>
                <w:szCs w:val="18"/>
                <w:highlight w:val="none"/>
              </w:rPr>
              <w:t>投标人（或联合体主办方）拟委派项目负责人要求具备工程类相关专业工程师或以上职称。</w:t>
            </w:r>
          </w:p>
        </w:tc>
        <w:tc>
          <w:tcPr>
            <w:tcW w:w="500" w:type="dxa"/>
            <w:vAlign w:val="center"/>
          </w:tcPr>
          <w:p w14:paraId="3F6DAF6F">
            <w:pPr>
              <w:tabs>
                <w:tab w:val="left" w:pos="720"/>
              </w:tabs>
              <w:snapToGrid w:val="0"/>
              <w:spacing w:line="276" w:lineRule="auto"/>
              <w:jc w:val="center"/>
              <w:rPr>
                <w:rFonts w:ascii="宋体" w:hAnsi="宋体"/>
                <w:sz w:val="18"/>
                <w:szCs w:val="18"/>
                <w:highlight w:val="none"/>
              </w:rPr>
            </w:pPr>
          </w:p>
        </w:tc>
        <w:tc>
          <w:tcPr>
            <w:tcW w:w="433" w:type="dxa"/>
            <w:vAlign w:val="center"/>
          </w:tcPr>
          <w:p w14:paraId="37894D9C">
            <w:pPr>
              <w:tabs>
                <w:tab w:val="left" w:pos="720"/>
              </w:tabs>
              <w:snapToGrid w:val="0"/>
              <w:spacing w:line="276" w:lineRule="auto"/>
              <w:jc w:val="center"/>
              <w:rPr>
                <w:rFonts w:ascii="宋体" w:hAnsi="宋体"/>
                <w:sz w:val="18"/>
                <w:szCs w:val="18"/>
                <w:highlight w:val="none"/>
              </w:rPr>
            </w:pPr>
          </w:p>
        </w:tc>
        <w:tc>
          <w:tcPr>
            <w:tcW w:w="414" w:type="dxa"/>
            <w:vAlign w:val="center"/>
          </w:tcPr>
          <w:p w14:paraId="1E936BD3">
            <w:pPr>
              <w:tabs>
                <w:tab w:val="left" w:pos="720"/>
              </w:tabs>
              <w:snapToGrid w:val="0"/>
              <w:spacing w:line="276" w:lineRule="auto"/>
              <w:jc w:val="center"/>
              <w:rPr>
                <w:rFonts w:ascii="宋体" w:hAnsi="宋体"/>
                <w:sz w:val="18"/>
                <w:szCs w:val="18"/>
                <w:highlight w:val="none"/>
              </w:rPr>
            </w:pPr>
          </w:p>
        </w:tc>
      </w:tr>
      <w:tr w14:paraId="130CD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25" w:type="dxa"/>
            <w:vAlign w:val="center"/>
          </w:tcPr>
          <w:p w14:paraId="62A1E158">
            <w:pPr>
              <w:tabs>
                <w:tab w:val="left" w:pos="720"/>
              </w:tabs>
              <w:snapToGrid w:val="0"/>
              <w:spacing w:line="276" w:lineRule="auto"/>
              <w:jc w:val="center"/>
              <w:rPr>
                <w:rFonts w:ascii="宋体" w:hAnsi="宋体"/>
                <w:sz w:val="18"/>
                <w:szCs w:val="18"/>
                <w:highlight w:val="none"/>
              </w:rPr>
            </w:pPr>
            <w:r>
              <w:rPr>
                <w:rFonts w:hint="eastAsia" w:ascii="宋体" w:hAnsi="宋体"/>
                <w:sz w:val="18"/>
                <w:szCs w:val="18"/>
                <w:highlight w:val="none"/>
              </w:rPr>
              <w:t>6</w:t>
            </w:r>
          </w:p>
        </w:tc>
        <w:tc>
          <w:tcPr>
            <w:tcW w:w="7487" w:type="dxa"/>
            <w:vAlign w:val="center"/>
          </w:tcPr>
          <w:p w14:paraId="2F2A8970">
            <w:pPr>
              <w:tabs>
                <w:tab w:val="left" w:pos="720"/>
              </w:tabs>
              <w:snapToGrid w:val="0"/>
              <w:spacing w:line="276" w:lineRule="auto"/>
              <w:rPr>
                <w:rFonts w:ascii="宋体" w:hAnsi="宋体"/>
                <w:sz w:val="18"/>
                <w:szCs w:val="18"/>
                <w:highlight w:val="none"/>
              </w:rPr>
            </w:pPr>
            <w:r>
              <w:rPr>
                <w:rFonts w:hint="eastAsia" w:ascii="宋体" w:hAnsi="宋体"/>
                <w:sz w:val="18"/>
                <w:szCs w:val="18"/>
                <w:highlight w:val="none"/>
              </w:rPr>
              <w:t>投标登记前，投标人（或联合体各方）须在广州市住房和城乡建设局建立企业信用档案及拟担任项目负责人须是本企业（或联合体主办方）信用档案中的在册人员。（信用档案办理详见《广州市住建行业信用管理平台检测企业信息录入指引》</w:t>
            </w:r>
          </w:p>
          <w:p w14:paraId="0B078057">
            <w:pPr>
              <w:tabs>
                <w:tab w:val="left" w:pos="720"/>
              </w:tabs>
              <w:snapToGrid w:val="0"/>
              <w:spacing w:line="276" w:lineRule="auto"/>
              <w:rPr>
                <w:rFonts w:ascii="宋体" w:hAnsi="宋体"/>
                <w:sz w:val="18"/>
                <w:szCs w:val="18"/>
                <w:highlight w:val="none"/>
              </w:rPr>
            </w:pPr>
            <w:r>
              <w:rPr>
                <w:rFonts w:hint="eastAsia" w:ascii="宋体" w:hAnsi="宋体"/>
                <w:sz w:val="18"/>
                <w:szCs w:val="18"/>
                <w:highlight w:val="none"/>
              </w:rPr>
              <w:t>http://zfcj.gz.gov.cn/zwgk/zsdwxxgkzl/gzsjzyglfwzx/bszy/content/post_8077190.html）</w:t>
            </w:r>
          </w:p>
        </w:tc>
        <w:tc>
          <w:tcPr>
            <w:tcW w:w="500" w:type="dxa"/>
            <w:vAlign w:val="center"/>
          </w:tcPr>
          <w:p w14:paraId="7237F536">
            <w:pPr>
              <w:tabs>
                <w:tab w:val="left" w:pos="720"/>
              </w:tabs>
              <w:snapToGrid w:val="0"/>
              <w:spacing w:line="276" w:lineRule="auto"/>
              <w:jc w:val="center"/>
              <w:rPr>
                <w:rFonts w:ascii="宋体" w:hAnsi="宋体"/>
                <w:sz w:val="18"/>
                <w:szCs w:val="18"/>
                <w:highlight w:val="none"/>
              </w:rPr>
            </w:pPr>
          </w:p>
        </w:tc>
        <w:tc>
          <w:tcPr>
            <w:tcW w:w="433" w:type="dxa"/>
            <w:vAlign w:val="center"/>
          </w:tcPr>
          <w:p w14:paraId="6904E12D">
            <w:pPr>
              <w:tabs>
                <w:tab w:val="left" w:pos="720"/>
              </w:tabs>
              <w:snapToGrid w:val="0"/>
              <w:spacing w:line="276" w:lineRule="auto"/>
              <w:jc w:val="center"/>
              <w:rPr>
                <w:rFonts w:ascii="宋体" w:hAnsi="宋体"/>
                <w:sz w:val="18"/>
                <w:szCs w:val="18"/>
                <w:highlight w:val="none"/>
              </w:rPr>
            </w:pPr>
          </w:p>
        </w:tc>
        <w:tc>
          <w:tcPr>
            <w:tcW w:w="414" w:type="dxa"/>
            <w:vAlign w:val="center"/>
          </w:tcPr>
          <w:p w14:paraId="03C254EA">
            <w:pPr>
              <w:tabs>
                <w:tab w:val="left" w:pos="720"/>
              </w:tabs>
              <w:snapToGrid w:val="0"/>
              <w:spacing w:line="276" w:lineRule="auto"/>
              <w:jc w:val="center"/>
              <w:rPr>
                <w:rFonts w:ascii="宋体" w:hAnsi="宋体"/>
                <w:sz w:val="18"/>
                <w:szCs w:val="18"/>
                <w:highlight w:val="none"/>
              </w:rPr>
            </w:pPr>
          </w:p>
        </w:tc>
      </w:tr>
      <w:tr w14:paraId="76E88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25" w:type="dxa"/>
            <w:vAlign w:val="center"/>
          </w:tcPr>
          <w:p w14:paraId="3E3DDB19">
            <w:pPr>
              <w:tabs>
                <w:tab w:val="left" w:pos="720"/>
              </w:tabs>
              <w:snapToGrid w:val="0"/>
              <w:spacing w:line="276" w:lineRule="auto"/>
              <w:jc w:val="center"/>
              <w:rPr>
                <w:rFonts w:ascii="宋体" w:hAnsi="宋体"/>
                <w:sz w:val="18"/>
                <w:szCs w:val="18"/>
                <w:highlight w:val="none"/>
              </w:rPr>
            </w:pPr>
            <w:r>
              <w:rPr>
                <w:rFonts w:hint="eastAsia" w:ascii="宋体" w:hAnsi="宋体"/>
                <w:sz w:val="18"/>
                <w:szCs w:val="18"/>
                <w:highlight w:val="none"/>
              </w:rPr>
              <w:t>7</w:t>
            </w:r>
          </w:p>
        </w:tc>
        <w:tc>
          <w:tcPr>
            <w:tcW w:w="7487" w:type="dxa"/>
            <w:vAlign w:val="center"/>
          </w:tcPr>
          <w:p w14:paraId="7FE21094">
            <w:pPr>
              <w:tabs>
                <w:tab w:val="left" w:pos="720"/>
              </w:tabs>
              <w:snapToGrid w:val="0"/>
              <w:spacing w:line="276" w:lineRule="auto"/>
              <w:rPr>
                <w:rFonts w:ascii="宋体" w:hAnsi="宋体"/>
                <w:sz w:val="18"/>
                <w:szCs w:val="18"/>
                <w:highlight w:val="none"/>
              </w:rPr>
            </w:pPr>
            <w:r>
              <w:rPr>
                <w:rFonts w:hint="eastAsia" w:ascii="宋体" w:hAnsi="宋体"/>
                <w:sz w:val="18"/>
                <w:szCs w:val="18"/>
                <w:highlight w:val="none"/>
              </w:rPr>
              <w:t>投标人（或联合体主办方）出具按照招标文件要求的格式签署盖章的《投标申请人声明》（格式见招标文件第六章）。</w:t>
            </w:r>
          </w:p>
        </w:tc>
        <w:tc>
          <w:tcPr>
            <w:tcW w:w="500" w:type="dxa"/>
            <w:vAlign w:val="center"/>
          </w:tcPr>
          <w:p w14:paraId="6F920B22">
            <w:pPr>
              <w:tabs>
                <w:tab w:val="left" w:pos="720"/>
              </w:tabs>
              <w:snapToGrid w:val="0"/>
              <w:spacing w:line="276" w:lineRule="auto"/>
              <w:jc w:val="center"/>
              <w:rPr>
                <w:rFonts w:ascii="宋体" w:hAnsi="宋体"/>
                <w:sz w:val="18"/>
                <w:szCs w:val="18"/>
                <w:highlight w:val="none"/>
              </w:rPr>
            </w:pPr>
          </w:p>
        </w:tc>
        <w:tc>
          <w:tcPr>
            <w:tcW w:w="433" w:type="dxa"/>
            <w:vAlign w:val="center"/>
          </w:tcPr>
          <w:p w14:paraId="0FBF8071">
            <w:pPr>
              <w:tabs>
                <w:tab w:val="left" w:pos="720"/>
              </w:tabs>
              <w:snapToGrid w:val="0"/>
              <w:spacing w:line="276" w:lineRule="auto"/>
              <w:jc w:val="center"/>
              <w:rPr>
                <w:rFonts w:ascii="宋体" w:hAnsi="宋体"/>
                <w:sz w:val="18"/>
                <w:szCs w:val="18"/>
                <w:highlight w:val="none"/>
              </w:rPr>
            </w:pPr>
          </w:p>
        </w:tc>
        <w:tc>
          <w:tcPr>
            <w:tcW w:w="414" w:type="dxa"/>
            <w:vAlign w:val="center"/>
          </w:tcPr>
          <w:p w14:paraId="690FBB62">
            <w:pPr>
              <w:tabs>
                <w:tab w:val="left" w:pos="720"/>
              </w:tabs>
              <w:snapToGrid w:val="0"/>
              <w:spacing w:line="276" w:lineRule="auto"/>
              <w:jc w:val="center"/>
              <w:rPr>
                <w:rFonts w:ascii="宋体" w:hAnsi="宋体"/>
                <w:sz w:val="18"/>
                <w:szCs w:val="18"/>
                <w:highlight w:val="none"/>
              </w:rPr>
            </w:pPr>
          </w:p>
        </w:tc>
      </w:tr>
      <w:tr w14:paraId="4EE89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625" w:type="dxa"/>
            <w:vAlign w:val="center"/>
          </w:tcPr>
          <w:p w14:paraId="78E43CF9">
            <w:pPr>
              <w:tabs>
                <w:tab w:val="left" w:pos="720"/>
              </w:tabs>
              <w:snapToGrid w:val="0"/>
              <w:spacing w:line="276" w:lineRule="auto"/>
              <w:jc w:val="center"/>
              <w:rPr>
                <w:rFonts w:ascii="宋体" w:hAnsi="宋体"/>
                <w:sz w:val="18"/>
                <w:szCs w:val="18"/>
                <w:highlight w:val="none"/>
              </w:rPr>
            </w:pPr>
            <w:r>
              <w:rPr>
                <w:rFonts w:hint="eastAsia" w:ascii="宋体" w:hAnsi="宋体"/>
                <w:sz w:val="18"/>
                <w:szCs w:val="18"/>
                <w:highlight w:val="none"/>
              </w:rPr>
              <w:t>8</w:t>
            </w:r>
          </w:p>
        </w:tc>
        <w:tc>
          <w:tcPr>
            <w:tcW w:w="7487" w:type="dxa"/>
            <w:vAlign w:val="center"/>
          </w:tcPr>
          <w:p w14:paraId="2C9E6297">
            <w:pPr>
              <w:tabs>
                <w:tab w:val="left" w:pos="720"/>
              </w:tabs>
              <w:snapToGrid w:val="0"/>
              <w:spacing w:line="276" w:lineRule="auto"/>
              <w:rPr>
                <w:rFonts w:ascii="宋体" w:hAnsi="宋体"/>
                <w:sz w:val="18"/>
                <w:szCs w:val="18"/>
                <w:highlight w:val="none"/>
              </w:rPr>
            </w:pPr>
            <w:r>
              <w:rPr>
                <w:rFonts w:hint="eastAsia" w:ascii="宋体" w:hAnsi="宋体"/>
                <w:sz w:val="18"/>
                <w:szCs w:val="18"/>
                <w:highlight w:val="none"/>
              </w:rPr>
              <w:t>投标人（或联合体各成员）近二年（从202</w:t>
            </w:r>
            <w:r>
              <w:rPr>
                <w:rFonts w:hint="eastAsia" w:ascii="宋体" w:hAnsi="宋体"/>
                <w:sz w:val="18"/>
                <w:szCs w:val="18"/>
                <w:highlight w:val="none"/>
                <w:lang w:val="en-US" w:eastAsia="zh-CN"/>
              </w:rPr>
              <w:t>2</w:t>
            </w:r>
            <w:r>
              <w:rPr>
                <w:rFonts w:hint="eastAsia" w:ascii="宋体" w:hAnsi="宋体"/>
                <w:sz w:val="18"/>
                <w:szCs w:val="18"/>
                <w:highlight w:val="none"/>
              </w:rPr>
              <w:t>年1月1日起至投标截止时间止）未因以往检测工作中存在伪造检测数据、出具虚假检测报告的行为被各级建设行政主管部门或市场监督管理部门行政处罚或通报的（按投标人提供的《投标申请人声明》第三条内容进行评审）。</w:t>
            </w:r>
          </w:p>
        </w:tc>
        <w:tc>
          <w:tcPr>
            <w:tcW w:w="500" w:type="dxa"/>
            <w:vAlign w:val="center"/>
          </w:tcPr>
          <w:p w14:paraId="5F303E8A">
            <w:pPr>
              <w:tabs>
                <w:tab w:val="left" w:pos="720"/>
              </w:tabs>
              <w:snapToGrid w:val="0"/>
              <w:spacing w:line="276" w:lineRule="auto"/>
              <w:jc w:val="center"/>
              <w:rPr>
                <w:rFonts w:ascii="宋体" w:hAnsi="宋体"/>
                <w:sz w:val="18"/>
                <w:szCs w:val="18"/>
                <w:highlight w:val="none"/>
              </w:rPr>
            </w:pPr>
          </w:p>
        </w:tc>
        <w:tc>
          <w:tcPr>
            <w:tcW w:w="433" w:type="dxa"/>
            <w:vAlign w:val="center"/>
          </w:tcPr>
          <w:p w14:paraId="4ACF0784">
            <w:pPr>
              <w:tabs>
                <w:tab w:val="left" w:pos="720"/>
              </w:tabs>
              <w:snapToGrid w:val="0"/>
              <w:spacing w:line="276" w:lineRule="auto"/>
              <w:jc w:val="center"/>
              <w:rPr>
                <w:rFonts w:ascii="宋体" w:hAnsi="宋体"/>
                <w:sz w:val="18"/>
                <w:szCs w:val="18"/>
                <w:highlight w:val="none"/>
              </w:rPr>
            </w:pPr>
          </w:p>
        </w:tc>
        <w:tc>
          <w:tcPr>
            <w:tcW w:w="414" w:type="dxa"/>
            <w:vAlign w:val="center"/>
          </w:tcPr>
          <w:p w14:paraId="587A3B4C">
            <w:pPr>
              <w:tabs>
                <w:tab w:val="left" w:pos="720"/>
              </w:tabs>
              <w:snapToGrid w:val="0"/>
              <w:spacing w:line="276" w:lineRule="auto"/>
              <w:jc w:val="center"/>
              <w:rPr>
                <w:rFonts w:ascii="宋体" w:hAnsi="宋体"/>
                <w:sz w:val="18"/>
                <w:szCs w:val="18"/>
                <w:highlight w:val="none"/>
              </w:rPr>
            </w:pPr>
          </w:p>
        </w:tc>
      </w:tr>
      <w:tr w14:paraId="2F49E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625" w:type="dxa"/>
            <w:vAlign w:val="center"/>
          </w:tcPr>
          <w:p w14:paraId="3CCD7DF1">
            <w:pPr>
              <w:tabs>
                <w:tab w:val="left" w:pos="720"/>
              </w:tabs>
              <w:snapToGrid w:val="0"/>
              <w:spacing w:line="276" w:lineRule="auto"/>
              <w:jc w:val="center"/>
              <w:rPr>
                <w:rFonts w:ascii="宋体" w:hAnsi="宋体"/>
                <w:sz w:val="18"/>
                <w:szCs w:val="18"/>
                <w:highlight w:val="none"/>
              </w:rPr>
            </w:pPr>
            <w:r>
              <w:rPr>
                <w:rFonts w:hint="eastAsia" w:ascii="宋体" w:hAnsi="宋体"/>
                <w:sz w:val="18"/>
                <w:szCs w:val="18"/>
                <w:highlight w:val="none"/>
              </w:rPr>
              <w:t>9</w:t>
            </w:r>
          </w:p>
        </w:tc>
        <w:tc>
          <w:tcPr>
            <w:tcW w:w="7487" w:type="dxa"/>
            <w:vAlign w:val="center"/>
          </w:tcPr>
          <w:p w14:paraId="43C767A7">
            <w:pPr>
              <w:tabs>
                <w:tab w:val="left" w:pos="720"/>
              </w:tabs>
              <w:snapToGrid w:val="0"/>
              <w:spacing w:line="276" w:lineRule="auto"/>
              <w:rPr>
                <w:rFonts w:ascii="宋体" w:hAnsi="宋体"/>
                <w:sz w:val="18"/>
                <w:szCs w:val="18"/>
                <w:highlight w:val="none"/>
              </w:rPr>
            </w:pPr>
            <w:r>
              <w:rPr>
                <w:rFonts w:hint="eastAsia" w:ascii="宋体" w:hAnsi="宋体"/>
                <w:sz w:val="18"/>
                <w:szCs w:val="18"/>
                <w:highlight w:val="none"/>
              </w:rPr>
              <w:t>关于联合体投标：本项目接受联合体投标。</w:t>
            </w:r>
          </w:p>
          <w:p w14:paraId="342DC3EA">
            <w:pPr>
              <w:tabs>
                <w:tab w:val="left" w:pos="720"/>
              </w:tabs>
              <w:snapToGrid w:val="0"/>
              <w:spacing w:line="276" w:lineRule="auto"/>
              <w:rPr>
                <w:rFonts w:ascii="宋体" w:hAnsi="宋体"/>
                <w:sz w:val="18"/>
                <w:szCs w:val="18"/>
                <w:highlight w:val="none"/>
              </w:rPr>
            </w:pPr>
            <w:r>
              <w:rPr>
                <w:rFonts w:hint="eastAsia" w:ascii="宋体" w:hAnsi="宋体"/>
                <w:sz w:val="18"/>
                <w:szCs w:val="18"/>
                <w:highlight w:val="none"/>
              </w:rPr>
              <w:t>（1）如投标人组成联合体，联合体应当在投标登记前组成，并按要求签署盖章签定联合体共同投标协议“联合体协议书”。投标人拟任本工程项目负责人应为牵头人（主办方）正式员工。联合体共同投标协议应明确约定各方拟承担的工作和责任。投标截止后联合体增减、更换成员的，其投标无效。</w:t>
            </w:r>
          </w:p>
          <w:p w14:paraId="4B6426EE">
            <w:pPr>
              <w:tabs>
                <w:tab w:val="left" w:pos="720"/>
              </w:tabs>
              <w:snapToGrid w:val="0"/>
              <w:spacing w:line="276" w:lineRule="auto"/>
              <w:rPr>
                <w:rFonts w:ascii="宋体" w:hAnsi="宋体"/>
                <w:sz w:val="18"/>
                <w:szCs w:val="18"/>
                <w:highlight w:val="none"/>
              </w:rPr>
            </w:pPr>
            <w:r>
              <w:rPr>
                <w:rFonts w:hint="eastAsia" w:ascii="宋体" w:hAnsi="宋体"/>
                <w:sz w:val="18"/>
                <w:szCs w:val="18"/>
                <w:highlight w:val="none"/>
              </w:rPr>
              <w:t>（2）联合体各方（包括主办方及联合体成员）不得再单独或与其他单位组成联合体参与本项目投标。出现上述情况者，其投标和与此有关的联合体的投标将被拒绝。</w:t>
            </w:r>
          </w:p>
          <w:p w14:paraId="43400E17">
            <w:pPr>
              <w:tabs>
                <w:tab w:val="left" w:pos="720"/>
              </w:tabs>
              <w:snapToGrid w:val="0"/>
              <w:spacing w:line="276" w:lineRule="auto"/>
              <w:rPr>
                <w:rFonts w:ascii="宋体" w:hAnsi="宋体"/>
                <w:sz w:val="18"/>
                <w:szCs w:val="18"/>
                <w:highlight w:val="none"/>
              </w:rPr>
            </w:pPr>
            <w:r>
              <w:rPr>
                <w:rFonts w:hint="eastAsia" w:ascii="宋体" w:hAnsi="宋体"/>
                <w:sz w:val="18"/>
                <w:szCs w:val="18"/>
                <w:highlight w:val="none"/>
              </w:rPr>
              <w:t>（3）联合体投标时，除“联合体协议书”需由联合体各方分别按要求进行签字或盖章外，其他资料若需要签字或盖章的均可由联合体牵头人（主办方）签字或盖章即可；投标资料封面及其他内容及落款中的“投标人”应填写联合体各方的单位全称【格式示例为：（主）单位全称（成）单位全称】，由联合体主办方按要求签字或盖章即可。电子签章由主办方进行签章即可。</w:t>
            </w:r>
          </w:p>
        </w:tc>
        <w:tc>
          <w:tcPr>
            <w:tcW w:w="500" w:type="dxa"/>
            <w:vAlign w:val="center"/>
          </w:tcPr>
          <w:p w14:paraId="2CB8BD98">
            <w:pPr>
              <w:tabs>
                <w:tab w:val="left" w:pos="720"/>
              </w:tabs>
              <w:snapToGrid w:val="0"/>
              <w:spacing w:line="276" w:lineRule="auto"/>
              <w:jc w:val="center"/>
              <w:rPr>
                <w:rFonts w:ascii="宋体" w:hAnsi="宋体"/>
                <w:sz w:val="18"/>
                <w:szCs w:val="18"/>
                <w:highlight w:val="none"/>
              </w:rPr>
            </w:pPr>
          </w:p>
        </w:tc>
        <w:tc>
          <w:tcPr>
            <w:tcW w:w="433" w:type="dxa"/>
            <w:vAlign w:val="center"/>
          </w:tcPr>
          <w:p w14:paraId="1A4185E1">
            <w:pPr>
              <w:tabs>
                <w:tab w:val="left" w:pos="720"/>
              </w:tabs>
              <w:snapToGrid w:val="0"/>
              <w:spacing w:line="276" w:lineRule="auto"/>
              <w:jc w:val="center"/>
              <w:rPr>
                <w:rFonts w:ascii="宋体" w:hAnsi="宋体"/>
                <w:sz w:val="18"/>
                <w:szCs w:val="18"/>
                <w:highlight w:val="none"/>
              </w:rPr>
            </w:pPr>
          </w:p>
        </w:tc>
        <w:tc>
          <w:tcPr>
            <w:tcW w:w="414" w:type="dxa"/>
            <w:vAlign w:val="center"/>
          </w:tcPr>
          <w:p w14:paraId="3B45EFD3">
            <w:pPr>
              <w:tabs>
                <w:tab w:val="left" w:pos="720"/>
              </w:tabs>
              <w:snapToGrid w:val="0"/>
              <w:spacing w:line="276" w:lineRule="auto"/>
              <w:jc w:val="center"/>
              <w:rPr>
                <w:rFonts w:ascii="宋体" w:hAnsi="宋体"/>
                <w:sz w:val="18"/>
                <w:szCs w:val="18"/>
                <w:highlight w:val="none"/>
              </w:rPr>
            </w:pPr>
          </w:p>
        </w:tc>
      </w:tr>
      <w:tr w14:paraId="5C64D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25" w:type="dxa"/>
            <w:vAlign w:val="center"/>
          </w:tcPr>
          <w:p w14:paraId="38956964">
            <w:pPr>
              <w:tabs>
                <w:tab w:val="left" w:pos="720"/>
              </w:tabs>
              <w:snapToGrid w:val="0"/>
              <w:jc w:val="center"/>
              <w:rPr>
                <w:rFonts w:ascii="宋体" w:hAnsi="宋体"/>
                <w:sz w:val="18"/>
                <w:szCs w:val="18"/>
                <w:highlight w:val="none"/>
              </w:rPr>
            </w:pPr>
            <w:r>
              <w:rPr>
                <w:rFonts w:hint="eastAsia" w:ascii="宋体" w:hAnsi="宋体"/>
                <w:color w:val="auto"/>
                <w:sz w:val="18"/>
                <w:szCs w:val="18"/>
                <w:highlight w:val="none"/>
              </w:rPr>
              <w:t>10</w:t>
            </w:r>
          </w:p>
        </w:tc>
        <w:tc>
          <w:tcPr>
            <w:tcW w:w="7487" w:type="dxa"/>
            <w:vAlign w:val="center"/>
          </w:tcPr>
          <w:p w14:paraId="0A79E95A">
            <w:pPr>
              <w:tabs>
                <w:tab w:val="left" w:pos="720"/>
              </w:tabs>
              <w:snapToGrid w:val="0"/>
              <w:rPr>
                <w:rFonts w:ascii="宋体" w:hAnsi="宋体"/>
                <w:sz w:val="18"/>
                <w:szCs w:val="18"/>
                <w:highlight w:val="none"/>
              </w:rPr>
            </w:pPr>
            <w:r>
              <w:rPr>
                <w:rFonts w:hint="eastAsia" w:ascii="宋体" w:hAnsi="宋体"/>
                <w:color w:val="auto"/>
                <w:sz w:val="18"/>
                <w:szCs w:val="18"/>
                <w:highlight w:val="none"/>
              </w:rPr>
              <w:t>未被列入拖欠农民工工资失信联合惩戒对象名单。本项评审投标人无需提供资料，按资格评审时</w:t>
            </w:r>
            <w:r>
              <w:rPr>
                <w:rFonts w:hint="eastAsia" w:ascii="宋体" w:hAnsi="宋体"/>
                <w:color w:val="auto"/>
                <w:sz w:val="18"/>
                <w:szCs w:val="18"/>
                <w:highlight w:val="none"/>
                <w:lang w:eastAsia="zh-CN"/>
              </w:rPr>
              <w:t>广州交易集团有限公司（广州公共资源交易中心）</w:t>
            </w:r>
            <w:r>
              <w:rPr>
                <w:rFonts w:hint="eastAsia" w:ascii="宋体" w:hAnsi="宋体"/>
                <w:color w:val="auto"/>
                <w:sz w:val="18"/>
                <w:szCs w:val="18"/>
                <w:highlight w:val="none"/>
              </w:rPr>
              <w:t>交易系统比对的结果进行评审。</w:t>
            </w:r>
          </w:p>
        </w:tc>
        <w:tc>
          <w:tcPr>
            <w:tcW w:w="500" w:type="dxa"/>
            <w:vAlign w:val="center"/>
          </w:tcPr>
          <w:p w14:paraId="4093DD80">
            <w:pPr>
              <w:tabs>
                <w:tab w:val="left" w:pos="720"/>
              </w:tabs>
              <w:snapToGrid w:val="0"/>
              <w:spacing w:line="276" w:lineRule="auto"/>
              <w:jc w:val="center"/>
              <w:rPr>
                <w:rFonts w:ascii="宋体" w:hAnsi="宋体"/>
                <w:sz w:val="18"/>
                <w:szCs w:val="18"/>
                <w:highlight w:val="none"/>
              </w:rPr>
            </w:pPr>
          </w:p>
        </w:tc>
        <w:tc>
          <w:tcPr>
            <w:tcW w:w="433" w:type="dxa"/>
            <w:vAlign w:val="center"/>
          </w:tcPr>
          <w:p w14:paraId="37FFD30D">
            <w:pPr>
              <w:tabs>
                <w:tab w:val="left" w:pos="720"/>
              </w:tabs>
              <w:snapToGrid w:val="0"/>
              <w:spacing w:line="276" w:lineRule="auto"/>
              <w:jc w:val="center"/>
              <w:rPr>
                <w:rFonts w:ascii="宋体" w:hAnsi="宋体"/>
                <w:sz w:val="18"/>
                <w:szCs w:val="18"/>
                <w:highlight w:val="none"/>
              </w:rPr>
            </w:pPr>
          </w:p>
        </w:tc>
        <w:tc>
          <w:tcPr>
            <w:tcW w:w="414" w:type="dxa"/>
            <w:vAlign w:val="center"/>
          </w:tcPr>
          <w:p w14:paraId="7909429C">
            <w:pPr>
              <w:tabs>
                <w:tab w:val="left" w:pos="720"/>
              </w:tabs>
              <w:snapToGrid w:val="0"/>
              <w:spacing w:line="276" w:lineRule="auto"/>
              <w:jc w:val="center"/>
              <w:rPr>
                <w:rFonts w:ascii="宋体" w:hAnsi="宋体"/>
                <w:sz w:val="18"/>
                <w:szCs w:val="18"/>
                <w:highlight w:val="none"/>
              </w:rPr>
            </w:pPr>
          </w:p>
        </w:tc>
      </w:tr>
      <w:tr w14:paraId="082E5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625" w:type="dxa"/>
            <w:vAlign w:val="center"/>
          </w:tcPr>
          <w:p w14:paraId="67246821">
            <w:pPr>
              <w:tabs>
                <w:tab w:val="left" w:pos="720"/>
              </w:tabs>
              <w:snapToGrid w:val="0"/>
              <w:spacing w:line="276" w:lineRule="auto"/>
              <w:jc w:val="center"/>
              <w:rPr>
                <w:rFonts w:hint="eastAsia" w:ascii="宋体" w:hAnsi="宋体"/>
                <w:sz w:val="18"/>
                <w:szCs w:val="18"/>
                <w:highlight w:val="none"/>
              </w:rPr>
            </w:pPr>
            <w:r>
              <w:rPr>
                <w:rFonts w:hint="eastAsia" w:ascii="宋体" w:hAnsi="宋体"/>
                <w:sz w:val="18"/>
                <w:szCs w:val="18"/>
                <w:highlight w:val="none"/>
              </w:rPr>
              <w:t>结论</w:t>
            </w:r>
          </w:p>
        </w:tc>
        <w:tc>
          <w:tcPr>
            <w:tcW w:w="7487" w:type="dxa"/>
            <w:vAlign w:val="center"/>
          </w:tcPr>
          <w:p w14:paraId="74C72127">
            <w:pPr>
              <w:tabs>
                <w:tab w:val="left" w:pos="720"/>
              </w:tabs>
              <w:snapToGrid w:val="0"/>
              <w:spacing w:line="276" w:lineRule="auto"/>
              <w:rPr>
                <w:rFonts w:hint="eastAsia" w:ascii="宋体" w:hAnsi="宋体"/>
                <w:sz w:val="18"/>
                <w:szCs w:val="18"/>
                <w:highlight w:val="none"/>
              </w:rPr>
            </w:pPr>
            <w:r>
              <w:rPr>
                <w:rFonts w:hint="eastAsia" w:ascii="宋体" w:hAnsi="宋体"/>
                <w:sz w:val="18"/>
                <w:szCs w:val="18"/>
                <w:highlight w:val="none"/>
              </w:rPr>
              <w:t>是否通过并进入下一阶段评审</w:t>
            </w:r>
          </w:p>
        </w:tc>
        <w:tc>
          <w:tcPr>
            <w:tcW w:w="500" w:type="dxa"/>
            <w:vAlign w:val="center"/>
          </w:tcPr>
          <w:p w14:paraId="3B0BDBA3">
            <w:pPr>
              <w:tabs>
                <w:tab w:val="left" w:pos="720"/>
              </w:tabs>
              <w:snapToGrid w:val="0"/>
              <w:spacing w:line="276" w:lineRule="auto"/>
              <w:jc w:val="center"/>
              <w:rPr>
                <w:rFonts w:ascii="宋体" w:hAnsi="宋体"/>
                <w:sz w:val="18"/>
                <w:szCs w:val="18"/>
                <w:highlight w:val="none"/>
              </w:rPr>
            </w:pPr>
          </w:p>
        </w:tc>
        <w:tc>
          <w:tcPr>
            <w:tcW w:w="433" w:type="dxa"/>
            <w:vAlign w:val="center"/>
          </w:tcPr>
          <w:p w14:paraId="10BB39BD">
            <w:pPr>
              <w:tabs>
                <w:tab w:val="left" w:pos="720"/>
              </w:tabs>
              <w:snapToGrid w:val="0"/>
              <w:spacing w:line="276" w:lineRule="auto"/>
              <w:jc w:val="center"/>
              <w:rPr>
                <w:rFonts w:ascii="宋体" w:hAnsi="宋体"/>
                <w:sz w:val="18"/>
                <w:szCs w:val="18"/>
                <w:highlight w:val="none"/>
              </w:rPr>
            </w:pPr>
          </w:p>
        </w:tc>
        <w:tc>
          <w:tcPr>
            <w:tcW w:w="414" w:type="dxa"/>
            <w:vAlign w:val="center"/>
          </w:tcPr>
          <w:p w14:paraId="5B3D7053">
            <w:pPr>
              <w:tabs>
                <w:tab w:val="left" w:pos="720"/>
              </w:tabs>
              <w:snapToGrid w:val="0"/>
              <w:spacing w:line="276" w:lineRule="auto"/>
              <w:jc w:val="center"/>
              <w:rPr>
                <w:rFonts w:ascii="宋体" w:hAnsi="宋体"/>
                <w:sz w:val="18"/>
                <w:szCs w:val="18"/>
                <w:highlight w:val="none"/>
              </w:rPr>
            </w:pPr>
          </w:p>
        </w:tc>
      </w:tr>
    </w:tbl>
    <w:p w14:paraId="5B2A9D68">
      <w:pPr>
        <w:tabs>
          <w:tab w:val="left" w:pos="720"/>
        </w:tabs>
        <w:snapToGrid w:val="0"/>
        <w:rPr>
          <w:rFonts w:ascii="宋体" w:hAnsi="宋体" w:cs="宋体"/>
          <w:sz w:val="18"/>
          <w:szCs w:val="18"/>
          <w:highlight w:val="none"/>
        </w:rPr>
      </w:pPr>
      <w:r>
        <w:rPr>
          <w:rFonts w:hint="eastAsia" w:ascii="宋体" w:hAnsi="宋体" w:cs="宋体"/>
          <w:sz w:val="18"/>
          <w:szCs w:val="18"/>
          <w:highlight w:val="none"/>
        </w:rPr>
        <w:t>备注：1、“是否通过并进入下一阶段评审”一栏应写“通过”“不通过”。</w:t>
      </w:r>
    </w:p>
    <w:p w14:paraId="6F09A6B4">
      <w:pPr>
        <w:tabs>
          <w:tab w:val="left" w:pos="720"/>
        </w:tabs>
        <w:snapToGrid w:val="0"/>
        <w:ind w:firstLine="540" w:firstLineChars="300"/>
        <w:rPr>
          <w:rFonts w:ascii="宋体" w:hAnsi="宋体" w:cs="宋体"/>
          <w:sz w:val="18"/>
          <w:szCs w:val="18"/>
          <w:highlight w:val="none"/>
        </w:rPr>
      </w:pPr>
      <w:r>
        <w:rPr>
          <w:rFonts w:hint="eastAsia" w:ascii="宋体" w:hAnsi="宋体" w:cs="宋体"/>
          <w:sz w:val="18"/>
          <w:szCs w:val="18"/>
          <w:highlight w:val="none"/>
        </w:rPr>
        <w:t>2、符合要求的打“√”，不符合的打“×”。</w:t>
      </w:r>
    </w:p>
    <w:p w14:paraId="51EDAFB9">
      <w:pPr>
        <w:tabs>
          <w:tab w:val="left" w:pos="720"/>
        </w:tabs>
        <w:snapToGrid w:val="0"/>
        <w:ind w:firstLine="540" w:firstLineChars="300"/>
        <w:rPr>
          <w:rFonts w:ascii="宋体" w:hAnsi="宋体" w:cs="宋体"/>
          <w:sz w:val="18"/>
          <w:szCs w:val="18"/>
          <w:highlight w:val="none"/>
        </w:rPr>
      </w:pPr>
      <w:r>
        <w:rPr>
          <w:rFonts w:hint="eastAsia" w:ascii="宋体" w:hAnsi="宋体" w:cs="宋体"/>
          <w:sz w:val="18"/>
          <w:szCs w:val="18"/>
          <w:highlight w:val="none"/>
        </w:rPr>
        <w:t>3、经评标委员会审核后，出现一个“×”的结论为“不通过”，即按废标处理。</w:t>
      </w:r>
    </w:p>
    <w:p w14:paraId="3D52414F">
      <w:pPr>
        <w:tabs>
          <w:tab w:val="left" w:pos="720"/>
        </w:tabs>
        <w:snapToGrid w:val="0"/>
        <w:ind w:firstLine="540" w:firstLineChars="300"/>
        <w:rPr>
          <w:rFonts w:ascii="宋体" w:hAnsi="宋体" w:cs="宋体"/>
          <w:sz w:val="18"/>
          <w:szCs w:val="18"/>
          <w:highlight w:val="none"/>
        </w:rPr>
      </w:pPr>
      <w:r>
        <w:rPr>
          <w:rFonts w:hint="eastAsia" w:ascii="宋体" w:hAnsi="宋体" w:cs="宋体"/>
          <w:sz w:val="18"/>
          <w:szCs w:val="18"/>
          <w:highlight w:val="none"/>
        </w:rPr>
        <w:t>4、表中全部条件满足为“通过”，同意进入下一阶段评审。</w:t>
      </w:r>
    </w:p>
    <w:p w14:paraId="0B4448CB">
      <w:pPr>
        <w:tabs>
          <w:tab w:val="left" w:pos="720"/>
        </w:tabs>
        <w:snapToGrid w:val="0"/>
        <w:ind w:firstLine="540" w:firstLineChars="300"/>
        <w:rPr>
          <w:rFonts w:cs="宋体"/>
          <w:szCs w:val="21"/>
          <w:highlight w:val="none"/>
        </w:rPr>
      </w:pPr>
      <w:r>
        <w:rPr>
          <w:rFonts w:hint="eastAsia" w:ascii="宋体" w:hAnsi="宋体" w:cs="宋体"/>
          <w:sz w:val="18"/>
          <w:szCs w:val="18"/>
          <w:highlight w:val="none"/>
        </w:rPr>
        <w:t>5、若评委意见不一致时，则按少数服从多数的原则，决定该投标人是否通过资格审查，进入下一阶段评审。</w:t>
      </w:r>
      <w:r>
        <w:rPr>
          <w:highlight w:val="none"/>
        </w:rPr>
        <w:br w:type="page"/>
      </w:r>
      <w:bookmarkStart w:id="114" w:name="_Toc103592023"/>
      <w:r>
        <w:rPr>
          <w:rFonts w:hint="eastAsia"/>
          <w:highlight w:val="none"/>
        </w:rPr>
        <w:t>附表三：响应性评审表</w:t>
      </w:r>
      <w:bookmarkEnd w:id="114"/>
    </w:p>
    <w:p w14:paraId="03AF8BF1">
      <w:pPr>
        <w:spacing w:line="360" w:lineRule="auto"/>
        <w:jc w:val="center"/>
        <w:rPr>
          <w:rFonts w:ascii="宋体" w:hAnsi="宋体" w:cs="宋体"/>
          <w:sz w:val="28"/>
          <w:szCs w:val="28"/>
          <w:highlight w:val="none"/>
        </w:rPr>
      </w:pPr>
      <w:r>
        <w:rPr>
          <w:rFonts w:hint="eastAsia" w:ascii="宋体" w:hAnsi="宋体" w:cs="宋体"/>
          <w:sz w:val="28"/>
          <w:szCs w:val="28"/>
          <w:highlight w:val="none"/>
        </w:rPr>
        <w:t>响应性评审表</w:t>
      </w:r>
    </w:p>
    <w:p w14:paraId="69C30CFD">
      <w:pPr>
        <w:rPr>
          <w:rFonts w:ascii="宋体" w:hAnsi="宋体"/>
          <w:sz w:val="18"/>
          <w:szCs w:val="18"/>
          <w:highlight w:val="none"/>
        </w:rPr>
      </w:pPr>
    </w:p>
    <w:tbl>
      <w:tblPr>
        <w:tblStyle w:val="27"/>
        <w:tblpPr w:leftFromText="180" w:rightFromText="180" w:vertAnchor="text" w:horzAnchor="margin" w:tblpXSpec="center" w:tblpY="-55"/>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4927"/>
        <w:gridCol w:w="761"/>
        <w:gridCol w:w="762"/>
        <w:gridCol w:w="762"/>
        <w:gridCol w:w="762"/>
        <w:gridCol w:w="762"/>
      </w:tblGrid>
      <w:tr w14:paraId="1B09D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426" w:type="dxa"/>
            <w:vAlign w:val="center"/>
          </w:tcPr>
          <w:p w14:paraId="5F0BCFE4">
            <w:pPr>
              <w:tabs>
                <w:tab w:val="left" w:pos="720"/>
              </w:tabs>
              <w:snapToGrid w:val="0"/>
              <w:spacing w:line="276" w:lineRule="auto"/>
              <w:jc w:val="center"/>
              <w:rPr>
                <w:rFonts w:ascii="宋体" w:hAnsi="宋体"/>
                <w:sz w:val="18"/>
                <w:szCs w:val="18"/>
                <w:highlight w:val="none"/>
              </w:rPr>
            </w:pPr>
            <w:r>
              <w:rPr>
                <w:rFonts w:hint="eastAsia" w:ascii="宋体" w:hAnsi="宋体"/>
                <w:sz w:val="18"/>
                <w:szCs w:val="18"/>
                <w:highlight w:val="none"/>
              </w:rPr>
              <w:t>编号</w:t>
            </w:r>
          </w:p>
        </w:tc>
        <w:tc>
          <w:tcPr>
            <w:tcW w:w="4927" w:type="dxa"/>
            <w:tcBorders>
              <w:tl2br w:val="single" w:color="auto" w:sz="4" w:space="0"/>
            </w:tcBorders>
            <w:vAlign w:val="center"/>
          </w:tcPr>
          <w:p w14:paraId="68005203">
            <w:pPr>
              <w:tabs>
                <w:tab w:val="left" w:pos="720"/>
              </w:tabs>
              <w:snapToGrid w:val="0"/>
              <w:spacing w:line="276" w:lineRule="auto"/>
              <w:ind w:firstLine="3240" w:firstLineChars="1800"/>
              <w:rPr>
                <w:rFonts w:ascii="宋体" w:hAnsi="宋体"/>
                <w:sz w:val="18"/>
                <w:szCs w:val="18"/>
                <w:highlight w:val="none"/>
              </w:rPr>
            </w:pPr>
            <w:r>
              <w:rPr>
                <w:rFonts w:hint="eastAsia" w:ascii="宋体" w:hAnsi="宋体"/>
                <w:sz w:val="18"/>
                <w:szCs w:val="18"/>
                <w:highlight w:val="none"/>
              </w:rPr>
              <w:t>投标人名称</w:t>
            </w:r>
          </w:p>
          <w:p w14:paraId="5C31513F">
            <w:pPr>
              <w:tabs>
                <w:tab w:val="left" w:pos="720"/>
              </w:tabs>
              <w:snapToGrid w:val="0"/>
              <w:spacing w:line="276" w:lineRule="auto"/>
              <w:rPr>
                <w:rFonts w:ascii="宋体" w:hAnsi="宋体"/>
                <w:sz w:val="18"/>
                <w:szCs w:val="18"/>
                <w:highlight w:val="none"/>
              </w:rPr>
            </w:pPr>
          </w:p>
          <w:p w14:paraId="03A68E94">
            <w:pPr>
              <w:tabs>
                <w:tab w:val="left" w:pos="720"/>
              </w:tabs>
              <w:snapToGrid w:val="0"/>
              <w:spacing w:line="276" w:lineRule="auto"/>
              <w:rPr>
                <w:rFonts w:ascii="宋体" w:hAnsi="宋体"/>
                <w:sz w:val="18"/>
                <w:szCs w:val="18"/>
                <w:highlight w:val="none"/>
              </w:rPr>
            </w:pPr>
            <w:r>
              <w:rPr>
                <w:rFonts w:hint="eastAsia" w:ascii="宋体" w:hAnsi="宋体"/>
                <w:sz w:val="18"/>
                <w:szCs w:val="18"/>
                <w:highlight w:val="none"/>
              </w:rPr>
              <w:t>评审项目</w:t>
            </w:r>
          </w:p>
        </w:tc>
        <w:tc>
          <w:tcPr>
            <w:tcW w:w="761" w:type="dxa"/>
            <w:vAlign w:val="center"/>
          </w:tcPr>
          <w:p w14:paraId="283CDE3B">
            <w:pPr>
              <w:tabs>
                <w:tab w:val="left" w:pos="720"/>
              </w:tabs>
              <w:snapToGrid w:val="0"/>
              <w:spacing w:line="276" w:lineRule="auto"/>
              <w:rPr>
                <w:rFonts w:ascii="宋体" w:hAnsi="宋体"/>
                <w:sz w:val="18"/>
                <w:szCs w:val="18"/>
                <w:highlight w:val="none"/>
              </w:rPr>
            </w:pPr>
          </w:p>
        </w:tc>
        <w:tc>
          <w:tcPr>
            <w:tcW w:w="762" w:type="dxa"/>
            <w:vAlign w:val="center"/>
          </w:tcPr>
          <w:p w14:paraId="59498C91">
            <w:pPr>
              <w:tabs>
                <w:tab w:val="left" w:pos="720"/>
              </w:tabs>
              <w:snapToGrid w:val="0"/>
              <w:spacing w:line="276" w:lineRule="auto"/>
              <w:jc w:val="center"/>
              <w:rPr>
                <w:rFonts w:ascii="宋体" w:hAnsi="宋体"/>
                <w:sz w:val="18"/>
                <w:szCs w:val="18"/>
                <w:highlight w:val="none"/>
              </w:rPr>
            </w:pPr>
          </w:p>
        </w:tc>
        <w:tc>
          <w:tcPr>
            <w:tcW w:w="762" w:type="dxa"/>
            <w:vAlign w:val="center"/>
          </w:tcPr>
          <w:p w14:paraId="0F98E858">
            <w:pPr>
              <w:tabs>
                <w:tab w:val="left" w:pos="720"/>
              </w:tabs>
              <w:snapToGrid w:val="0"/>
              <w:spacing w:line="276" w:lineRule="auto"/>
              <w:jc w:val="center"/>
              <w:rPr>
                <w:rFonts w:ascii="宋体" w:hAnsi="宋体"/>
                <w:sz w:val="18"/>
                <w:szCs w:val="18"/>
                <w:highlight w:val="none"/>
              </w:rPr>
            </w:pPr>
          </w:p>
        </w:tc>
        <w:tc>
          <w:tcPr>
            <w:tcW w:w="762" w:type="dxa"/>
            <w:vAlign w:val="center"/>
          </w:tcPr>
          <w:p w14:paraId="01BFCA5C">
            <w:pPr>
              <w:tabs>
                <w:tab w:val="left" w:pos="720"/>
              </w:tabs>
              <w:snapToGrid w:val="0"/>
              <w:spacing w:line="276" w:lineRule="auto"/>
              <w:jc w:val="center"/>
              <w:rPr>
                <w:rFonts w:ascii="宋体" w:hAnsi="宋体"/>
                <w:sz w:val="18"/>
                <w:szCs w:val="18"/>
                <w:highlight w:val="none"/>
              </w:rPr>
            </w:pPr>
          </w:p>
        </w:tc>
        <w:tc>
          <w:tcPr>
            <w:tcW w:w="762" w:type="dxa"/>
            <w:vAlign w:val="center"/>
          </w:tcPr>
          <w:p w14:paraId="78983E29">
            <w:pPr>
              <w:tabs>
                <w:tab w:val="left" w:pos="720"/>
              </w:tabs>
              <w:snapToGrid w:val="0"/>
              <w:spacing w:line="276" w:lineRule="auto"/>
              <w:jc w:val="center"/>
              <w:rPr>
                <w:rFonts w:ascii="宋体" w:hAnsi="宋体"/>
                <w:sz w:val="18"/>
                <w:szCs w:val="18"/>
                <w:highlight w:val="none"/>
              </w:rPr>
            </w:pPr>
          </w:p>
        </w:tc>
      </w:tr>
      <w:tr w14:paraId="6809F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426" w:type="dxa"/>
            <w:vAlign w:val="center"/>
          </w:tcPr>
          <w:p w14:paraId="66A900EC">
            <w:pPr>
              <w:tabs>
                <w:tab w:val="left" w:pos="720"/>
              </w:tabs>
              <w:snapToGrid w:val="0"/>
              <w:spacing w:line="276" w:lineRule="auto"/>
              <w:jc w:val="center"/>
              <w:rPr>
                <w:rFonts w:ascii="宋体" w:hAnsi="宋体"/>
                <w:sz w:val="18"/>
                <w:szCs w:val="18"/>
                <w:highlight w:val="none"/>
              </w:rPr>
            </w:pPr>
            <w:r>
              <w:rPr>
                <w:rFonts w:hint="eastAsia" w:ascii="宋体" w:hAnsi="宋体"/>
                <w:sz w:val="18"/>
                <w:szCs w:val="18"/>
                <w:highlight w:val="none"/>
              </w:rPr>
              <w:t>1</w:t>
            </w:r>
          </w:p>
        </w:tc>
        <w:tc>
          <w:tcPr>
            <w:tcW w:w="4927" w:type="dxa"/>
            <w:vAlign w:val="center"/>
          </w:tcPr>
          <w:p w14:paraId="71C866EB">
            <w:pPr>
              <w:tabs>
                <w:tab w:val="left" w:pos="720"/>
              </w:tabs>
              <w:snapToGrid w:val="0"/>
              <w:spacing w:line="276" w:lineRule="auto"/>
              <w:rPr>
                <w:rFonts w:ascii="宋体" w:hAnsi="宋体" w:cs="宋体"/>
                <w:sz w:val="18"/>
                <w:szCs w:val="18"/>
                <w:highlight w:val="none"/>
              </w:rPr>
            </w:pPr>
            <w:r>
              <w:rPr>
                <w:rFonts w:hint="eastAsia" w:ascii="宋体" w:hAnsi="宋体" w:cs="宋体"/>
                <w:sz w:val="18"/>
                <w:szCs w:val="18"/>
                <w:highlight w:val="none"/>
              </w:rPr>
              <w:t>投标报价：符合第二章“投标人须知”第3.2款规定；</w:t>
            </w:r>
          </w:p>
        </w:tc>
        <w:tc>
          <w:tcPr>
            <w:tcW w:w="761" w:type="dxa"/>
            <w:vAlign w:val="center"/>
          </w:tcPr>
          <w:p w14:paraId="72A05D72">
            <w:pPr>
              <w:tabs>
                <w:tab w:val="left" w:pos="720"/>
              </w:tabs>
              <w:snapToGrid w:val="0"/>
              <w:spacing w:line="276" w:lineRule="auto"/>
              <w:jc w:val="center"/>
              <w:rPr>
                <w:rFonts w:ascii="宋体" w:hAnsi="宋体"/>
                <w:sz w:val="18"/>
                <w:szCs w:val="18"/>
                <w:highlight w:val="none"/>
              </w:rPr>
            </w:pPr>
          </w:p>
        </w:tc>
        <w:tc>
          <w:tcPr>
            <w:tcW w:w="762" w:type="dxa"/>
            <w:vAlign w:val="center"/>
          </w:tcPr>
          <w:p w14:paraId="55937E8A">
            <w:pPr>
              <w:tabs>
                <w:tab w:val="left" w:pos="720"/>
              </w:tabs>
              <w:snapToGrid w:val="0"/>
              <w:spacing w:line="276" w:lineRule="auto"/>
              <w:jc w:val="center"/>
              <w:rPr>
                <w:rFonts w:ascii="宋体" w:hAnsi="宋体"/>
                <w:sz w:val="18"/>
                <w:szCs w:val="18"/>
                <w:highlight w:val="none"/>
              </w:rPr>
            </w:pPr>
          </w:p>
        </w:tc>
        <w:tc>
          <w:tcPr>
            <w:tcW w:w="762" w:type="dxa"/>
            <w:vAlign w:val="center"/>
          </w:tcPr>
          <w:p w14:paraId="19A655D4">
            <w:pPr>
              <w:tabs>
                <w:tab w:val="left" w:pos="720"/>
              </w:tabs>
              <w:snapToGrid w:val="0"/>
              <w:spacing w:line="276" w:lineRule="auto"/>
              <w:jc w:val="center"/>
              <w:rPr>
                <w:rFonts w:ascii="宋体" w:hAnsi="宋体"/>
                <w:sz w:val="18"/>
                <w:szCs w:val="18"/>
                <w:highlight w:val="none"/>
              </w:rPr>
            </w:pPr>
          </w:p>
        </w:tc>
        <w:tc>
          <w:tcPr>
            <w:tcW w:w="762" w:type="dxa"/>
            <w:vAlign w:val="center"/>
          </w:tcPr>
          <w:p w14:paraId="4B0FF6C4">
            <w:pPr>
              <w:tabs>
                <w:tab w:val="left" w:pos="720"/>
              </w:tabs>
              <w:snapToGrid w:val="0"/>
              <w:spacing w:line="276" w:lineRule="auto"/>
              <w:jc w:val="center"/>
              <w:rPr>
                <w:rFonts w:ascii="宋体" w:hAnsi="宋体"/>
                <w:sz w:val="18"/>
                <w:szCs w:val="18"/>
                <w:highlight w:val="none"/>
              </w:rPr>
            </w:pPr>
          </w:p>
        </w:tc>
        <w:tc>
          <w:tcPr>
            <w:tcW w:w="762" w:type="dxa"/>
            <w:vAlign w:val="center"/>
          </w:tcPr>
          <w:p w14:paraId="37DDBF04">
            <w:pPr>
              <w:tabs>
                <w:tab w:val="left" w:pos="720"/>
              </w:tabs>
              <w:snapToGrid w:val="0"/>
              <w:spacing w:line="276" w:lineRule="auto"/>
              <w:jc w:val="center"/>
              <w:rPr>
                <w:rFonts w:ascii="宋体" w:hAnsi="宋体"/>
                <w:sz w:val="18"/>
                <w:szCs w:val="18"/>
                <w:highlight w:val="none"/>
              </w:rPr>
            </w:pPr>
          </w:p>
        </w:tc>
      </w:tr>
      <w:tr w14:paraId="125AD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426" w:type="dxa"/>
            <w:vAlign w:val="center"/>
          </w:tcPr>
          <w:p w14:paraId="7D8C4E38">
            <w:pPr>
              <w:tabs>
                <w:tab w:val="left" w:pos="720"/>
              </w:tabs>
              <w:snapToGrid w:val="0"/>
              <w:spacing w:line="276" w:lineRule="auto"/>
              <w:jc w:val="center"/>
              <w:rPr>
                <w:rFonts w:ascii="宋体" w:hAnsi="宋体"/>
                <w:sz w:val="18"/>
                <w:szCs w:val="18"/>
                <w:highlight w:val="none"/>
              </w:rPr>
            </w:pPr>
            <w:r>
              <w:rPr>
                <w:rFonts w:hint="eastAsia" w:ascii="宋体" w:hAnsi="宋体"/>
                <w:sz w:val="18"/>
                <w:szCs w:val="18"/>
                <w:highlight w:val="none"/>
              </w:rPr>
              <w:t>2</w:t>
            </w:r>
          </w:p>
        </w:tc>
        <w:tc>
          <w:tcPr>
            <w:tcW w:w="4927" w:type="dxa"/>
            <w:vAlign w:val="center"/>
          </w:tcPr>
          <w:p w14:paraId="3E7388B5">
            <w:pPr>
              <w:tabs>
                <w:tab w:val="left" w:pos="720"/>
              </w:tabs>
              <w:snapToGrid w:val="0"/>
              <w:spacing w:line="276" w:lineRule="auto"/>
              <w:rPr>
                <w:rFonts w:ascii="宋体" w:hAnsi="宋体" w:cs="宋体"/>
                <w:sz w:val="18"/>
                <w:szCs w:val="18"/>
                <w:highlight w:val="none"/>
              </w:rPr>
            </w:pPr>
            <w:r>
              <w:rPr>
                <w:rFonts w:hint="eastAsia" w:ascii="宋体" w:hAnsi="宋体" w:cs="宋体"/>
                <w:sz w:val="18"/>
                <w:szCs w:val="18"/>
                <w:highlight w:val="none"/>
              </w:rPr>
              <w:t>投标内容：符合第二章“投标人须知”第1.3.1规定；</w:t>
            </w:r>
          </w:p>
        </w:tc>
        <w:tc>
          <w:tcPr>
            <w:tcW w:w="761" w:type="dxa"/>
            <w:vAlign w:val="center"/>
          </w:tcPr>
          <w:p w14:paraId="11E7D1B3">
            <w:pPr>
              <w:tabs>
                <w:tab w:val="left" w:pos="720"/>
              </w:tabs>
              <w:snapToGrid w:val="0"/>
              <w:spacing w:line="276" w:lineRule="auto"/>
              <w:jc w:val="center"/>
              <w:rPr>
                <w:rFonts w:ascii="宋体" w:hAnsi="宋体"/>
                <w:sz w:val="18"/>
                <w:szCs w:val="18"/>
                <w:highlight w:val="none"/>
              </w:rPr>
            </w:pPr>
          </w:p>
        </w:tc>
        <w:tc>
          <w:tcPr>
            <w:tcW w:w="762" w:type="dxa"/>
            <w:vAlign w:val="center"/>
          </w:tcPr>
          <w:p w14:paraId="19EFC7A4">
            <w:pPr>
              <w:tabs>
                <w:tab w:val="left" w:pos="720"/>
              </w:tabs>
              <w:snapToGrid w:val="0"/>
              <w:spacing w:line="276" w:lineRule="auto"/>
              <w:jc w:val="center"/>
              <w:rPr>
                <w:rFonts w:ascii="宋体" w:hAnsi="宋体"/>
                <w:sz w:val="18"/>
                <w:szCs w:val="18"/>
                <w:highlight w:val="none"/>
              </w:rPr>
            </w:pPr>
          </w:p>
        </w:tc>
        <w:tc>
          <w:tcPr>
            <w:tcW w:w="762" w:type="dxa"/>
            <w:vAlign w:val="center"/>
          </w:tcPr>
          <w:p w14:paraId="330ADBB6">
            <w:pPr>
              <w:tabs>
                <w:tab w:val="left" w:pos="720"/>
              </w:tabs>
              <w:snapToGrid w:val="0"/>
              <w:spacing w:line="276" w:lineRule="auto"/>
              <w:jc w:val="center"/>
              <w:rPr>
                <w:rFonts w:ascii="宋体" w:hAnsi="宋体"/>
                <w:sz w:val="18"/>
                <w:szCs w:val="18"/>
                <w:highlight w:val="none"/>
              </w:rPr>
            </w:pPr>
          </w:p>
        </w:tc>
        <w:tc>
          <w:tcPr>
            <w:tcW w:w="762" w:type="dxa"/>
            <w:vAlign w:val="center"/>
          </w:tcPr>
          <w:p w14:paraId="3348E61E">
            <w:pPr>
              <w:tabs>
                <w:tab w:val="left" w:pos="720"/>
              </w:tabs>
              <w:snapToGrid w:val="0"/>
              <w:spacing w:line="276" w:lineRule="auto"/>
              <w:jc w:val="center"/>
              <w:rPr>
                <w:rFonts w:ascii="宋体" w:hAnsi="宋体"/>
                <w:sz w:val="18"/>
                <w:szCs w:val="18"/>
                <w:highlight w:val="none"/>
              </w:rPr>
            </w:pPr>
          </w:p>
        </w:tc>
        <w:tc>
          <w:tcPr>
            <w:tcW w:w="762" w:type="dxa"/>
            <w:vAlign w:val="center"/>
          </w:tcPr>
          <w:p w14:paraId="3EBB89DF">
            <w:pPr>
              <w:tabs>
                <w:tab w:val="left" w:pos="720"/>
              </w:tabs>
              <w:snapToGrid w:val="0"/>
              <w:spacing w:line="276" w:lineRule="auto"/>
              <w:jc w:val="center"/>
              <w:rPr>
                <w:rFonts w:ascii="宋体" w:hAnsi="宋体"/>
                <w:sz w:val="18"/>
                <w:szCs w:val="18"/>
                <w:highlight w:val="none"/>
              </w:rPr>
            </w:pPr>
          </w:p>
        </w:tc>
      </w:tr>
      <w:tr w14:paraId="566C0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426" w:type="dxa"/>
            <w:vAlign w:val="center"/>
          </w:tcPr>
          <w:p w14:paraId="71F7F680">
            <w:pPr>
              <w:tabs>
                <w:tab w:val="left" w:pos="720"/>
              </w:tabs>
              <w:snapToGrid w:val="0"/>
              <w:spacing w:line="276" w:lineRule="auto"/>
              <w:jc w:val="center"/>
              <w:rPr>
                <w:rFonts w:ascii="宋体" w:hAnsi="宋体"/>
                <w:sz w:val="18"/>
                <w:szCs w:val="18"/>
                <w:highlight w:val="none"/>
              </w:rPr>
            </w:pPr>
            <w:r>
              <w:rPr>
                <w:rFonts w:hint="eastAsia" w:ascii="宋体" w:hAnsi="宋体"/>
                <w:sz w:val="18"/>
                <w:szCs w:val="18"/>
                <w:highlight w:val="none"/>
              </w:rPr>
              <w:t>3</w:t>
            </w:r>
          </w:p>
        </w:tc>
        <w:tc>
          <w:tcPr>
            <w:tcW w:w="4927" w:type="dxa"/>
            <w:vAlign w:val="center"/>
          </w:tcPr>
          <w:p w14:paraId="49C0F0BB">
            <w:pPr>
              <w:tabs>
                <w:tab w:val="left" w:pos="720"/>
              </w:tabs>
              <w:snapToGrid w:val="0"/>
              <w:spacing w:line="276" w:lineRule="auto"/>
              <w:rPr>
                <w:rFonts w:ascii="宋体" w:hAnsi="宋体" w:cs="宋体"/>
                <w:sz w:val="18"/>
                <w:szCs w:val="18"/>
                <w:highlight w:val="none"/>
              </w:rPr>
            </w:pPr>
            <w:r>
              <w:rPr>
                <w:rFonts w:hint="eastAsia" w:ascii="宋体" w:hAnsi="宋体" w:cs="宋体"/>
                <w:sz w:val="18"/>
                <w:szCs w:val="18"/>
                <w:highlight w:val="none"/>
              </w:rPr>
              <w:t>服务期限：符合第二章“投标人须知”第1.3.2规定；</w:t>
            </w:r>
          </w:p>
        </w:tc>
        <w:tc>
          <w:tcPr>
            <w:tcW w:w="761" w:type="dxa"/>
            <w:vAlign w:val="center"/>
          </w:tcPr>
          <w:p w14:paraId="35730328">
            <w:pPr>
              <w:tabs>
                <w:tab w:val="left" w:pos="720"/>
              </w:tabs>
              <w:snapToGrid w:val="0"/>
              <w:spacing w:line="276" w:lineRule="auto"/>
              <w:jc w:val="center"/>
              <w:rPr>
                <w:rFonts w:ascii="宋体" w:hAnsi="宋体"/>
                <w:sz w:val="18"/>
                <w:szCs w:val="18"/>
                <w:highlight w:val="none"/>
              </w:rPr>
            </w:pPr>
          </w:p>
        </w:tc>
        <w:tc>
          <w:tcPr>
            <w:tcW w:w="762" w:type="dxa"/>
            <w:vAlign w:val="center"/>
          </w:tcPr>
          <w:p w14:paraId="11CE17E0">
            <w:pPr>
              <w:tabs>
                <w:tab w:val="left" w:pos="720"/>
              </w:tabs>
              <w:snapToGrid w:val="0"/>
              <w:spacing w:line="276" w:lineRule="auto"/>
              <w:jc w:val="center"/>
              <w:rPr>
                <w:rFonts w:ascii="宋体" w:hAnsi="宋体"/>
                <w:sz w:val="18"/>
                <w:szCs w:val="18"/>
                <w:highlight w:val="none"/>
              </w:rPr>
            </w:pPr>
          </w:p>
        </w:tc>
        <w:tc>
          <w:tcPr>
            <w:tcW w:w="762" w:type="dxa"/>
            <w:vAlign w:val="center"/>
          </w:tcPr>
          <w:p w14:paraId="18E341A2">
            <w:pPr>
              <w:tabs>
                <w:tab w:val="left" w:pos="720"/>
              </w:tabs>
              <w:snapToGrid w:val="0"/>
              <w:spacing w:line="276" w:lineRule="auto"/>
              <w:jc w:val="center"/>
              <w:rPr>
                <w:rFonts w:ascii="宋体" w:hAnsi="宋体"/>
                <w:sz w:val="18"/>
                <w:szCs w:val="18"/>
                <w:highlight w:val="none"/>
              </w:rPr>
            </w:pPr>
          </w:p>
        </w:tc>
        <w:tc>
          <w:tcPr>
            <w:tcW w:w="762" w:type="dxa"/>
            <w:vAlign w:val="center"/>
          </w:tcPr>
          <w:p w14:paraId="4BEBE9EE">
            <w:pPr>
              <w:tabs>
                <w:tab w:val="left" w:pos="720"/>
              </w:tabs>
              <w:snapToGrid w:val="0"/>
              <w:spacing w:line="276" w:lineRule="auto"/>
              <w:jc w:val="center"/>
              <w:rPr>
                <w:rFonts w:ascii="宋体" w:hAnsi="宋体"/>
                <w:sz w:val="18"/>
                <w:szCs w:val="18"/>
                <w:highlight w:val="none"/>
              </w:rPr>
            </w:pPr>
          </w:p>
        </w:tc>
        <w:tc>
          <w:tcPr>
            <w:tcW w:w="762" w:type="dxa"/>
            <w:vAlign w:val="center"/>
          </w:tcPr>
          <w:p w14:paraId="20825577">
            <w:pPr>
              <w:tabs>
                <w:tab w:val="left" w:pos="720"/>
              </w:tabs>
              <w:snapToGrid w:val="0"/>
              <w:spacing w:line="276" w:lineRule="auto"/>
              <w:jc w:val="center"/>
              <w:rPr>
                <w:rFonts w:ascii="宋体" w:hAnsi="宋体"/>
                <w:sz w:val="18"/>
                <w:szCs w:val="18"/>
                <w:highlight w:val="none"/>
              </w:rPr>
            </w:pPr>
          </w:p>
        </w:tc>
      </w:tr>
      <w:tr w14:paraId="54CDB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426" w:type="dxa"/>
            <w:vAlign w:val="center"/>
          </w:tcPr>
          <w:p w14:paraId="6A49B95C">
            <w:pPr>
              <w:tabs>
                <w:tab w:val="left" w:pos="720"/>
              </w:tabs>
              <w:snapToGrid w:val="0"/>
              <w:spacing w:line="276" w:lineRule="auto"/>
              <w:jc w:val="center"/>
              <w:rPr>
                <w:rFonts w:ascii="宋体" w:hAnsi="宋体"/>
                <w:sz w:val="18"/>
                <w:szCs w:val="18"/>
                <w:highlight w:val="none"/>
              </w:rPr>
            </w:pPr>
            <w:r>
              <w:rPr>
                <w:rFonts w:hint="eastAsia" w:ascii="宋体" w:hAnsi="宋体"/>
                <w:sz w:val="18"/>
                <w:szCs w:val="18"/>
                <w:highlight w:val="none"/>
              </w:rPr>
              <w:t>4</w:t>
            </w:r>
          </w:p>
        </w:tc>
        <w:tc>
          <w:tcPr>
            <w:tcW w:w="4927" w:type="dxa"/>
            <w:vAlign w:val="center"/>
          </w:tcPr>
          <w:p w14:paraId="080CB1AA">
            <w:pPr>
              <w:tabs>
                <w:tab w:val="left" w:pos="720"/>
              </w:tabs>
              <w:snapToGrid w:val="0"/>
              <w:spacing w:line="276" w:lineRule="auto"/>
              <w:rPr>
                <w:rFonts w:ascii="宋体" w:hAnsi="宋体" w:cs="宋体"/>
                <w:sz w:val="18"/>
                <w:szCs w:val="18"/>
                <w:highlight w:val="none"/>
              </w:rPr>
            </w:pPr>
            <w:r>
              <w:rPr>
                <w:rFonts w:hint="eastAsia" w:ascii="宋体" w:hAnsi="宋体" w:cs="宋体"/>
                <w:sz w:val="18"/>
                <w:szCs w:val="18"/>
                <w:highlight w:val="none"/>
              </w:rPr>
              <w:t>质量标准：符合第二章“投标人须知”第1.3.3规定；</w:t>
            </w:r>
          </w:p>
        </w:tc>
        <w:tc>
          <w:tcPr>
            <w:tcW w:w="761" w:type="dxa"/>
            <w:vAlign w:val="center"/>
          </w:tcPr>
          <w:p w14:paraId="7366AE29">
            <w:pPr>
              <w:tabs>
                <w:tab w:val="left" w:pos="720"/>
              </w:tabs>
              <w:snapToGrid w:val="0"/>
              <w:spacing w:line="276" w:lineRule="auto"/>
              <w:jc w:val="center"/>
              <w:rPr>
                <w:rFonts w:ascii="宋体" w:hAnsi="宋体"/>
                <w:sz w:val="18"/>
                <w:szCs w:val="18"/>
                <w:highlight w:val="none"/>
              </w:rPr>
            </w:pPr>
          </w:p>
        </w:tc>
        <w:tc>
          <w:tcPr>
            <w:tcW w:w="762" w:type="dxa"/>
            <w:vAlign w:val="center"/>
          </w:tcPr>
          <w:p w14:paraId="472E08A3">
            <w:pPr>
              <w:tabs>
                <w:tab w:val="left" w:pos="720"/>
              </w:tabs>
              <w:snapToGrid w:val="0"/>
              <w:spacing w:line="276" w:lineRule="auto"/>
              <w:jc w:val="center"/>
              <w:rPr>
                <w:rFonts w:ascii="宋体" w:hAnsi="宋体"/>
                <w:sz w:val="18"/>
                <w:szCs w:val="18"/>
                <w:highlight w:val="none"/>
              </w:rPr>
            </w:pPr>
          </w:p>
        </w:tc>
        <w:tc>
          <w:tcPr>
            <w:tcW w:w="762" w:type="dxa"/>
            <w:vAlign w:val="center"/>
          </w:tcPr>
          <w:p w14:paraId="567CDECC">
            <w:pPr>
              <w:tabs>
                <w:tab w:val="left" w:pos="720"/>
              </w:tabs>
              <w:snapToGrid w:val="0"/>
              <w:spacing w:line="276" w:lineRule="auto"/>
              <w:jc w:val="center"/>
              <w:rPr>
                <w:rFonts w:ascii="宋体" w:hAnsi="宋体"/>
                <w:sz w:val="18"/>
                <w:szCs w:val="18"/>
                <w:highlight w:val="none"/>
              </w:rPr>
            </w:pPr>
          </w:p>
        </w:tc>
        <w:tc>
          <w:tcPr>
            <w:tcW w:w="762" w:type="dxa"/>
            <w:vAlign w:val="center"/>
          </w:tcPr>
          <w:p w14:paraId="4147FD4A">
            <w:pPr>
              <w:tabs>
                <w:tab w:val="left" w:pos="720"/>
              </w:tabs>
              <w:snapToGrid w:val="0"/>
              <w:spacing w:line="276" w:lineRule="auto"/>
              <w:jc w:val="center"/>
              <w:rPr>
                <w:rFonts w:ascii="宋体" w:hAnsi="宋体"/>
                <w:sz w:val="18"/>
                <w:szCs w:val="18"/>
                <w:highlight w:val="none"/>
              </w:rPr>
            </w:pPr>
          </w:p>
        </w:tc>
        <w:tc>
          <w:tcPr>
            <w:tcW w:w="762" w:type="dxa"/>
            <w:vAlign w:val="center"/>
          </w:tcPr>
          <w:p w14:paraId="538F360B">
            <w:pPr>
              <w:tabs>
                <w:tab w:val="left" w:pos="720"/>
              </w:tabs>
              <w:snapToGrid w:val="0"/>
              <w:spacing w:line="276" w:lineRule="auto"/>
              <w:jc w:val="center"/>
              <w:rPr>
                <w:rFonts w:ascii="宋体" w:hAnsi="宋体"/>
                <w:sz w:val="18"/>
                <w:szCs w:val="18"/>
                <w:highlight w:val="none"/>
              </w:rPr>
            </w:pPr>
          </w:p>
        </w:tc>
      </w:tr>
      <w:tr w14:paraId="78A70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426" w:type="dxa"/>
            <w:vAlign w:val="center"/>
          </w:tcPr>
          <w:p w14:paraId="528CF9F2">
            <w:pPr>
              <w:tabs>
                <w:tab w:val="left" w:pos="720"/>
              </w:tabs>
              <w:snapToGrid w:val="0"/>
              <w:spacing w:line="276" w:lineRule="auto"/>
              <w:jc w:val="center"/>
              <w:rPr>
                <w:rFonts w:ascii="宋体" w:hAnsi="宋体"/>
                <w:sz w:val="18"/>
                <w:szCs w:val="18"/>
                <w:highlight w:val="none"/>
              </w:rPr>
            </w:pPr>
            <w:r>
              <w:rPr>
                <w:rFonts w:hint="eastAsia" w:ascii="宋体" w:hAnsi="宋体"/>
                <w:sz w:val="18"/>
                <w:szCs w:val="18"/>
                <w:highlight w:val="none"/>
              </w:rPr>
              <w:t>5</w:t>
            </w:r>
          </w:p>
        </w:tc>
        <w:tc>
          <w:tcPr>
            <w:tcW w:w="4927" w:type="dxa"/>
            <w:vAlign w:val="center"/>
          </w:tcPr>
          <w:p w14:paraId="7589E709">
            <w:pPr>
              <w:tabs>
                <w:tab w:val="left" w:pos="720"/>
              </w:tabs>
              <w:snapToGrid w:val="0"/>
              <w:spacing w:line="276" w:lineRule="auto"/>
              <w:rPr>
                <w:rFonts w:ascii="宋体" w:hAnsi="宋体" w:cs="宋体"/>
                <w:sz w:val="18"/>
                <w:szCs w:val="18"/>
                <w:highlight w:val="none"/>
              </w:rPr>
            </w:pPr>
            <w:r>
              <w:rPr>
                <w:rFonts w:hint="eastAsia" w:ascii="宋体" w:hAnsi="宋体" w:cs="宋体"/>
                <w:sz w:val="18"/>
                <w:szCs w:val="18"/>
                <w:highlight w:val="none"/>
              </w:rPr>
              <w:t>投标有效期：符合第二章“投标人须知”第3.3.1规定；</w:t>
            </w:r>
          </w:p>
        </w:tc>
        <w:tc>
          <w:tcPr>
            <w:tcW w:w="761" w:type="dxa"/>
            <w:vAlign w:val="center"/>
          </w:tcPr>
          <w:p w14:paraId="26677CB0">
            <w:pPr>
              <w:tabs>
                <w:tab w:val="left" w:pos="720"/>
              </w:tabs>
              <w:snapToGrid w:val="0"/>
              <w:spacing w:line="276" w:lineRule="auto"/>
              <w:jc w:val="center"/>
              <w:rPr>
                <w:rFonts w:ascii="宋体" w:hAnsi="宋体"/>
                <w:sz w:val="18"/>
                <w:szCs w:val="18"/>
                <w:highlight w:val="none"/>
              </w:rPr>
            </w:pPr>
          </w:p>
        </w:tc>
        <w:tc>
          <w:tcPr>
            <w:tcW w:w="762" w:type="dxa"/>
            <w:vAlign w:val="center"/>
          </w:tcPr>
          <w:p w14:paraId="26D35358">
            <w:pPr>
              <w:tabs>
                <w:tab w:val="left" w:pos="720"/>
              </w:tabs>
              <w:snapToGrid w:val="0"/>
              <w:spacing w:line="276" w:lineRule="auto"/>
              <w:jc w:val="center"/>
              <w:rPr>
                <w:rFonts w:ascii="宋体" w:hAnsi="宋体"/>
                <w:sz w:val="18"/>
                <w:szCs w:val="18"/>
                <w:highlight w:val="none"/>
              </w:rPr>
            </w:pPr>
          </w:p>
        </w:tc>
        <w:tc>
          <w:tcPr>
            <w:tcW w:w="762" w:type="dxa"/>
            <w:vAlign w:val="center"/>
          </w:tcPr>
          <w:p w14:paraId="2BEF17B1">
            <w:pPr>
              <w:tabs>
                <w:tab w:val="left" w:pos="720"/>
              </w:tabs>
              <w:snapToGrid w:val="0"/>
              <w:spacing w:line="276" w:lineRule="auto"/>
              <w:jc w:val="center"/>
              <w:rPr>
                <w:rFonts w:ascii="宋体" w:hAnsi="宋体"/>
                <w:sz w:val="18"/>
                <w:szCs w:val="18"/>
                <w:highlight w:val="none"/>
              </w:rPr>
            </w:pPr>
          </w:p>
        </w:tc>
        <w:tc>
          <w:tcPr>
            <w:tcW w:w="762" w:type="dxa"/>
            <w:vAlign w:val="center"/>
          </w:tcPr>
          <w:p w14:paraId="15D16544">
            <w:pPr>
              <w:tabs>
                <w:tab w:val="left" w:pos="720"/>
              </w:tabs>
              <w:snapToGrid w:val="0"/>
              <w:spacing w:line="276" w:lineRule="auto"/>
              <w:jc w:val="center"/>
              <w:rPr>
                <w:rFonts w:ascii="宋体" w:hAnsi="宋体"/>
                <w:sz w:val="18"/>
                <w:szCs w:val="18"/>
                <w:highlight w:val="none"/>
              </w:rPr>
            </w:pPr>
          </w:p>
        </w:tc>
        <w:tc>
          <w:tcPr>
            <w:tcW w:w="762" w:type="dxa"/>
            <w:vAlign w:val="center"/>
          </w:tcPr>
          <w:p w14:paraId="12627530">
            <w:pPr>
              <w:tabs>
                <w:tab w:val="left" w:pos="720"/>
              </w:tabs>
              <w:snapToGrid w:val="0"/>
              <w:spacing w:line="276" w:lineRule="auto"/>
              <w:jc w:val="center"/>
              <w:rPr>
                <w:rFonts w:ascii="宋体" w:hAnsi="宋体"/>
                <w:sz w:val="18"/>
                <w:szCs w:val="18"/>
                <w:highlight w:val="none"/>
              </w:rPr>
            </w:pPr>
          </w:p>
        </w:tc>
      </w:tr>
      <w:tr w14:paraId="44F1D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426" w:type="dxa"/>
            <w:vAlign w:val="center"/>
          </w:tcPr>
          <w:p w14:paraId="043206C7">
            <w:pPr>
              <w:tabs>
                <w:tab w:val="left" w:pos="720"/>
              </w:tabs>
              <w:snapToGrid w:val="0"/>
              <w:spacing w:line="276" w:lineRule="auto"/>
              <w:jc w:val="center"/>
              <w:rPr>
                <w:rFonts w:ascii="宋体" w:hAnsi="宋体"/>
                <w:sz w:val="18"/>
                <w:szCs w:val="18"/>
                <w:highlight w:val="none"/>
              </w:rPr>
            </w:pPr>
            <w:r>
              <w:rPr>
                <w:rFonts w:hint="eastAsia" w:ascii="宋体" w:hAnsi="宋体"/>
                <w:sz w:val="18"/>
                <w:szCs w:val="18"/>
                <w:highlight w:val="none"/>
              </w:rPr>
              <w:t>6</w:t>
            </w:r>
          </w:p>
        </w:tc>
        <w:tc>
          <w:tcPr>
            <w:tcW w:w="4927" w:type="dxa"/>
            <w:vAlign w:val="center"/>
          </w:tcPr>
          <w:p w14:paraId="3BA7EE6B">
            <w:pPr>
              <w:tabs>
                <w:tab w:val="left" w:pos="720"/>
              </w:tabs>
              <w:snapToGrid w:val="0"/>
              <w:spacing w:line="276" w:lineRule="auto"/>
              <w:rPr>
                <w:rFonts w:ascii="宋体" w:hAnsi="宋体" w:cs="宋体"/>
                <w:sz w:val="18"/>
                <w:szCs w:val="18"/>
                <w:highlight w:val="none"/>
              </w:rPr>
            </w:pPr>
            <w:r>
              <w:rPr>
                <w:rFonts w:hint="eastAsia" w:ascii="宋体" w:hAnsi="宋体" w:cs="宋体"/>
                <w:sz w:val="18"/>
                <w:szCs w:val="18"/>
                <w:highlight w:val="none"/>
              </w:rPr>
              <w:t>串通投标情形：不存在串通投标情形（串通投标情形以《中华人民共和国招标投标法实施条例》的规定为准）。</w:t>
            </w:r>
          </w:p>
        </w:tc>
        <w:tc>
          <w:tcPr>
            <w:tcW w:w="761" w:type="dxa"/>
            <w:vAlign w:val="center"/>
          </w:tcPr>
          <w:p w14:paraId="550CA93E">
            <w:pPr>
              <w:tabs>
                <w:tab w:val="left" w:pos="720"/>
              </w:tabs>
              <w:snapToGrid w:val="0"/>
              <w:spacing w:line="276" w:lineRule="auto"/>
              <w:jc w:val="center"/>
              <w:rPr>
                <w:rFonts w:ascii="宋体" w:hAnsi="宋体"/>
                <w:sz w:val="18"/>
                <w:szCs w:val="18"/>
                <w:highlight w:val="none"/>
              </w:rPr>
            </w:pPr>
          </w:p>
        </w:tc>
        <w:tc>
          <w:tcPr>
            <w:tcW w:w="762" w:type="dxa"/>
            <w:vAlign w:val="center"/>
          </w:tcPr>
          <w:p w14:paraId="6D1F8715">
            <w:pPr>
              <w:tabs>
                <w:tab w:val="left" w:pos="720"/>
              </w:tabs>
              <w:snapToGrid w:val="0"/>
              <w:spacing w:line="276" w:lineRule="auto"/>
              <w:jc w:val="center"/>
              <w:rPr>
                <w:rFonts w:ascii="宋体" w:hAnsi="宋体"/>
                <w:sz w:val="18"/>
                <w:szCs w:val="18"/>
                <w:highlight w:val="none"/>
              </w:rPr>
            </w:pPr>
          </w:p>
        </w:tc>
        <w:tc>
          <w:tcPr>
            <w:tcW w:w="762" w:type="dxa"/>
            <w:vAlign w:val="center"/>
          </w:tcPr>
          <w:p w14:paraId="2842FC01">
            <w:pPr>
              <w:tabs>
                <w:tab w:val="left" w:pos="720"/>
              </w:tabs>
              <w:snapToGrid w:val="0"/>
              <w:spacing w:line="276" w:lineRule="auto"/>
              <w:jc w:val="center"/>
              <w:rPr>
                <w:rFonts w:ascii="宋体" w:hAnsi="宋体"/>
                <w:sz w:val="18"/>
                <w:szCs w:val="18"/>
                <w:highlight w:val="none"/>
              </w:rPr>
            </w:pPr>
          </w:p>
        </w:tc>
        <w:tc>
          <w:tcPr>
            <w:tcW w:w="762" w:type="dxa"/>
            <w:vAlign w:val="center"/>
          </w:tcPr>
          <w:p w14:paraId="6039FCDC">
            <w:pPr>
              <w:tabs>
                <w:tab w:val="left" w:pos="720"/>
              </w:tabs>
              <w:snapToGrid w:val="0"/>
              <w:spacing w:line="276" w:lineRule="auto"/>
              <w:jc w:val="center"/>
              <w:rPr>
                <w:rFonts w:ascii="宋体" w:hAnsi="宋体"/>
                <w:sz w:val="18"/>
                <w:szCs w:val="18"/>
                <w:highlight w:val="none"/>
              </w:rPr>
            </w:pPr>
          </w:p>
        </w:tc>
        <w:tc>
          <w:tcPr>
            <w:tcW w:w="762" w:type="dxa"/>
            <w:vAlign w:val="center"/>
          </w:tcPr>
          <w:p w14:paraId="1AA131B9">
            <w:pPr>
              <w:tabs>
                <w:tab w:val="left" w:pos="720"/>
              </w:tabs>
              <w:snapToGrid w:val="0"/>
              <w:spacing w:line="276" w:lineRule="auto"/>
              <w:jc w:val="center"/>
              <w:rPr>
                <w:rFonts w:ascii="宋体" w:hAnsi="宋体"/>
                <w:sz w:val="18"/>
                <w:szCs w:val="18"/>
                <w:highlight w:val="none"/>
              </w:rPr>
            </w:pPr>
          </w:p>
        </w:tc>
      </w:tr>
      <w:tr w14:paraId="1F331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426" w:type="dxa"/>
            <w:vAlign w:val="center"/>
          </w:tcPr>
          <w:p w14:paraId="266D9AD1">
            <w:pPr>
              <w:tabs>
                <w:tab w:val="left" w:pos="720"/>
              </w:tabs>
              <w:snapToGrid w:val="0"/>
              <w:spacing w:line="276" w:lineRule="auto"/>
              <w:jc w:val="center"/>
              <w:rPr>
                <w:rFonts w:ascii="宋体" w:hAnsi="宋体"/>
                <w:sz w:val="18"/>
                <w:szCs w:val="18"/>
                <w:highlight w:val="none"/>
              </w:rPr>
            </w:pPr>
            <w:r>
              <w:rPr>
                <w:rFonts w:hint="eastAsia" w:ascii="宋体" w:hAnsi="宋体"/>
                <w:sz w:val="18"/>
                <w:szCs w:val="18"/>
                <w:highlight w:val="none"/>
              </w:rPr>
              <w:t>结论</w:t>
            </w:r>
          </w:p>
        </w:tc>
        <w:tc>
          <w:tcPr>
            <w:tcW w:w="4927" w:type="dxa"/>
            <w:vAlign w:val="center"/>
          </w:tcPr>
          <w:p w14:paraId="4A594550">
            <w:pPr>
              <w:tabs>
                <w:tab w:val="left" w:pos="720"/>
              </w:tabs>
              <w:snapToGrid w:val="0"/>
              <w:spacing w:line="276" w:lineRule="auto"/>
              <w:rPr>
                <w:rFonts w:ascii="宋体" w:hAnsi="宋体" w:cs="宋体"/>
                <w:sz w:val="18"/>
                <w:szCs w:val="18"/>
                <w:highlight w:val="none"/>
              </w:rPr>
            </w:pPr>
            <w:r>
              <w:rPr>
                <w:rFonts w:hint="eastAsia" w:ascii="宋体" w:hAnsi="宋体"/>
                <w:sz w:val="18"/>
                <w:szCs w:val="18"/>
                <w:highlight w:val="none"/>
              </w:rPr>
              <w:t>是否通过并进入下一阶段评审</w:t>
            </w:r>
          </w:p>
        </w:tc>
        <w:tc>
          <w:tcPr>
            <w:tcW w:w="761" w:type="dxa"/>
            <w:vAlign w:val="center"/>
          </w:tcPr>
          <w:p w14:paraId="37DE27CF">
            <w:pPr>
              <w:tabs>
                <w:tab w:val="left" w:pos="720"/>
              </w:tabs>
              <w:snapToGrid w:val="0"/>
              <w:spacing w:line="276" w:lineRule="auto"/>
              <w:jc w:val="center"/>
              <w:rPr>
                <w:rFonts w:ascii="宋体" w:hAnsi="宋体"/>
                <w:sz w:val="18"/>
                <w:szCs w:val="18"/>
                <w:highlight w:val="none"/>
              </w:rPr>
            </w:pPr>
          </w:p>
        </w:tc>
        <w:tc>
          <w:tcPr>
            <w:tcW w:w="762" w:type="dxa"/>
            <w:vAlign w:val="center"/>
          </w:tcPr>
          <w:p w14:paraId="65324229">
            <w:pPr>
              <w:tabs>
                <w:tab w:val="left" w:pos="720"/>
              </w:tabs>
              <w:snapToGrid w:val="0"/>
              <w:spacing w:line="276" w:lineRule="auto"/>
              <w:jc w:val="center"/>
              <w:rPr>
                <w:rFonts w:ascii="宋体" w:hAnsi="宋体"/>
                <w:sz w:val="18"/>
                <w:szCs w:val="18"/>
                <w:highlight w:val="none"/>
              </w:rPr>
            </w:pPr>
          </w:p>
        </w:tc>
        <w:tc>
          <w:tcPr>
            <w:tcW w:w="762" w:type="dxa"/>
            <w:vAlign w:val="center"/>
          </w:tcPr>
          <w:p w14:paraId="722D3B03">
            <w:pPr>
              <w:tabs>
                <w:tab w:val="left" w:pos="720"/>
              </w:tabs>
              <w:snapToGrid w:val="0"/>
              <w:spacing w:line="276" w:lineRule="auto"/>
              <w:jc w:val="center"/>
              <w:rPr>
                <w:rFonts w:ascii="宋体" w:hAnsi="宋体"/>
                <w:sz w:val="18"/>
                <w:szCs w:val="18"/>
                <w:highlight w:val="none"/>
              </w:rPr>
            </w:pPr>
          </w:p>
        </w:tc>
        <w:tc>
          <w:tcPr>
            <w:tcW w:w="762" w:type="dxa"/>
            <w:vAlign w:val="center"/>
          </w:tcPr>
          <w:p w14:paraId="6505F046">
            <w:pPr>
              <w:tabs>
                <w:tab w:val="left" w:pos="720"/>
              </w:tabs>
              <w:snapToGrid w:val="0"/>
              <w:spacing w:line="276" w:lineRule="auto"/>
              <w:jc w:val="center"/>
              <w:rPr>
                <w:rFonts w:ascii="宋体" w:hAnsi="宋体"/>
                <w:sz w:val="18"/>
                <w:szCs w:val="18"/>
                <w:highlight w:val="none"/>
              </w:rPr>
            </w:pPr>
          </w:p>
        </w:tc>
        <w:tc>
          <w:tcPr>
            <w:tcW w:w="762" w:type="dxa"/>
            <w:vAlign w:val="center"/>
          </w:tcPr>
          <w:p w14:paraId="1EA9A201">
            <w:pPr>
              <w:tabs>
                <w:tab w:val="left" w:pos="720"/>
              </w:tabs>
              <w:snapToGrid w:val="0"/>
              <w:spacing w:line="276" w:lineRule="auto"/>
              <w:jc w:val="center"/>
              <w:rPr>
                <w:rFonts w:ascii="宋体" w:hAnsi="宋体"/>
                <w:sz w:val="18"/>
                <w:szCs w:val="18"/>
                <w:highlight w:val="none"/>
              </w:rPr>
            </w:pPr>
          </w:p>
        </w:tc>
      </w:tr>
    </w:tbl>
    <w:p w14:paraId="1EC8FF87">
      <w:pPr>
        <w:tabs>
          <w:tab w:val="left" w:pos="720"/>
        </w:tabs>
        <w:snapToGrid w:val="0"/>
        <w:rPr>
          <w:rFonts w:ascii="宋体" w:hAnsi="宋体" w:cs="宋体"/>
          <w:sz w:val="18"/>
          <w:szCs w:val="18"/>
          <w:highlight w:val="none"/>
        </w:rPr>
      </w:pPr>
      <w:r>
        <w:rPr>
          <w:rFonts w:hint="eastAsia" w:ascii="宋体" w:hAnsi="宋体" w:cs="宋体"/>
          <w:sz w:val="18"/>
          <w:szCs w:val="18"/>
          <w:highlight w:val="none"/>
        </w:rPr>
        <w:t>备注：1、“是否通过并进入下一阶段评审”一栏应写“通过”“不通过”。</w:t>
      </w:r>
    </w:p>
    <w:p w14:paraId="3BE9DE42">
      <w:pPr>
        <w:tabs>
          <w:tab w:val="left" w:pos="720"/>
        </w:tabs>
        <w:snapToGrid w:val="0"/>
        <w:ind w:firstLine="540" w:firstLineChars="300"/>
        <w:rPr>
          <w:rFonts w:ascii="宋体" w:hAnsi="宋体" w:cs="宋体"/>
          <w:sz w:val="18"/>
          <w:szCs w:val="18"/>
          <w:highlight w:val="none"/>
        </w:rPr>
      </w:pPr>
      <w:r>
        <w:rPr>
          <w:rFonts w:hint="eastAsia" w:ascii="宋体" w:hAnsi="宋体" w:cs="宋体"/>
          <w:sz w:val="18"/>
          <w:szCs w:val="18"/>
          <w:highlight w:val="none"/>
        </w:rPr>
        <w:t>2、符合要求的打“√”，不符合的打“×”。</w:t>
      </w:r>
    </w:p>
    <w:p w14:paraId="222FD2C9">
      <w:pPr>
        <w:tabs>
          <w:tab w:val="left" w:pos="720"/>
        </w:tabs>
        <w:snapToGrid w:val="0"/>
        <w:ind w:firstLine="540" w:firstLineChars="300"/>
        <w:rPr>
          <w:rFonts w:ascii="宋体" w:hAnsi="宋体" w:cs="宋体"/>
          <w:sz w:val="18"/>
          <w:szCs w:val="18"/>
          <w:highlight w:val="none"/>
        </w:rPr>
      </w:pPr>
      <w:r>
        <w:rPr>
          <w:rFonts w:hint="eastAsia" w:ascii="宋体" w:hAnsi="宋体" w:cs="宋体"/>
          <w:sz w:val="18"/>
          <w:szCs w:val="18"/>
          <w:highlight w:val="none"/>
        </w:rPr>
        <w:t>3、经评标委员会审核后，出现一个“×”的结论为“不通过”，即按废标处理。</w:t>
      </w:r>
    </w:p>
    <w:p w14:paraId="3440C72D">
      <w:pPr>
        <w:tabs>
          <w:tab w:val="left" w:pos="720"/>
        </w:tabs>
        <w:snapToGrid w:val="0"/>
        <w:ind w:firstLine="540" w:firstLineChars="300"/>
        <w:rPr>
          <w:rFonts w:ascii="宋体" w:hAnsi="宋体" w:cs="宋体"/>
          <w:sz w:val="18"/>
          <w:szCs w:val="18"/>
          <w:highlight w:val="none"/>
        </w:rPr>
      </w:pPr>
      <w:r>
        <w:rPr>
          <w:rFonts w:hint="eastAsia" w:ascii="宋体" w:hAnsi="宋体" w:cs="宋体"/>
          <w:sz w:val="18"/>
          <w:szCs w:val="18"/>
          <w:highlight w:val="none"/>
        </w:rPr>
        <w:t>4、表中全部条件满足为“通过”，同意进入下一阶段评审。</w:t>
      </w:r>
    </w:p>
    <w:p w14:paraId="1276902E">
      <w:pPr>
        <w:tabs>
          <w:tab w:val="left" w:pos="720"/>
        </w:tabs>
        <w:snapToGrid w:val="0"/>
        <w:ind w:firstLine="540" w:firstLineChars="300"/>
        <w:rPr>
          <w:highlight w:val="none"/>
        </w:rPr>
      </w:pPr>
      <w:r>
        <w:rPr>
          <w:rFonts w:hint="eastAsia" w:ascii="宋体" w:hAnsi="宋体" w:cs="宋体"/>
          <w:sz w:val="18"/>
          <w:szCs w:val="18"/>
          <w:highlight w:val="none"/>
        </w:rPr>
        <w:t>5、若评委意见不一致时，则按少数服从多数的原则，决定该投标人是否通过响应性审查，进入下一阶段评审。</w:t>
      </w:r>
      <w:r>
        <w:rPr>
          <w:highlight w:val="none"/>
        </w:rPr>
        <w:br w:type="page"/>
      </w:r>
    </w:p>
    <w:p w14:paraId="57F8D505">
      <w:pPr>
        <w:pStyle w:val="5"/>
        <w:ind w:firstLine="281" w:firstLineChars="100"/>
        <w:rPr>
          <w:highlight w:val="none"/>
        </w:rPr>
      </w:pPr>
      <w:bookmarkStart w:id="115" w:name="_Toc103592024"/>
      <w:bookmarkStart w:id="116" w:name="_Toc2105"/>
      <w:bookmarkStart w:id="117" w:name="_Toc19098"/>
      <w:r>
        <w:rPr>
          <w:rFonts w:hint="eastAsia"/>
          <w:highlight w:val="none"/>
        </w:rPr>
        <w:t>附表四：综合评分表</w:t>
      </w:r>
      <w:bookmarkEnd w:id="115"/>
      <w:bookmarkEnd w:id="116"/>
      <w:bookmarkEnd w:id="117"/>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6"/>
        <w:gridCol w:w="1266"/>
        <w:gridCol w:w="1291"/>
        <w:gridCol w:w="5938"/>
      </w:tblGrid>
      <w:tr w14:paraId="43A17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996"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14:paraId="10223407">
            <w:pPr>
              <w:adjustRightInd w:val="0"/>
              <w:snapToGrid w:val="0"/>
              <w:spacing w:line="276" w:lineRule="auto"/>
              <w:jc w:val="center"/>
              <w:rPr>
                <w:rFonts w:ascii="宋体" w:hAnsi="宋体" w:cs="宋体"/>
                <w:b/>
                <w:bCs/>
                <w:szCs w:val="21"/>
                <w:highlight w:val="none"/>
              </w:rPr>
            </w:pPr>
            <w:r>
              <w:rPr>
                <w:rFonts w:hint="eastAsia" w:ascii="宋体" w:hAnsi="宋体" w:cs="宋体"/>
                <w:b/>
                <w:bCs/>
                <w:szCs w:val="21"/>
                <w:highlight w:val="none"/>
              </w:rPr>
              <w:t>项目</w:t>
            </w:r>
          </w:p>
        </w:tc>
        <w:tc>
          <w:tcPr>
            <w:tcW w:w="2557" w:type="dxa"/>
            <w:gridSpan w:val="2"/>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14:paraId="6D832681">
            <w:pPr>
              <w:adjustRightInd w:val="0"/>
              <w:snapToGrid w:val="0"/>
              <w:spacing w:line="276" w:lineRule="auto"/>
              <w:jc w:val="center"/>
              <w:rPr>
                <w:rFonts w:ascii="宋体" w:hAnsi="宋体" w:cs="宋体"/>
                <w:b/>
                <w:bCs/>
                <w:szCs w:val="21"/>
                <w:highlight w:val="none"/>
              </w:rPr>
            </w:pPr>
            <w:r>
              <w:rPr>
                <w:rFonts w:hint="eastAsia" w:ascii="宋体" w:hAnsi="宋体" w:cs="宋体"/>
                <w:b/>
                <w:bCs/>
                <w:szCs w:val="21"/>
                <w:highlight w:val="none"/>
              </w:rPr>
              <w:t>评分因素</w:t>
            </w:r>
          </w:p>
        </w:tc>
        <w:tc>
          <w:tcPr>
            <w:tcW w:w="5938" w:type="dxa"/>
            <w:tcBorders>
              <w:top w:val="single" w:color="auto" w:sz="4" w:space="0"/>
              <w:left w:val="single" w:color="auto" w:sz="4" w:space="0"/>
              <w:bottom w:val="single" w:color="auto" w:sz="4" w:space="0"/>
              <w:right w:val="single" w:color="auto" w:sz="4" w:space="0"/>
            </w:tcBorders>
            <w:vAlign w:val="center"/>
          </w:tcPr>
          <w:p w14:paraId="574DA3EE">
            <w:pPr>
              <w:adjustRightInd w:val="0"/>
              <w:snapToGrid w:val="0"/>
              <w:spacing w:line="276" w:lineRule="auto"/>
              <w:jc w:val="center"/>
              <w:rPr>
                <w:rFonts w:ascii="宋体" w:hAnsi="宋体" w:cs="宋体"/>
                <w:b/>
                <w:bCs/>
                <w:szCs w:val="21"/>
                <w:highlight w:val="none"/>
              </w:rPr>
            </w:pPr>
            <w:r>
              <w:rPr>
                <w:rFonts w:hint="eastAsia" w:ascii="宋体" w:hAnsi="宋体" w:cs="宋体"/>
                <w:b/>
                <w:bCs/>
                <w:szCs w:val="21"/>
                <w:highlight w:val="none"/>
              </w:rPr>
              <w:t>评分标准</w:t>
            </w:r>
          </w:p>
        </w:tc>
      </w:tr>
      <w:tr w14:paraId="056BC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9" w:hRule="atLeast"/>
          <w:jc w:val="center"/>
        </w:trPr>
        <w:tc>
          <w:tcPr>
            <w:tcW w:w="996" w:type="dxa"/>
            <w:vMerge w:val="restart"/>
            <w:tcBorders>
              <w:top w:val="single" w:color="auto" w:sz="4" w:space="0"/>
              <w:left w:val="single" w:color="auto" w:sz="4" w:space="0"/>
              <w:right w:val="single" w:color="auto" w:sz="4" w:space="0"/>
            </w:tcBorders>
            <w:tcMar>
              <w:top w:w="0" w:type="dxa"/>
              <w:left w:w="57" w:type="dxa"/>
              <w:bottom w:w="0" w:type="dxa"/>
              <w:right w:w="57" w:type="dxa"/>
            </w:tcMar>
            <w:vAlign w:val="center"/>
          </w:tcPr>
          <w:p w14:paraId="61B26635">
            <w:pPr>
              <w:adjustRightInd w:val="0"/>
              <w:snapToGrid w:val="0"/>
              <w:spacing w:line="276" w:lineRule="auto"/>
              <w:jc w:val="center"/>
              <w:rPr>
                <w:rFonts w:ascii="宋体" w:hAnsi="宋体"/>
                <w:szCs w:val="21"/>
                <w:highlight w:val="none"/>
              </w:rPr>
            </w:pPr>
          </w:p>
          <w:p w14:paraId="7A813BDC">
            <w:pPr>
              <w:adjustRightInd w:val="0"/>
              <w:snapToGrid w:val="0"/>
              <w:spacing w:line="276" w:lineRule="auto"/>
              <w:jc w:val="center"/>
              <w:rPr>
                <w:rFonts w:ascii="宋体" w:hAnsi="宋体"/>
                <w:szCs w:val="21"/>
                <w:highlight w:val="none"/>
              </w:rPr>
            </w:pPr>
          </w:p>
          <w:p w14:paraId="5AA15121">
            <w:pPr>
              <w:adjustRightInd w:val="0"/>
              <w:snapToGrid w:val="0"/>
              <w:spacing w:line="276" w:lineRule="auto"/>
              <w:jc w:val="center"/>
              <w:rPr>
                <w:rFonts w:ascii="宋体" w:hAnsi="宋体"/>
                <w:szCs w:val="21"/>
                <w:highlight w:val="none"/>
              </w:rPr>
            </w:pPr>
          </w:p>
          <w:p w14:paraId="7C261BED">
            <w:pPr>
              <w:adjustRightInd w:val="0"/>
              <w:snapToGrid w:val="0"/>
              <w:spacing w:line="276" w:lineRule="auto"/>
              <w:jc w:val="center"/>
              <w:rPr>
                <w:rFonts w:ascii="宋体" w:hAnsi="宋体"/>
                <w:szCs w:val="21"/>
                <w:highlight w:val="none"/>
              </w:rPr>
            </w:pPr>
          </w:p>
          <w:p w14:paraId="5C8988A6">
            <w:pPr>
              <w:adjustRightInd w:val="0"/>
              <w:snapToGrid w:val="0"/>
              <w:spacing w:line="276" w:lineRule="auto"/>
              <w:jc w:val="center"/>
              <w:rPr>
                <w:rFonts w:ascii="宋体" w:hAnsi="宋体"/>
                <w:szCs w:val="21"/>
                <w:highlight w:val="none"/>
              </w:rPr>
            </w:pPr>
          </w:p>
          <w:p w14:paraId="33F7E325">
            <w:pPr>
              <w:adjustRightInd w:val="0"/>
              <w:snapToGrid w:val="0"/>
              <w:spacing w:line="276" w:lineRule="auto"/>
              <w:jc w:val="center"/>
              <w:rPr>
                <w:rFonts w:ascii="宋体" w:hAnsi="宋体"/>
                <w:szCs w:val="21"/>
                <w:highlight w:val="none"/>
              </w:rPr>
            </w:pPr>
          </w:p>
          <w:p w14:paraId="36AC50F7">
            <w:pPr>
              <w:adjustRightInd w:val="0"/>
              <w:snapToGrid w:val="0"/>
              <w:spacing w:line="276" w:lineRule="auto"/>
              <w:ind w:left="181" w:right="-20"/>
              <w:jc w:val="center"/>
              <w:rPr>
                <w:rFonts w:ascii="宋体" w:hAnsi="宋体" w:cs="宋体"/>
                <w:szCs w:val="21"/>
                <w:highlight w:val="none"/>
              </w:rPr>
            </w:pPr>
          </w:p>
          <w:p w14:paraId="79A05801">
            <w:pPr>
              <w:adjustRightInd w:val="0"/>
              <w:snapToGrid w:val="0"/>
              <w:spacing w:line="276" w:lineRule="auto"/>
              <w:jc w:val="center"/>
              <w:rPr>
                <w:rFonts w:ascii="宋体" w:hAnsi="宋体"/>
                <w:szCs w:val="21"/>
                <w:highlight w:val="none"/>
              </w:rPr>
            </w:pPr>
          </w:p>
          <w:p w14:paraId="36326664">
            <w:pPr>
              <w:adjustRightInd w:val="0"/>
              <w:snapToGrid w:val="0"/>
              <w:spacing w:line="276" w:lineRule="auto"/>
              <w:jc w:val="center"/>
              <w:rPr>
                <w:rFonts w:ascii="宋体" w:hAnsi="宋体"/>
                <w:szCs w:val="21"/>
                <w:highlight w:val="none"/>
              </w:rPr>
            </w:pPr>
          </w:p>
          <w:p w14:paraId="787DFDA1">
            <w:pPr>
              <w:adjustRightInd w:val="0"/>
              <w:snapToGrid w:val="0"/>
              <w:spacing w:line="276" w:lineRule="auto"/>
              <w:jc w:val="center"/>
              <w:rPr>
                <w:rFonts w:ascii="宋体" w:hAnsi="宋体"/>
                <w:szCs w:val="21"/>
                <w:highlight w:val="none"/>
              </w:rPr>
            </w:pPr>
          </w:p>
          <w:p w14:paraId="331D549E">
            <w:pPr>
              <w:adjustRightInd w:val="0"/>
              <w:snapToGrid w:val="0"/>
              <w:spacing w:line="276" w:lineRule="auto"/>
              <w:jc w:val="center"/>
              <w:rPr>
                <w:rFonts w:ascii="宋体" w:hAnsi="宋体"/>
                <w:szCs w:val="21"/>
                <w:highlight w:val="none"/>
              </w:rPr>
            </w:pPr>
          </w:p>
          <w:p w14:paraId="2A8BBDB2">
            <w:pPr>
              <w:adjustRightInd w:val="0"/>
              <w:snapToGrid w:val="0"/>
              <w:spacing w:line="276" w:lineRule="auto"/>
              <w:jc w:val="center"/>
              <w:rPr>
                <w:rFonts w:ascii="宋体" w:hAnsi="宋体"/>
                <w:szCs w:val="21"/>
                <w:highlight w:val="none"/>
              </w:rPr>
            </w:pPr>
          </w:p>
          <w:p w14:paraId="233B89F0">
            <w:pPr>
              <w:adjustRightInd w:val="0"/>
              <w:snapToGrid w:val="0"/>
              <w:spacing w:line="276" w:lineRule="auto"/>
              <w:jc w:val="center"/>
              <w:rPr>
                <w:rFonts w:ascii="宋体" w:hAnsi="宋体"/>
                <w:szCs w:val="21"/>
                <w:highlight w:val="none"/>
              </w:rPr>
            </w:pPr>
          </w:p>
          <w:p w14:paraId="11EF947E">
            <w:pPr>
              <w:adjustRightInd w:val="0"/>
              <w:snapToGrid w:val="0"/>
              <w:spacing w:line="276" w:lineRule="auto"/>
              <w:ind w:left="136" w:right="59"/>
              <w:jc w:val="center"/>
              <w:rPr>
                <w:rFonts w:ascii="宋体" w:hAnsi="宋体"/>
                <w:szCs w:val="21"/>
                <w:highlight w:val="none"/>
              </w:rPr>
            </w:pPr>
            <w:bookmarkStart w:id="118" w:name="_Hlk132209407"/>
            <w:r>
              <w:rPr>
                <w:rFonts w:hint="eastAsia" w:ascii="宋体" w:hAnsi="宋体"/>
                <w:szCs w:val="21"/>
                <w:highlight w:val="none"/>
              </w:rPr>
              <w:t>企业综合实力评分标准</w:t>
            </w:r>
          </w:p>
          <w:bookmarkEnd w:id="118"/>
          <w:p w14:paraId="1D15E2DC">
            <w:pPr>
              <w:adjustRightInd w:val="0"/>
              <w:snapToGrid w:val="0"/>
              <w:spacing w:line="276" w:lineRule="auto"/>
              <w:ind w:left="136" w:right="59"/>
              <w:jc w:val="center"/>
              <w:rPr>
                <w:rFonts w:ascii="宋体" w:hAnsi="宋体" w:cs="宋体"/>
                <w:szCs w:val="21"/>
                <w:highlight w:val="none"/>
              </w:rPr>
            </w:pPr>
            <w:r>
              <w:rPr>
                <w:rFonts w:hint="eastAsia" w:ascii="宋体" w:hAnsi="宋体"/>
                <w:szCs w:val="21"/>
                <w:highlight w:val="none"/>
              </w:rPr>
              <w:t>（</w:t>
            </w:r>
            <w:r>
              <w:rPr>
                <w:rFonts w:ascii="宋体" w:hAnsi="宋体"/>
                <w:szCs w:val="21"/>
                <w:highlight w:val="none"/>
              </w:rPr>
              <w:t>60</w:t>
            </w:r>
            <w:r>
              <w:rPr>
                <w:rFonts w:hint="eastAsia" w:ascii="宋体" w:hAnsi="宋体"/>
                <w:szCs w:val="21"/>
                <w:highlight w:val="none"/>
              </w:rPr>
              <w:t>分）</w:t>
            </w:r>
          </w:p>
        </w:tc>
        <w:tc>
          <w:tcPr>
            <w:tcW w:w="2557" w:type="dxa"/>
            <w:gridSpan w:val="2"/>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14:paraId="0BC6A625">
            <w:pPr>
              <w:adjustRightInd w:val="0"/>
              <w:snapToGrid w:val="0"/>
              <w:spacing w:line="276" w:lineRule="auto"/>
              <w:jc w:val="center"/>
              <w:rPr>
                <w:rFonts w:ascii="宋体" w:hAnsi="宋体" w:cs="宋体"/>
                <w:szCs w:val="21"/>
                <w:highlight w:val="none"/>
              </w:rPr>
            </w:pPr>
            <w:r>
              <w:rPr>
                <w:rFonts w:hint="eastAsia" w:ascii="宋体" w:hAnsi="宋体"/>
                <w:szCs w:val="21"/>
                <w:highlight w:val="none"/>
              </w:rPr>
              <w:t>类似项目业绩（</w:t>
            </w:r>
            <w:r>
              <w:rPr>
                <w:rFonts w:ascii="宋体" w:hAnsi="宋体"/>
                <w:szCs w:val="21"/>
                <w:highlight w:val="none"/>
              </w:rPr>
              <w:t>10</w:t>
            </w:r>
            <w:r>
              <w:rPr>
                <w:rFonts w:hint="eastAsia" w:ascii="宋体" w:hAnsi="宋体"/>
                <w:szCs w:val="21"/>
                <w:highlight w:val="none"/>
              </w:rPr>
              <w:t>分）</w:t>
            </w:r>
          </w:p>
        </w:tc>
        <w:tc>
          <w:tcPr>
            <w:tcW w:w="5938" w:type="dxa"/>
            <w:tcBorders>
              <w:top w:val="single" w:color="auto" w:sz="4" w:space="0"/>
              <w:left w:val="single" w:color="auto" w:sz="4" w:space="0"/>
              <w:bottom w:val="single" w:color="auto" w:sz="4" w:space="0"/>
              <w:right w:val="single" w:color="auto" w:sz="4" w:space="0"/>
            </w:tcBorders>
            <w:vAlign w:val="center"/>
          </w:tcPr>
          <w:p w14:paraId="059B44A8">
            <w:pPr>
              <w:pStyle w:val="25"/>
              <w:adjustRightInd w:val="0"/>
              <w:snapToGrid w:val="0"/>
              <w:spacing w:line="276" w:lineRule="auto"/>
              <w:ind w:firstLine="0"/>
              <w:rPr>
                <w:rFonts w:ascii="宋体" w:hAnsi="宋体"/>
                <w:bCs/>
                <w:szCs w:val="21"/>
                <w:highlight w:val="none"/>
              </w:rPr>
            </w:pPr>
            <w:r>
              <w:rPr>
                <w:rFonts w:hint="eastAsia" w:ascii="宋体" w:hAnsi="宋体" w:cs="宋体"/>
                <w:szCs w:val="21"/>
                <w:highlight w:val="none"/>
              </w:rPr>
              <w:t>201</w:t>
            </w:r>
            <w:r>
              <w:rPr>
                <w:rFonts w:hint="eastAsia" w:ascii="宋体" w:hAnsi="宋体" w:cs="宋体"/>
                <w:szCs w:val="21"/>
                <w:highlight w:val="none"/>
                <w:lang w:val="en-US" w:eastAsia="zh-CN"/>
              </w:rPr>
              <w:t>9</w:t>
            </w:r>
            <w:r>
              <w:rPr>
                <w:rFonts w:hint="eastAsia" w:ascii="宋体" w:hAnsi="宋体" w:cs="宋体"/>
                <w:szCs w:val="21"/>
                <w:highlight w:val="none"/>
              </w:rPr>
              <w:t>年1月1日</w:t>
            </w:r>
            <w:r>
              <w:rPr>
                <w:rFonts w:hint="eastAsia" w:ascii="宋体" w:hAnsi="宋体"/>
                <w:bCs/>
                <w:szCs w:val="21"/>
                <w:highlight w:val="none"/>
              </w:rPr>
              <w:t>至今承接过类似检测业绩，每个得</w:t>
            </w:r>
            <w:r>
              <w:rPr>
                <w:rFonts w:ascii="宋体" w:hAnsi="宋体"/>
                <w:bCs/>
                <w:szCs w:val="21"/>
                <w:highlight w:val="none"/>
              </w:rPr>
              <w:t>2</w:t>
            </w:r>
            <w:r>
              <w:rPr>
                <w:rFonts w:hint="eastAsia" w:ascii="宋体" w:hAnsi="宋体"/>
                <w:bCs/>
                <w:szCs w:val="21"/>
                <w:highlight w:val="none"/>
              </w:rPr>
              <w:t>分，最多得</w:t>
            </w:r>
            <w:r>
              <w:rPr>
                <w:rFonts w:ascii="宋体" w:hAnsi="宋体"/>
                <w:bCs/>
                <w:szCs w:val="21"/>
                <w:highlight w:val="none"/>
              </w:rPr>
              <w:t>1</w:t>
            </w:r>
            <w:r>
              <w:rPr>
                <w:rFonts w:hint="eastAsia" w:ascii="宋体" w:hAnsi="宋体"/>
                <w:bCs/>
                <w:szCs w:val="21"/>
                <w:highlight w:val="none"/>
              </w:rPr>
              <w:t>0分。</w:t>
            </w:r>
          </w:p>
          <w:p w14:paraId="0275EA08">
            <w:pPr>
              <w:pStyle w:val="25"/>
              <w:adjustRightInd w:val="0"/>
              <w:snapToGrid w:val="0"/>
              <w:spacing w:line="276" w:lineRule="auto"/>
              <w:ind w:firstLine="0"/>
              <w:rPr>
                <w:rFonts w:ascii="宋体" w:hAnsi="宋体"/>
                <w:b/>
                <w:szCs w:val="21"/>
                <w:highlight w:val="none"/>
              </w:rPr>
            </w:pPr>
            <w:r>
              <w:rPr>
                <w:rFonts w:hint="eastAsia" w:ascii="宋体" w:hAnsi="宋体"/>
                <w:b/>
                <w:bCs w:val="0"/>
                <w:szCs w:val="21"/>
                <w:highlight w:val="none"/>
              </w:rPr>
              <w:t>注：</w:t>
            </w:r>
            <w:r>
              <w:rPr>
                <w:rFonts w:hint="eastAsia" w:ascii="宋体" w:hAnsi="宋体" w:cs="宋体"/>
                <w:b/>
                <w:bCs w:val="0"/>
                <w:szCs w:val="21"/>
                <w:highlight w:val="none"/>
              </w:rPr>
              <w:t>须同时提供中标通知书</w:t>
            </w:r>
            <w:r>
              <w:rPr>
                <w:rFonts w:hint="eastAsia" w:ascii="宋体" w:hAnsi="宋体" w:eastAsia="宋体" w:cs="宋体"/>
                <w:b/>
                <w:color w:val="auto"/>
                <w:sz w:val="21"/>
                <w:szCs w:val="21"/>
                <w:highlight w:val="none"/>
              </w:rPr>
              <w:t>（或免招标证明）</w:t>
            </w:r>
            <w:r>
              <w:rPr>
                <w:rFonts w:hint="eastAsia" w:ascii="宋体" w:hAnsi="宋体" w:cs="宋体"/>
                <w:b/>
                <w:bCs w:val="0"/>
                <w:szCs w:val="21"/>
                <w:highlight w:val="none"/>
              </w:rPr>
              <w:t>、技术服务合同和检测报告的扫描件并加盖公章。类似项目业绩时间以检测报告的时间为准。</w:t>
            </w:r>
            <w:r>
              <w:rPr>
                <w:rFonts w:hint="eastAsia" w:ascii="宋体" w:hAnsi="宋体"/>
                <w:b/>
                <w:bCs w:val="0"/>
                <w:szCs w:val="21"/>
                <w:highlight w:val="none"/>
              </w:rPr>
              <w:t>类似检测业绩指：包含本项目招标内容中的一项或多项内容的建设工程检测业绩。</w:t>
            </w:r>
          </w:p>
        </w:tc>
      </w:tr>
      <w:tr w14:paraId="3ABE4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996" w:type="dxa"/>
            <w:vMerge w:val="continue"/>
            <w:tcBorders>
              <w:left w:val="single" w:color="auto" w:sz="4" w:space="0"/>
              <w:right w:val="single" w:color="auto" w:sz="4" w:space="0"/>
            </w:tcBorders>
            <w:tcMar>
              <w:top w:w="0" w:type="dxa"/>
              <w:left w:w="57" w:type="dxa"/>
              <w:bottom w:w="0" w:type="dxa"/>
              <w:right w:w="57" w:type="dxa"/>
            </w:tcMar>
            <w:vAlign w:val="center"/>
          </w:tcPr>
          <w:p w14:paraId="43FDF6F0">
            <w:pPr>
              <w:widowControl/>
              <w:adjustRightInd w:val="0"/>
              <w:snapToGrid w:val="0"/>
              <w:spacing w:line="276" w:lineRule="auto"/>
              <w:jc w:val="left"/>
              <w:rPr>
                <w:rFonts w:ascii="宋体" w:hAnsi="宋体"/>
                <w:szCs w:val="21"/>
                <w:highlight w:val="none"/>
              </w:rPr>
            </w:pPr>
          </w:p>
        </w:tc>
        <w:tc>
          <w:tcPr>
            <w:tcW w:w="2557" w:type="dxa"/>
            <w:gridSpan w:val="2"/>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14:paraId="41DB2F5A">
            <w:pPr>
              <w:adjustRightInd w:val="0"/>
              <w:snapToGrid w:val="0"/>
              <w:spacing w:line="276" w:lineRule="auto"/>
              <w:ind w:right="-20"/>
              <w:jc w:val="center"/>
              <w:rPr>
                <w:rFonts w:ascii="宋体" w:hAnsi="宋体" w:cs="宋体"/>
                <w:szCs w:val="21"/>
                <w:highlight w:val="none"/>
              </w:rPr>
            </w:pPr>
            <w:r>
              <w:rPr>
                <w:rFonts w:hint="eastAsia" w:ascii="宋体" w:hAnsi="宋体" w:cs="宋体"/>
                <w:szCs w:val="21"/>
                <w:highlight w:val="none"/>
              </w:rPr>
              <w:t>投标人信誉综合评价（25分）</w:t>
            </w:r>
          </w:p>
        </w:tc>
        <w:tc>
          <w:tcPr>
            <w:tcW w:w="5938" w:type="dxa"/>
            <w:tcBorders>
              <w:top w:val="single" w:color="auto" w:sz="4" w:space="0"/>
              <w:left w:val="single" w:color="auto" w:sz="4" w:space="0"/>
              <w:bottom w:val="single" w:color="auto" w:sz="4" w:space="0"/>
              <w:right w:val="single" w:color="auto" w:sz="4" w:space="0"/>
            </w:tcBorders>
            <w:vAlign w:val="center"/>
          </w:tcPr>
          <w:p w14:paraId="48D70FF9">
            <w:pPr>
              <w:pStyle w:val="25"/>
              <w:keepNext w:val="0"/>
              <w:keepLines w:val="0"/>
              <w:pageBreakBefore w:val="0"/>
              <w:widowControl w:val="0"/>
              <w:kinsoku/>
              <w:wordWrap/>
              <w:overflowPunct/>
              <w:topLinePunct w:val="0"/>
              <w:autoSpaceDE/>
              <w:autoSpaceDN/>
              <w:bidi w:val="0"/>
              <w:adjustRightInd w:val="0"/>
              <w:snapToGrid w:val="0"/>
              <w:spacing w:line="360" w:lineRule="auto"/>
              <w:ind w:firstLine="0"/>
              <w:textAlignment w:val="auto"/>
              <w:rPr>
                <w:rFonts w:hint="eastAsia" w:ascii="宋体" w:hAnsi="宋体" w:cs="楷体"/>
                <w:b w:val="0"/>
                <w:bCs/>
                <w:szCs w:val="21"/>
                <w:highlight w:val="none"/>
                <w:u w:val="none"/>
              </w:rPr>
            </w:pPr>
            <w:r>
              <w:rPr>
                <w:rFonts w:hint="eastAsia" w:ascii="宋体" w:hAnsi="宋体" w:cs="楷体"/>
                <w:b w:val="0"/>
                <w:bCs/>
                <w:szCs w:val="21"/>
                <w:highlight w:val="none"/>
                <w:u w:val="none"/>
              </w:rPr>
              <w:t>1、投标人具备中国合格评定国家认可委员会检验机构证书</w:t>
            </w:r>
            <w:r>
              <w:rPr>
                <w:rFonts w:hint="eastAsia" w:ascii="宋体" w:hAnsi="宋体" w:cs="楷体"/>
                <w:b w:val="0"/>
                <w:bCs/>
                <w:szCs w:val="21"/>
                <w:highlight w:val="none"/>
                <w:u w:val="none"/>
                <w:lang w:val="en-US" w:eastAsia="zh-CN"/>
              </w:rPr>
              <w:t>及</w:t>
            </w:r>
            <w:r>
              <w:rPr>
                <w:rFonts w:hint="eastAsia" w:ascii="宋体" w:hAnsi="宋体" w:cs="楷体"/>
                <w:b w:val="0"/>
                <w:bCs/>
                <w:szCs w:val="21"/>
                <w:highlight w:val="none"/>
                <w:u w:val="none"/>
              </w:rPr>
              <w:t>实验室认可证书（CNAS）</w:t>
            </w:r>
            <w:r>
              <w:rPr>
                <w:rFonts w:hint="eastAsia" w:ascii="宋体" w:hAnsi="宋体" w:cs="楷体"/>
                <w:b w:val="0"/>
                <w:bCs/>
                <w:szCs w:val="21"/>
                <w:highlight w:val="none"/>
                <w:u w:val="none"/>
                <w:lang w:eastAsia="zh-CN"/>
              </w:rPr>
              <w:t>，</w:t>
            </w:r>
            <w:r>
              <w:rPr>
                <w:rFonts w:hint="eastAsia" w:ascii="宋体" w:hAnsi="宋体" w:cs="楷体"/>
                <w:b w:val="0"/>
                <w:bCs/>
                <w:szCs w:val="21"/>
                <w:highlight w:val="none"/>
                <w:u w:val="none"/>
              </w:rPr>
              <w:t>且在有效期内的</w:t>
            </w:r>
            <w:r>
              <w:rPr>
                <w:rFonts w:hint="eastAsia" w:ascii="宋体" w:hAnsi="宋体" w:cs="楷体"/>
                <w:b w:val="0"/>
                <w:bCs/>
                <w:szCs w:val="21"/>
                <w:highlight w:val="none"/>
                <w:u w:val="none"/>
                <w:lang w:eastAsia="zh-CN"/>
              </w:rPr>
              <w:t>，</w:t>
            </w:r>
            <w:r>
              <w:rPr>
                <w:rFonts w:hint="eastAsia" w:ascii="宋体" w:hAnsi="宋体" w:cs="楷体"/>
                <w:b w:val="0"/>
                <w:bCs/>
                <w:szCs w:val="21"/>
                <w:highlight w:val="none"/>
                <w:u w:val="none"/>
              </w:rPr>
              <w:t>得</w:t>
            </w:r>
            <w:r>
              <w:rPr>
                <w:rFonts w:hint="eastAsia" w:ascii="宋体" w:hAnsi="宋体" w:cs="楷体"/>
                <w:b w:val="0"/>
                <w:bCs/>
                <w:szCs w:val="21"/>
                <w:highlight w:val="none"/>
                <w:u w:val="none"/>
                <w:lang w:val="en-US" w:eastAsia="zh-CN"/>
              </w:rPr>
              <w:t>5</w:t>
            </w:r>
            <w:r>
              <w:rPr>
                <w:rFonts w:hint="eastAsia" w:ascii="宋体" w:hAnsi="宋体" w:cs="楷体"/>
                <w:b w:val="0"/>
                <w:bCs/>
                <w:szCs w:val="21"/>
                <w:highlight w:val="none"/>
                <w:u w:val="none"/>
              </w:rPr>
              <w:t>分，没有的不得分。</w:t>
            </w:r>
          </w:p>
          <w:p w14:paraId="47E66E89">
            <w:pPr>
              <w:pStyle w:val="25"/>
              <w:keepNext w:val="0"/>
              <w:keepLines w:val="0"/>
              <w:pageBreakBefore w:val="0"/>
              <w:widowControl w:val="0"/>
              <w:kinsoku/>
              <w:wordWrap/>
              <w:overflowPunct/>
              <w:topLinePunct w:val="0"/>
              <w:autoSpaceDE/>
              <w:autoSpaceDN/>
              <w:bidi w:val="0"/>
              <w:adjustRightInd w:val="0"/>
              <w:snapToGrid w:val="0"/>
              <w:spacing w:line="360" w:lineRule="auto"/>
              <w:ind w:firstLine="0"/>
              <w:textAlignment w:val="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注：须提供相关证书的清晰扫描件。</w:t>
            </w:r>
            <w:r>
              <w:rPr>
                <w:rFonts w:hint="eastAsia" w:ascii="宋体" w:hAnsi="宋体" w:eastAsia="宋体" w:cs="宋体"/>
                <w:b/>
                <w:bCs w:val="0"/>
                <w:color w:val="auto"/>
                <w:sz w:val="21"/>
                <w:szCs w:val="21"/>
                <w:highlight w:val="none"/>
                <w:lang w:val="en-US"/>
              </w:rPr>
              <w:t>若以联合体方式投标的，本项评分内容</w:t>
            </w:r>
            <w:r>
              <w:rPr>
                <w:rFonts w:hint="eastAsia" w:ascii="宋体" w:hAnsi="宋体" w:eastAsia="宋体" w:cs="宋体"/>
                <w:b/>
                <w:bCs w:val="0"/>
                <w:color w:val="auto"/>
                <w:sz w:val="21"/>
                <w:szCs w:val="21"/>
                <w:highlight w:val="none"/>
              </w:rPr>
              <w:t>以牵头方提供资料为准，成员单位提供不计分。</w:t>
            </w:r>
          </w:p>
          <w:p w14:paraId="770D470F">
            <w:pPr>
              <w:pStyle w:val="25"/>
              <w:keepNext w:val="0"/>
              <w:keepLines w:val="0"/>
              <w:pageBreakBefore w:val="0"/>
              <w:widowControl w:val="0"/>
              <w:kinsoku/>
              <w:wordWrap/>
              <w:overflowPunct/>
              <w:topLinePunct w:val="0"/>
              <w:autoSpaceDE/>
              <w:autoSpaceDN/>
              <w:bidi w:val="0"/>
              <w:adjustRightInd w:val="0"/>
              <w:snapToGrid w:val="0"/>
              <w:spacing w:line="360" w:lineRule="auto"/>
              <w:ind w:firstLine="0"/>
              <w:textAlignment w:val="auto"/>
              <w:rPr>
                <w:rFonts w:hint="eastAsia" w:ascii="宋体" w:hAnsi="宋体" w:cs="楷体"/>
                <w:b w:val="0"/>
                <w:bCs/>
                <w:szCs w:val="21"/>
                <w:highlight w:val="none"/>
                <w:u w:val="none"/>
              </w:rPr>
            </w:pPr>
            <w:r>
              <w:rPr>
                <w:rFonts w:hint="eastAsia" w:ascii="宋体" w:hAnsi="宋体" w:cs="楷体"/>
                <w:b w:val="0"/>
                <w:bCs/>
                <w:szCs w:val="21"/>
                <w:highlight w:val="none"/>
                <w:u w:val="none"/>
              </w:rPr>
              <w:t>2、投标人具有质量管理体系、环境管理体系、职业健康安全管理体系；具有其中一项得</w:t>
            </w:r>
            <w:r>
              <w:rPr>
                <w:rFonts w:hint="eastAsia" w:ascii="宋体" w:hAnsi="宋体" w:cs="楷体"/>
                <w:b w:val="0"/>
                <w:bCs/>
                <w:szCs w:val="21"/>
                <w:highlight w:val="none"/>
                <w:u w:val="none"/>
                <w:lang w:val="en-US" w:eastAsia="zh-CN"/>
              </w:rPr>
              <w:t>2</w:t>
            </w:r>
            <w:r>
              <w:rPr>
                <w:rFonts w:hint="eastAsia" w:ascii="宋体" w:hAnsi="宋体" w:cs="楷体"/>
                <w:b w:val="0"/>
                <w:bCs/>
                <w:szCs w:val="21"/>
                <w:highlight w:val="none"/>
                <w:u w:val="none"/>
              </w:rPr>
              <w:t>分；本项最多得</w:t>
            </w:r>
            <w:r>
              <w:rPr>
                <w:rFonts w:hint="eastAsia" w:ascii="宋体" w:hAnsi="宋体" w:cs="楷体"/>
                <w:b w:val="0"/>
                <w:bCs/>
                <w:szCs w:val="21"/>
                <w:highlight w:val="none"/>
                <w:u w:val="none"/>
                <w:lang w:val="en-US" w:eastAsia="zh-CN"/>
              </w:rPr>
              <w:t>6</w:t>
            </w:r>
            <w:r>
              <w:rPr>
                <w:rFonts w:hint="eastAsia" w:ascii="宋体" w:hAnsi="宋体" w:cs="楷体"/>
                <w:b w:val="0"/>
                <w:bCs/>
                <w:szCs w:val="21"/>
                <w:highlight w:val="none"/>
                <w:u w:val="none"/>
              </w:rPr>
              <w:t xml:space="preserve">分，没有不得分。  </w:t>
            </w:r>
          </w:p>
          <w:p w14:paraId="58B59EAC">
            <w:pPr>
              <w:pStyle w:val="25"/>
              <w:keepNext w:val="0"/>
              <w:keepLines w:val="0"/>
              <w:pageBreakBefore w:val="0"/>
              <w:widowControl w:val="0"/>
              <w:kinsoku/>
              <w:wordWrap/>
              <w:overflowPunct/>
              <w:topLinePunct w:val="0"/>
              <w:autoSpaceDE/>
              <w:autoSpaceDN/>
              <w:bidi w:val="0"/>
              <w:adjustRightInd w:val="0"/>
              <w:snapToGrid w:val="0"/>
              <w:spacing w:line="360" w:lineRule="auto"/>
              <w:ind w:firstLine="0"/>
              <w:textAlignment w:val="auto"/>
              <w:rPr>
                <w:rFonts w:hint="eastAsia" w:ascii="宋体" w:hAnsi="宋体" w:cs="楷体"/>
                <w:b/>
                <w:szCs w:val="21"/>
                <w:highlight w:val="none"/>
                <w:u w:val="none"/>
              </w:rPr>
            </w:pPr>
            <w:r>
              <w:rPr>
                <w:rFonts w:hint="eastAsia" w:ascii="宋体" w:hAnsi="宋体" w:eastAsia="宋体" w:cs="宋体"/>
                <w:b/>
                <w:color w:val="auto"/>
                <w:sz w:val="21"/>
                <w:szCs w:val="21"/>
                <w:highlight w:val="none"/>
              </w:rPr>
              <w:t>注：需提供国家市场监督管理局“全国认证认可信息公告服务平台”此网址（http://cx.cnca.cn/）提供查询截图结果为准，没有的或证书不在有效期内的不得分，没有提供此网址查询结果截图和证书扫描件的不得分。</w:t>
            </w:r>
            <w:r>
              <w:rPr>
                <w:rFonts w:hint="eastAsia" w:ascii="宋体" w:hAnsi="宋体" w:eastAsia="宋体" w:cs="宋体"/>
                <w:b/>
                <w:bCs/>
                <w:color w:val="auto"/>
                <w:sz w:val="21"/>
                <w:szCs w:val="21"/>
                <w:highlight w:val="none"/>
                <w:lang w:val="en-US"/>
              </w:rPr>
              <w:t>若以联合体方式投标的，本项评分内容</w:t>
            </w:r>
            <w:r>
              <w:rPr>
                <w:rFonts w:hint="eastAsia" w:ascii="宋体" w:hAnsi="宋体" w:eastAsia="宋体" w:cs="宋体"/>
                <w:b/>
                <w:bCs/>
                <w:color w:val="auto"/>
                <w:sz w:val="21"/>
                <w:szCs w:val="21"/>
                <w:highlight w:val="none"/>
              </w:rPr>
              <w:t>以牵头方提供资料为准，成员单位提供不计分。</w:t>
            </w:r>
          </w:p>
          <w:p w14:paraId="5C96B167">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楷体"/>
                <w:b w:val="0"/>
                <w:bCs/>
                <w:kern w:val="2"/>
                <w:sz w:val="21"/>
                <w:szCs w:val="21"/>
                <w:highlight w:val="none"/>
                <w:u w:val="none"/>
                <w:lang w:val="en-US" w:eastAsia="zh-CN" w:bidi="ar-SA"/>
              </w:rPr>
            </w:pPr>
            <w:r>
              <w:rPr>
                <w:rFonts w:hint="eastAsia" w:ascii="宋体" w:hAnsi="宋体" w:cs="楷体"/>
                <w:b w:val="0"/>
                <w:bCs/>
                <w:szCs w:val="21"/>
                <w:highlight w:val="none"/>
                <w:u w:val="none"/>
                <w:lang w:val="en-US" w:eastAsia="zh-CN"/>
              </w:rPr>
              <w:t>3</w:t>
            </w:r>
            <w:r>
              <w:rPr>
                <w:rFonts w:hint="eastAsia" w:ascii="宋体" w:hAnsi="宋体" w:cs="楷体"/>
                <w:b w:val="0"/>
                <w:bCs/>
                <w:szCs w:val="21"/>
                <w:highlight w:val="none"/>
                <w:u w:val="none"/>
              </w:rPr>
              <w:t>、</w:t>
            </w:r>
            <w:r>
              <w:rPr>
                <w:rFonts w:hint="eastAsia" w:ascii="宋体" w:hAnsi="宋体" w:cs="楷体"/>
                <w:bCs/>
                <w:szCs w:val="21"/>
                <w:highlight w:val="none"/>
                <w:u w:val="none"/>
              </w:rPr>
              <w:t>投标人获得过检测类发明专利、实用新型专利证书或计算机软件著作权登记证书且为投标人所有的，每项得1分，本项最多得5分。</w:t>
            </w:r>
          </w:p>
          <w:p w14:paraId="2EDC9A9D">
            <w:pPr>
              <w:pStyle w:val="25"/>
              <w:keepNext w:val="0"/>
              <w:keepLines w:val="0"/>
              <w:pageBreakBefore w:val="0"/>
              <w:widowControl w:val="0"/>
              <w:kinsoku/>
              <w:wordWrap/>
              <w:overflowPunct/>
              <w:topLinePunct w:val="0"/>
              <w:autoSpaceDE/>
              <w:autoSpaceDN/>
              <w:bidi w:val="0"/>
              <w:adjustRightInd w:val="0"/>
              <w:snapToGrid w:val="0"/>
              <w:spacing w:line="360" w:lineRule="auto"/>
              <w:ind w:firstLine="0"/>
              <w:textAlignment w:val="auto"/>
              <w:rPr>
                <w:rFonts w:hint="eastAsia" w:ascii="宋体" w:hAnsi="宋体" w:eastAsia="宋体" w:cs="宋体"/>
                <w:b/>
                <w:bCs/>
                <w:color w:val="auto"/>
                <w:sz w:val="21"/>
                <w:szCs w:val="21"/>
                <w:highlight w:val="none"/>
              </w:rPr>
            </w:pPr>
            <w:r>
              <w:rPr>
                <w:rFonts w:hint="eastAsia" w:ascii="宋体" w:hAnsi="宋体" w:eastAsia="宋体" w:cs="宋体"/>
                <w:b/>
                <w:color w:val="auto"/>
                <w:sz w:val="21"/>
                <w:szCs w:val="21"/>
                <w:highlight w:val="none"/>
              </w:rPr>
              <w:t>注：须提供相关证书的原件清晰扫描件并加盖公章，未按要求提供或不符合以上要求的不得分。</w:t>
            </w:r>
          </w:p>
          <w:p w14:paraId="7326BFFB">
            <w:pPr>
              <w:pStyle w:val="25"/>
              <w:keepNext w:val="0"/>
              <w:keepLines w:val="0"/>
              <w:pageBreakBefore w:val="0"/>
              <w:widowControl w:val="0"/>
              <w:kinsoku/>
              <w:wordWrap/>
              <w:overflowPunct/>
              <w:topLinePunct w:val="0"/>
              <w:autoSpaceDE/>
              <w:autoSpaceDN/>
              <w:bidi w:val="0"/>
              <w:adjustRightInd w:val="0"/>
              <w:snapToGrid w:val="0"/>
              <w:spacing w:line="360" w:lineRule="auto"/>
              <w:ind w:firstLine="0"/>
              <w:textAlignment w:val="auto"/>
              <w:rPr>
                <w:rFonts w:hint="eastAsia" w:ascii="宋体" w:hAnsi="宋体" w:cs="楷体"/>
                <w:b w:val="0"/>
                <w:bCs/>
                <w:szCs w:val="21"/>
                <w:highlight w:val="none"/>
                <w:u w:val="none"/>
              </w:rPr>
            </w:pPr>
            <w:r>
              <w:rPr>
                <w:rFonts w:hint="eastAsia" w:ascii="宋体" w:hAnsi="宋体" w:cs="楷体"/>
                <w:b w:val="0"/>
                <w:bCs/>
                <w:szCs w:val="21"/>
                <w:highlight w:val="none"/>
                <w:u w:val="none"/>
                <w:lang w:val="en-US" w:eastAsia="zh-CN"/>
              </w:rPr>
              <w:t>4</w:t>
            </w:r>
            <w:r>
              <w:rPr>
                <w:rFonts w:hint="eastAsia" w:ascii="宋体" w:hAnsi="宋体" w:cs="楷体"/>
                <w:b w:val="0"/>
                <w:bCs/>
                <w:szCs w:val="21"/>
                <w:highlight w:val="none"/>
                <w:u w:val="none"/>
              </w:rPr>
              <w:t>、</w:t>
            </w:r>
            <w:r>
              <w:rPr>
                <w:rFonts w:hint="eastAsia" w:ascii="宋体" w:hAnsi="宋体" w:cs="楷体"/>
                <w:bCs/>
                <w:szCs w:val="21"/>
                <w:highlight w:val="none"/>
                <w:u w:val="none"/>
                <w:lang w:val="en-US" w:eastAsia="zh-CN"/>
              </w:rPr>
              <w:t>投标人</w:t>
            </w:r>
            <w:r>
              <w:rPr>
                <w:rFonts w:hint="eastAsia" w:ascii="宋体" w:hAnsi="宋体" w:cs="楷体"/>
                <w:bCs/>
                <w:szCs w:val="21"/>
                <w:highlight w:val="none"/>
                <w:u w:val="none"/>
              </w:rPr>
              <w:t>自</w:t>
            </w:r>
            <w:r>
              <w:rPr>
                <w:rFonts w:hint="eastAsia" w:ascii="宋体" w:hAnsi="宋体" w:cs="楷体"/>
                <w:bCs/>
                <w:szCs w:val="21"/>
                <w:highlight w:val="none"/>
                <w:u w:val="none"/>
                <w:lang w:eastAsia="zh-CN"/>
              </w:rPr>
              <w:t>2</w:t>
            </w:r>
            <w:r>
              <w:rPr>
                <w:rFonts w:hint="eastAsia" w:ascii="宋体" w:hAnsi="宋体" w:cs="楷体"/>
                <w:bCs/>
                <w:szCs w:val="21"/>
                <w:highlight w:val="none"/>
                <w:u w:val="none"/>
                <w:lang w:val="en-US" w:eastAsia="zh-CN"/>
              </w:rPr>
              <w:t>021</w:t>
            </w:r>
            <w:r>
              <w:rPr>
                <w:rFonts w:hint="eastAsia" w:ascii="宋体" w:hAnsi="宋体" w:cs="楷体"/>
                <w:bCs/>
                <w:szCs w:val="21"/>
                <w:highlight w:val="none"/>
                <w:u w:val="none"/>
              </w:rPr>
              <w:t>年至今获得过税务机关评定的“A级纳税人”称号得</w:t>
            </w:r>
            <w:r>
              <w:rPr>
                <w:rFonts w:hint="eastAsia" w:ascii="宋体" w:hAnsi="宋体" w:cs="楷体"/>
                <w:bCs/>
                <w:szCs w:val="21"/>
                <w:highlight w:val="none"/>
                <w:u w:val="none"/>
                <w:lang w:val="en-US" w:eastAsia="zh-CN"/>
              </w:rPr>
              <w:t>9</w:t>
            </w:r>
            <w:r>
              <w:rPr>
                <w:rFonts w:hint="eastAsia" w:ascii="宋体" w:hAnsi="宋体" w:cs="楷体"/>
                <w:bCs/>
                <w:szCs w:val="21"/>
                <w:highlight w:val="none"/>
                <w:u w:val="none"/>
              </w:rPr>
              <w:t>分； 获得过税务机关评定的“B级纳税人”称号得</w:t>
            </w:r>
            <w:r>
              <w:rPr>
                <w:rFonts w:hint="eastAsia" w:ascii="宋体" w:hAnsi="宋体" w:cs="楷体"/>
                <w:bCs/>
                <w:szCs w:val="21"/>
                <w:highlight w:val="none"/>
                <w:u w:val="none"/>
                <w:lang w:val="en-US" w:eastAsia="zh-CN"/>
              </w:rPr>
              <w:t>6</w:t>
            </w:r>
            <w:r>
              <w:rPr>
                <w:rFonts w:hint="eastAsia" w:ascii="宋体" w:hAnsi="宋体" w:cs="楷体"/>
                <w:bCs/>
                <w:szCs w:val="21"/>
                <w:highlight w:val="none"/>
                <w:u w:val="none"/>
              </w:rPr>
              <w:t>分；获得过税务机关评定的“M级纳税人”称号得</w:t>
            </w:r>
            <w:r>
              <w:rPr>
                <w:rFonts w:hint="eastAsia" w:ascii="宋体" w:hAnsi="宋体" w:cs="楷体"/>
                <w:bCs/>
                <w:szCs w:val="21"/>
                <w:highlight w:val="none"/>
                <w:u w:val="none"/>
                <w:lang w:val="en-US" w:eastAsia="zh-CN"/>
              </w:rPr>
              <w:t>3</w:t>
            </w:r>
            <w:r>
              <w:rPr>
                <w:rFonts w:hint="eastAsia" w:ascii="宋体" w:hAnsi="宋体" w:cs="楷体"/>
                <w:bCs/>
                <w:szCs w:val="21"/>
                <w:highlight w:val="none"/>
                <w:u w:val="none"/>
              </w:rPr>
              <w:t>分。最多得</w:t>
            </w:r>
            <w:r>
              <w:rPr>
                <w:rFonts w:hint="eastAsia" w:ascii="宋体" w:hAnsi="宋体" w:cs="楷体"/>
                <w:bCs/>
                <w:szCs w:val="21"/>
                <w:highlight w:val="none"/>
                <w:u w:val="none"/>
                <w:lang w:val="en-US" w:eastAsia="zh-CN"/>
              </w:rPr>
              <w:t>9</w:t>
            </w:r>
            <w:r>
              <w:rPr>
                <w:rFonts w:hint="eastAsia" w:ascii="宋体" w:hAnsi="宋体" w:cs="楷体"/>
                <w:bCs/>
                <w:szCs w:val="21"/>
                <w:highlight w:val="none"/>
                <w:u w:val="none"/>
              </w:rPr>
              <w:t>分。</w:t>
            </w:r>
          </w:p>
          <w:p w14:paraId="3D85444D">
            <w:pPr>
              <w:pStyle w:val="25"/>
              <w:keepNext w:val="0"/>
              <w:keepLines w:val="0"/>
              <w:pageBreakBefore w:val="0"/>
              <w:widowControl w:val="0"/>
              <w:kinsoku/>
              <w:wordWrap/>
              <w:overflowPunct/>
              <w:topLinePunct w:val="0"/>
              <w:autoSpaceDE/>
              <w:autoSpaceDN/>
              <w:bidi w:val="0"/>
              <w:adjustRightInd w:val="0"/>
              <w:snapToGrid w:val="0"/>
              <w:spacing w:line="360" w:lineRule="auto"/>
              <w:ind w:firstLine="0"/>
              <w:textAlignment w:val="auto"/>
              <w:rPr>
                <w:rFonts w:ascii="宋体" w:hAnsi="宋体" w:cs="楷体"/>
                <w:b/>
                <w:szCs w:val="21"/>
                <w:highlight w:val="none"/>
                <w:u w:val="single"/>
              </w:rPr>
            </w:pPr>
            <w:r>
              <w:rPr>
                <w:rFonts w:hint="eastAsia" w:ascii="宋体" w:hAnsi="宋体" w:eastAsia="宋体" w:cs="宋体"/>
                <w:b/>
                <w:color w:val="auto"/>
                <w:sz w:val="21"/>
                <w:szCs w:val="21"/>
                <w:highlight w:val="none"/>
              </w:rPr>
              <w:t>注：</w:t>
            </w:r>
            <w:r>
              <w:rPr>
                <w:rFonts w:hint="eastAsia" w:ascii="宋体" w:hAnsi="宋体" w:cs="宋体"/>
                <w:b/>
                <w:color w:val="auto"/>
                <w:szCs w:val="21"/>
                <w:highlight w:val="none"/>
              </w:rPr>
              <w:t>“纳税信用A级纳税人”须提供国家税务总局官网（http://www.chinatax.gov.cn/）“纳税信用A级纳税人名单公布栏”查询结果网页截图或其省级（含直辖市）税务局官网“纳税信用A级纳税人名单公布栏”查询结果网页截图，时间以国家税务总局或其省级（含直辖市）税务局网站纳税信用信息查询结果的网页截图公布的评价年度为准。“B级纳税人”和“M级纳税人”须提供省级或以上的税务机关颁发的相应等级证书原件清晰扫描件或省级以上税务局官网“纳税信用”等级查询结果网页截图，时间以证书或网页截图公布的评价年度为准。若投标人满足多个档次的，按最高档计分一次，不累计。上述资料显示的纳税人全称须与投标人名称一致，否则不得分。不满足上述要求或无提交上述资料不得分。</w:t>
            </w:r>
          </w:p>
        </w:tc>
      </w:tr>
      <w:tr w14:paraId="7E1B4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6" w:type="dxa"/>
            <w:vMerge w:val="continue"/>
            <w:tcBorders>
              <w:left w:val="single" w:color="auto" w:sz="4" w:space="0"/>
              <w:right w:val="single" w:color="auto" w:sz="4" w:space="0"/>
            </w:tcBorders>
            <w:vAlign w:val="center"/>
          </w:tcPr>
          <w:p w14:paraId="417D435E">
            <w:pPr>
              <w:widowControl/>
              <w:adjustRightInd w:val="0"/>
              <w:snapToGrid w:val="0"/>
              <w:spacing w:line="276" w:lineRule="auto"/>
              <w:jc w:val="left"/>
              <w:rPr>
                <w:rFonts w:ascii="宋体" w:hAnsi="宋体" w:cs="宋体"/>
                <w:szCs w:val="21"/>
                <w:highlight w:val="none"/>
              </w:rPr>
            </w:pPr>
          </w:p>
        </w:tc>
        <w:tc>
          <w:tcPr>
            <w:tcW w:w="1266" w:type="dxa"/>
            <w:vMerge w:val="restart"/>
            <w:tcBorders>
              <w:top w:val="single" w:color="auto" w:sz="4" w:space="0"/>
              <w:left w:val="single" w:color="auto" w:sz="4" w:space="0"/>
              <w:right w:val="single" w:color="auto" w:sz="4" w:space="0"/>
            </w:tcBorders>
            <w:tcMar>
              <w:top w:w="0" w:type="dxa"/>
              <w:left w:w="57" w:type="dxa"/>
              <w:bottom w:w="0" w:type="dxa"/>
              <w:right w:w="57" w:type="dxa"/>
            </w:tcMar>
            <w:vAlign w:val="center"/>
          </w:tcPr>
          <w:p w14:paraId="4AFCA514">
            <w:pPr>
              <w:adjustRightInd w:val="0"/>
              <w:snapToGrid w:val="0"/>
              <w:spacing w:line="276" w:lineRule="auto"/>
              <w:ind w:right="126"/>
              <w:jc w:val="center"/>
              <w:rPr>
                <w:rFonts w:ascii="宋体" w:hAnsi="宋体" w:cs="宋体"/>
                <w:szCs w:val="21"/>
                <w:highlight w:val="none"/>
              </w:rPr>
            </w:pPr>
            <w:r>
              <w:rPr>
                <w:rFonts w:hint="eastAsia" w:ascii="宋体" w:hAnsi="宋体" w:cs="宋体"/>
                <w:szCs w:val="21"/>
                <w:highlight w:val="none"/>
              </w:rPr>
              <w:t>拟投入人员综合水平（</w:t>
            </w:r>
            <w:r>
              <w:rPr>
                <w:rFonts w:ascii="宋体" w:hAnsi="宋体" w:cs="宋体"/>
                <w:szCs w:val="21"/>
                <w:highlight w:val="none"/>
              </w:rPr>
              <w:t>25</w:t>
            </w:r>
            <w:r>
              <w:rPr>
                <w:rFonts w:hint="eastAsia" w:ascii="宋体" w:hAnsi="宋体" w:cs="宋体"/>
                <w:szCs w:val="21"/>
                <w:highlight w:val="none"/>
              </w:rPr>
              <w:t>分）</w:t>
            </w:r>
          </w:p>
        </w:tc>
        <w:tc>
          <w:tcPr>
            <w:tcW w:w="1291" w:type="dxa"/>
            <w:tcBorders>
              <w:top w:val="single" w:color="auto" w:sz="4" w:space="0"/>
              <w:left w:val="single" w:color="auto" w:sz="4" w:space="0"/>
              <w:right w:val="single" w:color="auto" w:sz="4" w:space="0"/>
            </w:tcBorders>
            <w:tcMar>
              <w:top w:w="0" w:type="dxa"/>
              <w:left w:w="57" w:type="dxa"/>
              <w:bottom w:w="0" w:type="dxa"/>
              <w:right w:w="57" w:type="dxa"/>
            </w:tcMar>
            <w:vAlign w:val="center"/>
          </w:tcPr>
          <w:p w14:paraId="5FB901C4">
            <w:pPr>
              <w:adjustRightInd w:val="0"/>
              <w:snapToGrid w:val="0"/>
              <w:spacing w:line="276" w:lineRule="auto"/>
              <w:ind w:right="126"/>
              <w:jc w:val="center"/>
              <w:rPr>
                <w:rFonts w:ascii="宋体" w:hAnsi="宋体" w:cs="宋体"/>
                <w:szCs w:val="21"/>
                <w:highlight w:val="none"/>
              </w:rPr>
            </w:pPr>
            <w:r>
              <w:rPr>
                <w:rFonts w:hint="eastAsia" w:ascii="宋体" w:hAnsi="宋体" w:cs="宋体"/>
                <w:szCs w:val="21"/>
                <w:highlight w:val="none"/>
              </w:rPr>
              <w:t>项目负责人要求</w:t>
            </w:r>
          </w:p>
          <w:p w14:paraId="1BB8B97B">
            <w:pPr>
              <w:adjustRightInd w:val="0"/>
              <w:snapToGrid w:val="0"/>
              <w:spacing w:line="276" w:lineRule="auto"/>
              <w:ind w:right="126"/>
              <w:jc w:val="center"/>
              <w:rPr>
                <w:rFonts w:ascii="宋体" w:hAnsi="宋体"/>
                <w:szCs w:val="21"/>
                <w:highlight w:val="none"/>
              </w:rPr>
            </w:pPr>
            <w:r>
              <w:rPr>
                <w:rFonts w:hint="eastAsia" w:ascii="宋体" w:hAnsi="宋体" w:cs="宋体"/>
                <w:szCs w:val="21"/>
                <w:highlight w:val="none"/>
              </w:rPr>
              <w:t>（</w:t>
            </w:r>
            <w:r>
              <w:rPr>
                <w:rFonts w:hint="eastAsia" w:ascii="宋体" w:hAnsi="宋体" w:cs="宋体"/>
                <w:szCs w:val="21"/>
                <w:highlight w:val="none"/>
                <w:lang w:val="en-US" w:eastAsia="zh-CN"/>
              </w:rPr>
              <w:t>7</w:t>
            </w:r>
            <w:r>
              <w:rPr>
                <w:rFonts w:hint="eastAsia" w:ascii="宋体" w:hAnsi="宋体" w:cs="宋体"/>
                <w:szCs w:val="21"/>
                <w:highlight w:val="none"/>
              </w:rPr>
              <w:t>分）</w:t>
            </w:r>
          </w:p>
        </w:tc>
        <w:tc>
          <w:tcPr>
            <w:tcW w:w="5938" w:type="dxa"/>
            <w:tcBorders>
              <w:top w:val="single" w:color="auto" w:sz="4" w:space="0"/>
              <w:left w:val="single" w:color="auto" w:sz="4" w:space="0"/>
              <w:right w:val="single" w:color="auto" w:sz="4" w:space="0"/>
            </w:tcBorders>
            <w:vAlign w:val="center"/>
          </w:tcPr>
          <w:p w14:paraId="2F8C1C7C">
            <w:pPr>
              <w:pStyle w:val="60"/>
              <w:adjustRightInd w:val="0"/>
              <w:snapToGrid w:val="0"/>
              <w:spacing w:line="276" w:lineRule="auto"/>
              <w:ind w:firstLine="0" w:firstLineChars="0"/>
              <w:rPr>
                <w:rFonts w:hint="eastAsia" w:ascii="宋体" w:hAnsi="宋体" w:eastAsia="宋体" w:cs="楷体"/>
                <w:b w:val="0"/>
                <w:bCs/>
                <w:kern w:val="2"/>
                <w:sz w:val="21"/>
                <w:szCs w:val="21"/>
                <w:highlight w:val="none"/>
                <w:u w:val="none"/>
                <w:lang w:val="en-US" w:eastAsia="zh-CN" w:bidi="ar-SA"/>
              </w:rPr>
            </w:pPr>
            <w:r>
              <w:rPr>
                <w:rFonts w:hint="eastAsia" w:ascii="宋体" w:hAnsi="宋体" w:eastAsia="宋体" w:cs="楷体"/>
                <w:b w:val="0"/>
                <w:bCs/>
                <w:kern w:val="2"/>
                <w:sz w:val="21"/>
                <w:szCs w:val="21"/>
                <w:highlight w:val="none"/>
                <w:u w:val="none"/>
                <w:lang w:val="en-US" w:eastAsia="zh-CN" w:bidi="ar-SA"/>
              </w:rPr>
              <w:t xml:space="preserve">1. </w:t>
            </w:r>
            <w:r>
              <w:rPr>
                <w:rFonts w:hint="eastAsia" w:ascii="宋体" w:hAnsi="宋体"/>
                <w:bCs/>
                <w:szCs w:val="21"/>
                <w:highlight w:val="none"/>
              </w:rPr>
              <w:t>具有工程类高级(或以上)工程师职称的</w:t>
            </w:r>
            <w:r>
              <w:rPr>
                <w:rFonts w:hint="eastAsia" w:ascii="宋体" w:hAnsi="宋体" w:eastAsia="宋体" w:cs="楷体"/>
                <w:b w:val="0"/>
                <w:bCs/>
                <w:kern w:val="2"/>
                <w:sz w:val="21"/>
                <w:szCs w:val="21"/>
                <w:highlight w:val="none"/>
                <w:u w:val="none"/>
                <w:lang w:val="en-US" w:eastAsia="zh-CN" w:bidi="ar-SA"/>
              </w:rPr>
              <w:t>得3分；具有工程类中级工程师的，得1分。（按最高职称计算一次，不累计计分），最高得3分。</w:t>
            </w:r>
          </w:p>
          <w:p w14:paraId="18C28C9E">
            <w:pPr>
              <w:pStyle w:val="60"/>
              <w:adjustRightInd w:val="0"/>
              <w:snapToGrid w:val="0"/>
              <w:spacing w:line="276" w:lineRule="auto"/>
              <w:ind w:firstLine="0" w:firstLineChars="0"/>
              <w:rPr>
                <w:rFonts w:hint="eastAsia" w:ascii="宋体" w:hAnsi="宋体" w:eastAsia="宋体" w:cs="楷体"/>
                <w:b w:val="0"/>
                <w:bCs/>
                <w:kern w:val="2"/>
                <w:sz w:val="21"/>
                <w:szCs w:val="21"/>
                <w:highlight w:val="none"/>
                <w:u w:val="none"/>
                <w:lang w:val="en-US" w:eastAsia="zh-CN" w:bidi="ar-SA"/>
              </w:rPr>
            </w:pPr>
            <w:r>
              <w:rPr>
                <w:rFonts w:hint="eastAsia" w:ascii="宋体" w:hAnsi="宋体" w:eastAsia="宋体" w:cs="楷体"/>
                <w:b w:val="0"/>
                <w:bCs/>
                <w:kern w:val="2"/>
                <w:sz w:val="21"/>
                <w:szCs w:val="21"/>
                <w:highlight w:val="none"/>
                <w:u w:val="none"/>
                <w:lang w:val="en-US" w:eastAsia="zh-CN" w:bidi="ar-SA"/>
              </w:rPr>
              <w:t>2.具有注册土木工程师（岩土）执业资格证书，得3分。</w:t>
            </w:r>
          </w:p>
          <w:p w14:paraId="12ACE015">
            <w:pPr>
              <w:pStyle w:val="25"/>
              <w:adjustRightInd w:val="0"/>
              <w:snapToGrid w:val="0"/>
              <w:spacing w:line="276" w:lineRule="auto"/>
              <w:ind w:firstLine="0"/>
              <w:rPr>
                <w:rFonts w:hint="eastAsia" w:ascii="宋体" w:hAnsi="宋体" w:eastAsia="宋体" w:cs="楷体"/>
                <w:b w:val="0"/>
                <w:bCs/>
                <w:kern w:val="2"/>
                <w:sz w:val="21"/>
                <w:szCs w:val="21"/>
                <w:highlight w:val="none"/>
                <w:u w:val="none"/>
                <w:lang w:val="en-US" w:eastAsia="zh-CN" w:bidi="ar-SA"/>
              </w:rPr>
            </w:pPr>
            <w:r>
              <w:rPr>
                <w:rFonts w:hint="eastAsia" w:ascii="宋体" w:hAnsi="宋体" w:eastAsia="宋体" w:cs="楷体"/>
                <w:b w:val="0"/>
                <w:bCs/>
                <w:kern w:val="2"/>
                <w:sz w:val="21"/>
                <w:szCs w:val="21"/>
                <w:highlight w:val="none"/>
                <w:u w:val="none"/>
                <w:lang w:val="en-US" w:eastAsia="zh-CN" w:bidi="ar-SA"/>
              </w:rPr>
              <w:t>3.具有建设行政主管部门或其委托的机构、行业协会颁发的检测员证或检测鉴定培训合格证的得1分。</w:t>
            </w:r>
          </w:p>
          <w:p w14:paraId="355231A8">
            <w:pPr>
              <w:pStyle w:val="25"/>
              <w:adjustRightInd w:val="0"/>
              <w:snapToGrid w:val="0"/>
              <w:spacing w:line="276" w:lineRule="auto"/>
              <w:ind w:firstLine="0"/>
              <w:rPr>
                <w:rFonts w:ascii="宋体" w:hAnsi="宋体"/>
                <w:b/>
                <w:szCs w:val="21"/>
                <w:highlight w:val="none"/>
                <w:u w:val="single"/>
              </w:rPr>
            </w:pPr>
            <w:r>
              <w:rPr>
                <w:rFonts w:hint="eastAsia" w:ascii="宋体" w:hAnsi="宋体" w:eastAsia="宋体" w:cs="宋体"/>
                <w:b/>
                <w:color w:val="auto"/>
                <w:sz w:val="21"/>
                <w:szCs w:val="21"/>
                <w:highlight w:val="none"/>
              </w:rPr>
              <w:t>注：须提供身份证、职称证书、注册证、检测员证或培训合格证扫描件，提供近1月（202</w:t>
            </w:r>
            <w:r>
              <w:rPr>
                <w:rFonts w:hint="eastAsia" w:ascii="宋体" w:hAnsi="宋体" w:eastAsia="宋体" w:cs="宋体"/>
                <w:b/>
                <w:color w:val="auto"/>
                <w:sz w:val="21"/>
                <w:szCs w:val="21"/>
                <w:highlight w:val="none"/>
                <w:lang w:val="en-US" w:eastAsia="zh-CN"/>
              </w:rPr>
              <w:t>4</w:t>
            </w:r>
            <w:r>
              <w:rPr>
                <w:rFonts w:hint="eastAsia" w:ascii="宋体" w:hAnsi="宋体" w:eastAsia="宋体" w:cs="宋体"/>
                <w:b/>
                <w:color w:val="auto"/>
                <w:sz w:val="21"/>
                <w:szCs w:val="21"/>
                <w:highlight w:val="none"/>
              </w:rPr>
              <w:t>年</w:t>
            </w:r>
            <w:r>
              <w:rPr>
                <w:rFonts w:hint="eastAsia" w:ascii="宋体" w:hAnsi="宋体" w:cs="宋体"/>
                <w:b/>
                <w:color w:val="auto"/>
                <w:sz w:val="21"/>
                <w:szCs w:val="21"/>
                <w:highlight w:val="none"/>
                <w:lang w:val="en-US" w:eastAsia="zh-CN"/>
              </w:rPr>
              <w:t>6</w:t>
            </w:r>
            <w:r>
              <w:rPr>
                <w:rFonts w:hint="eastAsia" w:ascii="宋体" w:hAnsi="宋体" w:eastAsia="宋体" w:cs="宋体"/>
                <w:b/>
                <w:color w:val="auto"/>
                <w:sz w:val="21"/>
                <w:szCs w:val="21"/>
                <w:highlight w:val="none"/>
              </w:rPr>
              <w:t>月）在本单位参保的社保缴纳证明材料，并加盖公章，否则不得分。若以联合体方式投标的，本项评分内容以牵头方提供资料为准，成员单位提供不计分。</w:t>
            </w:r>
          </w:p>
        </w:tc>
      </w:tr>
      <w:tr w14:paraId="02C42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6" w:type="dxa"/>
            <w:vMerge w:val="continue"/>
            <w:tcBorders>
              <w:left w:val="single" w:color="auto" w:sz="4" w:space="0"/>
              <w:right w:val="single" w:color="auto" w:sz="4" w:space="0"/>
            </w:tcBorders>
            <w:vAlign w:val="center"/>
          </w:tcPr>
          <w:p w14:paraId="790FAE3D">
            <w:pPr>
              <w:widowControl/>
              <w:adjustRightInd w:val="0"/>
              <w:snapToGrid w:val="0"/>
              <w:spacing w:line="276" w:lineRule="auto"/>
              <w:jc w:val="left"/>
              <w:rPr>
                <w:rFonts w:ascii="宋体" w:hAnsi="宋体" w:cs="宋体"/>
                <w:szCs w:val="21"/>
                <w:highlight w:val="none"/>
              </w:rPr>
            </w:pPr>
          </w:p>
        </w:tc>
        <w:tc>
          <w:tcPr>
            <w:tcW w:w="1266" w:type="dxa"/>
            <w:vMerge w:val="continue"/>
            <w:tcBorders>
              <w:left w:val="single" w:color="auto" w:sz="4" w:space="0"/>
              <w:right w:val="single" w:color="auto" w:sz="4" w:space="0"/>
            </w:tcBorders>
            <w:tcMar>
              <w:top w:w="0" w:type="dxa"/>
              <w:left w:w="57" w:type="dxa"/>
              <w:bottom w:w="0" w:type="dxa"/>
              <w:right w:w="57" w:type="dxa"/>
            </w:tcMar>
            <w:vAlign w:val="center"/>
          </w:tcPr>
          <w:p w14:paraId="436BDF46">
            <w:pPr>
              <w:adjustRightInd w:val="0"/>
              <w:snapToGrid w:val="0"/>
              <w:spacing w:line="276" w:lineRule="auto"/>
              <w:ind w:right="126"/>
              <w:jc w:val="center"/>
              <w:rPr>
                <w:rFonts w:ascii="宋体" w:hAnsi="宋体" w:cs="宋体"/>
                <w:szCs w:val="21"/>
                <w:highlight w:val="none"/>
              </w:rPr>
            </w:pPr>
          </w:p>
        </w:tc>
        <w:tc>
          <w:tcPr>
            <w:tcW w:w="1291" w:type="dxa"/>
            <w:tcBorders>
              <w:top w:val="single" w:color="auto" w:sz="4" w:space="0"/>
              <w:left w:val="single" w:color="auto" w:sz="4" w:space="0"/>
              <w:right w:val="single" w:color="auto" w:sz="4" w:space="0"/>
            </w:tcBorders>
            <w:tcMar>
              <w:top w:w="0" w:type="dxa"/>
              <w:left w:w="57" w:type="dxa"/>
              <w:bottom w:w="0" w:type="dxa"/>
              <w:right w:w="57" w:type="dxa"/>
            </w:tcMar>
            <w:vAlign w:val="center"/>
          </w:tcPr>
          <w:p w14:paraId="6FDBB04B">
            <w:pPr>
              <w:widowControl/>
              <w:adjustRightInd w:val="0"/>
              <w:snapToGrid w:val="0"/>
              <w:spacing w:line="276" w:lineRule="auto"/>
              <w:jc w:val="center"/>
              <w:rPr>
                <w:rFonts w:ascii="宋体" w:hAnsi="宋体" w:cs="宋体"/>
                <w:szCs w:val="21"/>
                <w:highlight w:val="none"/>
              </w:rPr>
            </w:pPr>
            <w:r>
              <w:rPr>
                <w:rFonts w:hint="eastAsia" w:ascii="宋体" w:hAnsi="宋体" w:cs="宋体"/>
                <w:szCs w:val="21"/>
                <w:highlight w:val="none"/>
              </w:rPr>
              <w:t>技术负责人要求</w:t>
            </w:r>
          </w:p>
          <w:p w14:paraId="0ACC9889">
            <w:pPr>
              <w:adjustRightInd w:val="0"/>
              <w:snapToGrid w:val="0"/>
              <w:spacing w:line="276" w:lineRule="auto"/>
              <w:ind w:right="126"/>
              <w:jc w:val="center"/>
              <w:rPr>
                <w:rFonts w:ascii="宋体" w:hAnsi="宋体" w:cs="宋体"/>
                <w:szCs w:val="21"/>
                <w:highlight w:val="none"/>
              </w:rPr>
            </w:pPr>
            <w:r>
              <w:rPr>
                <w:rFonts w:hint="eastAsia" w:ascii="宋体" w:hAnsi="宋体" w:cs="宋体"/>
                <w:szCs w:val="21"/>
                <w:highlight w:val="none"/>
              </w:rPr>
              <w:t>（</w:t>
            </w:r>
            <w:r>
              <w:rPr>
                <w:rFonts w:hint="eastAsia" w:ascii="宋体" w:hAnsi="宋体" w:cs="宋体"/>
                <w:szCs w:val="21"/>
                <w:highlight w:val="none"/>
                <w:lang w:val="en-US" w:eastAsia="zh-CN"/>
              </w:rPr>
              <w:t>6</w:t>
            </w:r>
            <w:r>
              <w:rPr>
                <w:rFonts w:hint="eastAsia" w:ascii="宋体" w:hAnsi="宋体" w:cs="宋体"/>
                <w:szCs w:val="21"/>
                <w:highlight w:val="none"/>
              </w:rPr>
              <w:t>分）</w:t>
            </w:r>
          </w:p>
        </w:tc>
        <w:tc>
          <w:tcPr>
            <w:tcW w:w="5938" w:type="dxa"/>
            <w:tcBorders>
              <w:top w:val="single" w:color="auto" w:sz="4" w:space="0"/>
              <w:left w:val="single" w:color="auto" w:sz="4" w:space="0"/>
              <w:right w:val="single" w:color="auto" w:sz="4" w:space="0"/>
            </w:tcBorders>
            <w:vAlign w:val="center"/>
          </w:tcPr>
          <w:p w14:paraId="78C12CA7">
            <w:pPr>
              <w:adjustRightInd w:val="0"/>
              <w:snapToGrid w:val="0"/>
              <w:spacing w:line="276" w:lineRule="auto"/>
              <w:jc w:val="left"/>
              <w:rPr>
                <w:rFonts w:ascii="宋体" w:hAnsi="宋体"/>
                <w:szCs w:val="21"/>
                <w:highlight w:val="none"/>
              </w:rPr>
            </w:pPr>
            <w:r>
              <w:rPr>
                <w:rFonts w:hint="eastAsia" w:ascii="宋体" w:hAnsi="宋体" w:eastAsia="宋体" w:cs="楷体"/>
                <w:b w:val="0"/>
                <w:bCs/>
                <w:kern w:val="2"/>
                <w:sz w:val="21"/>
                <w:szCs w:val="21"/>
                <w:highlight w:val="none"/>
                <w:u w:val="none"/>
                <w:lang w:val="en-US" w:eastAsia="zh-CN" w:bidi="ar-SA"/>
              </w:rPr>
              <w:t xml:space="preserve">1. </w:t>
            </w:r>
            <w:r>
              <w:rPr>
                <w:rFonts w:hint="eastAsia" w:ascii="宋体" w:hAnsi="宋体"/>
                <w:bCs/>
                <w:szCs w:val="21"/>
                <w:highlight w:val="none"/>
              </w:rPr>
              <w:t>具有工程类高级(或以上)工程师职称的得</w:t>
            </w:r>
            <w:r>
              <w:rPr>
                <w:rFonts w:ascii="宋体" w:hAnsi="宋体"/>
                <w:bCs/>
                <w:szCs w:val="21"/>
                <w:highlight w:val="none"/>
              </w:rPr>
              <w:t>2</w:t>
            </w:r>
            <w:r>
              <w:rPr>
                <w:rFonts w:hint="eastAsia" w:ascii="宋体" w:hAnsi="宋体"/>
                <w:bCs/>
                <w:szCs w:val="21"/>
                <w:highlight w:val="none"/>
              </w:rPr>
              <w:t>分；具有工程类中级工程师的得1分。（按最高职称计算一次，不累计计分），最高得</w:t>
            </w:r>
            <w:r>
              <w:rPr>
                <w:rFonts w:ascii="宋体" w:hAnsi="宋体"/>
                <w:bCs/>
                <w:szCs w:val="21"/>
                <w:highlight w:val="none"/>
              </w:rPr>
              <w:t>2</w:t>
            </w:r>
            <w:r>
              <w:rPr>
                <w:rFonts w:hint="eastAsia" w:ascii="宋体" w:hAnsi="宋体"/>
                <w:bCs/>
                <w:szCs w:val="21"/>
                <w:highlight w:val="none"/>
              </w:rPr>
              <w:t>分。</w:t>
            </w:r>
          </w:p>
          <w:p w14:paraId="6470A347">
            <w:pPr>
              <w:adjustRightInd w:val="0"/>
              <w:snapToGrid w:val="0"/>
              <w:spacing w:line="276" w:lineRule="auto"/>
              <w:jc w:val="left"/>
              <w:rPr>
                <w:rFonts w:ascii="宋体" w:hAnsi="宋体" w:cs="宋体"/>
                <w:szCs w:val="21"/>
                <w:highlight w:val="none"/>
              </w:rPr>
            </w:pPr>
            <w:r>
              <w:rPr>
                <w:rFonts w:hint="eastAsia" w:ascii="宋体" w:hAnsi="宋体" w:cs="楷体"/>
                <w:b w:val="0"/>
                <w:bCs/>
                <w:kern w:val="2"/>
                <w:sz w:val="21"/>
                <w:szCs w:val="21"/>
                <w:highlight w:val="none"/>
                <w:u w:val="none"/>
                <w:lang w:val="en-US" w:eastAsia="zh-CN" w:bidi="ar-SA"/>
              </w:rPr>
              <w:t>2</w:t>
            </w:r>
            <w:r>
              <w:rPr>
                <w:rFonts w:hint="eastAsia" w:ascii="宋体" w:hAnsi="宋体" w:eastAsia="宋体" w:cs="楷体"/>
                <w:b w:val="0"/>
                <w:bCs/>
                <w:kern w:val="2"/>
                <w:sz w:val="21"/>
                <w:szCs w:val="21"/>
                <w:highlight w:val="none"/>
                <w:u w:val="none"/>
                <w:lang w:val="en-US" w:eastAsia="zh-CN" w:bidi="ar-SA"/>
              </w:rPr>
              <w:t xml:space="preserve">. </w:t>
            </w:r>
            <w:r>
              <w:rPr>
                <w:rFonts w:hint="eastAsia" w:ascii="宋体" w:hAnsi="宋体" w:cs="宋体"/>
                <w:szCs w:val="21"/>
                <w:highlight w:val="none"/>
              </w:rPr>
              <w:t>具有注册土木工程师（岩土）执业资格证书，得</w:t>
            </w:r>
            <w:r>
              <w:rPr>
                <w:rFonts w:hint="eastAsia" w:ascii="宋体" w:hAnsi="宋体" w:cs="宋体"/>
                <w:szCs w:val="21"/>
                <w:highlight w:val="none"/>
                <w:lang w:val="en-US" w:eastAsia="zh-CN"/>
              </w:rPr>
              <w:t>3</w:t>
            </w:r>
            <w:r>
              <w:rPr>
                <w:rFonts w:hint="eastAsia" w:ascii="宋体" w:hAnsi="宋体" w:cs="宋体"/>
                <w:szCs w:val="21"/>
                <w:highlight w:val="none"/>
              </w:rPr>
              <w:t>分。</w:t>
            </w:r>
          </w:p>
          <w:p w14:paraId="73A1439D">
            <w:pPr>
              <w:adjustRightInd w:val="0"/>
              <w:snapToGrid w:val="0"/>
              <w:spacing w:line="276" w:lineRule="auto"/>
              <w:jc w:val="left"/>
              <w:rPr>
                <w:rFonts w:hint="eastAsia" w:ascii="宋体" w:hAnsi="宋体"/>
                <w:bCs/>
                <w:szCs w:val="21"/>
                <w:highlight w:val="none"/>
              </w:rPr>
            </w:pPr>
            <w:r>
              <w:rPr>
                <w:rFonts w:hint="eastAsia" w:ascii="宋体" w:hAnsi="宋体" w:cs="楷体"/>
                <w:b w:val="0"/>
                <w:bCs/>
                <w:kern w:val="2"/>
                <w:sz w:val="21"/>
                <w:szCs w:val="21"/>
                <w:highlight w:val="none"/>
                <w:u w:val="none"/>
                <w:lang w:val="en-US" w:eastAsia="zh-CN" w:bidi="ar-SA"/>
              </w:rPr>
              <w:t>3</w:t>
            </w:r>
            <w:r>
              <w:rPr>
                <w:rFonts w:hint="eastAsia" w:ascii="宋体" w:hAnsi="宋体" w:eastAsia="宋体" w:cs="楷体"/>
                <w:b w:val="0"/>
                <w:bCs/>
                <w:kern w:val="2"/>
                <w:sz w:val="21"/>
                <w:szCs w:val="21"/>
                <w:highlight w:val="none"/>
                <w:u w:val="none"/>
                <w:lang w:val="en-US" w:eastAsia="zh-CN" w:bidi="ar-SA"/>
              </w:rPr>
              <w:t xml:space="preserve">. </w:t>
            </w:r>
            <w:r>
              <w:rPr>
                <w:rFonts w:hint="eastAsia" w:ascii="宋体" w:hAnsi="宋体"/>
                <w:bCs/>
                <w:szCs w:val="21"/>
                <w:highlight w:val="none"/>
              </w:rPr>
              <w:t>具有建设行政主管部门或其委托的机构、行业协会颁发的检测员证或检测鉴定培训合格证的得</w:t>
            </w:r>
            <w:r>
              <w:rPr>
                <w:rFonts w:hint="eastAsia" w:ascii="宋体" w:hAnsi="宋体"/>
                <w:bCs/>
                <w:szCs w:val="21"/>
                <w:highlight w:val="none"/>
                <w:lang w:val="en-US" w:eastAsia="zh-CN"/>
              </w:rPr>
              <w:t>1</w:t>
            </w:r>
            <w:r>
              <w:rPr>
                <w:rFonts w:hint="eastAsia" w:ascii="宋体" w:hAnsi="宋体"/>
                <w:bCs/>
                <w:szCs w:val="21"/>
                <w:highlight w:val="none"/>
              </w:rPr>
              <w:t>分。</w:t>
            </w:r>
          </w:p>
          <w:p w14:paraId="07CD4693">
            <w:pPr>
              <w:adjustRightInd w:val="0"/>
              <w:snapToGrid w:val="0"/>
              <w:spacing w:line="276" w:lineRule="auto"/>
              <w:rPr>
                <w:rFonts w:ascii="宋体" w:hAnsi="宋体"/>
                <w:b/>
                <w:szCs w:val="21"/>
                <w:highlight w:val="none"/>
                <w:u w:val="single"/>
                <w:lang w:val="zh-CN"/>
              </w:rPr>
            </w:pPr>
            <w:r>
              <w:rPr>
                <w:rFonts w:hint="eastAsia" w:ascii="宋体" w:hAnsi="宋体" w:eastAsia="宋体" w:cs="宋体"/>
                <w:b/>
                <w:color w:val="auto"/>
                <w:sz w:val="21"/>
                <w:szCs w:val="21"/>
                <w:highlight w:val="none"/>
              </w:rPr>
              <w:t>注：须提供身份证、职称证书、注册证、检测员证或培训合格证扫描件，提供近1月（202</w:t>
            </w:r>
            <w:r>
              <w:rPr>
                <w:rFonts w:hint="eastAsia" w:ascii="宋体" w:hAnsi="宋体" w:eastAsia="宋体" w:cs="宋体"/>
                <w:b/>
                <w:color w:val="auto"/>
                <w:sz w:val="21"/>
                <w:szCs w:val="21"/>
                <w:highlight w:val="none"/>
                <w:lang w:val="en-US" w:eastAsia="zh-CN"/>
              </w:rPr>
              <w:t>4</w:t>
            </w:r>
            <w:r>
              <w:rPr>
                <w:rFonts w:hint="eastAsia" w:ascii="宋体" w:hAnsi="宋体" w:eastAsia="宋体" w:cs="宋体"/>
                <w:b/>
                <w:color w:val="auto"/>
                <w:sz w:val="21"/>
                <w:szCs w:val="21"/>
                <w:highlight w:val="none"/>
              </w:rPr>
              <w:t>年</w:t>
            </w:r>
            <w:r>
              <w:rPr>
                <w:rFonts w:hint="eastAsia" w:ascii="宋体" w:hAnsi="宋体" w:cs="宋体"/>
                <w:b/>
                <w:color w:val="auto"/>
                <w:sz w:val="21"/>
                <w:szCs w:val="21"/>
                <w:highlight w:val="none"/>
                <w:lang w:val="en-US" w:eastAsia="zh-CN"/>
              </w:rPr>
              <w:t>6</w:t>
            </w:r>
            <w:r>
              <w:rPr>
                <w:rFonts w:hint="eastAsia" w:ascii="宋体" w:hAnsi="宋体" w:eastAsia="宋体" w:cs="宋体"/>
                <w:b/>
                <w:color w:val="auto"/>
                <w:sz w:val="21"/>
                <w:szCs w:val="21"/>
                <w:highlight w:val="none"/>
              </w:rPr>
              <w:t>月）在本单位参保的社保缴纳证明材料，并加盖公章，否则不得分。若以联合体方式投标的，本项评分内容以牵头方提供资料为准，成员单位提供不计分。</w:t>
            </w:r>
          </w:p>
        </w:tc>
      </w:tr>
      <w:tr w14:paraId="602D8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6" w:type="dxa"/>
            <w:vMerge w:val="continue"/>
            <w:tcBorders>
              <w:left w:val="single" w:color="auto" w:sz="4" w:space="0"/>
              <w:right w:val="single" w:color="auto" w:sz="4" w:space="0"/>
            </w:tcBorders>
            <w:vAlign w:val="center"/>
          </w:tcPr>
          <w:p w14:paraId="500A29D0">
            <w:pPr>
              <w:widowControl/>
              <w:adjustRightInd w:val="0"/>
              <w:snapToGrid w:val="0"/>
              <w:spacing w:line="276" w:lineRule="auto"/>
              <w:jc w:val="left"/>
              <w:rPr>
                <w:rFonts w:ascii="宋体" w:hAnsi="宋体" w:cs="宋体"/>
                <w:szCs w:val="21"/>
                <w:highlight w:val="none"/>
              </w:rPr>
            </w:pPr>
          </w:p>
        </w:tc>
        <w:tc>
          <w:tcPr>
            <w:tcW w:w="1266" w:type="dxa"/>
            <w:vMerge w:val="continue"/>
            <w:tcBorders>
              <w:left w:val="single" w:color="auto" w:sz="4" w:space="0"/>
              <w:bottom w:val="single" w:color="auto" w:sz="4" w:space="0"/>
              <w:right w:val="single" w:color="auto" w:sz="4" w:space="0"/>
            </w:tcBorders>
            <w:tcMar>
              <w:top w:w="0" w:type="dxa"/>
              <w:left w:w="57" w:type="dxa"/>
              <w:bottom w:w="0" w:type="dxa"/>
              <w:right w:w="57" w:type="dxa"/>
            </w:tcMar>
            <w:vAlign w:val="center"/>
          </w:tcPr>
          <w:p w14:paraId="0D0C6F7B">
            <w:pPr>
              <w:adjustRightInd w:val="0"/>
              <w:snapToGrid w:val="0"/>
              <w:spacing w:line="276" w:lineRule="auto"/>
              <w:jc w:val="center"/>
              <w:rPr>
                <w:rFonts w:ascii="宋体" w:hAnsi="宋体"/>
                <w:szCs w:val="21"/>
                <w:highlight w:val="none"/>
              </w:rPr>
            </w:pPr>
          </w:p>
        </w:tc>
        <w:tc>
          <w:tcPr>
            <w:tcW w:w="1291"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14:paraId="1E559E4F">
            <w:pPr>
              <w:adjustRightInd w:val="0"/>
              <w:snapToGrid w:val="0"/>
              <w:spacing w:line="276" w:lineRule="auto"/>
              <w:jc w:val="center"/>
              <w:rPr>
                <w:rFonts w:ascii="宋体" w:hAnsi="宋体"/>
                <w:szCs w:val="21"/>
                <w:highlight w:val="none"/>
              </w:rPr>
            </w:pPr>
            <w:r>
              <w:rPr>
                <w:rFonts w:hint="eastAsia" w:ascii="宋体" w:hAnsi="宋体"/>
                <w:szCs w:val="21"/>
                <w:highlight w:val="none"/>
              </w:rPr>
              <w:t>主要技术人员要求</w:t>
            </w:r>
          </w:p>
          <w:p w14:paraId="1FADF11E">
            <w:pPr>
              <w:adjustRightInd w:val="0"/>
              <w:snapToGrid w:val="0"/>
              <w:spacing w:line="276" w:lineRule="auto"/>
              <w:jc w:val="center"/>
              <w:rPr>
                <w:rFonts w:ascii="宋体" w:hAnsi="宋体"/>
                <w:szCs w:val="21"/>
                <w:highlight w:val="none"/>
              </w:rPr>
            </w:pPr>
            <w:r>
              <w:rPr>
                <w:rFonts w:hint="eastAsia" w:ascii="宋体" w:hAnsi="宋体"/>
                <w:szCs w:val="21"/>
                <w:highlight w:val="none"/>
              </w:rPr>
              <w:t>（</w:t>
            </w:r>
            <w:r>
              <w:rPr>
                <w:rFonts w:hint="eastAsia" w:ascii="宋体" w:hAnsi="宋体"/>
                <w:szCs w:val="21"/>
                <w:highlight w:val="none"/>
                <w:lang w:val="en-US" w:eastAsia="zh-CN"/>
              </w:rPr>
              <w:t>12</w:t>
            </w:r>
            <w:r>
              <w:rPr>
                <w:rFonts w:hint="eastAsia" w:ascii="宋体" w:hAnsi="宋体"/>
                <w:szCs w:val="21"/>
                <w:highlight w:val="none"/>
              </w:rPr>
              <w:t>分）</w:t>
            </w:r>
          </w:p>
        </w:tc>
        <w:tc>
          <w:tcPr>
            <w:tcW w:w="5938" w:type="dxa"/>
            <w:tcBorders>
              <w:top w:val="single" w:color="auto" w:sz="4" w:space="0"/>
              <w:left w:val="single" w:color="auto" w:sz="4" w:space="0"/>
              <w:bottom w:val="single" w:color="auto" w:sz="4" w:space="0"/>
              <w:right w:val="single" w:color="auto" w:sz="4" w:space="0"/>
            </w:tcBorders>
            <w:vAlign w:val="center"/>
          </w:tcPr>
          <w:p w14:paraId="4CD51DC0">
            <w:pPr>
              <w:pStyle w:val="25"/>
              <w:adjustRightInd w:val="0"/>
              <w:snapToGrid w:val="0"/>
              <w:spacing w:line="276" w:lineRule="auto"/>
              <w:ind w:firstLine="0"/>
              <w:rPr>
                <w:rFonts w:ascii="宋体" w:hAnsi="宋体"/>
                <w:szCs w:val="21"/>
                <w:highlight w:val="none"/>
              </w:rPr>
            </w:pPr>
            <w:r>
              <w:rPr>
                <w:rFonts w:hint="eastAsia" w:ascii="宋体" w:hAnsi="宋体"/>
                <w:szCs w:val="21"/>
                <w:highlight w:val="none"/>
              </w:rPr>
              <w:t>拟投入本项目技术人员（除项目负责人、</w:t>
            </w:r>
            <w:r>
              <w:rPr>
                <w:rFonts w:hint="eastAsia" w:ascii="宋体" w:hAnsi="宋体" w:cs="宋体"/>
                <w:szCs w:val="21"/>
                <w:highlight w:val="none"/>
              </w:rPr>
              <w:t>技术负责人</w:t>
            </w:r>
            <w:r>
              <w:rPr>
                <w:rFonts w:hint="eastAsia" w:ascii="宋体" w:hAnsi="宋体"/>
                <w:szCs w:val="21"/>
                <w:highlight w:val="none"/>
              </w:rPr>
              <w:t>外）中：</w:t>
            </w:r>
          </w:p>
          <w:p w14:paraId="5D3CF0D3">
            <w:pPr>
              <w:numPr>
                <w:ilvl w:val="0"/>
                <w:numId w:val="0"/>
              </w:numPr>
              <w:adjustRightInd w:val="0"/>
              <w:snapToGrid w:val="0"/>
              <w:spacing w:line="276" w:lineRule="auto"/>
              <w:jc w:val="left"/>
              <w:rPr>
                <w:rFonts w:hint="eastAsia" w:ascii="宋体" w:hAnsi="宋体"/>
                <w:bCs/>
                <w:szCs w:val="21"/>
                <w:highlight w:val="none"/>
              </w:rPr>
            </w:pPr>
            <w:r>
              <w:rPr>
                <w:rFonts w:hint="eastAsia" w:ascii="宋体" w:hAnsi="宋体" w:eastAsia="宋体" w:cs="楷体"/>
                <w:b w:val="0"/>
                <w:bCs/>
                <w:kern w:val="2"/>
                <w:sz w:val="21"/>
                <w:szCs w:val="21"/>
                <w:highlight w:val="none"/>
                <w:u w:val="none"/>
                <w:lang w:val="en-US" w:eastAsia="zh-CN" w:bidi="ar-SA"/>
              </w:rPr>
              <w:t xml:space="preserve">1. </w:t>
            </w:r>
            <w:r>
              <w:rPr>
                <w:rFonts w:hint="eastAsia" w:ascii="宋体" w:hAnsi="宋体"/>
                <w:bCs/>
                <w:szCs w:val="21"/>
                <w:highlight w:val="none"/>
              </w:rPr>
              <w:t>持有建设行政主管部门或其委托的机构、行业协会颁发的检测员证或检测鉴定培训合格证且有工程类中级工程师或以上职称的，每一人得0.5分，最多得</w:t>
            </w:r>
            <w:r>
              <w:rPr>
                <w:rFonts w:hint="eastAsia" w:ascii="宋体" w:hAnsi="宋体"/>
                <w:bCs/>
                <w:szCs w:val="21"/>
                <w:highlight w:val="none"/>
                <w:lang w:val="en-US" w:eastAsia="zh-CN"/>
              </w:rPr>
              <w:t>5</w:t>
            </w:r>
            <w:r>
              <w:rPr>
                <w:rFonts w:hint="eastAsia" w:ascii="宋体" w:hAnsi="宋体"/>
                <w:bCs/>
                <w:szCs w:val="21"/>
                <w:highlight w:val="none"/>
              </w:rPr>
              <w:t>分；</w:t>
            </w:r>
          </w:p>
          <w:p w14:paraId="5149AAB9">
            <w:pPr>
              <w:numPr>
                <w:ilvl w:val="0"/>
                <w:numId w:val="0"/>
              </w:numPr>
              <w:adjustRightInd w:val="0"/>
              <w:snapToGrid w:val="0"/>
              <w:spacing w:line="276" w:lineRule="auto"/>
              <w:jc w:val="left"/>
              <w:rPr>
                <w:rFonts w:hint="eastAsia" w:ascii="宋体" w:hAnsi="宋体"/>
                <w:bCs/>
                <w:szCs w:val="21"/>
                <w:highlight w:val="none"/>
              </w:rPr>
            </w:pPr>
            <w:r>
              <w:rPr>
                <w:rFonts w:hint="eastAsia" w:ascii="宋体" w:hAnsi="宋体" w:cs="楷体"/>
                <w:b w:val="0"/>
                <w:bCs/>
                <w:kern w:val="2"/>
                <w:sz w:val="21"/>
                <w:szCs w:val="21"/>
                <w:highlight w:val="none"/>
                <w:u w:val="none"/>
                <w:lang w:val="en-US" w:eastAsia="zh-CN" w:bidi="ar-SA"/>
              </w:rPr>
              <w:t>2.</w:t>
            </w:r>
            <w:r>
              <w:rPr>
                <w:rFonts w:hint="eastAsia" w:ascii="宋体" w:hAnsi="宋体" w:eastAsia="宋体" w:cs="楷体"/>
                <w:b w:val="0"/>
                <w:bCs/>
                <w:kern w:val="2"/>
                <w:sz w:val="21"/>
                <w:szCs w:val="21"/>
                <w:highlight w:val="none"/>
                <w:u w:val="none"/>
                <w:lang w:val="en-US" w:eastAsia="zh-CN" w:bidi="ar-SA"/>
              </w:rPr>
              <w:t xml:space="preserve"> </w:t>
            </w:r>
            <w:r>
              <w:rPr>
                <w:rFonts w:hint="eastAsia" w:ascii="宋体" w:hAnsi="宋体"/>
                <w:bCs/>
                <w:szCs w:val="21"/>
                <w:highlight w:val="none"/>
              </w:rPr>
              <w:t>具有工程类高级(或以上)工程师职称的</w:t>
            </w:r>
            <w:r>
              <w:rPr>
                <w:rFonts w:hint="eastAsia" w:ascii="宋体" w:hAnsi="宋体"/>
                <w:bCs/>
                <w:szCs w:val="21"/>
                <w:highlight w:val="none"/>
                <w:lang w:eastAsia="zh-CN"/>
              </w:rPr>
              <w:t>：每人</w:t>
            </w:r>
            <w:r>
              <w:rPr>
                <w:rFonts w:hint="eastAsia" w:ascii="宋体" w:hAnsi="宋体"/>
                <w:bCs/>
                <w:szCs w:val="21"/>
                <w:highlight w:val="none"/>
              </w:rPr>
              <w:t>得</w:t>
            </w:r>
            <w:r>
              <w:rPr>
                <w:rFonts w:hint="eastAsia" w:ascii="宋体" w:hAnsi="宋体"/>
                <w:bCs/>
                <w:szCs w:val="21"/>
                <w:highlight w:val="none"/>
                <w:lang w:val="en-US" w:eastAsia="zh-CN"/>
              </w:rPr>
              <w:t>0.5</w:t>
            </w:r>
            <w:r>
              <w:rPr>
                <w:rFonts w:hint="eastAsia" w:ascii="宋体" w:hAnsi="宋体"/>
                <w:bCs/>
                <w:szCs w:val="21"/>
                <w:highlight w:val="none"/>
              </w:rPr>
              <w:t>分</w:t>
            </w:r>
            <w:r>
              <w:rPr>
                <w:rFonts w:hint="eastAsia" w:ascii="宋体" w:hAnsi="宋体"/>
                <w:bCs/>
                <w:szCs w:val="21"/>
                <w:highlight w:val="none"/>
                <w:lang w:eastAsia="zh-CN"/>
              </w:rPr>
              <w:t>，</w:t>
            </w:r>
            <w:r>
              <w:rPr>
                <w:rFonts w:hint="eastAsia" w:ascii="宋体" w:hAnsi="宋体"/>
                <w:bCs/>
                <w:szCs w:val="21"/>
                <w:highlight w:val="none"/>
              </w:rPr>
              <w:t>本项最多得</w:t>
            </w:r>
            <w:r>
              <w:rPr>
                <w:rFonts w:hint="eastAsia" w:ascii="宋体" w:hAnsi="宋体"/>
                <w:bCs/>
                <w:szCs w:val="21"/>
                <w:highlight w:val="none"/>
                <w:lang w:val="en-US" w:eastAsia="zh-CN"/>
              </w:rPr>
              <w:t>5</w:t>
            </w:r>
            <w:r>
              <w:rPr>
                <w:rFonts w:hint="eastAsia" w:ascii="宋体" w:hAnsi="宋体"/>
                <w:bCs/>
                <w:szCs w:val="21"/>
                <w:highlight w:val="none"/>
              </w:rPr>
              <w:t>分，没有的不得分</w:t>
            </w:r>
            <w:r>
              <w:rPr>
                <w:rFonts w:hint="eastAsia" w:ascii="宋体" w:hAnsi="宋体"/>
                <w:bCs/>
                <w:szCs w:val="21"/>
                <w:highlight w:val="none"/>
                <w:lang w:eastAsia="zh-CN"/>
              </w:rPr>
              <w:t>；</w:t>
            </w:r>
          </w:p>
          <w:p w14:paraId="15FE6B1E">
            <w:pPr>
              <w:pStyle w:val="25"/>
              <w:adjustRightInd w:val="0"/>
              <w:snapToGrid w:val="0"/>
              <w:spacing w:line="276" w:lineRule="auto"/>
              <w:ind w:firstLine="0"/>
              <w:rPr>
                <w:rFonts w:ascii="宋体" w:hAnsi="宋体"/>
                <w:bCs/>
                <w:szCs w:val="21"/>
                <w:highlight w:val="none"/>
              </w:rPr>
            </w:pPr>
            <w:r>
              <w:rPr>
                <w:rFonts w:hint="eastAsia" w:ascii="宋体" w:hAnsi="宋体" w:cs="楷体"/>
                <w:b w:val="0"/>
                <w:bCs/>
                <w:kern w:val="2"/>
                <w:sz w:val="21"/>
                <w:szCs w:val="21"/>
                <w:highlight w:val="none"/>
                <w:u w:val="none"/>
                <w:lang w:val="en-US" w:eastAsia="zh-CN" w:bidi="ar-SA"/>
              </w:rPr>
              <w:t>3</w:t>
            </w:r>
            <w:r>
              <w:rPr>
                <w:rFonts w:hint="eastAsia" w:ascii="宋体" w:hAnsi="宋体" w:eastAsia="宋体" w:cs="楷体"/>
                <w:b w:val="0"/>
                <w:bCs/>
                <w:kern w:val="2"/>
                <w:sz w:val="21"/>
                <w:szCs w:val="21"/>
                <w:highlight w:val="none"/>
                <w:u w:val="none"/>
                <w:lang w:val="en-US" w:eastAsia="zh-CN" w:bidi="ar-SA"/>
              </w:rPr>
              <w:t xml:space="preserve">. </w:t>
            </w:r>
            <w:r>
              <w:rPr>
                <w:rFonts w:hint="eastAsia" w:ascii="宋体" w:hAnsi="宋体"/>
                <w:bCs/>
                <w:szCs w:val="21"/>
                <w:highlight w:val="none"/>
              </w:rPr>
              <w:t>上述人员中</w:t>
            </w:r>
            <w:r>
              <w:rPr>
                <w:rFonts w:hint="eastAsia" w:hAnsi="宋体"/>
                <w:szCs w:val="21"/>
                <w:highlight w:val="none"/>
              </w:rPr>
              <w:t>有</w:t>
            </w:r>
            <w:r>
              <w:rPr>
                <w:rFonts w:hint="eastAsia" w:ascii="宋体" w:hAnsi="宋体" w:cs="宋体"/>
                <w:szCs w:val="21"/>
                <w:highlight w:val="none"/>
              </w:rPr>
              <w:t>注册土木工程师（岩土）的</w:t>
            </w:r>
            <w:r>
              <w:rPr>
                <w:rFonts w:hint="eastAsia" w:hAnsi="宋体"/>
                <w:szCs w:val="21"/>
                <w:highlight w:val="none"/>
              </w:rPr>
              <w:t>：每人得0.5分，本项最多得</w:t>
            </w:r>
            <w:r>
              <w:rPr>
                <w:rFonts w:hint="eastAsia"/>
                <w:szCs w:val="21"/>
                <w:highlight w:val="none"/>
              </w:rPr>
              <w:t>2</w:t>
            </w:r>
            <w:r>
              <w:rPr>
                <w:rFonts w:hint="eastAsia" w:hAnsi="宋体"/>
                <w:szCs w:val="21"/>
                <w:highlight w:val="none"/>
              </w:rPr>
              <w:t>分，没有的不得分。</w:t>
            </w:r>
          </w:p>
          <w:p w14:paraId="6B1B0D6A">
            <w:pPr>
              <w:pStyle w:val="25"/>
              <w:adjustRightInd w:val="0"/>
              <w:snapToGrid w:val="0"/>
              <w:spacing w:line="276" w:lineRule="auto"/>
              <w:ind w:firstLine="0"/>
              <w:rPr>
                <w:rFonts w:ascii="宋体" w:hAnsi="宋体"/>
                <w:b/>
                <w:szCs w:val="21"/>
                <w:highlight w:val="none"/>
                <w:u w:val="single"/>
              </w:rPr>
            </w:pPr>
            <w:r>
              <w:rPr>
                <w:rFonts w:hint="eastAsia" w:ascii="宋体" w:hAnsi="宋体" w:eastAsia="宋体" w:cs="宋体"/>
                <w:b/>
                <w:color w:val="auto"/>
                <w:sz w:val="21"/>
                <w:szCs w:val="21"/>
                <w:highlight w:val="none"/>
              </w:rPr>
              <w:t>注：须提供身份证、职称证书、注册证、检测员证或培训合格证扫描件，提供近1月（202</w:t>
            </w:r>
            <w:r>
              <w:rPr>
                <w:rFonts w:hint="eastAsia" w:ascii="宋体" w:hAnsi="宋体" w:eastAsia="宋体" w:cs="宋体"/>
                <w:b/>
                <w:color w:val="auto"/>
                <w:sz w:val="21"/>
                <w:szCs w:val="21"/>
                <w:highlight w:val="none"/>
                <w:lang w:val="en-US" w:eastAsia="zh-CN"/>
              </w:rPr>
              <w:t>4</w:t>
            </w:r>
            <w:r>
              <w:rPr>
                <w:rFonts w:hint="eastAsia" w:ascii="宋体" w:hAnsi="宋体" w:eastAsia="宋体" w:cs="宋体"/>
                <w:b/>
                <w:color w:val="auto"/>
                <w:sz w:val="21"/>
                <w:szCs w:val="21"/>
                <w:highlight w:val="none"/>
              </w:rPr>
              <w:t>年</w:t>
            </w:r>
            <w:r>
              <w:rPr>
                <w:rFonts w:hint="eastAsia" w:ascii="宋体" w:hAnsi="宋体" w:cs="宋体"/>
                <w:b/>
                <w:color w:val="auto"/>
                <w:sz w:val="21"/>
                <w:szCs w:val="21"/>
                <w:highlight w:val="none"/>
                <w:lang w:val="en-US" w:eastAsia="zh-CN"/>
              </w:rPr>
              <w:t>6</w:t>
            </w:r>
            <w:r>
              <w:rPr>
                <w:rFonts w:hint="eastAsia" w:ascii="宋体" w:hAnsi="宋体" w:eastAsia="宋体" w:cs="宋体"/>
                <w:b/>
                <w:color w:val="auto"/>
                <w:sz w:val="21"/>
                <w:szCs w:val="21"/>
                <w:highlight w:val="none"/>
              </w:rPr>
              <w:t>月）在本单位参保的社保缴纳证明材料，并加盖公章，否则不得分。若以联合体方式投标的，本项评分内容以牵头方提供资料为准，成员单位提供不计分。</w:t>
            </w:r>
          </w:p>
        </w:tc>
      </w:tr>
      <w:tr w14:paraId="4DE40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6" w:type="dxa"/>
            <w:vMerge w:val="restart"/>
            <w:tcBorders>
              <w:top w:val="single" w:color="auto" w:sz="4" w:space="0"/>
              <w:left w:val="single" w:color="auto" w:sz="4" w:space="0"/>
              <w:right w:val="single" w:color="auto" w:sz="4" w:space="0"/>
            </w:tcBorders>
            <w:tcMar>
              <w:top w:w="0" w:type="dxa"/>
              <w:left w:w="57" w:type="dxa"/>
              <w:bottom w:w="0" w:type="dxa"/>
              <w:right w:w="57" w:type="dxa"/>
            </w:tcMar>
            <w:vAlign w:val="center"/>
          </w:tcPr>
          <w:p w14:paraId="0C2CCC44">
            <w:pPr>
              <w:adjustRightInd w:val="0"/>
              <w:snapToGrid w:val="0"/>
              <w:spacing w:line="276" w:lineRule="auto"/>
              <w:ind w:left="136" w:right="59"/>
              <w:jc w:val="center"/>
              <w:rPr>
                <w:rFonts w:ascii="宋体" w:hAnsi="宋体"/>
                <w:szCs w:val="21"/>
                <w:highlight w:val="none"/>
              </w:rPr>
            </w:pPr>
            <w:r>
              <w:rPr>
                <w:rFonts w:hint="eastAsia" w:ascii="宋体" w:hAnsi="宋体"/>
                <w:szCs w:val="21"/>
                <w:highlight w:val="none"/>
              </w:rPr>
              <w:t>技术方案评分标准（</w:t>
            </w:r>
            <w:r>
              <w:rPr>
                <w:rFonts w:ascii="宋体" w:hAnsi="宋体"/>
                <w:szCs w:val="21"/>
                <w:highlight w:val="none"/>
              </w:rPr>
              <w:t>25</w:t>
            </w:r>
            <w:r>
              <w:rPr>
                <w:rFonts w:hint="eastAsia" w:ascii="宋体" w:hAnsi="宋体"/>
                <w:szCs w:val="21"/>
                <w:highlight w:val="none"/>
              </w:rPr>
              <w:t>分）</w:t>
            </w:r>
          </w:p>
        </w:tc>
        <w:tc>
          <w:tcPr>
            <w:tcW w:w="2557" w:type="dxa"/>
            <w:gridSpan w:val="2"/>
            <w:tcBorders>
              <w:top w:val="single" w:color="auto" w:sz="4" w:space="0"/>
              <w:left w:val="single" w:color="auto" w:sz="4" w:space="0"/>
              <w:right w:val="single" w:color="auto" w:sz="4" w:space="0"/>
            </w:tcBorders>
            <w:tcMar>
              <w:top w:w="0" w:type="dxa"/>
              <w:left w:w="57" w:type="dxa"/>
              <w:bottom w:w="0" w:type="dxa"/>
              <w:right w:w="57" w:type="dxa"/>
            </w:tcMar>
            <w:vAlign w:val="center"/>
          </w:tcPr>
          <w:p w14:paraId="6B46DE84">
            <w:pPr>
              <w:adjustRightInd w:val="0"/>
              <w:snapToGrid w:val="0"/>
              <w:spacing w:line="276" w:lineRule="auto"/>
              <w:ind w:right="-20"/>
              <w:jc w:val="center"/>
              <w:rPr>
                <w:rFonts w:ascii="宋体" w:hAnsi="宋体"/>
                <w:szCs w:val="21"/>
                <w:highlight w:val="none"/>
              </w:rPr>
            </w:pPr>
            <w:r>
              <w:rPr>
                <w:rFonts w:hint="eastAsia" w:ascii="宋体" w:hAnsi="宋体"/>
                <w:szCs w:val="21"/>
                <w:highlight w:val="none"/>
              </w:rPr>
              <w:t>拟投入机械设备计划（10分）</w:t>
            </w:r>
          </w:p>
        </w:tc>
        <w:tc>
          <w:tcPr>
            <w:tcW w:w="5938" w:type="dxa"/>
            <w:tcBorders>
              <w:top w:val="single" w:color="auto" w:sz="4" w:space="0"/>
              <w:left w:val="single" w:color="auto" w:sz="4" w:space="0"/>
              <w:bottom w:val="single" w:color="auto" w:sz="4" w:space="0"/>
              <w:right w:val="single" w:color="auto" w:sz="4" w:space="0"/>
            </w:tcBorders>
            <w:vAlign w:val="center"/>
          </w:tcPr>
          <w:p w14:paraId="6E09A951">
            <w:pPr>
              <w:pStyle w:val="25"/>
              <w:adjustRightInd w:val="0"/>
              <w:snapToGrid w:val="0"/>
              <w:spacing w:line="276" w:lineRule="auto"/>
              <w:ind w:firstLine="0"/>
              <w:rPr>
                <w:rFonts w:ascii="宋体" w:hAnsi="宋体"/>
                <w:szCs w:val="21"/>
                <w:highlight w:val="none"/>
              </w:rPr>
            </w:pPr>
            <w:r>
              <w:rPr>
                <w:rFonts w:hint="eastAsia" w:ascii="宋体" w:hAnsi="宋体"/>
                <w:szCs w:val="21"/>
                <w:highlight w:val="none"/>
              </w:rPr>
              <w:t>【优】拟投入检测设备先进、配备合理，完全满足检测和服务期要求，得8</w:t>
            </w:r>
            <w:r>
              <w:rPr>
                <w:rFonts w:hint="eastAsia" w:ascii="宋体" w:hAnsi="宋体" w:cs="宋体"/>
                <w:szCs w:val="21"/>
                <w:highlight w:val="none"/>
              </w:rPr>
              <w:t>-10</w:t>
            </w:r>
            <w:r>
              <w:rPr>
                <w:rFonts w:hint="eastAsia" w:ascii="宋体" w:hAnsi="宋体"/>
                <w:szCs w:val="21"/>
                <w:highlight w:val="none"/>
              </w:rPr>
              <w:t>分；</w:t>
            </w:r>
          </w:p>
          <w:p w14:paraId="5990E7E6">
            <w:pPr>
              <w:pStyle w:val="25"/>
              <w:adjustRightInd w:val="0"/>
              <w:snapToGrid w:val="0"/>
              <w:spacing w:line="276" w:lineRule="auto"/>
              <w:ind w:firstLine="0"/>
              <w:rPr>
                <w:rFonts w:ascii="宋体" w:hAnsi="宋体"/>
                <w:szCs w:val="21"/>
                <w:highlight w:val="none"/>
              </w:rPr>
            </w:pPr>
            <w:r>
              <w:rPr>
                <w:rFonts w:hint="eastAsia" w:ascii="宋体" w:hAnsi="宋体"/>
                <w:szCs w:val="21"/>
                <w:highlight w:val="none"/>
              </w:rPr>
              <w:t>【良】拟投入检测设备先进、配备合理，能较好满足检测和服务期要求，得</w:t>
            </w:r>
            <w:r>
              <w:rPr>
                <w:rFonts w:hint="eastAsia" w:ascii="宋体" w:hAnsi="宋体" w:cs="宋体"/>
                <w:szCs w:val="21"/>
                <w:highlight w:val="none"/>
              </w:rPr>
              <w:t>4-7</w:t>
            </w:r>
            <w:r>
              <w:rPr>
                <w:rFonts w:hint="eastAsia" w:ascii="宋体" w:hAnsi="宋体"/>
                <w:szCs w:val="21"/>
                <w:highlight w:val="none"/>
              </w:rPr>
              <w:t>分；</w:t>
            </w:r>
          </w:p>
          <w:p w14:paraId="027B2C62">
            <w:pPr>
              <w:pStyle w:val="25"/>
              <w:adjustRightInd w:val="0"/>
              <w:snapToGrid w:val="0"/>
              <w:spacing w:line="276" w:lineRule="auto"/>
              <w:ind w:firstLine="0"/>
              <w:rPr>
                <w:rFonts w:ascii="宋体" w:hAnsi="宋体"/>
                <w:szCs w:val="21"/>
                <w:highlight w:val="none"/>
              </w:rPr>
            </w:pPr>
            <w:r>
              <w:rPr>
                <w:rFonts w:hint="eastAsia" w:ascii="宋体" w:hAnsi="宋体"/>
                <w:szCs w:val="21"/>
                <w:highlight w:val="none"/>
              </w:rPr>
              <w:t>【中】拟投入检测设备先进、配备基本合理，能基本满足检测和服务期要求，得</w:t>
            </w:r>
            <w:r>
              <w:rPr>
                <w:rFonts w:hint="eastAsia" w:ascii="宋体" w:hAnsi="宋体" w:cs="宋体"/>
                <w:szCs w:val="21"/>
                <w:highlight w:val="none"/>
              </w:rPr>
              <w:t>1-3</w:t>
            </w:r>
            <w:r>
              <w:rPr>
                <w:rFonts w:hint="eastAsia" w:ascii="宋体" w:hAnsi="宋体"/>
                <w:szCs w:val="21"/>
                <w:highlight w:val="none"/>
              </w:rPr>
              <w:t>分；</w:t>
            </w:r>
          </w:p>
          <w:p w14:paraId="0FC9DB00">
            <w:pPr>
              <w:pStyle w:val="25"/>
              <w:adjustRightInd w:val="0"/>
              <w:snapToGrid w:val="0"/>
              <w:spacing w:line="276" w:lineRule="auto"/>
              <w:ind w:firstLine="0"/>
              <w:rPr>
                <w:rFonts w:ascii="宋体" w:hAnsi="宋体"/>
                <w:szCs w:val="21"/>
                <w:highlight w:val="none"/>
              </w:rPr>
            </w:pPr>
            <w:r>
              <w:rPr>
                <w:rFonts w:hint="eastAsia" w:ascii="宋体" w:hAnsi="宋体"/>
                <w:szCs w:val="21"/>
                <w:highlight w:val="none"/>
              </w:rPr>
              <w:t>【差】设备不能满足检测需要和服务期要求，得0分。</w:t>
            </w:r>
          </w:p>
          <w:p w14:paraId="7E8ED07C">
            <w:pPr>
              <w:pStyle w:val="25"/>
              <w:adjustRightInd w:val="0"/>
              <w:snapToGrid w:val="0"/>
              <w:spacing w:line="276" w:lineRule="auto"/>
              <w:ind w:firstLine="0"/>
              <w:rPr>
                <w:rFonts w:ascii="宋体" w:hAnsi="宋体"/>
                <w:b/>
                <w:szCs w:val="21"/>
                <w:highlight w:val="none"/>
                <w:u w:val="single"/>
              </w:rPr>
            </w:pPr>
            <w:r>
              <w:rPr>
                <w:rFonts w:hint="eastAsia" w:ascii="宋体" w:hAnsi="宋体" w:eastAsia="宋体" w:cs="宋体"/>
                <w:b/>
                <w:color w:val="auto"/>
                <w:sz w:val="21"/>
                <w:szCs w:val="21"/>
                <w:highlight w:val="none"/>
              </w:rPr>
              <w:t>注：需提交仪器检定证书和仪器设备购置发票或租赁等证明材料。</w:t>
            </w:r>
          </w:p>
        </w:tc>
      </w:tr>
      <w:tr w14:paraId="4F566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6" w:type="dxa"/>
            <w:vMerge w:val="continue"/>
            <w:tcBorders>
              <w:left w:val="single" w:color="auto" w:sz="4" w:space="0"/>
              <w:right w:val="single" w:color="auto" w:sz="4" w:space="0"/>
            </w:tcBorders>
            <w:vAlign w:val="center"/>
          </w:tcPr>
          <w:p w14:paraId="53563CBC">
            <w:pPr>
              <w:widowControl/>
              <w:adjustRightInd w:val="0"/>
              <w:snapToGrid w:val="0"/>
              <w:spacing w:line="276" w:lineRule="auto"/>
              <w:jc w:val="left"/>
              <w:rPr>
                <w:rFonts w:ascii="宋体" w:hAnsi="宋体"/>
                <w:szCs w:val="21"/>
                <w:highlight w:val="none"/>
              </w:rPr>
            </w:pPr>
          </w:p>
        </w:tc>
        <w:tc>
          <w:tcPr>
            <w:tcW w:w="2557" w:type="dxa"/>
            <w:gridSpan w:val="2"/>
            <w:tcBorders>
              <w:top w:val="single" w:color="auto" w:sz="4" w:space="0"/>
              <w:left w:val="single" w:color="auto" w:sz="4" w:space="0"/>
              <w:right w:val="single" w:color="auto" w:sz="4" w:space="0"/>
            </w:tcBorders>
            <w:tcMar>
              <w:top w:w="0" w:type="dxa"/>
              <w:left w:w="57" w:type="dxa"/>
              <w:bottom w:w="0" w:type="dxa"/>
              <w:right w:w="57" w:type="dxa"/>
            </w:tcMar>
            <w:vAlign w:val="center"/>
          </w:tcPr>
          <w:p w14:paraId="1DFBD4F1">
            <w:pPr>
              <w:adjustRightInd w:val="0"/>
              <w:snapToGrid w:val="0"/>
              <w:spacing w:line="276" w:lineRule="auto"/>
              <w:jc w:val="center"/>
              <w:rPr>
                <w:rFonts w:ascii="宋体" w:hAnsi="宋体"/>
                <w:szCs w:val="21"/>
                <w:highlight w:val="none"/>
              </w:rPr>
            </w:pPr>
            <w:r>
              <w:rPr>
                <w:rFonts w:hint="eastAsia" w:ascii="宋体" w:hAnsi="宋体"/>
                <w:szCs w:val="21"/>
                <w:highlight w:val="none"/>
              </w:rPr>
              <w:t>检测方案（15分）</w:t>
            </w:r>
          </w:p>
        </w:tc>
        <w:tc>
          <w:tcPr>
            <w:tcW w:w="5938" w:type="dxa"/>
            <w:tcBorders>
              <w:top w:val="single" w:color="auto" w:sz="4" w:space="0"/>
              <w:left w:val="single" w:color="auto" w:sz="4" w:space="0"/>
              <w:right w:val="single" w:color="auto" w:sz="4" w:space="0"/>
            </w:tcBorders>
            <w:vAlign w:val="center"/>
          </w:tcPr>
          <w:p w14:paraId="493713AB">
            <w:pPr>
              <w:pStyle w:val="25"/>
              <w:adjustRightInd w:val="0"/>
              <w:snapToGrid w:val="0"/>
              <w:spacing w:line="276" w:lineRule="auto"/>
              <w:ind w:firstLine="0"/>
              <w:rPr>
                <w:rFonts w:ascii="宋体" w:hAnsi="宋体"/>
                <w:szCs w:val="21"/>
                <w:highlight w:val="none"/>
              </w:rPr>
            </w:pPr>
            <w:r>
              <w:rPr>
                <w:rFonts w:hint="eastAsia" w:ascii="宋体" w:hAnsi="宋体"/>
                <w:szCs w:val="21"/>
                <w:highlight w:val="none"/>
              </w:rPr>
              <w:t>【优】检测工作的程序与方案详细、具体，内容齐全，能满足用户需求，有合理可行的保证通过相关验收、满足工程进度确保措施，得10</w:t>
            </w:r>
            <w:r>
              <w:rPr>
                <w:rFonts w:hint="eastAsia" w:ascii="宋体" w:hAnsi="宋体" w:cs="宋体"/>
                <w:szCs w:val="21"/>
                <w:highlight w:val="none"/>
              </w:rPr>
              <w:t>-</w:t>
            </w:r>
            <w:r>
              <w:rPr>
                <w:rFonts w:hint="eastAsia" w:ascii="宋体" w:hAnsi="宋体"/>
                <w:szCs w:val="21"/>
                <w:highlight w:val="none"/>
              </w:rPr>
              <w:t>15分。</w:t>
            </w:r>
          </w:p>
          <w:p w14:paraId="7D152A82">
            <w:pPr>
              <w:pStyle w:val="25"/>
              <w:adjustRightInd w:val="0"/>
              <w:snapToGrid w:val="0"/>
              <w:spacing w:line="276" w:lineRule="auto"/>
              <w:ind w:firstLine="0"/>
              <w:rPr>
                <w:rFonts w:ascii="宋体" w:hAnsi="宋体"/>
                <w:szCs w:val="21"/>
                <w:highlight w:val="none"/>
              </w:rPr>
            </w:pPr>
            <w:r>
              <w:rPr>
                <w:rFonts w:hint="eastAsia" w:ascii="宋体" w:hAnsi="宋体"/>
                <w:szCs w:val="21"/>
                <w:highlight w:val="none"/>
              </w:rPr>
              <w:t>【良】检测工作的程序与方案内容齐全，基本满足要求，检测方法符合检测要求，得5</w:t>
            </w:r>
            <w:r>
              <w:rPr>
                <w:rFonts w:hint="eastAsia" w:ascii="宋体" w:hAnsi="宋体" w:cs="宋体"/>
                <w:szCs w:val="21"/>
                <w:highlight w:val="none"/>
              </w:rPr>
              <w:t>-</w:t>
            </w:r>
            <w:r>
              <w:rPr>
                <w:rFonts w:hint="eastAsia" w:ascii="宋体" w:hAnsi="宋体"/>
                <w:szCs w:val="21"/>
                <w:highlight w:val="none"/>
              </w:rPr>
              <w:t>9分；</w:t>
            </w:r>
          </w:p>
          <w:p w14:paraId="30DDAA53">
            <w:pPr>
              <w:pStyle w:val="25"/>
              <w:adjustRightInd w:val="0"/>
              <w:snapToGrid w:val="0"/>
              <w:spacing w:line="276" w:lineRule="auto"/>
              <w:ind w:firstLine="0"/>
              <w:rPr>
                <w:rFonts w:ascii="宋体" w:hAnsi="宋体"/>
                <w:szCs w:val="21"/>
                <w:highlight w:val="none"/>
              </w:rPr>
            </w:pPr>
            <w:r>
              <w:rPr>
                <w:rFonts w:hint="eastAsia" w:ascii="宋体" w:hAnsi="宋体"/>
                <w:szCs w:val="21"/>
                <w:highlight w:val="none"/>
              </w:rPr>
              <w:t>【中】检测工作的程序与方案不够全面具体，可行性低，得1</w:t>
            </w:r>
            <w:r>
              <w:rPr>
                <w:rFonts w:hint="eastAsia" w:ascii="宋体" w:hAnsi="宋体" w:cs="宋体"/>
                <w:szCs w:val="21"/>
                <w:highlight w:val="none"/>
              </w:rPr>
              <w:t>-</w:t>
            </w:r>
            <w:r>
              <w:rPr>
                <w:rFonts w:hint="eastAsia" w:ascii="宋体" w:hAnsi="宋体"/>
                <w:szCs w:val="21"/>
                <w:highlight w:val="none"/>
              </w:rPr>
              <w:t>4分。</w:t>
            </w:r>
          </w:p>
          <w:p w14:paraId="2A398D6B">
            <w:pPr>
              <w:pStyle w:val="25"/>
              <w:adjustRightInd w:val="0"/>
              <w:snapToGrid w:val="0"/>
              <w:spacing w:line="276" w:lineRule="auto"/>
              <w:ind w:firstLine="0"/>
              <w:rPr>
                <w:rFonts w:ascii="宋体" w:hAnsi="宋体"/>
                <w:szCs w:val="21"/>
                <w:highlight w:val="none"/>
              </w:rPr>
            </w:pPr>
            <w:r>
              <w:rPr>
                <w:rFonts w:hint="eastAsia" w:ascii="宋体" w:hAnsi="宋体"/>
                <w:szCs w:val="21"/>
                <w:highlight w:val="none"/>
              </w:rPr>
              <w:t>【差】检测方案内容阐述缺项，检测程序不满足要求，得0分。</w:t>
            </w:r>
          </w:p>
        </w:tc>
      </w:tr>
      <w:tr w14:paraId="61784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6"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14:paraId="3D7E3562">
            <w:pPr>
              <w:adjustRightInd w:val="0"/>
              <w:snapToGrid w:val="0"/>
              <w:spacing w:line="276" w:lineRule="auto"/>
              <w:jc w:val="center"/>
              <w:rPr>
                <w:rFonts w:ascii="宋体" w:hAnsi="宋体" w:cs="宋体"/>
                <w:szCs w:val="21"/>
                <w:highlight w:val="none"/>
              </w:rPr>
            </w:pPr>
            <w:r>
              <w:rPr>
                <w:rFonts w:hint="eastAsia" w:ascii="宋体" w:hAnsi="宋体" w:cs="宋体"/>
                <w:szCs w:val="21"/>
                <w:highlight w:val="none"/>
              </w:rPr>
              <w:t>投标报价</w:t>
            </w:r>
          </w:p>
          <w:p w14:paraId="58585133">
            <w:pPr>
              <w:adjustRightInd w:val="0"/>
              <w:snapToGrid w:val="0"/>
              <w:spacing w:line="276" w:lineRule="auto"/>
              <w:jc w:val="center"/>
              <w:rPr>
                <w:rFonts w:ascii="宋体" w:hAnsi="宋体" w:cs="宋体"/>
                <w:szCs w:val="21"/>
                <w:highlight w:val="none"/>
              </w:rPr>
            </w:pPr>
            <w:r>
              <w:rPr>
                <w:rFonts w:hint="eastAsia" w:ascii="宋体" w:hAnsi="宋体" w:cs="宋体"/>
                <w:szCs w:val="21"/>
                <w:highlight w:val="none"/>
              </w:rPr>
              <w:t>评分标准</w:t>
            </w:r>
          </w:p>
          <w:p w14:paraId="7B0DC1EC">
            <w:pPr>
              <w:adjustRightInd w:val="0"/>
              <w:snapToGrid w:val="0"/>
              <w:spacing w:line="276" w:lineRule="auto"/>
              <w:jc w:val="center"/>
              <w:rPr>
                <w:rFonts w:ascii="宋体" w:hAnsi="宋体" w:cs="宋体"/>
                <w:szCs w:val="21"/>
                <w:highlight w:val="none"/>
              </w:rPr>
            </w:pPr>
            <w:r>
              <w:rPr>
                <w:rFonts w:hint="eastAsia" w:ascii="宋体" w:hAnsi="宋体" w:cs="宋体"/>
                <w:szCs w:val="21"/>
                <w:highlight w:val="none"/>
              </w:rPr>
              <w:t>（</w:t>
            </w:r>
            <w:r>
              <w:rPr>
                <w:rFonts w:ascii="宋体" w:hAnsi="宋体" w:cs="宋体"/>
                <w:szCs w:val="21"/>
                <w:highlight w:val="none"/>
              </w:rPr>
              <w:t>15</w:t>
            </w:r>
            <w:r>
              <w:rPr>
                <w:rFonts w:hint="eastAsia" w:ascii="宋体" w:hAnsi="宋体" w:cs="宋体"/>
                <w:szCs w:val="21"/>
                <w:highlight w:val="none"/>
              </w:rPr>
              <w:t>分）</w:t>
            </w:r>
          </w:p>
        </w:tc>
        <w:tc>
          <w:tcPr>
            <w:tcW w:w="2557" w:type="dxa"/>
            <w:gridSpan w:val="2"/>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14:paraId="787660F0">
            <w:pPr>
              <w:adjustRightInd w:val="0"/>
              <w:snapToGrid w:val="0"/>
              <w:spacing w:line="276" w:lineRule="auto"/>
              <w:jc w:val="center"/>
              <w:rPr>
                <w:rFonts w:ascii="宋体" w:hAnsi="宋体" w:cs="宋体"/>
                <w:szCs w:val="21"/>
                <w:highlight w:val="none"/>
              </w:rPr>
            </w:pPr>
            <w:r>
              <w:rPr>
                <w:rFonts w:hint="eastAsia" w:ascii="宋体" w:hAnsi="宋体" w:cs="宋体"/>
                <w:szCs w:val="21"/>
                <w:highlight w:val="none"/>
              </w:rPr>
              <w:t>投标报价（</w:t>
            </w:r>
            <w:r>
              <w:rPr>
                <w:rFonts w:ascii="宋体" w:hAnsi="宋体" w:cs="宋体"/>
                <w:szCs w:val="21"/>
                <w:highlight w:val="none"/>
              </w:rPr>
              <w:t>15</w:t>
            </w:r>
            <w:r>
              <w:rPr>
                <w:rFonts w:hint="eastAsia" w:ascii="宋体" w:hAnsi="宋体" w:cs="宋体"/>
                <w:szCs w:val="21"/>
                <w:highlight w:val="none"/>
              </w:rPr>
              <w:t>分）</w:t>
            </w:r>
          </w:p>
        </w:tc>
        <w:tc>
          <w:tcPr>
            <w:tcW w:w="5938" w:type="dxa"/>
            <w:tcBorders>
              <w:top w:val="single" w:color="auto" w:sz="4" w:space="0"/>
              <w:left w:val="single" w:color="auto" w:sz="4" w:space="0"/>
              <w:bottom w:val="single" w:color="auto" w:sz="4" w:space="0"/>
              <w:right w:val="single" w:color="auto" w:sz="4" w:space="0"/>
            </w:tcBorders>
            <w:vAlign w:val="center"/>
          </w:tcPr>
          <w:p w14:paraId="4856B3C4">
            <w:pPr>
              <w:pStyle w:val="25"/>
              <w:adjustRightInd w:val="0"/>
              <w:snapToGrid w:val="0"/>
              <w:spacing w:line="276" w:lineRule="auto"/>
              <w:ind w:firstLine="0"/>
              <w:rPr>
                <w:rFonts w:ascii="宋体" w:hAnsi="宋体"/>
                <w:szCs w:val="21"/>
                <w:highlight w:val="none"/>
              </w:rPr>
            </w:pPr>
            <w:r>
              <w:rPr>
                <w:rFonts w:hint="eastAsia" w:ascii="宋体" w:hAnsi="宋体"/>
                <w:szCs w:val="21"/>
                <w:highlight w:val="none"/>
              </w:rPr>
              <w:t>以评标参考价作为计算各有效投标报价得分的基础，当有效投标报价等于评标参考价时得</w:t>
            </w:r>
            <w:r>
              <w:rPr>
                <w:rFonts w:ascii="宋体" w:hAnsi="宋体"/>
                <w:szCs w:val="21"/>
                <w:highlight w:val="none"/>
              </w:rPr>
              <w:t>15</w:t>
            </w:r>
            <w:r>
              <w:rPr>
                <w:rFonts w:hint="eastAsia" w:ascii="宋体" w:hAnsi="宋体"/>
                <w:szCs w:val="21"/>
                <w:highlight w:val="none"/>
              </w:rPr>
              <w:t>分；投标有效报价与评标参考价之差，每上偏1%扣1.0分，下偏1%扣0.5分；最多减至0分止。</w:t>
            </w:r>
          </w:p>
          <w:p w14:paraId="428FEFEA">
            <w:pPr>
              <w:pStyle w:val="25"/>
              <w:adjustRightInd w:val="0"/>
              <w:snapToGrid w:val="0"/>
              <w:spacing w:line="276" w:lineRule="auto"/>
              <w:ind w:firstLine="0"/>
              <w:rPr>
                <w:rFonts w:ascii="宋体" w:hAnsi="宋体"/>
                <w:b/>
                <w:szCs w:val="21"/>
                <w:highlight w:val="none"/>
              </w:rPr>
            </w:pPr>
            <w:r>
              <w:rPr>
                <w:rFonts w:hint="eastAsia" w:ascii="宋体" w:hAnsi="宋体"/>
                <w:b/>
                <w:szCs w:val="21"/>
                <w:highlight w:val="none"/>
              </w:rPr>
              <w:t>本项最高分为</w:t>
            </w:r>
            <w:r>
              <w:rPr>
                <w:rFonts w:ascii="宋体" w:hAnsi="宋体"/>
                <w:b/>
                <w:szCs w:val="21"/>
                <w:highlight w:val="none"/>
              </w:rPr>
              <w:t>15</w:t>
            </w:r>
            <w:r>
              <w:rPr>
                <w:rFonts w:hint="eastAsia" w:ascii="宋体" w:hAnsi="宋体"/>
                <w:b/>
                <w:szCs w:val="21"/>
                <w:highlight w:val="none"/>
              </w:rPr>
              <w:t>分，最低分为0分。得分精确到小数点后两位。</w:t>
            </w:r>
          </w:p>
        </w:tc>
      </w:tr>
    </w:tbl>
    <w:p w14:paraId="41A11E38">
      <w:pPr>
        <w:spacing w:line="276" w:lineRule="auto"/>
        <w:rPr>
          <w:rFonts w:hint="eastAsia" w:ascii="宋体" w:hAnsi="宋体"/>
          <w:szCs w:val="21"/>
          <w:highlight w:val="none"/>
        </w:rPr>
      </w:pPr>
      <w:r>
        <w:rPr>
          <w:rFonts w:hint="eastAsia" w:ascii="宋体" w:hAnsi="宋体"/>
          <w:szCs w:val="21"/>
          <w:highlight w:val="none"/>
        </w:rPr>
        <w:t>说明：</w:t>
      </w:r>
    </w:p>
    <w:p w14:paraId="0C8F1015">
      <w:pPr>
        <w:spacing w:line="276" w:lineRule="auto"/>
        <w:rPr>
          <w:rFonts w:ascii="宋体" w:hAnsi="宋体" w:cs="宋体"/>
          <w:szCs w:val="21"/>
          <w:highlight w:val="none"/>
        </w:rPr>
      </w:pPr>
      <w:r>
        <w:rPr>
          <w:rFonts w:hint="eastAsia" w:ascii="宋体" w:hAnsi="宋体"/>
          <w:szCs w:val="21"/>
          <w:highlight w:val="none"/>
        </w:rPr>
        <w:t>1</w:t>
      </w:r>
      <w:r>
        <w:rPr>
          <w:rFonts w:hint="eastAsia" w:ascii="宋体" w:hAnsi="宋体" w:cs="宋体"/>
          <w:szCs w:val="21"/>
          <w:highlight w:val="none"/>
        </w:rPr>
        <w:t>、投标人的综合得分为各评委的评分去掉一个最高分和一个最低分后计取的算术平均分（分数出现小数点时，保留小数点后二位，第三位小数四舍五入）。</w:t>
      </w:r>
    </w:p>
    <w:p w14:paraId="02E3E531">
      <w:pPr>
        <w:pStyle w:val="25"/>
        <w:spacing w:line="276" w:lineRule="auto"/>
        <w:ind w:left="0" w:leftChars="0" w:firstLine="0" w:firstLineChars="0"/>
        <w:rPr>
          <w:rFonts w:ascii="宋体" w:hAnsi="宋体" w:cs="宋体"/>
          <w:szCs w:val="21"/>
          <w:highlight w:val="none"/>
        </w:rPr>
      </w:pPr>
      <w:r>
        <w:rPr>
          <w:rFonts w:hint="eastAsia" w:ascii="宋体" w:hAnsi="宋体" w:cs="宋体"/>
          <w:szCs w:val="21"/>
          <w:highlight w:val="none"/>
          <w:lang w:val="en-US" w:eastAsia="zh-CN"/>
        </w:rPr>
        <w:t>2</w:t>
      </w:r>
      <w:r>
        <w:rPr>
          <w:rFonts w:ascii="宋体" w:hAnsi="宋体" w:cs="宋体"/>
          <w:szCs w:val="21"/>
          <w:highlight w:val="none"/>
        </w:rPr>
        <w:t>、中标单位需准备投标文件涉及的所有原件待查，如原件不齐或与原件不符的，招标人有权取消其中标人资格，并上报建设行政主管部门。</w:t>
      </w:r>
    </w:p>
    <w:p w14:paraId="70F0543B">
      <w:pPr>
        <w:widowControl/>
        <w:jc w:val="left"/>
        <w:rPr>
          <w:rFonts w:ascii="宋体" w:hAnsi="宋体"/>
          <w:b/>
          <w:sz w:val="28"/>
          <w:szCs w:val="28"/>
          <w:highlight w:val="none"/>
        </w:rPr>
      </w:pPr>
      <w:bookmarkStart w:id="119" w:name="_Toc103592026"/>
      <w:r>
        <w:rPr>
          <w:highlight w:val="none"/>
        </w:rPr>
        <w:br w:type="page"/>
      </w:r>
    </w:p>
    <w:p w14:paraId="04980975">
      <w:pPr>
        <w:pStyle w:val="5"/>
        <w:rPr>
          <w:szCs w:val="21"/>
          <w:highlight w:val="none"/>
        </w:rPr>
      </w:pPr>
      <w:r>
        <w:rPr>
          <w:rFonts w:hint="eastAsia"/>
          <w:highlight w:val="none"/>
        </w:rPr>
        <w:t>附表五：算术复核表</w:t>
      </w:r>
      <w:bookmarkEnd w:id="119"/>
    </w:p>
    <w:p w14:paraId="7FF4D3E5">
      <w:pPr>
        <w:spacing w:line="360" w:lineRule="auto"/>
        <w:jc w:val="center"/>
        <w:rPr>
          <w:rFonts w:ascii="宋体" w:hAnsi="宋体"/>
          <w:b/>
          <w:sz w:val="36"/>
          <w:szCs w:val="36"/>
          <w:highlight w:val="none"/>
        </w:rPr>
      </w:pPr>
      <w:r>
        <w:rPr>
          <w:rFonts w:hint="eastAsia" w:ascii="宋体" w:hAnsi="宋体" w:cs="宋体"/>
          <w:sz w:val="28"/>
          <w:szCs w:val="28"/>
          <w:highlight w:val="none"/>
        </w:rPr>
        <w:t>算术复核表</w:t>
      </w:r>
    </w:p>
    <w:p w14:paraId="1ADD5F58">
      <w:pPr>
        <w:adjustRightInd w:val="0"/>
        <w:snapToGrid w:val="0"/>
        <w:spacing w:line="360" w:lineRule="auto"/>
        <w:rPr>
          <w:rFonts w:ascii="宋体" w:hAnsi="宋体"/>
          <w:szCs w:val="36"/>
          <w:highlight w:val="none"/>
          <w:u w:val="single"/>
        </w:rPr>
      </w:pPr>
      <w:r>
        <w:rPr>
          <w:rFonts w:hint="eastAsia" w:ascii="宋体" w:hAnsi="宋体"/>
          <w:szCs w:val="21"/>
          <w:highlight w:val="none"/>
        </w:rPr>
        <w:t>项目名称：</w:t>
      </w:r>
      <w:r>
        <w:rPr>
          <w:rFonts w:hint="eastAsia" w:ascii="宋体" w:hAnsi="宋体"/>
          <w:szCs w:val="21"/>
          <w:highlight w:val="none"/>
          <w:u w:val="single"/>
        </w:rPr>
        <w:t xml:space="preserve">                 </w:t>
      </w:r>
    </w:p>
    <w:tbl>
      <w:tblPr>
        <w:tblStyle w:val="27"/>
        <w:tblW w:w="0" w:type="auto"/>
        <w:jc w:val="center"/>
        <w:tblLayout w:type="fixed"/>
        <w:tblCellMar>
          <w:top w:w="0" w:type="dxa"/>
          <w:left w:w="108" w:type="dxa"/>
          <w:bottom w:w="0" w:type="dxa"/>
          <w:right w:w="108" w:type="dxa"/>
        </w:tblCellMar>
      </w:tblPr>
      <w:tblGrid>
        <w:gridCol w:w="727"/>
        <w:gridCol w:w="2057"/>
        <w:gridCol w:w="1701"/>
        <w:gridCol w:w="2410"/>
        <w:gridCol w:w="2866"/>
      </w:tblGrid>
      <w:tr w14:paraId="769494DC">
        <w:tblPrEx>
          <w:tblCellMar>
            <w:top w:w="0" w:type="dxa"/>
            <w:left w:w="108" w:type="dxa"/>
            <w:bottom w:w="0" w:type="dxa"/>
            <w:right w:w="108" w:type="dxa"/>
          </w:tblCellMar>
        </w:tblPrEx>
        <w:trPr>
          <w:trHeight w:val="381" w:hRule="atLeast"/>
          <w:jc w:val="center"/>
        </w:trPr>
        <w:tc>
          <w:tcPr>
            <w:tcW w:w="727" w:type="dxa"/>
            <w:tcBorders>
              <w:top w:val="single" w:color="auto" w:sz="4" w:space="0"/>
              <w:left w:val="single" w:color="auto" w:sz="4" w:space="0"/>
              <w:bottom w:val="single" w:color="auto" w:sz="4" w:space="0"/>
              <w:right w:val="single" w:color="auto" w:sz="4" w:space="0"/>
            </w:tcBorders>
            <w:vAlign w:val="center"/>
          </w:tcPr>
          <w:p w14:paraId="7D0E2624">
            <w:pPr>
              <w:snapToGrid w:val="0"/>
              <w:spacing w:line="240" w:lineRule="atLeast"/>
              <w:jc w:val="center"/>
              <w:rPr>
                <w:rFonts w:ascii="宋体" w:hAnsi="宋体"/>
                <w:szCs w:val="21"/>
                <w:highlight w:val="none"/>
              </w:rPr>
            </w:pPr>
            <w:r>
              <w:rPr>
                <w:rFonts w:hint="eastAsia" w:ascii="宋体" w:hAnsi="宋体"/>
                <w:szCs w:val="21"/>
                <w:highlight w:val="none"/>
              </w:rPr>
              <w:t>编号</w:t>
            </w:r>
          </w:p>
        </w:tc>
        <w:tc>
          <w:tcPr>
            <w:tcW w:w="2057" w:type="dxa"/>
            <w:tcBorders>
              <w:top w:val="single" w:color="auto" w:sz="4" w:space="0"/>
              <w:left w:val="nil"/>
              <w:bottom w:val="single" w:color="auto" w:sz="4" w:space="0"/>
              <w:right w:val="single" w:color="auto" w:sz="4" w:space="0"/>
            </w:tcBorders>
            <w:vAlign w:val="center"/>
          </w:tcPr>
          <w:p w14:paraId="750162E7">
            <w:pPr>
              <w:snapToGrid w:val="0"/>
              <w:spacing w:line="240" w:lineRule="atLeast"/>
              <w:jc w:val="center"/>
              <w:rPr>
                <w:rFonts w:ascii="宋体" w:hAnsi="宋体"/>
                <w:szCs w:val="21"/>
                <w:highlight w:val="none"/>
              </w:rPr>
            </w:pPr>
            <w:r>
              <w:rPr>
                <w:rFonts w:hint="eastAsia" w:ascii="宋体" w:hAnsi="宋体"/>
                <w:szCs w:val="21"/>
                <w:highlight w:val="none"/>
              </w:rPr>
              <w:t>投标人名称</w:t>
            </w:r>
          </w:p>
        </w:tc>
        <w:tc>
          <w:tcPr>
            <w:tcW w:w="1701" w:type="dxa"/>
            <w:tcBorders>
              <w:top w:val="single" w:color="auto" w:sz="4" w:space="0"/>
              <w:left w:val="nil"/>
              <w:bottom w:val="single" w:color="auto" w:sz="4" w:space="0"/>
              <w:right w:val="single" w:color="auto" w:sz="4" w:space="0"/>
            </w:tcBorders>
            <w:vAlign w:val="center"/>
          </w:tcPr>
          <w:p w14:paraId="26B2CF2B">
            <w:pPr>
              <w:snapToGrid w:val="0"/>
              <w:spacing w:line="240" w:lineRule="atLeast"/>
              <w:jc w:val="center"/>
              <w:rPr>
                <w:rFonts w:ascii="宋体" w:hAnsi="宋体"/>
                <w:szCs w:val="21"/>
                <w:highlight w:val="none"/>
              </w:rPr>
            </w:pPr>
            <w:r>
              <w:rPr>
                <w:rFonts w:hint="eastAsia" w:ascii="宋体" w:hAnsi="宋体"/>
                <w:szCs w:val="21"/>
                <w:highlight w:val="none"/>
              </w:rPr>
              <w:t>原投标报价</w:t>
            </w:r>
            <w:r>
              <w:rPr>
                <w:rFonts w:ascii="宋体" w:hAnsi="宋体"/>
                <w:szCs w:val="21"/>
                <w:highlight w:val="none"/>
              </w:rPr>
              <w:t>A</w:t>
            </w:r>
          </w:p>
        </w:tc>
        <w:tc>
          <w:tcPr>
            <w:tcW w:w="2410" w:type="dxa"/>
            <w:tcBorders>
              <w:top w:val="single" w:color="auto" w:sz="4" w:space="0"/>
              <w:left w:val="nil"/>
              <w:bottom w:val="single" w:color="auto" w:sz="4" w:space="0"/>
              <w:right w:val="single" w:color="auto" w:sz="4" w:space="0"/>
            </w:tcBorders>
            <w:vAlign w:val="center"/>
          </w:tcPr>
          <w:p w14:paraId="277C7583">
            <w:pPr>
              <w:snapToGrid w:val="0"/>
              <w:spacing w:line="240" w:lineRule="atLeast"/>
              <w:jc w:val="center"/>
              <w:rPr>
                <w:rFonts w:ascii="宋体" w:hAnsi="宋体"/>
                <w:szCs w:val="21"/>
                <w:highlight w:val="none"/>
              </w:rPr>
            </w:pPr>
            <w:r>
              <w:rPr>
                <w:rFonts w:hint="eastAsia" w:ascii="宋体" w:hAnsi="宋体"/>
                <w:szCs w:val="21"/>
                <w:highlight w:val="none"/>
              </w:rPr>
              <w:t>算术复核后投标报价</w:t>
            </w:r>
            <w:r>
              <w:rPr>
                <w:rFonts w:ascii="宋体" w:hAnsi="宋体"/>
                <w:szCs w:val="21"/>
                <w:highlight w:val="none"/>
              </w:rPr>
              <w:t>B</w:t>
            </w:r>
          </w:p>
        </w:tc>
        <w:tc>
          <w:tcPr>
            <w:tcW w:w="2866" w:type="dxa"/>
            <w:tcBorders>
              <w:top w:val="single" w:color="auto" w:sz="4" w:space="0"/>
              <w:left w:val="nil"/>
              <w:bottom w:val="single" w:color="auto" w:sz="4" w:space="0"/>
              <w:right w:val="single" w:color="auto" w:sz="4" w:space="0"/>
            </w:tcBorders>
            <w:vAlign w:val="center"/>
          </w:tcPr>
          <w:p w14:paraId="1C11D719">
            <w:pPr>
              <w:snapToGrid w:val="0"/>
              <w:spacing w:line="240" w:lineRule="atLeast"/>
              <w:jc w:val="center"/>
              <w:rPr>
                <w:rFonts w:ascii="宋体" w:hAnsi="宋体"/>
                <w:szCs w:val="21"/>
                <w:highlight w:val="none"/>
              </w:rPr>
            </w:pPr>
            <w:r>
              <w:rPr>
                <w:rFonts w:hint="eastAsia" w:ascii="宋体" w:hAnsi="宋体"/>
                <w:szCs w:val="21"/>
                <w:highlight w:val="none"/>
              </w:rPr>
              <w:t>误差率</w:t>
            </w:r>
            <w:r>
              <w:rPr>
                <w:rFonts w:ascii="宋体" w:hAnsi="宋体"/>
                <w:szCs w:val="21"/>
                <w:highlight w:val="none"/>
              </w:rPr>
              <w:t>r=</w:t>
            </w:r>
            <w:r>
              <w:rPr>
                <w:rFonts w:hint="eastAsia" w:ascii="宋体" w:hAnsi="宋体"/>
                <w:szCs w:val="21"/>
                <w:highlight w:val="none"/>
              </w:rPr>
              <w:t>︱</w:t>
            </w:r>
            <w:r>
              <w:rPr>
                <w:rFonts w:ascii="宋体" w:hAnsi="宋体"/>
                <w:szCs w:val="21"/>
                <w:highlight w:val="none"/>
              </w:rPr>
              <w:t>A-B</w:t>
            </w:r>
            <w:r>
              <w:rPr>
                <w:rFonts w:hint="eastAsia" w:ascii="宋体" w:hAnsi="宋体"/>
                <w:szCs w:val="21"/>
                <w:highlight w:val="none"/>
              </w:rPr>
              <w:t>︳</w:t>
            </w:r>
            <w:r>
              <w:rPr>
                <w:rFonts w:ascii="宋体" w:hAnsi="宋体"/>
                <w:szCs w:val="21"/>
                <w:highlight w:val="none"/>
              </w:rPr>
              <w:t>/ A *100%</w:t>
            </w:r>
          </w:p>
        </w:tc>
      </w:tr>
      <w:tr w14:paraId="7B9D2160">
        <w:tblPrEx>
          <w:tblCellMar>
            <w:top w:w="0" w:type="dxa"/>
            <w:left w:w="108" w:type="dxa"/>
            <w:bottom w:w="0" w:type="dxa"/>
            <w:right w:w="108" w:type="dxa"/>
          </w:tblCellMar>
        </w:tblPrEx>
        <w:trPr>
          <w:trHeight w:val="480" w:hRule="atLeast"/>
          <w:jc w:val="center"/>
        </w:trPr>
        <w:tc>
          <w:tcPr>
            <w:tcW w:w="727" w:type="dxa"/>
            <w:tcBorders>
              <w:top w:val="nil"/>
              <w:left w:val="single" w:color="auto" w:sz="4" w:space="0"/>
              <w:bottom w:val="single" w:color="auto" w:sz="4" w:space="0"/>
              <w:right w:val="single" w:color="auto" w:sz="4" w:space="0"/>
            </w:tcBorders>
            <w:vAlign w:val="center"/>
          </w:tcPr>
          <w:p w14:paraId="6B163DE6">
            <w:pPr>
              <w:snapToGrid w:val="0"/>
              <w:spacing w:line="240" w:lineRule="atLeast"/>
              <w:jc w:val="center"/>
              <w:rPr>
                <w:rFonts w:ascii="宋体" w:hAnsi="宋体"/>
                <w:szCs w:val="21"/>
                <w:highlight w:val="none"/>
              </w:rPr>
            </w:pPr>
            <w:r>
              <w:rPr>
                <w:rFonts w:hint="eastAsia" w:ascii="宋体" w:hAnsi="宋体"/>
                <w:szCs w:val="21"/>
                <w:highlight w:val="none"/>
              </w:rPr>
              <w:t>1</w:t>
            </w:r>
          </w:p>
        </w:tc>
        <w:tc>
          <w:tcPr>
            <w:tcW w:w="2057" w:type="dxa"/>
            <w:tcBorders>
              <w:top w:val="nil"/>
              <w:left w:val="nil"/>
              <w:bottom w:val="single" w:color="auto" w:sz="4" w:space="0"/>
              <w:right w:val="single" w:color="auto" w:sz="4" w:space="0"/>
            </w:tcBorders>
            <w:vAlign w:val="center"/>
          </w:tcPr>
          <w:p w14:paraId="576F45ED">
            <w:pPr>
              <w:snapToGrid w:val="0"/>
              <w:spacing w:line="240" w:lineRule="atLeast"/>
              <w:jc w:val="center"/>
              <w:rPr>
                <w:rFonts w:ascii="宋体" w:hAnsi="宋体"/>
                <w:szCs w:val="21"/>
                <w:highlight w:val="none"/>
              </w:rPr>
            </w:pPr>
          </w:p>
        </w:tc>
        <w:tc>
          <w:tcPr>
            <w:tcW w:w="1701" w:type="dxa"/>
            <w:tcBorders>
              <w:top w:val="nil"/>
              <w:left w:val="nil"/>
              <w:bottom w:val="single" w:color="auto" w:sz="4" w:space="0"/>
              <w:right w:val="single" w:color="auto" w:sz="4" w:space="0"/>
            </w:tcBorders>
            <w:vAlign w:val="center"/>
          </w:tcPr>
          <w:p w14:paraId="24CC12B6">
            <w:pPr>
              <w:snapToGrid w:val="0"/>
              <w:spacing w:line="240" w:lineRule="atLeast"/>
              <w:jc w:val="center"/>
              <w:rPr>
                <w:rFonts w:ascii="宋体" w:hAnsi="宋体"/>
                <w:szCs w:val="21"/>
                <w:highlight w:val="none"/>
              </w:rPr>
            </w:pPr>
          </w:p>
        </w:tc>
        <w:tc>
          <w:tcPr>
            <w:tcW w:w="2410" w:type="dxa"/>
            <w:tcBorders>
              <w:top w:val="nil"/>
              <w:left w:val="nil"/>
              <w:bottom w:val="single" w:color="auto" w:sz="4" w:space="0"/>
              <w:right w:val="single" w:color="auto" w:sz="4" w:space="0"/>
            </w:tcBorders>
            <w:vAlign w:val="center"/>
          </w:tcPr>
          <w:p w14:paraId="2976A91D">
            <w:pPr>
              <w:snapToGrid w:val="0"/>
              <w:spacing w:line="240" w:lineRule="atLeast"/>
              <w:jc w:val="center"/>
              <w:rPr>
                <w:rFonts w:ascii="宋体" w:hAnsi="宋体"/>
                <w:szCs w:val="21"/>
                <w:highlight w:val="none"/>
              </w:rPr>
            </w:pPr>
          </w:p>
        </w:tc>
        <w:tc>
          <w:tcPr>
            <w:tcW w:w="2866" w:type="dxa"/>
            <w:tcBorders>
              <w:top w:val="nil"/>
              <w:left w:val="nil"/>
              <w:bottom w:val="single" w:color="auto" w:sz="4" w:space="0"/>
              <w:right w:val="single" w:color="auto" w:sz="4" w:space="0"/>
            </w:tcBorders>
            <w:vAlign w:val="center"/>
          </w:tcPr>
          <w:p w14:paraId="1A5C2505">
            <w:pPr>
              <w:snapToGrid w:val="0"/>
              <w:spacing w:line="240" w:lineRule="atLeast"/>
              <w:jc w:val="center"/>
              <w:rPr>
                <w:rFonts w:ascii="宋体" w:hAnsi="宋体"/>
                <w:szCs w:val="21"/>
                <w:highlight w:val="none"/>
              </w:rPr>
            </w:pPr>
          </w:p>
        </w:tc>
      </w:tr>
      <w:tr w14:paraId="48AF5FD2">
        <w:tblPrEx>
          <w:tblCellMar>
            <w:top w:w="0" w:type="dxa"/>
            <w:left w:w="108" w:type="dxa"/>
            <w:bottom w:w="0" w:type="dxa"/>
            <w:right w:w="108" w:type="dxa"/>
          </w:tblCellMar>
        </w:tblPrEx>
        <w:trPr>
          <w:trHeight w:val="480" w:hRule="atLeast"/>
          <w:jc w:val="center"/>
        </w:trPr>
        <w:tc>
          <w:tcPr>
            <w:tcW w:w="727" w:type="dxa"/>
            <w:tcBorders>
              <w:top w:val="nil"/>
              <w:left w:val="single" w:color="auto" w:sz="4" w:space="0"/>
              <w:bottom w:val="single" w:color="auto" w:sz="4" w:space="0"/>
              <w:right w:val="single" w:color="auto" w:sz="4" w:space="0"/>
            </w:tcBorders>
            <w:vAlign w:val="center"/>
          </w:tcPr>
          <w:p w14:paraId="424F5958">
            <w:pPr>
              <w:snapToGrid w:val="0"/>
              <w:spacing w:line="240" w:lineRule="atLeast"/>
              <w:jc w:val="center"/>
              <w:rPr>
                <w:rFonts w:ascii="宋体" w:hAnsi="宋体"/>
                <w:szCs w:val="21"/>
                <w:highlight w:val="none"/>
              </w:rPr>
            </w:pPr>
            <w:r>
              <w:rPr>
                <w:rFonts w:hint="eastAsia" w:ascii="宋体" w:hAnsi="宋体"/>
                <w:szCs w:val="21"/>
                <w:highlight w:val="none"/>
              </w:rPr>
              <w:t>2</w:t>
            </w:r>
          </w:p>
        </w:tc>
        <w:tc>
          <w:tcPr>
            <w:tcW w:w="2057" w:type="dxa"/>
            <w:tcBorders>
              <w:top w:val="nil"/>
              <w:left w:val="nil"/>
              <w:bottom w:val="single" w:color="auto" w:sz="4" w:space="0"/>
              <w:right w:val="single" w:color="auto" w:sz="4" w:space="0"/>
            </w:tcBorders>
            <w:vAlign w:val="center"/>
          </w:tcPr>
          <w:p w14:paraId="6BDB6F8C">
            <w:pPr>
              <w:snapToGrid w:val="0"/>
              <w:spacing w:line="240" w:lineRule="atLeast"/>
              <w:jc w:val="center"/>
              <w:rPr>
                <w:rFonts w:ascii="宋体" w:hAnsi="宋体"/>
                <w:szCs w:val="21"/>
                <w:highlight w:val="none"/>
              </w:rPr>
            </w:pPr>
          </w:p>
        </w:tc>
        <w:tc>
          <w:tcPr>
            <w:tcW w:w="1701" w:type="dxa"/>
            <w:tcBorders>
              <w:top w:val="nil"/>
              <w:left w:val="nil"/>
              <w:bottom w:val="single" w:color="auto" w:sz="4" w:space="0"/>
              <w:right w:val="single" w:color="auto" w:sz="4" w:space="0"/>
            </w:tcBorders>
            <w:vAlign w:val="center"/>
          </w:tcPr>
          <w:p w14:paraId="661D249F">
            <w:pPr>
              <w:snapToGrid w:val="0"/>
              <w:spacing w:line="240" w:lineRule="atLeast"/>
              <w:jc w:val="center"/>
              <w:rPr>
                <w:rFonts w:ascii="宋体" w:hAnsi="宋体"/>
                <w:szCs w:val="21"/>
                <w:highlight w:val="none"/>
              </w:rPr>
            </w:pPr>
          </w:p>
        </w:tc>
        <w:tc>
          <w:tcPr>
            <w:tcW w:w="2410" w:type="dxa"/>
            <w:tcBorders>
              <w:top w:val="nil"/>
              <w:left w:val="nil"/>
              <w:bottom w:val="single" w:color="auto" w:sz="4" w:space="0"/>
              <w:right w:val="single" w:color="auto" w:sz="4" w:space="0"/>
            </w:tcBorders>
            <w:vAlign w:val="center"/>
          </w:tcPr>
          <w:p w14:paraId="2DA3F425">
            <w:pPr>
              <w:snapToGrid w:val="0"/>
              <w:spacing w:line="240" w:lineRule="atLeast"/>
              <w:jc w:val="center"/>
              <w:rPr>
                <w:rFonts w:ascii="宋体" w:hAnsi="宋体"/>
                <w:szCs w:val="21"/>
                <w:highlight w:val="none"/>
              </w:rPr>
            </w:pPr>
          </w:p>
        </w:tc>
        <w:tc>
          <w:tcPr>
            <w:tcW w:w="2866" w:type="dxa"/>
            <w:tcBorders>
              <w:top w:val="nil"/>
              <w:left w:val="nil"/>
              <w:bottom w:val="single" w:color="auto" w:sz="4" w:space="0"/>
              <w:right w:val="single" w:color="auto" w:sz="4" w:space="0"/>
            </w:tcBorders>
            <w:vAlign w:val="center"/>
          </w:tcPr>
          <w:p w14:paraId="0768301D">
            <w:pPr>
              <w:snapToGrid w:val="0"/>
              <w:spacing w:line="240" w:lineRule="atLeast"/>
              <w:jc w:val="center"/>
              <w:rPr>
                <w:rFonts w:ascii="宋体" w:hAnsi="宋体"/>
                <w:szCs w:val="21"/>
                <w:highlight w:val="none"/>
              </w:rPr>
            </w:pPr>
          </w:p>
        </w:tc>
      </w:tr>
      <w:tr w14:paraId="6B9628B6">
        <w:tblPrEx>
          <w:tblCellMar>
            <w:top w:w="0" w:type="dxa"/>
            <w:left w:w="108" w:type="dxa"/>
            <w:bottom w:w="0" w:type="dxa"/>
            <w:right w:w="108" w:type="dxa"/>
          </w:tblCellMar>
        </w:tblPrEx>
        <w:trPr>
          <w:trHeight w:val="480" w:hRule="atLeast"/>
          <w:jc w:val="center"/>
        </w:trPr>
        <w:tc>
          <w:tcPr>
            <w:tcW w:w="727" w:type="dxa"/>
            <w:tcBorders>
              <w:top w:val="nil"/>
              <w:left w:val="single" w:color="auto" w:sz="4" w:space="0"/>
              <w:bottom w:val="single" w:color="auto" w:sz="4" w:space="0"/>
              <w:right w:val="single" w:color="auto" w:sz="4" w:space="0"/>
            </w:tcBorders>
            <w:vAlign w:val="center"/>
          </w:tcPr>
          <w:p w14:paraId="13D36AEC">
            <w:pPr>
              <w:snapToGrid w:val="0"/>
              <w:spacing w:line="240" w:lineRule="atLeast"/>
              <w:jc w:val="center"/>
              <w:rPr>
                <w:rFonts w:ascii="宋体" w:hAnsi="宋体"/>
                <w:szCs w:val="21"/>
                <w:highlight w:val="none"/>
              </w:rPr>
            </w:pPr>
            <w:r>
              <w:rPr>
                <w:rFonts w:hint="eastAsia" w:ascii="宋体" w:hAnsi="宋体"/>
                <w:szCs w:val="21"/>
                <w:highlight w:val="none"/>
              </w:rPr>
              <w:t>3</w:t>
            </w:r>
          </w:p>
        </w:tc>
        <w:tc>
          <w:tcPr>
            <w:tcW w:w="2057" w:type="dxa"/>
            <w:tcBorders>
              <w:top w:val="nil"/>
              <w:left w:val="nil"/>
              <w:bottom w:val="single" w:color="auto" w:sz="4" w:space="0"/>
              <w:right w:val="single" w:color="auto" w:sz="4" w:space="0"/>
            </w:tcBorders>
            <w:vAlign w:val="center"/>
          </w:tcPr>
          <w:p w14:paraId="13820454">
            <w:pPr>
              <w:snapToGrid w:val="0"/>
              <w:spacing w:line="240" w:lineRule="atLeast"/>
              <w:jc w:val="center"/>
              <w:rPr>
                <w:rFonts w:ascii="宋体" w:hAnsi="宋体"/>
                <w:szCs w:val="21"/>
                <w:highlight w:val="none"/>
              </w:rPr>
            </w:pPr>
          </w:p>
        </w:tc>
        <w:tc>
          <w:tcPr>
            <w:tcW w:w="1701" w:type="dxa"/>
            <w:tcBorders>
              <w:top w:val="nil"/>
              <w:left w:val="nil"/>
              <w:bottom w:val="single" w:color="auto" w:sz="4" w:space="0"/>
              <w:right w:val="single" w:color="auto" w:sz="4" w:space="0"/>
            </w:tcBorders>
            <w:vAlign w:val="center"/>
          </w:tcPr>
          <w:p w14:paraId="7431788A">
            <w:pPr>
              <w:snapToGrid w:val="0"/>
              <w:spacing w:line="240" w:lineRule="atLeast"/>
              <w:jc w:val="center"/>
              <w:rPr>
                <w:rFonts w:ascii="宋体" w:hAnsi="宋体"/>
                <w:szCs w:val="21"/>
                <w:highlight w:val="none"/>
              </w:rPr>
            </w:pPr>
          </w:p>
        </w:tc>
        <w:tc>
          <w:tcPr>
            <w:tcW w:w="2410" w:type="dxa"/>
            <w:tcBorders>
              <w:top w:val="nil"/>
              <w:left w:val="nil"/>
              <w:bottom w:val="single" w:color="auto" w:sz="4" w:space="0"/>
              <w:right w:val="single" w:color="auto" w:sz="4" w:space="0"/>
            </w:tcBorders>
            <w:vAlign w:val="center"/>
          </w:tcPr>
          <w:p w14:paraId="5820B143">
            <w:pPr>
              <w:snapToGrid w:val="0"/>
              <w:spacing w:line="240" w:lineRule="atLeast"/>
              <w:jc w:val="center"/>
              <w:rPr>
                <w:rFonts w:ascii="宋体" w:hAnsi="宋体"/>
                <w:szCs w:val="21"/>
                <w:highlight w:val="none"/>
              </w:rPr>
            </w:pPr>
          </w:p>
        </w:tc>
        <w:tc>
          <w:tcPr>
            <w:tcW w:w="2866" w:type="dxa"/>
            <w:tcBorders>
              <w:top w:val="nil"/>
              <w:left w:val="nil"/>
              <w:bottom w:val="single" w:color="auto" w:sz="4" w:space="0"/>
              <w:right w:val="single" w:color="auto" w:sz="4" w:space="0"/>
            </w:tcBorders>
            <w:vAlign w:val="center"/>
          </w:tcPr>
          <w:p w14:paraId="0939D066">
            <w:pPr>
              <w:snapToGrid w:val="0"/>
              <w:spacing w:line="240" w:lineRule="atLeast"/>
              <w:jc w:val="center"/>
              <w:rPr>
                <w:rFonts w:ascii="宋体" w:hAnsi="宋体"/>
                <w:szCs w:val="21"/>
                <w:highlight w:val="none"/>
              </w:rPr>
            </w:pPr>
          </w:p>
        </w:tc>
      </w:tr>
      <w:tr w14:paraId="3537B740">
        <w:tblPrEx>
          <w:tblCellMar>
            <w:top w:w="0" w:type="dxa"/>
            <w:left w:w="108" w:type="dxa"/>
            <w:bottom w:w="0" w:type="dxa"/>
            <w:right w:w="108" w:type="dxa"/>
          </w:tblCellMar>
        </w:tblPrEx>
        <w:trPr>
          <w:trHeight w:val="480" w:hRule="atLeast"/>
          <w:jc w:val="center"/>
        </w:trPr>
        <w:tc>
          <w:tcPr>
            <w:tcW w:w="727" w:type="dxa"/>
            <w:tcBorders>
              <w:top w:val="nil"/>
              <w:left w:val="single" w:color="auto" w:sz="4" w:space="0"/>
              <w:bottom w:val="single" w:color="auto" w:sz="4" w:space="0"/>
              <w:right w:val="single" w:color="auto" w:sz="4" w:space="0"/>
            </w:tcBorders>
            <w:vAlign w:val="center"/>
          </w:tcPr>
          <w:p w14:paraId="46CB3DDF">
            <w:pPr>
              <w:snapToGrid w:val="0"/>
              <w:spacing w:line="240" w:lineRule="atLeast"/>
              <w:jc w:val="center"/>
              <w:rPr>
                <w:rFonts w:ascii="宋体" w:hAnsi="宋体"/>
                <w:szCs w:val="21"/>
                <w:highlight w:val="none"/>
              </w:rPr>
            </w:pPr>
            <w:r>
              <w:rPr>
                <w:rFonts w:hint="eastAsia" w:ascii="宋体" w:hAnsi="宋体"/>
                <w:szCs w:val="21"/>
                <w:highlight w:val="none"/>
              </w:rPr>
              <w:t>4</w:t>
            </w:r>
          </w:p>
        </w:tc>
        <w:tc>
          <w:tcPr>
            <w:tcW w:w="2057" w:type="dxa"/>
            <w:tcBorders>
              <w:top w:val="nil"/>
              <w:left w:val="nil"/>
              <w:bottom w:val="single" w:color="auto" w:sz="4" w:space="0"/>
              <w:right w:val="single" w:color="auto" w:sz="4" w:space="0"/>
            </w:tcBorders>
            <w:vAlign w:val="center"/>
          </w:tcPr>
          <w:p w14:paraId="0198446C">
            <w:pPr>
              <w:snapToGrid w:val="0"/>
              <w:spacing w:line="240" w:lineRule="atLeast"/>
              <w:jc w:val="center"/>
              <w:rPr>
                <w:rFonts w:ascii="宋体" w:hAnsi="宋体"/>
                <w:szCs w:val="21"/>
                <w:highlight w:val="none"/>
              </w:rPr>
            </w:pPr>
          </w:p>
        </w:tc>
        <w:tc>
          <w:tcPr>
            <w:tcW w:w="1701" w:type="dxa"/>
            <w:tcBorders>
              <w:top w:val="nil"/>
              <w:left w:val="nil"/>
              <w:bottom w:val="single" w:color="auto" w:sz="4" w:space="0"/>
              <w:right w:val="single" w:color="auto" w:sz="4" w:space="0"/>
            </w:tcBorders>
            <w:vAlign w:val="center"/>
          </w:tcPr>
          <w:p w14:paraId="69CB4743">
            <w:pPr>
              <w:snapToGrid w:val="0"/>
              <w:spacing w:line="240" w:lineRule="atLeast"/>
              <w:jc w:val="center"/>
              <w:rPr>
                <w:rFonts w:ascii="宋体" w:hAnsi="宋体"/>
                <w:szCs w:val="21"/>
                <w:highlight w:val="none"/>
              </w:rPr>
            </w:pPr>
          </w:p>
        </w:tc>
        <w:tc>
          <w:tcPr>
            <w:tcW w:w="2410" w:type="dxa"/>
            <w:tcBorders>
              <w:top w:val="nil"/>
              <w:left w:val="nil"/>
              <w:bottom w:val="single" w:color="auto" w:sz="4" w:space="0"/>
              <w:right w:val="single" w:color="auto" w:sz="4" w:space="0"/>
            </w:tcBorders>
            <w:vAlign w:val="center"/>
          </w:tcPr>
          <w:p w14:paraId="4B06CC58">
            <w:pPr>
              <w:snapToGrid w:val="0"/>
              <w:spacing w:line="240" w:lineRule="atLeast"/>
              <w:jc w:val="center"/>
              <w:rPr>
                <w:rFonts w:ascii="宋体" w:hAnsi="宋体"/>
                <w:szCs w:val="21"/>
                <w:highlight w:val="none"/>
              </w:rPr>
            </w:pPr>
          </w:p>
        </w:tc>
        <w:tc>
          <w:tcPr>
            <w:tcW w:w="2866" w:type="dxa"/>
            <w:tcBorders>
              <w:top w:val="nil"/>
              <w:left w:val="nil"/>
              <w:bottom w:val="single" w:color="auto" w:sz="4" w:space="0"/>
              <w:right w:val="single" w:color="auto" w:sz="4" w:space="0"/>
            </w:tcBorders>
            <w:vAlign w:val="center"/>
          </w:tcPr>
          <w:p w14:paraId="7724E4D9">
            <w:pPr>
              <w:snapToGrid w:val="0"/>
              <w:spacing w:line="240" w:lineRule="atLeast"/>
              <w:jc w:val="center"/>
              <w:rPr>
                <w:rFonts w:ascii="宋体" w:hAnsi="宋体"/>
                <w:szCs w:val="21"/>
                <w:highlight w:val="none"/>
              </w:rPr>
            </w:pPr>
          </w:p>
        </w:tc>
      </w:tr>
      <w:tr w14:paraId="0A1BBAE8">
        <w:tblPrEx>
          <w:tblCellMar>
            <w:top w:w="0" w:type="dxa"/>
            <w:left w:w="108" w:type="dxa"/>
            <w:bottom w:w="0" w:type="dxa"/>
            <w:right w:w="108" w:type="dxa"/>
          </w:tblCellMar>
        </w:tblPrEx>
        <w:trPr>
          <w:trHeight w:val="480" w:hRule="atLeast"/>
          <w:jc w:val="center"/>
        </w:trPr>
        <w:tc>
          <w:tcPr>
            <w:tcW w:w="727" w:type="dxa"/>
            <w:tcBorders>
              <w:top w:val="nil"/>
              <w:left w:val="single" w:color="auto" w:sz="4" w:space="0"/>
              <w:bottom w:val="single" w:color="auto" w:sz="4" w:space="0"/>
              <w:right w:val="single" w:color="auto" w:sz="4" w:space="0"/>
            </w:tcBorders>
            <w:vAlign w:val="center"/>
          </w:tcPr>
          <w:p w14:paraId="21A71F50">
            <w:pPr>
              <w:snapToGrid w:val="0"/>
              <w:spacing w:line="240" w:lineRule="atLeast"/>
              <w:jc w:val="center"/>
              <w:rPr>
                <w:rFonts w:ascii="宋体" w:hAnsi="宋体"/>
                <w:szCs w:val="21"/>
                <w:highlight w:val="none"/>
              </w:rPr>
            </w:pPr>
            <w:r>
              <w:rPr>
                <w:rFonts w:hint="eastAsia" w:ascii="宋体" w:hAnsi="宋体"/>
                <w:szCs w:val="21"/>
                <w:highlight w:val="none"/>
              </w:rPr>
              <w:t>5</w:t>
            </w:r>
          </w:p>
        </w:tc>
        <w:tc>
          <w:tcPr>
            <w:tcW w:w="2057" w:type="dxa"/>
            <w:tcBorders>
              <w:top w:val="nil"/>
              <w:left w:val="nil"/>
              <w:bottom w:val="single" w:color="auto" w:sz="4" w:space="0"/>
              <w:right w:val="single" w:color="auto" w:sz="4" w:space="0"/>
            </w:tcBorders>
            <w:vAlign w:val="center"/>
          </w:tcPr>
          <w:p w14:paraId="53159CB9">
            <w:pPr>
              <w:snapToGrid w:val="0"/>
              <w:spacing w:line="240" w:lineRule="atLeast"/>
              <w:jc w:val="center"/>
              <w:rPr>
                <w:rFonts w:ascii="宋体" w:hAnsi="宋体"/>
                <w:szCs w:val="21"/>
                <w:highlight w:val="none"/>
              </w:rPr>
            </w:pPr>
          </w:p>
        </w:tc>
        <w:tc>
          <w:tcPr>
            <w:tcW w:w="1701" w:type="dxa"/>
            <w:tcBorders>
              <w:top w:val="nil"/>
              <w:left w:val="nil"/>
              <w:bottom w:val="single" w:color="auto" w:sz="4" w:space="0"/>
              <w:right w:val="single" w:color="auto" w:sz="4" w:space="0"/>
            </w:tcBorders>
            <w:vAlign w:val="center"/>
          </w:tcPr>
          <w:p w14:paraId="21C1E553">
            <w:pPr>
              <w:snapToGrid w:val="0"/>
              <w:spacing w:line="240" w:lineRule="atLeast"/>
              <w:jc w:val="center"/>
              <w:rPr>
                <w:rFonts w:ascii="宋体" w:hAnsi="宋体"/>
                <w:szCs w:val="21"/>
                <w:highlight w:val="none"/>
              </w:rPr>
            </w:pPr>
          </w:p>
        </w:tc>
        <w:tc>
          <w:tcPr>
            <w:tcW w:w="2410" w:type="dxa"/>
            <w:tcBorders>
              <w:top w:val="nil"/>
              <w:left w:val="nil"/>
              <w:bottom w:val="single" w:color="auto" w:sz="4" w:space="0"/>
              <w:right w:val="single" w:color="auto" w:sz="4" w:space="0"/>
            </w:tcBorders>
            <w:vAlign w:val="center"/>
          </w:tcPr>
          <w:p w14:paraId="29F915E4">
            <w:pPr>
              <w:snapToGrid w:val="0"/>
              <w:spacing w:line="240" w:lineRule="atLeast"/>
              <w:jc w:val="center"/>
              <w:rPr>
                <w:rFonts w:ascii="宋体" w:hAnsi="宋体"/>
                <w:szCs w:val="21"/>
                <w:highlight w:val="none"/>
              </w:rPr>
            </w:pPr>
          </w:p>
        </w:tc>
        <w:tc>
          <w:tcPr>
            <w:tcW w:w="2866" w:type="dxa"/>
            <w:tcBorders>
              <w:top w:val="nil"/>
              <w:left w:val="nil"/>
              <w:bottom w:val="single" w:color="auto" w:sz="4" w:space="0"/>
              <w:right w:val="single" w:color="auto" w:sz="4" w:space="0"/>
            </w:tcBorders>
            <w:vAlign w:val="center"/>
          </w:tcPr>
          <w:p w14:paraId="40C11DC7">
            <w:pPr>
              <w:snapToGrid w:val="0"/>
              <w:spacing w:line="240" w:lineRule="atLeast"/>
              <w:jc w:val="center"/>
              <w:rPr>
                <w:rFonts w:ascii="宋体" w:hAnsi="宋体"/>
                <w:szCs w:val="21"/>
                <w:highlight w:val="none"/>
              </w:rPr>
            </w:pPr>
          </w:p>
        </w:tc>
      </w:tr>
      <w:tr w14:paraId="00B05AFC">
        <w:tblPrEx>
          <w:tblCellMar>
            <w:top w:w="0" w:type="dxa"/>
            <w:left w:w="108" w:type="dxa"/>
            <w:bottom w:w="0" w:type="dxa"/>
            <w:right w:w="108" w:type="dxa"/>
          </w:tblCellMar>
        </w:tblPrEx>
        <w:trPr>
          <w:trHeight w:val="480" w:hRule="atLeast"/>
          <w:jc w:val="center"/>
        </w:trPr>
        <w:tc>
          <w:tcPr>
            <w:tcW w:w="727" w:type="dxa"/>
            <w:tcBorders>
              <w:top w:val="nil"/>
              <w:left w:val="single" w:color="auto" w:sz="4" w:space="0"/>
              <w:bottom w:val="single" w:color="auto" w:sz="4" w:space="0"/>
              <w:right w:val="single" w:color="auto" w:sz="4" w:space="0"/>
            </w:tcBorders>
            <w:vAlign w:val="center"/>
          </w:tcPr>
          <w:p w14:paraId="43A1CB8A">
            <w:pPr>
              <w:snapToGrid w:val="0"/>
              <w:spacing w:line="240" w:lineRule="atLeast"/>
              <w:jc w:val="center"/>
              <w:rPr>
                <w:rFonts w:ascii="宋体" w:hAnsi="宋体"/>
                <w:szCs w:val="21"/>
                <w:highlight w:val="none"/>
              </w:rPr>
            </w:pPr>
            <w:r>
              <w:rPr>
                <w:rFonts w:hint="eastAsia" w:ascii="宋体" w:hAnsi="宋体"/>
                <w:szCs w:val="21"/>
                <w:highlight w:val="none"/>
              </w:rPr>
              <w:t>6</w:t>
            </w:r>
          </w:p>
        </w:tc>
        <w:tc>
          <w:tcPr>
            <w:tcW w:w="2057" w:type="dxa"/>
            <w:tcBorders>
              <w:top w:val="nil"/>
              <w:left w:val="nil"/>
              <w:bottom w:val="single" w:color="auto" w:sz="4" w:space="0"/>
              <w:right w:val="single" w:color="auto" w:sz="4" w:space="0"/>
            </w:tcBorders>
            <w:vAlign w:val="center"/>
          </w:tcPr>
          <w:p w14:paraId="2B238D07">
            <w:pPr>
              <w:snapToGrid w:val="0"/>
              <w:spacing w:line="240" w:lineRule="atLeast"/>
              <w:jc w:val="center"/>
              <w:rPr>
                <w:rFonts w:ascii="宋体" w:hAnsi="宋体"/>
                <w:szCs w:val="21"/>
                <w:highlight w:val="none"/>
              </w:rPr>
            </w:pPr>
          </w:p>
        </w:tc>
        <w:tc>
          <w:tcPr>
            <w:tcW w:w="1701" w:type="dxa"/>
            <w:tcBorders>
              <w:top w:val="nil"/>
              <w:left w:val="nil"/>
              <w:bottom w:val="single" w:color="auto" w:sz="4" w:space="0"/>
              <w:right w:val="single" w:color="auto" w:sz="4" w:space="0"/>
            </w:tcBorders>
            <w:vAlign w:val="center"/>
          </w:tcPr>
          <w:p w14:paraId="691C767A">
            <w:pPr>
              <w:snapToGrid w:val="0"/>
              <w:spacing w:line="240" w:lineRule="atLeast"/>
              <w:jc w:val="center"/>
              <w:rPr>
                <w:rFonts w:ascii="宋体" w:hAnsi="宋体"/>
                <w:szCs w:val="21"/>
                <w:highlight w:val="none"/>
              </w:rPr>
            </w:pPr>
          </w:p>
        </w:tc>
        <w:tc>
          <w:tcPr>
            <w:tcW w:w="2410" w:type="dxa"/>
            <w:tcBorders>
              <w:top w:val="nil"/>
              <w:left w:val="nil"/>
              <w:bottom w:val="single" w:color="auto" w:sz="4" w:space="0"/>
              <w:right w:val="single" w:color="auto" w:sz="4" w:space="0"/>
            </w:tcBorders>
            <w:vAlign w:val="center"/>
          </w:tcPr>
          <w:p w14:paraId="73F7C126">
            <w:pPr>
              <w:snapToGrid w:val="0"/>
              <w:spacing w:line="240" w:lineRule="atLeast"/>
              <w:jc w:val="center"/>
              <w:rPr>
                <w:rFonts w:ascii="宋体" w:hAnsi="宋体"/>
                <w:szCs w:val="21"/>
                <w:highlight w:val="none"/>
              </w:rPr>
            </w:pPr>
          </w:p>
        </w:tc>
        <w:tc>
          <w:tcPr>
            <w:tcW w:w="2866" w:type="dxa"/>
            <w:tcBorders>
              <w:top w:val="nil"/>
              <w:left w:val="nil"/>
              <w:bottom w:val="single" w:color="auto" w:sz="4" w:space="0"/>
              <w:right w:val="single" w:color="auto" w:sz="4" w:space="0"/>
            </w:tcBorders>
            <w:vAlign w:val="center"/>
          </w:tcPr>
          <w:p w14:paraId="6EBF1DC1">
            <w:pPr>
              <w:snapToGrid w:val="0"/>
              <w:spacing w:line="240" w:lineRule="atLeast"/>
              <w:jc w:val="center"/>
              <w:rPr>
                <w:rFonts w:ascii="宋体" w:hAnsi="宋体"/>
                <w:szCs w:val="21"/>
                <w:highlight w:val="none"/>
              </w:rPr>
            </w:pPr>
          </w:p>
        </w:tc>
      </w:tr>
      <w:tr w14:paraId="0C6384AE">
        <w:tblPrEx>
          <w:tblCellMar>
            <w:top w:w="0" w:type="dxa"/>
            <w:left w:w="108" w:type="dxa"/>
            <w:bottom w:w="0" w:type="dxa"/>
            <w:right w:w="108" w:type="dxa"/>
          </w:tblCellMar>
        </w:tblPrEx>
        <w:trPr>
          <w:trHeight w:val="480" w:hRule="atLeast"/>
          <w:jc w:val="center"/>
        </w:trPr>
        <w:tc>
          <w:tcPr>
            <w:tcW w:w="727" w:type="dxa"/>
            <w:tcBorders>
              <w:top w:val="nil"/>
              <w:left w:val="single" w:color="auto" w:sz="4" w:space="0"/>
              <w:bottom w:val="single" w:color="auto" w:sz="4" w:space="0"/>
              <w:right w:val="single" w:color="auto" w:sz="4" w:space="0"/>
            </w:tcBorders>
            <w:vAlign w:val="center"/>
          </w:tcPr>
          <w:p w14:paraId="2A009A5D">
            <w:pPr>
              <w:snapToGrid w:val="0"/>
              <w:spacing w:line="240" w:lineRule="atLeast"/>
              <w:jc w:val="center"/>
              <w:rPr>
                <w:rFonts w:ascii="宋体" w:hAnsi="宋体"/>
                <w:szCs w:val="21"/>
                <w:highlight w:val="none"/>
              </w:rPr>
            </w:pPr>
            <w:r>
              <w:rPr>
                <w:rFonts w:hint="eastAsia" w:ascii="宋体" w:hAnsi="宋体"/>
                <w:szCs w:val="21"/>
                <w:highlight w:val="none"/>
              </w:rPr>
              <w:t>7</w:t>
            </w:r>
          </w:p>
        </w:tc>
        <w:tc>
          <w:tcPr>
            <w:tcW w:w="2057" w:type="dxa"/>
            <w:tcBorders>
              <w:top w:val="nil"/>
              <w:left w:val="nil"/>
              <w:bottom w:val="single" w:color="auto" w:sz="4" w:space="0"/>
              <w:right w:val="single" w:color="auto" w:sz="4" w:space="0"/>
            </w:tcBorders>
            <w:vAlign w:val="center"/>
          </w:tcPr>
          <w:p w14:paraId="510E7BB5">
            <w:pPr>
              <w:snapToGrid w:val="0"/>
              <w:spacing w:line="240" w:lineRule="atLeast"/>
              <w:jc w:val="center"/>
              <w:rPr>
                <w:rFonts w:ascii="宋体" w:hAnsi="宋体"/>
                <w:szCs w:val="21"/>
                <w:highlight w:val="none"/>
              </w:rPr>
            </w:pPr>
          </w:p>
        </w:tc>
        <w:tc>
          <w:tcPr>
            <w:tcW w:w="1701" w:type="dxa"/>
            <w:tcBorders>
              <w:top w:val="nil"/>
              <w:left w:val="nil"/>
              <w:bottom w:val="single" w:color="auto" w:sz="4" w:space="0"/>
              <w:right w:val="single" w:color="auto" w:sz="4" w:space="0"/>
            </w:tcBorders>
            <w:vAlign w:val="center"/>
          </w:tcPr>
          <w:p w14:paraId="0AADA5B6">
            <w:pPr>
              <w:snapToGrid w:val="0"/>
              <w:spacing w:line="240" w:lineRule="atLeast"/>
              <w:jc w:val="center"/>
              <w:rPr>
                <w:rFonts w:ascii="宋体" w:hAnsi="宋体"/>
                <w:szCs w:val="21"/>
                <w:highlight w:val="none"/>
              </w:rPr>
            </w:pPr>
          </w:p>
        </w:tc>
        <w:tc>
          <w:tcPr>
            <w:tcW w:w="2410" w:type="dxa"/>
            <w:tcBorders>
              <w:top w:val="nil"/>
              <w:left w:val="nil"/>
              <w:bottom w:val="single" w:color="auto" w:sz="4" w:space="0"/>
              <w:right w:val="single" w:color="auto" w:sz="4" w:space="0"/>
            </w:tcBorders>
            <w:vAlign w:val="center"/>
          </w:tcPr>
          <w:p w14:paraId="5A451180">
            <w:pPr>
              <w:snapToGrid w:val="0"/>
              <w:spacing w:line="240" w:lineRule="atLeast"/>
              <w:jc w:val="center"/>
              <w:rPr>
                <w:rFonts w:ascii="宋体" w:hAnsi="宋体"/>
                <w:szCs w:val="21"/>
                <w:highlight w:val="none"/>
              </w:rPr>
            </w:pPr>
          </w:p>
        </w:tc>
        <w:tc>
          <w:tcPr>
            <w:tcW w:w="2866" w:type="dxa"/>
            <w:tcBorders>
              <w:top w:val="nil"/>
              <w:left w:val="nil"/>
              <w:bottom w:val="single" w:color="auto" w:sz="4" w:space="0"/>
              <w:right w:val="single" w:color="auto" w:sz="4" w:space="0"/>
            </w:tcBorders>
            <w:vAlign w:val="center"/>
          </w:tcPr>
          <w:p w14:paraId="02A7B8AA">
            <w:pPr>
              <w:snapToGrid w:val="0"/>
              <w:spacing w:line="240" w:lineRule="atLeast"/>
              <w:jc w:val="center"/>
              <w:rPr>
                <w:rFonts w:ascii="宋体" w:hAnsi="宋体"/>
                <w:szCs w:val="21"/>
                <w:highlight w:val="none"/>
              </w:rPr>
            </w:pPr>
          </w:p>
        </w:tc>
      </w:tr>
      <w:tr w14:paraId="4F295DCF">
        <w:tblPrEx>
          <w:tblCellMar>
            <w:top w:w="0" w:type="dxa"/>
            <w:left w:w="108" w:type="dxa"/>
            <w:bottom w:w="0" w:type="dxa"/>
            <w:right w:w="108" w:type="dxa"/>
          </w:tblCellMar>
        </w:tblPrEx>
        <w:trPr>
          <w:trHeight w:val="480" w:hRule="atLeast"/>
          <w:jc w:val="center"/>
        </w:trPr>
        <w:tc>
          <w:tcPr>
            <w:tcW w:w="727" w:type="dxa"/>
            <w:tcBorders>
              <w:top w:val="nil"/>
              <w:left w:val="single" w:color="auto" w:sz="4" w:space="0"/>
              <w:bottom w:val="single" w:color="auto" w:sz="4" w:space="0"/>
              <w:right w:val="single" w:color="auto" w:sz="4" w:space="0"/>
            </w:tcBorders>
            <w:vAlign w:val="center"/>
          </w:tcPr>
          <w:p w14:paraId="665E99E5">
            <w:pPr>
              <w:snapToGrid w:val="0"/>
              <w:spacing w:line="240" w:lineRule="atLeast"/>
              <w:jc w:val="center"/>
              <w:rPr>
                <w:rFonts w:ascii="宋体" w:hAnsi="宋体"/>
                <w:szCs w:val="21"/>
                <w:highlight w:val="none"/>
              </w:rPr>
            </w:pPr>
            <w:r>
              <w:rPr>
                <w:rFonts w:hint="eastAsia" w:ascii="宋体" w:hAnsi="宋体"/>
                <w:szCs w:val="21"/>
                <w:highlight w:val="none"/>
              </w:rPr>
              <w:t>8</w:t>
            </w:r>
          </w:p>
        </w:tc>
        <w:tc>
          <w:tcPr>
            <w:tcW w:w="2057" w:type="dxa"/>
            <w:tcBorders>
              <w:top w:val="nil"/>
              <w:left w:val="nil"/>
              <w:bottom w:val="single" w:color="auto" w:sz="4" w:space="0"/>
              <w:right w:val="single" w:color="auto" w:sz="4" w:space="0"/>
            </w:tcBorders>
            <w:vAlign w:val="center"/>
          </w:tcPr>
          <w:p w14:paraId="7EBEEE88">
            <w:pPr>
              <w:snapToGrid w:val="0"/>
              <w:spacing w:line="240" w:lineRule="atLeast"/>
              <w:jc w:val="center"/>
              <w:rPr>
                <w:rFonts w:ascii="宋体" w:hAnsi="宋体"/>
                <w:szCs w:val="21"/>
                <w:highlight w:val="none"/>
              </w:rPr>
            </w:pPr>
          </w:p>
        </w:tc>
        <w:tc>
          <w:tcPr>
            <w:tcW w:w="1701" w:type="dxa"/>
            <w:tcBorders>
              <w:top w:val="nil"/>
              <w:left w:val="nil"/>
              <w:bottom w:val="single" w:color="auto" w:sz="4" w:space="0"/>
              <w:right w:val="single" w:color="auto" w:sz="4" w:space="0"/>
            </w:tcBorders>
            <w:vAlign w:val="center"/>
          </w:tcPr>
          <w:p w14:paraId="5849FCCF">
            <w:pPr>
              <w:snapToGrid w:val="0"/>
              <w:spacing w:line="240" w:lineRule="atLeast"/>
              <w:jc w:val="center"/>
              <w:rPr>
                <w:rFonts w:ascii="宋体" w:hAnsi="宋体"/>
                <w:szCs w:val="21"/>
                <w:highlight w:val="none"/>
              </w:rPr>
            </w:pPr>
          </w:p>
        </w:tc>
        <w:tc>
          <w:tcPr>
            <w:tcW w:w="2410" w:type="dxa"/>
            <w:tcBorders>
              <w:top w:val="nil"/>
              <w:left w:val="nil"/>
              <w:bottom w:val="single" w:color="auto" w:sz="4" w:space="0"/>
              <w:right w:val="single" w:color="auto" w:sz="4" w:space="0"/>
            </w:tcBorders>
            <w:vAlign w:val="center"/>
          </w:tcPr>
          <w:p w14:paraId="1252D348">
            <w:pPr>
              <w:snapToGrid w:val="0"/>
              <w:spacing w:line="240" w:lineRule="atLeast"/>
              <w:jc w:val="center"/>
              <w:rPr>
                <w:rFonts w:ascii="宋体" w:hAnsi="宋体"/>
                <w:szCs w:val="21"/>
                <w:highlight w:val="none"/>
              </w:rPr>
            </w:pPr>
          </w:p>
        </w:tc>
        <w:tc>
          <w:tcPr>
            <w:tcW w:w="2866" w:type="dxa"/>
            <w:tcBorders>
              <w:top w:val="nil"/>
              <w:left w:val="nil"/>
              <w:bottom w:val="single" w:color="auto" w:sz="4" w:space="0"/>
              <w:right w:val="single" w:color="auto" w:sz="4" w:space="0"/>
            </w:tcBorders>
            <w:vAlign w:val="center"/>
          </w:tcPr>
          <w:p w14:paraId="25CB29A1">
            <w:pPr>
              <w:snapToGrid w:val="0"/>
              <w:spacing w:line="240" w:lineRule="atLeast"/>
              <w:jc w:val="center"/>
              <w:rPr>
                <w:rFonts w:ascii="宋体" w:hAnsi="宋体"/>
                <w:szCs w:val="21"/>
                <w:highlight w:val="none"/>
              </w:rPr>
            </w:pPr>
          </w:p>
        </w:tc>
      </w:tr>
      <w:tr w14:paraId="2F4E5587">
        <w:tblPrEx>
          <w:tblCellMar>
            <w:top w:w="0" w:type="dxa"/>
            <w:left w:w="108" w:type="dxa"/>
            <w:bottom w:w="0" w:type="dxa"/>
            <w:right w:w="108" w:type="dxa"/>
          </w:tblCellMar>
        </w:tblPrEx>
        <w:trPr>
          <w:trHeight w:val="480" w:hRule="atLeast"/>
          <w:jc w:val="center"/>
        </w:trPr>
        <w:tc>
          <w:tcPr>
            <w:tcW w:w="727" w:type="dxa"/>
            <w:tcBorders>
              <w:top w:val="nil"/>
              <w:left w:val="single" w:color="auto" w:sz="4" w:space="0"/>
              <w:bottom w:val="single" w:color="auto" w:sz="4" w:space="0"/>
              <w:right w:val="single" w:color="auto" w:sz="4" w:space="0"/>
            </w:tcBorders>
            <w:vAlign w:val="center"/>
          </w:tcPr>
          <w:p w14:paraId="67A4A7A3">
            <w:pPr>
              <w:snapToGrid w:val="0"/>
              <w:spacing w:line="240" w:lineRule="atLeast"/>
              <w:jc w:val="center"/>
              <w:rPr>
                <w:rFonts w:ascii="宋体" w:hAnsi="宋体"/>
                <w:szCs w:val="21"/>
                <w:highlight w:val="none"/>
              </w:rPr>
            </w:pPr>
            <w:r>
              <w:rPr>
                <w:rFonts w:hint="eastAsia" w:ascii="宋体" w:hAnsi="宋体"/>
                <w:szCs w:val="21"/>
                <w:highlight w:val="none"/>
              </w:rPr>
              <w:t>9</w:t>
            </w:r>
          </w:p>
        </w:tc>
        <w:tc>
          <w:tcPr>
            <w:tcW w:w="2057" w:type="dxa"/>
            <w:tcBorders>
              <w:top w:val="nil"/>
              <w:left w:val="nil"/>
              <w:bottom w:val="single" w:color="auto" w:sz="4" w:space="0"/>
              <w:right w:val="single" w:color="auto" w:sz="4" w:space="0"/>
            </w:tcBorders>
            <w:vAlign w:val="center"/>
          </w:tcPr>
          <w:p w14:paraId="1D630E19">
            <w:pPr>
              <w:snapToGrid w:val="0"/>
              <w:spacing w:line="240" w:lineRule="atLeast"/>
              <w:jc w:val="center"/>
              <w:rPr>
                <w:rFonts w:ascii="宋体" w:hAnsi="宋体"/>
                <w:szCs w:val="21"/>
                <w:highlight w:val="none"/>
              </w:rPr>
            </w:pPr>
          </w:p>
        </w:tc>
        <w:tc>
          <w:tcPr>
            <w:tcW w:w="1701" w:type="dxa"/>
            <w:tcBorders>
              <w:top w:val="nil"/>
              <w:left w:val="nil"/>
              <w:bottom w:val="single" w:color="auto" w:sz="4" w:space="0"/>
              <w:right w:val="single" w:color="auto" w:sz="4" w:space="0"/>
            </w:tcBorders>
            <w:vAlign w:val="center"/>
          </w:tcPr>
          <w:p w14:paraId="70276F3D">
            <w:pPr>
              <w:snapToGrid w:val="0"/>
              <w:spacing w:line="240" w:lineRule="atLeast"/>
              <w:jc w:val="center"/>
              <w:rPr>
                <w:rFonts w:ascii="宋体" w:hAnsi="宋体"/>
                <w:szCs w:val="21"/>
                <w:highlight w:val="none"/>
              </w:rPr>
            </w:pPr>
          </w:p>
        </w:tc>
        <w:tc>
          <w:tcPr>
            <w:tcW w:w="2410" w:type="dxa"/>
            <w:tcBorders>
              <w:top w:val="nil"/>
              <w:left w:val="nil"/>
              <w:bottom w:val="single" w:color="auto" w:sz="4" w:space="0"/>
              <w:right w:val="single" w:color="auto" w:sz="4" w:space="0"/>
            </w:tcBorders>
            <w:vAlign w:val="center"/>
          </w:tcPr>
          <w:p w14:paraId="6DD5BA92">
            <w:pPr>
              <w:snapToGrid w:val="0"/>
              <w:spacing w:line="240" w:lineRule="atLeast"/>
              <w:jc w:val="center"/>
              <w:rPr>
                <w:rFonts w:ascii="宋体" w:hAnsi="宋体"/>
                <w:szCs w:val="21"/>
                <w:highlight w:val="none"/>
              </w:rPr>
            </w:pPr>
          </w:p>
        </w:tc>
        <w:tc>
          <w:tcPr>
            <w:tcW w:w="2866" w:type="dxa"/>
            <w:tcBorders>
              <w:top w:val="nil"/>
              <w:left w:val="nil"/>
              <w:bottom w:val="single" w:color="auto" w:sz="4" w:space="0"/>
              <w:right w:val="single" w:color="auto" w:sz="4" w:space="0"/>
            </w:tcBorders>
            <w:vAlign w:val="center"/>
          </w:tcPr>
          <w:p w14:paraId="07E6DC1D">
            <w:pPr>
              <w:snapToGrid w:val="0"/>
              <w:spacing w:line="240" w:lineRule="atLeast"/>
              <w:jc w:val="center"/>
              <w:rPr>
                <w:rFonts w:ascii="宋体" w:hAnsi="宋体"/>
                <w:szCs w:val="21"/>
                <w:highlight w:val="none"/>
              </w:rPr>
            </w:pPr>
          </w:p>
        </w:tc>
      </w:tr>
      <w:tr w14:paraId="2FE079FF">
        <w:tblPrEx>
          <w:tblCellMar>
            <w:top w:w="0" w:type="dxa"/>
            <w:left w:w="108" w:type="dxa"/>
            <w:bottom w:w="0" w:type="dxa"/>
            <w:right w:w="108" w:type="dxa"/>
          </w:tblCellMar>
        </w:tblPrEx>
        <w:trPr>
          <w:trHeight w:val="480" w:hRule="atLeast"/>
          <w:jc w:val="center"/>
        </w:trPr>
        <w:tc>
          <w:tcPr>
            <w:tcW w:w="727" w:type="dxa"/>
            <w:tcBorders>
              <w:top w:val="nil"/>
              <w:left w:val="single" w:color="auto" w:sz="4" w:space="0"/>
              <w:bottom w:val="single" w:color="auto" w:sz="4" w:space="0"/>
              <w:right w:val="single" w:color="auto" w:sz="4" w:space="0"/>
            </w:tcBorders>
            <w:vAlign w:val="center"/>
          </w:tcPr>
          <w:p w14:paraId="21F418A1">
            <w:pPr>
              <w:snapToGrid w:val="0"/>
              <w:spacing w:line="240" w:lineRule="atLeast"/>
              <w:jc w:val="center"/>
              <w:rPr>
                <w:rFonts w:ascii="宋体" w:hAnsi="宋体"/>
                <w:szCs w:val="21"/>
                <w:highlight w:val="none"/>
              </w:rPr>
            </w:pPr>
            <w:r>
              <w:rPr>
                <w:rFonts w:hint="eastAsia" w:ascii="宋体" w:hAnsi="宋体"/>
                <w:szCs w:val="21"/>
                <w:highlight w:val="none"/>
              </w:rPr>
              <w:t>10</w:t>
            </w:r>
          </w:p>
        </w:tc>
        <w:tc>
          <w:tcPr>
            <w:tcW w:w="2057" w:type="dxa"/>
            <w:tcBorders>
              <w:top w:val="nil"/>
              <w:left w:val="nil"/>
              <w:bottom w:val="single" w:color="auto" w:sz="4" w:space="0"/>
              <w:right w:val="single" w:color="auto" w:sz="4" w:space="0"/>
            </w:tcBorders>
            <w:vAlign w:val="center"/>
          </w:tcPr>
          <w:p w14:paraId="73ECF687">
            <w:pPr>
              <w:snapToGrid w:val="0"/>
              <w:spacing w:line="240" w:lineRule="atLeast"/>
              <w:jc w:val="center"/>
              <w:rPr>
                <w:rFonts w:ascii="宋体" w:hAnsi="宋体"/>
                <w:szCs w:val="21"/>
                <w:highlight w:val="none"/>
              </w:rPr>
            </w:pPr>
          </w:p>
        </w:tc>
        <w:tc>
          <w:tcPr>
            <w:tcW w:w="1701" w:type="dxa"/>
            <w:tcBorders>
              <w:top w:val="nil"/>
              <w:left w:val="nil"/>
              <w:bottom w:val="single" w:color="auto" w:sz="4" w:space="0"/>
              <w:right w:val="single" w:color="auto" w:sz="4" w:space="0"/>
            </w:tcBorders>
            <w:vAlign w:val="center"/>
          </w:tcPr>
          <w:p w14:paraId="5D1AEE21">
            <w:pPr>
              <w:snapToGrid w:val="0"/>
              <w:spacing w:line="240" w:lineRule="atLeast"/>
              <w:jc w:val="center"/>
              <w:rPr>
                <w:rFonts w:ascii="宋体" w:hAnsi="宋体"/>
                <w:szCs w:val="21"/>
                <w:highlight w:val="none"/>
              </w:rPr>
            </w:pPr>
          </w:p>
        </w:tc>
        <w:tc>
          <w:tcPr>
            <w:tcW w:w="2410" w:type="dxa"/>
            <w:tcBorders>
              <w:top w:val="nil"/>
              <w:left w:val="nil"/>
              <w:bottom w:val="single" w:color="auto" w:sz="4" w:space="0"/>
              <w:right w:val="single" w:color="auto" w:sz="4" w:space="0"/>
            </w:tcBorders>
            <w:vAlign w:val="center"/>
          </w:tcPr>
          <w:p w14:paraId="4BF93DDF">
            <w:pPr>
              <w:snapToGrid w:val="0"/>
              <w:spacing w:line="240" w:lineRule="atLeast"/>
              <w:jc w:val="center"/>
              <w:rPr>
                <w:rFonts w:ascii="宋体" w:hAnsi="宋体"/>
                <w:szCs w:val="21"/>
                <w:highlight w:val="none"/>
              </w:rPr>
            </w:pPr>
          </w:p>
        </w:tc>
        <w:tc>
          <w:tcPr>
            <w:tcW w:w="2866" w:type="dxa"/>
            <w:tcBorders>
              <w:top w:val="nil"/>
              <w:left w:val="nil"/>
              <w:bottom w:val="single" w:color="auto" w:sz="4" w:space="0"/>
              <w:right w:val="single" w:color="auto" w:sz="4" w:space="0"/>
            </w:tcBorders>
            <w:vAlign w:val="center"/>
          </w:tcPr>
          <w:p w14:paraId="53D1200E">
            <w:pPr>
              <w:snapToGrid w:val="0"/>
              <w:spacing w:line="240" w:lineRule="atLeast"/>
              <w:jc w:val="center"/>
              <w:rPr>
                <w:rFonts w:ascii="宋体" w:hAnsi="宋体"/>
                <w:szCs w:val="21"/>
                <w:highlight w:val="none"/>
              </w:rPr>
            </w:pPr>
          </w:p>
        </w:tc>
      </w:tr>
      <w:tr w14:paraId="692F3EC8">
        <w:tblPrEx>
          <w:tblCellMar>
            <w:top w:w="0" w:type="dxa"/>
            <w:left w:w="108" w:type="dxa"/>
            <w:bottom w:w="0" w:type="dxa"/>
            <w:right w:w="108" w:type="dxa"/>
          </w:tblCellMar>
        </w:tblPrEx>
        <w:trPr>
          <w:trHeight w:val="480" w:hRule="atLeast"/>
          <w:jc w:val="center"/>
        </w:trPr>
        <w:tc>
          <w:tcPr>
            <w:tcW w:w="727" w:type="dxa"/>
            <w:tcBorders>
              <w:top w:val="nil"/>
              <w:left w:val="single" w:color="auto" w:sz="4" w:space="0"/>
              <w:bottom w:val="single" w:color="auto" w:sz="4" w:space="0"/>
              <w:right w:val="single" w:color="auto" w:sz="4" w:space="0"/>
            </w:tcBorders>
            <w:vAlign w:val="center"/>
          </w:tcPr>
          <w:p w14:paraId="162288CB">
            <w:pPr>
              <w:snapToGrid w:val="0"/>
              <w:spacing w:line="240" w:lineRule="atLeast"/>
              <w:jc w:val="center"/>
              <w:rPr>
                <w:rFonts w:ascii="宋体" w:hAnsi="宋体"/>
                <w:szCs w:val="21"/>
                <w:highlight w:val="none"/>
              </w:rPr>
            </w:pPr>
            <w:r>
              <w:rPr>
                <w:rFonts w:hint="eastAsia" w:ascii="宋体" w:hAnsi="宋体"/>
                <w:szCs w:val="21"/>
                <w:highlight w:val="none"/>
              </w:rPr>
              <w:t>……</w:t>
            </w:r>
          </w:p>
        </w:tc>
        <w:tc>
          <w:tcPr>
            <w:tcW w:w="2057" w:type="dxa"/>
            <w:tcBorders>
              <w:top w:val="nil"/>
              <w:left w:val="nil"/>
              <w:bottom w:val="single" w:color="auto" w:sz="4" w:space="0"/>
              <w:right w:val="single" w:color="auto" w:sz="4" w:space="0"/>
            </w:tcBorders>
            <w:vAlign w:val="center"/>
          </w:tcPr>
          <w:p w14:paraId="3844E70C">
            <w:pPr>
              <w:snapToGrid w:val="0"/>
              <w:spacing w:line="240" w:lineRule="atLeast"/>
              <w:jc w:val="center"/>
              <w:rPr>
                <w:rFonts w:ascii="宋体" w:hAnsi="宋体"/>
                <w:szCs w:val="21"/>
                <w:highlight w:val="none"/>
              </w:rPr>
            </w:pPr>
          </w:p>
        </w:tc>
        <w:tc>
          <w:tcPr>
            <w:tcW w:w="1701" w:type="dxa"/>
            <w:tcBorders>
              <w:top w:val="nil"/>
              <w:left w:val="nil"/>
              <w:bottom w:val="single" w:color="auto" w:sz="4" w:space="0"/>
              <w:right w:val="single" w:color="auto" w:sz="4" w:space="0"/>
            </w:tcBorders>
            <w:vAlign w:val="center"/>
          </w:tcPr>
          <w:p w14:paraId="726B2FB0">
            <w:pPr>
              <w:snapToGrid w:val="0"/>
              <w:spacing w:line="240" w:lineRule="atLeast"/>
              <w:jc w:val="center"/>
              <w:rPr>
                <w:rFonts w:ascii="宋体" w:hAnsi="宋体"/>
                <w:szCs w:val="21"/>
                <w:highlight w:val="none"/>
              </w:rPr>
            </w:pPr>
          </w:p>
        </w:tc>
        <w:tc>
          <w:tcPr>
            <w:tcW w:w="2410" w:type="dxa"/>
            <w:tcBorders>
              <w:top w:val="nil"/>
              <w:left w:val="nil"/>
              <w:bottom w:val="single" w:color="auto" w:sz="4" w:space="0"/>
              <w:right w:val="single" w:color="auto" w:sz="4" w:space="0"/>
            </w:tcBorders>
            <w:vAlign w:val="center"/>
          </w:tcPr>
          <w:p w14:paraId="29C7CEF4">
            <w:pPr>
              <w:snapToGrid w:val="0"/>
              <w:spacing w:line="240" w:lineRule="atLeast"/>
              <w:jc w:val="center"/>
              <w:rPr>
                <w:rFonts w:ascii="宋体" w:hAnsi="宋体"/>
                <w:szCs w:val="21"/>
                <w:highlight w:val="none"/>
              </w:rPr>
            </w:pPr>
          </w:p>
        </w:tc>
        <w:tc>
          <w:tcPr>
            <w:tcW w:w="2866" w:type="dxa"/>
            <w:tcBorders>
              <w:top w:val="nil"/>
              <w:left w:val="nil"/>
              <w:bottom w:val="single" w:color="auto" w:sz="4" w:space="0"/>
              <w:right w:val="single" w:color="auto" w:sz="4" w:space="0"/>
            </w:tcBorders>
            <w:vAlign w:val="center"/>
          </w:tcPr>
          <w:p w14:paraId="71DEC7F9">
            <w:pPr>
              <w:snapToGrid w:val="0"/>
              <w:spacing w:line="240" w:lineRule="atLeast"/>
              <w:jc w:val="center"/>
              <w:rPr>
                <w:rFonts w:ascii="宋体" w:hAnsi="宋体"/>
                <w:szCs w:val="21"/>
                <w:highlight w:val="none"/>
              </w:rPr>
            </w:pPr>
          </w:p>
        </w:tc>
      </w:tr>
    </w:tbl>
    <w:p w14:paraId="6A87181D">
      <w:pPr>
        <w:snapToGrid w:val="0"/>
        <w:spacing w:line="240" w:lineRule="atLeast"/>
        <w:jc w:val="center"/>
        <w:rPr>
          <w:rFonts w:ascii="宋体" w:hAnsi="宋体"/>
          <w:szCs w:val="21"/>
          <w:highlight w:val="none"/>
        </w:rPr>
      </w:pPr>
    </w:p>
    <w:p w14:paraId="6ADAC95E">
      <w:pPr>
        <w:pStyle w:val="25"/>
        <w:adjustRightInd w:val="0"/>
        <w:snapToGrid w:val="0"/>
        <w:spacing w:line="360" w:lineRule="auto"/>
        <w:ind w:firstLine="0"/>
        <w:rPr>
          <w:rFonts w:ascii="宋体" w:hAnsi="宋体"/>
          <w:highlight w:val="none"/>
        </w:rPr>
      </w:pPr>
    </w:p>
    <w:p w14:paraId="586E04F4">
      <w:pPr>
        <w:pStyle w:val="5"/>
        <w:rPr>
          <w:highlight w:val="none"/>
        </w:rPr>
      </w:pPr>
      <w:r>
        <w:rPr>
          <w:bCs/>
          <w:highlight w:val="none"/>
        </w:rPr>
        <w:br w:type="page"/>
      </w:r>
      <w:bookmarkStart w:id="120" w:name="_Toc103592027"/>
      <w:r>
        <w:rPr>
          <w:rFonts w:hint="eastAsia"/>
          <w:bCs/>
          <w:highlight w:val="none"/>
        </w:rPr>
        <w:t>附表六：</w:t>
      </w:r>
      <w:r>
        <w:rPr>
          <w:rFonts w:hint="eastAsia"/>
          <w:highlight w:val="none"/>
        </w:rPr>
        <w:t>报价得分计算表</w:t>
      </w:r>
      <w:bookmarkEnd w:id="120"/>
    </w:p>
    <w:p w14:paraId="376214EA">
      <w:pPr>
        <w:spacing w:line="360" w:lineRule="auto"/>
        <w:jc w:val="center"/>
        <w:rPr>
          <w:rFonts w:ascii="宋体" w:hAnsi="宋体"/>
          <w:b/>
          <w:sz w:val="36"/>
          <w:szCs w:val="36"/>
          <w:highlight w:val="none"/>
        </w:rPr>
      </w:pPr>
      <w:r>
        <w:rPr>
          <w:rFonts w:hint="eastAsia" w:ascii="宋体" w:hAnsi="宋体" w:cs="宋体"/>
          <w:sz w:val="28"/>
          <w:szCs w:val="28"/>
          <w:highlight w:val="none"/>
        </w:rPr>
        <w:t>报价得分计算表</w:t>
      </w:r>
    </w:p>
    <w:p w14:paraId="334CF4BF">
      <w:pPr>
        <w:adjustRightInd w:val="0"/>
        <w:snapToGrid w:val="0"/>
        <w:spacing w:line="360" w:lineRule="auto"/>
        <w:rPr>
          <w:rFonts w:ascii="宋体" w:hAnsi="宋体"/>
          <w:szCs w:val="21"/>
          <w:highlight w:val="none"/>
          <w:u w:val="single"/>
        </w:rPr>
      </w:pPr>
      <w:r>
        <w:rPr>
          <w:rFonts w:hint="eastAsia" w:ascii="宋体" w:hAnsi="宋体"/>
          <w:szCs w:val="21"/>
          <w:highlight w:val="none"/>
        </w:rPr>
        <w:t>项目名称：</w:t>
      </w:r>
      <w:r>
        <w:rPr>
          <w:rFonts w:hint="eastAsia" w:ascii="宋体" w:hAnsi="宋体"/>
          <w:szCs w:val="21"/>
          <w:highlight w:val="none"/>
          <w:u w:val="single"/>
        </w:rPr>
        <w:t xml:space="preserve">             </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7"/>
        <w:gridCol w:w="665"/>
        <w:gridCol w:w="664"/>
        <w:gridCol w:w="664"/>
        <w:gridCol w:w="664"/>
        <w:gridCol w:w="664"/>
        <w:gridCol w:w="664"/>
        <w:gridCol w:w="664"/>
        <w:gridCol w:w="664"/>
        <w:gridCol w:w="664"/>
        <w:gridCol w:w="664"/>
        <w:gridCol w:w="664"/>
        <w:gridCol w:w="665"/>
      </w:tblGrid>
      <w:tr w14:paraId="04935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1657" w:type="dxa"/>
            <w:vAlign w:val="center"/>
          </w:tcPr>
          <w:p w14:paraId="3E0E8E73">
            <w:pPr>
              <w:snapToGrid w:val="0"/>
              <w:spacing w:line="240" w:lineRule="atLeast"/>
              <w:jc w:val="center"/>
              <w:rPr>
                <w:rFonts w:ascii="宋体" w:hAnsi="宋体"/>
                <w:szCs w:val="21"/>
                <w:highlight w:val="none"/>
              </w:rPr>
            </w:pPr>
            <w:r>
              <w:rPr>
                <w:rFonts w:hint="eastAsia" w:ascii="宋体" w:hAnsi="宋体"/>
                <w:szCs w:val="21"/>
                <w:highlight w:val="none"/>
              </w:rPr>
              <w:t>投标人名称</w:t>
            </w:r>
          </w:p>
        </w:tc>
        <w:tc>
          <w:tcPr>
            <w:tcW w:w="665" w:type="dxa"/>
            <w:vAlign w:val="center"/>
          </w:tcPr>
          <w:p w14:paraId="166A7D49">
            <w:pPr>
              <w:snapToGrid w:val="0"/>
              <w:spacing w:line="240" w:lineRule="atLeast"/>
              <w:jc w:val="center"/>
              <w:rPr>
                <w:rFonts w:ascii="宋体" w:hAnsi="宋体"/>
                <w:szCs w:val="21"/>
                <w:highlight w:val="none"/>
              </w:rPr>
            </w:pPr>
          </w:p>
        </w:tc>
        <w:tc>
          <w:tcPr>
            <w:tcW w:w="664" w:type="dxa"/>
            <w:vAlign w:val="center"/>
          </w:tcPr>
          <w:p w14:paraId="63F39051">
            <w:pPr>
              <w:snapToGrid w:val="0"/>
              <w:spacing w:line="240" w:lineRule="atLeast"/>
              <w:jc w:val="center"/>
              <w:rPr>
                <w:rFonts w:ascii="宋体" w:hAnsi="宋体"/>
                <w:szCs w:val="21"/>
                <w:highlight w:val="none"/>
              </w:rPr>
            </w:pPr>
          </w:p>
        </w:tc>
        <w:tc>
          <w:tcPr>
            <w:tcW w:w="664" w:type="dxa"/>
            <w:vAlign w:val="center"/>
          </w:tcPr>
          <w:p w14:paraId="6C4A0228">
            <w:pPr>
              <w:snapToGrid w:val="0"/>
              <w:spacing w:line="240" w:lineRule="atLeast"/>
              <w:jc w:val="center"/>
              <w:rPr>
                <w:rFonts w:ascii="宋体" w:hAnsi="宋体"/>
                <w:szCs w:val="21"/>
                <w:highlight w:val="none"/>
              </w:rPr>
            </w:pPr>
          </w:p>
        </w:tc>
        <w:tc>
          <w:tcPr>
            <w:tcW w:w="664" w:type="dxa"/>
            <w:vAlign w:val="center"/>
          </w:tcPr>
          <w:p w14:paraId="22F5669E">
            <w:pPr>
              <w:snapToGrid w:val="0"/>
              <w:spacing w:line="240" w:lineRule="atLeast"/>
              <w:jc w:val="center"/>
              <w:rPr>
                <w:rFonts w:ascii="宋体" w:hAnsi="宋体"/>
                <w:szCs w:val="21"/>
                <w:highlight w:val="none"/>
              </w:rPr>
            </w:pPr>
          </w:p>
        </w:tc>
        <w:tc>
          <w:tcPr>
            <w:tcW w:w="664" w:type="dxa"/>
            <w:vAlign w:val="center"/>
          </w:tcPr>
          <w:p w14:paraId="093ACC5B">
            <w:pPr>
              <w:snapToGrid w:val="0"/>
              <w:spacing w:line="240" w:lineRule="atLeast"/>
              <w:jc w:val="center"/>
              <w:rPr>
                <w:rFonts w:ascii="宋体" w:hAnsi="宋体"/>
                <w:szCs w:val="21"/>
                <w:highlight w:val="none"/>
              </w:rPr>
            </w:pPr>
          </w:p>
        </w:tc>
        <w:tc>
          <w:tcPr>
            <w:tcW w:w="664" w:type="dxa"/>
            <w:vAlign w:val="center"/>
          </w:tcPr>
          <w:p w14:paraId="35CFFD29">
            <w:pPr>
              <w:snapToGrid w:val="0"/>
              <w:spacing w:line="240" w:lineRule="atLeast"/>
              <w:jc w:val="center"/>
              <w:rPr>
                <w:rFonts w:ascii="宋体" w:hAnsi="宋体"/>
                <w:szCs w:val="21"/>
                <w:highlight w:val="none"/>
              </w:rPr>
            </w:pPr>
          </w:p>
        </w:tc>
        <w:tc>
          <w:tcPr>
            <w:tcW w:w="664" w:type="dxa"/>
            <w:vAlign w:val="center"/>
          </w:tcPr>
          <w:p w14:paraId="1DA968CC">
            <w:pPr>
              <w:snapToGrid w:val="0"/>
              <w:spacing w:line="240" w:lineRule="atLeast"/>
              <w:jc w:val="center"/>
              <w:rPr>
                <w:rFonts w:ascii="宋体" w:hAnsi="宋体"/>
                <w:szCs w:val="21"/>
                <w:highlight w:val="none"/>
              </w:rPr>
            </w:pPr>
          </w:p>
        </w:tc>
        <w:tc>
          <w:tcPr>
            <w:tcW w:w="664" w:type="dxa"/>
            <w:vAlign w:val="center"/>
          </w:tcPr>
          <w:p w14:paraId="1E159B5A">
            <w:pPr>
              <w:snapToGrid w:val="0"/>
              <w:spacing w:line="240" w:lineRule="atLeast"/>
              <w:jc w:val="center"/>
              <w:rPr>
                <w:rFonts w:ascii="宋体" w:hAnsi="宋体"/>
                <w:szCs w:val="21"/>
                <w:highlight w:val="none"/>
              </w:rPr>
            </w:pPr>
          </w:p>
        </w:tc>
        <w:tc>
          <w:tcPr>
            <w:tcW w:w="664" w:type="dxa"/>
            <w:vAlign w:val="center"/>
          </w:tcPr>
          <w:p w14:paraId="5791473B">
            <w:pPr>
              <w:snapToGrid w:val="0"/>
              <w:spacing w:line="240" w:lineRule="atLeast"/>
              <w:jc w:val="center"/>
              <w:rPr>
                <w:rFonts w:ascii="宋体" w:hAnsi="宋体"/>
                <w:szCs w:val="21"/>
                <w:highlight w:val="none"/>
              </w:rPr>
            </w:pPr>
          </w:p>
        </w:tc>
        <w:tc>
          <w:tcPr>
            <w:tcW w:w="664" w:type="dxa"/>
            <w:vAlign w:val="center"/>
          </w:tcPr>
          <w:p w14:paraId="25C965BB">
            <w:pPr>
              <w:snapToGrid w:val="0"/>
              <w:spacing w:line="240" w:lineRule="atLeast"/>
              <w:jc w:val="center"/>
              <w:rPr>
                <w:rFonts w:ascii="宋体" w:hAnsi="宋体"/>
                <w:szCs w:val="21"/>
                <w:highlight w:val="none"/>
              </w:rPr>
            </w:pPr>
          </w:p>
        </w:tc>
        <w:tc>
          <w:tcPr>
            <w:tcW w:w="664" w:type="dxa"/>
            <w:vAlign w:val="center"/>
          </w:tcPr>
          <w:p w14:paraId="6EB662BE">
            <w:pPr>
              <w:snapToGrid w:val="0"/>
              <w:spacing w:line="240" w:lineRule="atLeast"/>
              <w:jc w:val="center"/>
              <w:rPr>
                <w:rFonts w:ascii="宋体" w:hAnsi="宋体"/>
                <w:szCs w:val="21"/>
                <w:highlight w:val="none"/>
              </w:rPr>
            </w:pPr>
          </w:p>
        </w:tc>
        <w:tc>
          <w:tcPr>
            <w:tcW w:w="665" w:type="dxa"/>
            <w:vAlign w:val="center"/>
          </w:tcPr>
          <w:p w14:paraId="5BD97BE5">
            <w:pPr>
              <w:snapToGrid w:val="0"/>
              <w:spacing w:line="240" w:lineRule="atLeast"/>
              <w:jc w:val="center"/>
              <w:rPr>
                <w:rFonts w:ascii="宋体" w:hAnsi="宋体"/>
                <w:szCs w:val="21"/>
                <w:highlight w:val="none"/>
              </w:rPr>
            </w:pPr>
          </w:p>
        </w:tc>
      </w:tr>
      <w:tr w14:paraId="26982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657" w:type="dxa"/>
            <w:vAlign w:val="center"/>
          </w:tcPr>
          <w:p w14:paraId="4AA262C3">
            <w:pPr>
              <w:snapToGrid w:val="0"/>
              <w:spacing w:line="240" w:lineRule="atLeast"/>
              <w:jc w:val="center"/>
              <w:rPr>
                <w:rFonts w:ascii="宋体" w:hAnsi="宋体"/>
                <w:szCs w:val="21"/>
                <w:highlight w:val="none"/>
              </w:rPr>
            </w:pPr>
            <w:r>
              <w:rPr>
                <w:rFonts w:hint="eastAsia" w:ascii="宋体" w:hAnsi="宋体"/>
                <w:szCs w:val="21"/>
                <w:highlight w:val="none"/>
              </w:rPr>
              <w:t>投标报价（元）</w:t>
            </w:r>
          </w:p>
        </w:tc>
        <w:tc>
          <w:tcPr>
            <w:tcW w:w="665" w:type="dxa"/>
            <w:vAlign w:val="center"/>
          </w:tcPr>
          <w:p w14:paraId="6847A31F">
            <w:pPr>
              <w:snapToGrid w:val="0"/>
              <w:spacing w:line="240" w:lineRule="atLeast"/>
              <w:jc w:val="center"/>
              <w:rPr>
                <w:rFonts w:ascii="宋体" w:hAnsi="宋体"/>
                <w:szCs w:val="21"/>
                <w:highlight w:val="none"/>
              </w:rPr>
            </w:pPr>
          </w:p>
        </w:tc>
        <w:tc>
          <w:tcPr>
            <w:tcW w:w="664" w:type="dxa"/>
            <w:vAlign w:val="center"/>
          </w:tcPr>
          <w:p w14:paraId="58BAEE33">
            <w:pPr>
              <w:snapToGrid w:val="0"/>
              <w:spacing w:line="240" w:lineRule="atLeast"/>
              <w:jc w:val="center"/>
              <w:rPr>
                <w:rFonts w:ascii="宋体" w:hAnsi="宋体"/>
                <w:szCs w:val="21"/>
                <w:highlight w:val="none"/>
              </w:rPr>
            </w:pPr>
          </w:p>
        </w:tc>
        <w:tc>
          <w:tcPr>
            <w:tcW w:w="664" w:type="dxa"/>
            <w:vAlign w:val="center"/>
          </w:tcPr>
          <w:p w14:paraId="2BF8EDA4">
            <w:pPr>
              <w:snapToGrid w:val="0"/>
              <w:spacing w:line="240" w:lineRule="atLeast"/>
              <w:jc w:val="center"/>
              <w:rPr>
                <w:rFonts w:ascii="宋体" w:hAnsi="宋体"/>
                <w:szCs w:val="21"/>
                <w:highlight w:val="none"/>
              </w:rPr>
            </w:pPr>
          </w:p>
        </w:tc>
        <w:tc>
          <w:tcPr>
            <w:tcW w:w="664" w:type="dxa"/>
            <w:vAlign w:val="center"/>
          </w:tcPr>
          <w:p w14:paraId="7C3A3F38">
            <w:pPr>
              <w:snapToGrid w:val="0"/>
              <w:spacing w:line="240" w:lineRule="atLeast"/>
              <w:jc w:val="center"/>
              <w:rPr>
                <w:rFonts w:ascii="宋体" w:hAnsi="宋体"/>
                <w:szCs w:val="21"/>
                <w:highlight w:val="none"/>
              </w:rPr>
            </w:pPr>
          </w:p>
        </w:tc>
        <w:tc>
          <w:tcPr>
            <w:tcW w:w="664" w:type="dxa"/>
            <w:vAlign w:val="center"/>
          </w:tcPr>
          <w:p w14:paraId="6545F052">
            <w:pPr>
              <w:snapToGrid w:val="0"/>
              <w:spacing w:line="240" w:lineRule="atLeast"/>
              <w:jc w:val="center"/>
              <w:rPr>
                <w:rFonts w:ascii="宋体" w:hAnsi="宋体"/>
                <w:szCs w:val="21"/>
                <w:highlight w:val="none"/>
              </w:rPr>
            </w:pPr>
          </w:p>
        </w:tc>
        <w:tc>
          <w:tcPr>
            <w:tcW w:w="664" w:type="dxa"/>
            <w:vAlign w:val="center"/>
          </w:tcPr>
          <w:p w14:paraId="118BABCD">
            <w:pPr>
              <w:snapToGrid w:val="0"/>
              <w:spacing w:line="240" w:lineRule="atLeast"/>
              <w:jc w:val="center"/>
              <w:rPr>
                <w:rFonts w:ascii="宋体" w:hAnsi="宋体"/>
                <w:szCs w:val="21"/>
                <w:highlight w:val="none"/>
              </w:rPr>
            </w:pPr>
          </w:p>
        </w:tc>
        <w:tc>
          <w:tcPr>
            <w:tcW w:w="664" w:type="dxa"/>
            <w:vAlign w:val="center"/>
          </w:tcPr>
          <w:p w14:paraId="24A5B2F4">
            <w:pPr>
              <w:snapToGrid w:val="0"/>
              <w:spacing w:line="240" w:lineRule="atLeast"/>
              <w:jc w:val="center"/>
              <w:rPr>
                <w:rFonts w:ascii="宋体" w:hAnsi="宋体"/>
                <w:szCs w:val="21"/>
                <w:highlight w:val="none"/>
              </w:rPr>
            </w:pPr>
          </w:p>
        </w:tc>
        <w:tc>
          <w:tcPr>
            <w:tcW w:w="664" w:type="dxa"/>
            <w:vAlign w:val="center"/>
          </w:tcPr>
          <w:p w14:paraId="10B8052D">
            <w:pPr>
              <w:snapToGrid w:val="0"/>
              <w:spacing w:line="240" w:lineRule="atLeast"/>
              <w:jc w:val="center"/>
              <w:rPr>
                <w:rFonts w:ascii="宋体" w:hAnsi="宋体"/>
                <w:szCs w:val="21"/>
                <w:highlight w:val="none"/>
              </w:rPr>
            </w:pPr>
          </w:p>
        </w:tc>
        <w:tc>
          <w:tcPr>
            <w:tcW w:w="664" w:type="dxa"/>
            <w:vAlign w:val="center"/>
          </w:tcPr>
          <w:p w14:paraId="6EBA709E">
            <w:pPr>
              <w:snapToGrid w:val="0"/>
              <w:spacing w:line="240" w:lineRule="atLeast"/>
              <w:jc w:val="center"/>
              <w:rPr>
                <w:rFonts w:ascii="宋体" w:hAnsi="宋体"/>
                <w:szCs w:val="21"/>
                <w:highlight w:val="none"/>
              </w:rPr>
            </w:pPr>
          </w:p>
        </w:tc>
        <w:tc>
          <w:tcPr>
            <w:tcW w:w="664" w:type="dxa"/>
            <w:vAlign w:val="center"/>
          </w:tcPr>
          <w:p w14:paraId="236211B7">
            <w:pPr>
              <w:snapToGrid w:val="0"/>
              <w:spacing w:line="240" w:lineRule="atLeast"/>
              <w:jc w:val="center"/>
              <w:rPr>
                <w:rFonts w:ascii="宋体" w:hAnsi="宋体"/>
                <w:szCs w:val="21"/>
                <w:highlight w:val="none"/>
              </w:rPr>
            </w:pPr>
          </w:p>
        </w:tc>
        <w:tc>
          <w:tcPr>
            <w:tcW w:w="664" w:type="dxa"/>
            <w:vAlign w:val="center"/>
          </w:tcPr>
          <w:p w14:paraId="2D6540AF">
            <w:pPr>
              <w:snapToGrid w:val="0"/>
              <w:spacing w:line="240" w:lineRule="atLeast"/>
              <w:jc w:val="center"/>
              <w:rPr>
                <w:rFonts w:ascii="宋体" w:hAnsi="宋体"/>
                <w:szCs w:val="21"/>
                <w:highlight w:val="none"/>
              </w:rPr>
            </w:pPr>
          </w:p>
        </w:tc>
        <w:tc>
          <w:tcPr>
            <w:tcW w:w="665" w:type="dxa"/>
            <w:vAlign w:val="center"/>
          </w:tcPr>
          <w:p w14:paraId="4307232F">
            <w:pPr>
              <w:snapToGrid w:val="0"/>
              <w:spacing w:line="240" w:lineRule="atLeast"/>
              <w:jc w:val="center"/>
              <w:rPr>
                <w:rFonts w:ascii="宋体" w:hAnsi="宋体"/>
                <w:szCs w:val="21"/>
                <w:highlight w:val="none"/>
              </w:rPr>
            </w:pPr>
          </w:p>
        </w:tc>
      </w:tr>
      <w:tr w14:paraId="68F75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657" w:type="dxa"/>
            <w:vAlign w:val="center"/>
          </w:tcPr>
          <w:p w14:paraId="5DFC8353">
            <w:pPr>
              <w:snapToGrid w:val="0"/>
              <w:spacing w:line="240" w:lineRule="atLeast"/>
              <w:jc w:val="center"/>
              <w:rPr>
                <w:rFonts w:ascii="宋体" w:hAnsi="宋体"/>
                <w:szCs w:val="21"/>
                <w:highlight w:val="none"/>
              </w:rPr>
            </w:pPr>
            <w:r>
              <w:rPr>
                <w:rFonts w:hint="eastAsia" w:ascii="宋体" w:hAnsi="宋体"/>
                <w:szCs w:val="21"/>
                <w:highlight w:val="none"/>
              </w:rPr>
              <w:t>评标参考价</w:t>
            </w:r>
          </w:p>
        </w:tc>
        <w:tc>
          <w:tcPr>
            <w:tcW w:w="7970" w:type="dxa"/>
            <w:gridSpan w:val="12"/>
            <w:vAlign w:val="center"/>
          </w:tcPr>
          <w:p w14:paraId="323CAF48">
            <w:pPr>
              <w:snapToGrid w:val="0"/>
              <w:spacing w:line="240" w:lineRule="atLeast"/>
              <w:jc w:val="center"/>
              <w:rPr>
                <w:rFonts w:ascii="宋体" w:hAnsi="宋体"/>
                <w:szCs w:val="21"/>
                <w:highlight w:val="none"/>
              </w:rPr>
            </w:pPr>
          </w:p>
        </w:tc>
      </w:tr>
      <w:tr w14:paraId="0B149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657" w:type="dxa"/>
            <w:vAlign w:val="center"/>
          </w:tcPr>
          <w:p w14:paraId="06B44421">
            <w:pPr>
              <w:snapToGrid w:val="0"/>
              <w:spacing w:line="240" w:lineRule="atLeast"/>
              <w:jc w:val="center"/>
              <w:rPr>
                <w:rFonts w:ascii="宋体" w:hAnsi="宋体"/>
                <w:szCs w:val="21"/>
                <w:highlight w:val="none"/>
              </w:rPr>
            </w:pPr>
            <w:r>
              <w:rPr>
                <w:rFonts w:hint="eastAsia" w:ascii="宋体" w:hAnsi="宋体"/>
                <w:szCs w:val="21"/>
                <w:highlight w:val="none"/>
              </w:rPr>
              <w:t>偏差（%）</w:t>
            </w:r>
          </w:p>
        </w:tc>
        <w:tc>
          <w:tcPr>
            <w:tcW w:w="665" w:type="dxa"/>
            <w:vAlign w:val="center"/>
          </w:tcPr>
          <w:p w14:paraId="7826FF41">
            <w:pPr>
              <w:snapToGrid w:val="0"/>
              <w:spacing w:line="240" w:lineRule="atLeast"/>
              <w:jc w:val="center"/>
              <w:rPr>
                <w:rFonts w:ascii="宋体" w:hAnsi="宋体"/>
                <w:szCs w:val="21"/>
                <w:highlight w:val="none"/>
              </w:rPr>
            </w:pPr>
          </w:p>
        </w:tc>
        <w:tc>
          <w:tcPr>
            <w:tcW w:w="664" w:type="dxa"/>
            <w:vAlign w:val="center"/>
          </w:tcPr>
          <w:p w14:paraId="0920C438">
            <w:pPr>
              <w:snapToGrid w:val="0"/>
              <w:spacing w:line="240" w:lineRule="atLeast"/>
              <w:jc w:val="center"/>
              <w:rPr>
                <w:rFonts w:ascii="宋体" w:hAnsi="宋体"/>
                <w:szCs w:val="21"/>
                <w:highlight w:val="none"/>
              </w:rPr>
            </w:pPr>
          </w:p>
        </w:tc>
        <w:tc>
          <w:tcPr>
            <w:tcW w:w="664" w:type="dxa"/>
            <w:vAlign w:val="center"/>
          </w:tcPr>
          <w:p w14:paraId="08648D43">
            <w:pPr>
              <w:snapToGrid w:val="0"/>
              <w:spacing w:line="240" w:lineRule="atLeast"/>
              <w:jc w:val="center"/>
              <w:rPr>
                <w:rFonts w:ascii="宋体" w:hAnsi="宋体"/>
                <w:szCs w:val="21"/>
                <w:highlight w:val="none"/>
              </w:rPr>
            </w:pPr>
          </w:p>
        </w:tc>
        <w:tc>
          <w:tcPr>
            <w:tcW w:w="664" w:type="dxa"/>
            <w:vAlign w:val="center"/>
          </w:tcPr>
          <w:p w14:paraId="619C475C">
            <w:pPr>
              <w:snapToGrid w:val="0"/>
              <w:spacing w:line="240" w:lineRule="atLeast"/>
              <w:jc w:val="center"/>
              <w:rPr>
                <w:rFonts w:ascii="宋体" w:hAnsi="宋体"/>
                <w:szCs w:val="21"/>
                <w:highlight w:val="none"/>
              </w:rPr>
            </w:pPr>
          </w:p>
        </w:tc>
        <w:tc>
          <w:tcPr>
            <w:tcW w:w="664" w:type="dxa"/>
            <w:vAlign w:val="center"/>
          </w:tcPr>
          <w:p w14:paraId="53C7B0A6">
            <w:pPr>
              <w:snapToGrid w:val="0"/>
              <w:spacing w:line="240" w:lineRule="atLeast"/>
              <w:jc w:val="center"/>
              <w:rPr>
                <w:rFonts w:ascii="宋体" w:hAnsi="宋体"/>
                <w:szCs w:val="21"/>
                <w:highlight w:val="none"/>
              </w:rPr>
            </w:pPr>
          </w:p>
        </w:tc>
        <w:tc>
          <w:tcPr>
            <w:tcW w:w="664" w:type="dxa"/>
            <w:vAlign w:val="center"/>
          </w:tcPr>
          <w:p w14:paraId="400944EF">
            <w:pPr>
              <w:snapToGrid w:val="0"/>
              <w:spacing w:line="240" w:lineRule="atLeast"/>
              <w:jc w:val="center"/>
              <w:rPr>
                <w:rFonts w:ascii="宋体" w:hAnsi="宋体"/>
                <w:szCs w:val="21"/>
                <w:highlight w:val="none"/>
              </w:rPr>
            </w:pPr>
          </w:p>
        </w:tc>
        <w:tc>
          <w:tcPr>
            <w:tcW w:w="664" w:type="dxa"/>
            <w:vAlign w:val="center"/>
          </w:tcPr>
          <w:p w14:paraId="53E9C730">
            <w:pPr>
              <w:snapToGrid w:val="0"/>
              <w:spacing w:line="240" w:lineRule="atLeast"/>
              <w:jc w:val="center"/>
              <w:rPr>
                <w:rFonts w:ascii="宋体" w:hAnsi="宋体"/>
                <w:szCs w:val="21"/>
                <w:highlight w:val="none"/>
              </w:rPr>
            </w:pPr>
          </w:p>
        </w:tc>
        <w:tc>
          <w:tcPr>
            <w:tcW w:w="664" w:type="dxa"/>
            <w:vAlign w:val="center"/>
          </w:tcPr>
          <w:p w14:paraId="0320350C">
            <w:pPr>
              <w:snapToGrid w:val="0"/>
              <w:spacing w:line="240" w:lineRule="atLeast"/>
              <w:jc w:val="center"/>
              <w:rPr>
                <w:rFonts w:ascii="宋体" w:hAnsi="宋体"/>
                <w:szCs w:val="21"/>
                <w:highlight w:val="none"/>
              </w:rPr>
            </w:pPr>
          </w:p>
        </w:tc>
        <w:tc>
          <w:tcPr>
            <w:tcW w:w="664" w:type="dxa"/>
            <w:vAlign w:val="center"/>
          </w:tcPr>
          <w:p w14:paraId="11782E68">
            <w:pPr>
              <w:snapToGrid w:val="0"/>
              <w:spacing w:line="240" w:lineRule="atLeast"/>
              <w:jc w:val="center"/>
              <w:rPr>
                <w:rFonts w:ascii="宋体" w:hAnsi="宋体"/>
                <w:szCs w:val="21"/>
                <w:highlight w:val="none"/>
              </w:rPr>
            </w:pPr>
          </w:p>
        </w:tc>
        <w:tc>
          <w:tcPr>
            <w:tcW w:w="664" w:type="dxa"/>
            <w:vAlign w:val="center"/>
          </w:tcPr>
          <w:p w14:paraId="5233A904">
            <w:pPr>
              <w:snapToGrid w:val="0"/>
              <w:spacing w:line="240" w:lineRule="atLeast"/>
              <w:jc w:val="center"/>
              <w:rPr>
                <w:rFonts w:ascii="宋体" w:hAnsi="宋体"/>
                <w:szCs w:val="21"/>
                <w:highlight w:val="none"/>
              </w:rPr>
            </w:pPr>
          </w:p>
        </w:tc>
        <w:tc>
          <w:tcPr>
            <w:tcW w:w="664" w:type="dxa"/>
            <w:vAlign w:val="center"/>
          </w:tcPr>
          <w:p w14:paraId="2E6C17DC">
            <w:pPr>
              <w:snapToGrid w:val="0"/>
              <w:spacing w:line="240" w:lineRule="atLeast"/>
              <w:jc w:val="center"/>
              <w:rPr>
                <w:rFonts w:ascii="宋体" w:hAnsi="宋体"/>
                <w:szCs w:val="21"/>
                <w:highlight w:val="none"/>
              </w:rPr>
            </w:pPr>
          </w:p>
        </w:tc>
        <w:tc>
          <w:tcPr>
            <w:tcW w:w="665" w:type="dxa"/>
            <w:vAlign w:val="center"/>
          </w:tcPr>
          <w:p w14:paraId="054EA86C">
            <w:pPr>
              <w:snapToGrid w:val="0"/>
              <w:spacing w:line="240" w:lineRule="atLeast"/>
              <w:jc w:val="center"/>
              <w:rPr>
                <w:rFonts w:ascii="宋体" w:hAnsi="宋体"/>
                <w:szCs w:val="21"/>
                <w:highlight w:val="none"/>
              </w:rPr>
            </w:pPr>
          </w:p>
        </w:tc>
      </w:tr>
      <w:tr w14:paraId="057A5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1657" w:type="dxa"/>
            <w:vAlign w:val="center"/>
          </w:tcPr>
          <w:p w14:paraId="71AC8FB5">
            <w:pPr>
              <w:snapToGrid w:val="0"/>
              <w:spacing w:line="240" w:lineRule="atLeast"/>
              <w:jc w:val="center"/>
              <w:rPr>
                <w:rFonts w:ascii="宋体" w:hAnsi="宋体"/>
                <w:szCs w:val="21"/>
                <w:highlight w:val="none"/>
              </w:rPr>
            </w:pPr>
            <w:r>
              <w:rPr>
                <w:rFonts w:hint="eastAsia" w:ascii="宋体" w:hAnsi="宋体"/>
                <w:szCs w:val="21"/>
                <w:highlight w:val="none"/>
              </w:rPr>
              <w:t>减分</w:t>
            </w:r>
          </w:p>
        </w:tc>
        <w:tc>
          <w:tcPr>
            <w:tcW w:w="665" w:type="dxa"/>
            <w:vAlign w:val="center"/>
          </w:tcPr>
          <w:p w14:paraId="7F8E4E5C">
            <w:pPr>
              <w:snapToGrid w:val="0"/>
              <w:spacing w:line="240" w:lineRule="atLeast"/>
              <w:jc w:val="center"/>
              <w:rPr>
                <w:rFonts w:ascii="宋体" w:hAnsi="宋体"/>
                <w:szCs w:val="21"/>
                <w:highlight w:val="none"/>
              </w:rPr>
            </w:pPr>
          </w:p>
        </w:tc>
        <w:tc>
          <w:tcPr>
            <w:tcW w:w="664" w:type="dxa"/>
            <w:vAlign w:val="center"/>
          </w:tcPr>
          <w:p w14:paraId="5DC87392">
            <w:pPr>
              <w:snapToGrid w:val="0"/>
              <w:spacing w:line="240" w:lineRule="atLeast"/>
              <w:jc w:val="center"/>
              <w:rPr>
                <w:rFonts w:ascii="宋体" w:hAnsi="宋体"/>
                <w:szCs w:val="21"/>
                <w:highlight w:val="none"/>
              </w:rPr>
            </w:pPr>
          </w:p>
        </w:tc>
        <w:tc>
          <w:tcPr>
            <w:tcW w:w="664" w:type="dxa"/>
            <w:vAlign w:val="center"/>
          </w:tcPr>
          <w:p w14:paraId="4145F35D">
            <w:pPr>
              <w:snapToGrid w:val="0"/>
              <w:spacing w:line="240" w:lineRule="atLeast"/>
              <w:jc w:val="center"/>
              <w:rPr>
                <w:rFonts w:ascii="宋体" w:hAnsi="宋体"/>
                <w:szCs w:val="21"/>
                <w:highlight w:val="none"/>
              </w:rPr>
            </w:pPr>
          </w:p>
        </w:tc>
        <w:tc>
          <w:tcPr>
            <w:tcW w:w="664" w:type="dxa"/>
            <w:vAlign w:val="center"/>
          </w:tcPr>
          <w:p w14:paraId="60123712">
            <w:pPr>
              <w:snapToGrid w:val="0"/>
              <w:spacing w:line="240" w:lineRule="atLeast"/>
              <w:jc w:val="center"/>
              <w:rPr>
                <w:rFonts w:ascii="宋体" w:hAnsi="宋体"/>
                <w:szCs w:val="21"/>
                <w:highlight w:val="none"/>
              </w:rPr>
            </w:pPr>
          </w:p>
        </w:tc>
        <w:tc>
          <w:tcPr>
            <w:tcW w:w="664" w:type="dxa"/>
            <w:vAlign w:val="center"/>
          </w:tcPr>
          <w:p w14:paraId="1A89C11C">
            <w:pPr>
              <w:snapToGrid w:val="0"/>
              <w:spacing w:line="240" w:lineRule="atLeast"/>
              <w:jc w:val="center"/>
              <w:rPr>
                <w:rFonts w:ascii="宋体" w:hAnsi="宋体"/>
                <w:szCs w:val="21"/>
                <w:highlight w:val="none"/>
              </w:rPr>
            </w:pPr>
          </w:p>
        </w:tc>
        <w:tc>
          <w:tcPr>
            <w:tcW w:w="664" w:type="dxa"/>
            <w:vAlign w:val="center"/>
          </w:tcPr>
          <w:p w14:paraId="7DBCE345">
            <w:pPr>
              <w:snapToGrid w:val="0"/>
              <w:spacing w:line="240" w:lineRule="atLeast"/>
              <w:jc w:val="center"/>
              <w:rPr>
                <w:rFonts w:ascii="宋体" w:hAnsi="宋体"/>
                <w:szCs w:val="21"/>
                <w:highlight w:val="none"/>
              </w:rPr>
            </w:pPr>
          </w:p>
        </w:tc>
        <w:tc>
          <w:tcPr>
            <w:tcW w:w="664" w:type="dxa"/>
            <w:vAlign w:val="center"/>
          </w:tcPr>
          <w:p w14:paraId="12432D56">
            <w:pPr>
              <w:snapToGrid w:val="0"/>
              <w:spacing w:line="240" w:lineRule="atLeast"/>
              <w:jc w:val="center"/>
              <w:rPr>
                <w:rFonts w:ascii="宋体" w:hAnsi="宋体"/>
                <w:szCs w:val="21"/>
                <w:highlight w:val="none"/>
              </w:rPr>
            </w:pPr>
          </w:p>
        </w:tc>
        <w:tc>
          <w:tcPr>
            <w:tcW w:w="664" w:type="dxa"/>
            <w:vAlign w:val="center"/>
          </w:tcPr>
          <w:p w14:paraId="644AB44F">
            <w:pPr>
              <w:snapToGrid w:val="0"/>
              <w:spacing w:line="240" w:lineRule="atLeast"/>
              <w:jc w:val="center"/>
              <w:rPr>
                <w:rFonts w:ascii="宋体" w:hAnsi="宋体"/>
                <w:szCs w:val="21"/>
                <w:highlight w:val="none"/>
              </w:rPr>
            </w:pPr>
          </w:p>
        </w:tc>
        <w:tc>
          <w:tcPr>
            <w:tcW w:w="664" w:type="dxa"/>
            <w:vAlign w:val="center"/>
          </w:tcPr>
          <w:p w14:paraId="20A9CEAC">
            <w:pPr>
              <w:snapToGrid w:val="0"/>
              <w:spacing w:line="240" w:lineRule="atLeast"/>
              <w:jc w:val="center"/>
              <w:rPr>
                <w:rFonts w:ascii="宋体" w:hAnsi="宋体"/>
                <w:szCs w:val="21"/>
                <w:highlight w:val="none"/>
              </w:rPr>
            </w:pPr>
          </w:p>
        </w:tc>
        <w:tc>
          <w:tcPr>
            <w:tcW w:w="664" w:type="dxa"/>
            <w:vAlign w:val="center"/>
          </w:tcPr>
          <w:p w14:paraId="691F785D">
            <w:pPr>
              <w:snapToGrid w:val="0"/>
              <w:spacing w:line="240" w:lineRule="atLeast"/>
              <w:jc w:val="center"/>
              <w:rPr>
                <w:rFonts w:ascii="宋体" w:hAnsi="宋体"/>
                <w:szCs w:val="21"/>
                <w:highlight w:val="none"/>
              </w:rPr>
            </w:pPr>
          </w:p>
        </w:tc>
        <w:tc>
          <w:tcPr>
            <w:tcW w:w="664" w:type="dxa"/>
            <w:vAlign w:val="center"/>
          </w:tcPr>
          <w:p w14:paraId="57980BF0">
            <w:pPr>
              <w:snapToGrid w:val="0"/>
              <w:spacing w:line="240" w:lineRule="atLeast"/>
              <w:jc w:val="center"/>
              <w:rPr>
                <w:rFonts w:ascii="宋体" w:hAnsi="宋体"/>
                <w:szCs w:val="21"/>
                <w:highlight w:val="none"/>
              </w:rPr>
            </w:pPr>
          </w:p>
        </w:tc>
        <w:tc>
          <w:tcPr>
            <w:tcW w:w="665" w:type="dxa"/>
            <w:vAlign w:val="center"/>
          </w:tcPr>
          <w:p w14:paraId="16BC4513">
            <w:pPr>
              <w:snapToGrid w:val="0"/>
              <w:spacing w:line="240" w:lineRule="atLeast"/>
              <w:jc w:val="center"/>
              <w:rPr>
                <w:rFonts w:ascii="宋体" w:hAnsi="宋体"/>
                <w:szCs w:val="21"/>
                <w:highlight w:val="none"/>
              </w:rPr>
            </w:pPr>
          </w:p>
        </w:tc>
      </w:tr>
      <w:tr w14:paraId="0844C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657" w:type="dxa"/>
            <w:vAlign w:val="center"/>
          </w:tcPr>
          <w:p w14:paraId="398B42C7">
            <w:pPr>
              <w:snapToGrid w:val="0"/>
              <w:spacing w:line="240" w:lineRule="atLeast"/>
              <w:jc w:val="center"/>
              <w:rPr>
                <w:rFonts w:ascii="宋体" w:hAnsi="宋体"/>
                <w:szCs w:val="21"/>
                <w:highlight w:val="none"/>
              </w:rPr>
            </w:pPr>
            <w:r>
              <w:rPr>
                <w:rFonts w:hint="eastAsia" w:ascii="宋体" w:hAnsi="宋体"/>
                <w:szCs w:val="21"/>
                <w:highlight w:val="none"/>
              </w:rPr>
              <w:t>得分</w:t>
            </w:r>
          </w:p>
        </w:tc>
        <w:tc>
          <w:tcPr>
            <w:tcW w:w="665" w:type="dxa"/>
            <w:vAlign w:val="center"/>
          </w:tcPr>
          <w:p w14:paraId="4F8AD5DE">
            <w:pPr>
              <w:snapToGrid w:val="0"/>
              <w:spacing w:line="240" w:lineRule="atLeast"/>
              <w:jc w:val="center"/>
              <w:rPr>
                <w:rFonts w:ascii="宋体" w:hAnsi="宋体"/>
                <w:szCs w:val="21"/>
                <w:highlight w:val="none"/>
              </w:rPr>
            </w:pPr>
          </w:p>
        </w:tc>
        <w:tc>
          <w:tcPr>
            <w:tcW w:w="664" w:type="dxa"/>
            <w:vAlign w:val="center"/>
          </w:tcPr>
          <w:p w14:paraId="6983BC1E">
            <w:pPr>
              <w:snapToGrid w:val="0"/>
              <w:spacing w:line="240" w:lineRule="atLeast"/>
              <w:jc w:val="center"/>
              <w:rPr>
                <w:rFonts w:ascii="宋体" w:hAnsi="宋体"/>
                <w:szCs w:val="21"/>
                <w:highlight w:val="none"/>
              </w:rPr>
            </w:pPr>
          </w:p>
        </w:tc>
        <w:tc>
          <w:tcPr>
            <w:tcW w:w="664" w:type="dxa"/>
            <w:vAlign w:val="center"/>
          </w:tcPr>
          <w:p w14:paraId="40295847">
            <w:pPr>
              <w:snapToGrid w:val="0"/>
              <w:spacing w:line="240" w:lineRule="atLeast"/>
              <w:jc w:val="center"/>
              <w:rPr>
                <w:rFonts w:ascii="宋体" w:hAnsi="宋体"/>
                <w:szCs w:val="21"/>
                <w:highlight w:val="none"/>
              </w:rPr>
            </w:pPr>
          </w:p>
        </w:tc>
        <w:tc>
          <w:tcPr>
            <w:tcW w:w="664" w:type="dxa"/>
            <w:vAlign w:val="center"/>
          </w:tcPr>
          <w:p w14:paraId="270CA7E9">
            <w:pPr>
              <w:snapToGrid w:val="0"/>
              <w:spacing w:line="240" w:lineRule="atLeast"/>
              <w:jc w:val="center"/>
              <w:rPr>
                <w:rFonts w:ascii="宋体" w:hAnsi="宋体"/>
                <w:szCs w:val="21"/>
                <w:highlight w:val="none"/>
              </w:rPr>
            </w:pPr>
          </w:p>
        </w:tc>
        <w:tc>
          <w:tcPr>
            <w:tcW w:w="664" w:type="dxa"/>
            <w:vAlign w:val="center"/>
          </w:tcPr>
          <w:p w14:paraId="3A112024">
            <w:pPr>
              <w:snapToGrid w:val="0"/>
              <w:spacing w:line="240" w:lineRule="atLeast"/>
              <w:jc w:val="center"/>
              <w:rPr>
                <w:rFonts w:ascii="宋体" w:hAnsi="宋体"/>
                <w:szCs w:val="21"/>
                <w:highlight w:val="none"/>
              </w:rPr>
            </w:pPr>
          </w:p>
        </w:tc>
        <w:tc>
          <w:tcPr>
            <w:tcW w:w="664" w:type="dxa"/>
            <w:vAlign w:val="center"/>
          </w:tcPr>
          <w:p w14:paraId="45AAEA5A">
            <w:pPr>
              <w:snapToGrid w:val="0"/>
              <w:spacing w:line="240" w:lineRule="atLeast"/>
              <w:jc w:val="center"/>
              <w:rPr>
                <w:rFonts w:ascii="宋体" w:hAnsi="宋体"/>
                <w:szCs w:val="21"/>
                <w:highlight w:val="none"/>
              </w:rPr>
            </w:pPr>
          </w:p>
        </w:tc>
        <w:tc>
          <w:tcPr>
            <w:tcW w:w="664" w:type="dxa"/>
            <w:vAlign w:val="center"/>
          </w:tcPr>
          <w:p w14:paraId="25C49E2C">
            <w:pPr>
              <w:snapToGrid w:val="0"/>
              <w:spacing w:line="240" w:lineRule="atLeast"/>
              <w:jc w:val="center"/>
              <w:rPr>
                <w:rFonts w:ascii="宋体" w:hAnsi="宋体"/>
                <w:szCs w:val="21"/>
                <w:highlight w:val="none"/>
              </w:rPr>
            </w:pPr>
          </w:p>
        </w:tc>
        <w:tc>
          <w:tcPr>
            <w:tcW w:w="664" w:type="dxa"/>
            <w:vAlign w:val="center"/>
          </w:tcPr>
          <w:p w14:paraId="61CD1EA9">
            <w:pPr>
              <w:snapToGrid w:val="0"/>
              <w:spacing w:line="240" w:lineRule="atLeast"/>
              <w:jc w:val="center"/>
              <w:rPr>
                <w:rFonts w:ascii="宋体" w:hAnsi="宋体"/>
                <w:szCs w:val="21"/>
                <w:highlight w:val="none"/>
              </w:rPr>
            </w:pPr>
          </w:p>
        </w:tc>
        <w:tc>
          <w:tcPr>
            <w:tcW w:w="664" w:type="dxa"/>
            <w:vAlign w:val="center"/>
          </w:tcPr>
          <w:p w14:paraId="5D1EA9A0">
            <w:pPr>
              <w:snapToGrid w:val="0"/>
              <w:spacing w:line="240" w:lineRule="atLeast"/>
              <w:jc w:val="center"/>
              <w:rPr>
                <w:rFonts w:ascii="宋体" w:hAnsi="宋体"/>
                <w:szCs w:val="21"/>
                <w:highlight w:val="none"/>
              </w:rPr>
            </w:pPr>
          </w:p>
        </w:tc>
        <w:tc>
          <w:tcPr>
            <w:tcW w:w="664" w:type="dxa"/>
            <w:vAlign w:val="center"/>
          </w:tcPr>
          <w:p w14:paraId="7930E435">
            <w:pPr>
              <w:snapToGrid w:val="0"/>
              <w:spacing w:line="240" w:lineRule="atLeast"/>
              <w:jc w:val="center"/>
              <w:rPr>
                <w:rFonts w:ascii="宋体" w:hAnsi="宋体"/>
                <w:szCs w:val="21"/>
                <w:highlight w:val="none"/>
              </w:rPr>
            </w:pPr>
          </w:p>
        </w:tc>
        <w:tc>
          <w:tcPr>
            <w:tcW w:w="664" w:type="dxa"/>
            <w:vAlign w:val="center"/>
          </w:tcPr>
          <w:p w14:paraId="0741B0F7">
            <w:pPr>
              <w:snapToGrid w:val="0"/>
              <w:spacing w:line="240" w:lineRule="atLeast"/>
              <w:jc w:val="center"/>
              <w:rPr>
                <w:rFonts w:ascii="宋体" w:hAnsi="宋体"/>
                <w:szCs w:val="21"/>
                <w:highlight w:val="none"/>
              </w:rPr>
            </w:pPr>
          </w:p>
        </w:tc>
        <w:tc>
          <w:tcPr>
            <w:tcW w:w="665" w:type="dxa"/>
            <w:vAlign w:val="center"/>
          </w:tcPr>
          <w:p w14:paraId="74BF47FC">
            <w:pPr>
              <w:snapToGrid w:val="0"/>
              <w:spacing w:line="240" w:lineRule="atLeast"/>
              <w:jc w:val="center"/>
              <w:rPr>
                <w:rFonts w:ascii="宋体" w:hAnsi="宋体"/>
                <w:szCs w:val="21"/>
                <w:highlight w:val="none"/>
              </w:rPr>
            </w:pPr>
          </w:p>
        </w:tc>
      </w:tr>
    </w:tbl>
    <w:p w14:paraId="79DA978C">
      <w:pPr>
        <w:pStyle w:val="9"/>
        <w:adjustRightInd w:val="0"/>
        <w:snapToGrid w:val="0"/>
        <w:rPr>
          <w:rFonts w:ascii="宋体" w:hAnsi="宋体" w:cs="宋体"/>
          <w:kern w:val="0"/>
          <w:szCs w:val="21"/>
          <w:highlight w:val="none"/>
        </w:rPr>
      </w:pPr>
    </w:p>
    <w:p w14:paraId="00B7C869">
      <w:pPr>
        <w:pStyle w:val="9"/>
        <w:adjustRightInd w:val="0"/>
        <w:snapToGrid w:val="0"/>
        <w:spacing w:line="360" w:lineRule="auto"/>
        <w:ind w:firstLine="0"/>
        <w:rPr>
          <w:rFonts w:ascii="宋体" w:hAnsi="宋体"/>
          <w:szCs w:val="21"/>
          <w:highlight w:val="none"/>
        </w:rPr>
      </w:pPr>
      <w:r>
        <w:rPr>
          <w:rFonts w:hint="eastAsia" w:ascii="宋体" w:hAnsi="宋体"/>
          <w:szCs w:val="36"/>
          <w:highlight w:val="none"/>
        </w:rPr>
        <w:t>注：1.当通过初步评审的有效投标人大于5名时，去掉一个最高价和一个最低价，取余下有效投标人的投标报价的算术平均值作为评标参考价；当通过初步评审的有效投标人小于或等于5名时取所有入围的有效投标人的投标报价的算术平均值作为评标参考价。</w:t>
      </w:r>
    </w:p>
    <w:p w14:paraId="3868234D">
      <w:pPr>
        <w:pStyle w:val="9"/>
        <w:adjustRightInd w:val="0"/>
        <w:snapToGrid w:val="0"/>
        <w:spacing w:line="360" w:lineRule="auto"/>
        <w:ind w:firstLine="0"/>
        <w:rPr>
          <w:rFonts w:ascii="宋体" w:hAnsi="宋体"/>
          <w:szCs w:val="36"/>
          <w:highlight w:val="none"/>
        </w:rPr>
      </w:pPr>
      <w:r>
        <w:rPr>
          <w:rFonts w:hint="eastAsia" w:ascii="宋体" w:hAnsi="宋体"/>
          <w:szCs w:val="21"/>
          <w:highlight w:val="none"/>
        </w:rPr>
        <w:t>2.</w:t>
      </w:r>
      <w:r>
        <w:rPr>
          <w:rFonts w:hint="eastAsia" w:ascii="宋体" w:hAnsi="宋体"/>
          <w:szCs w:val="36"/>
          <w:highlight w:val="none"/>
        </w:rPr>
        <w:t>以评标参考价作为计算各有效投标价得分的基础，当有效投标价等于评标参考值时得</w:t>
      </w:r>
      <w:r>
        <w:rPr>
          <w:rFonts w:ascii="宋体" w:hAnsi="宋体"/>
          <w:szCs w:val="36"/>
          <w:highlight w:val="none"/>
        </w:rPr>
        <w:t>15</w:t>
      </w:r>
      <w:r>
        <w:rPr>
          <w:rFonts w:hint="eastAsia" w:ascii="宋体" w:hAnsi="宋体"/>
          <w:szCs w:val="36"/>
          <w:highlight w:val="none"/>
        </w:rPr>
        <w:t>分；投标有效投价与评标参考价相比，每上偏1%扣1.0分，每下偏1%扣0.5分。得分精确到小数点后两位。</w:t>
      </w:r>
    </w:p>
    <w:p w14:paraId="556C299F">
      <w:pPr>
        <w:pStyle w:val="9"/>
        <w:adjustRightInd w:val="0"/>
        <w:snapToGrid w:val="0"/>
        <w:spacing w:line="360" w:lineRule="auto"/>
        <w:ind w:firstLine="0"/>
        <w:rPr>
          <w:rFonts w:ascii="宋体" w:hAnsi="宋体"/>
          <w:szCs w:val="36"/>
          <w:highlight w:val="none"/>
        </w:rPr>
      </w:pPr>
    </w:p>
    <w:p w14:paraId="3730B550">
      <w:pPr>
        <w:pStyle w:val="9"/>
        <w:adjustRightInd w:val="0"/>
        <w:snapToGrid w:val="0"/>
        <w:spacing w:line="360" w:lineRule="auto"/>
        <w:ind w:firstLine="0"/>
        <w:rPr>
          <w:rFonts w:ascii="宋体" w:hAnsi="宋体"/>
          <w:szCs w:val="21"/>
          <w:highlight w:val="none"/>
        </w:rPr>
      </w:pPr>
      <w:r>
        <w:rPr>
          <w:rFonts w:hint="eastAsia" w:ascii="宋体" w:hAnsi="宋体"/>
          <w:szCs w:val="21"/>
          <w:highlight w:val="none"/>
        </w:rPr>
        <w:t xml:space="preserve"> 评委签名：                                                 日期：</w:t>
      </w:r>
    </w:p>
    <w:p w14:paraId="2E8CBE8B">
      <w:pPr>
        <w:pStyle w:val="5"/>
        <w:numPr>
          <w:ilvl w:val="0"/>
          <w:numId w:val="1"/>
        </w:numPr>
        <w:rPr>
          <w:highlight w:val="none"/>
        </w:rPr>
      </w:pPr>
      <w:r>
        <w:rPr>
          <w:b w:val="0"/>
          <w:spacing w:val="20"/>
          <w:highlight w:val="none"/>
        </w:rPr>
        <w:br w:type="page"/>
      </w:r>
      <w:bookmarkStart w:id="121" w:name="_Toc533357319"/>
      <w:bookmarkStart w:id="122" w:name="_Toc103592028"/>
      <w:r>
        <w:rPr>
          <w:rFonts w:hint="eastAsia"/>
          <w:highlight w:val="none"/>
        </w:rPr>
        <w:t>评标方法</w:t>
      </w:r>
      <w:bookmarkEnd w:id="121"/>
      <w:bookmarkEnd w:id="122"/>
    </w:p>
    <w:p w14:paraId="4B001DCC">
      <w:pPr>
        <w:rPr>
          <w:rFonts w:ascii="宋体" w:hAnsi="宋体"/>
          <w:highlight w:val="none"/>
        </w:rPr>
      </w:pPr>
    </w:p>
    <w:p w14:paraId="03CAFA2F">
      <w:pPr>
        <w:spacing w:line="360" w:lineRule="auto"/>
        <w:ind w:firstLine="480" w:firstLineChars="200"/>
        <w:rPr>
          <w:rFonts w:ascii="宋体" w:hAnsi="宋体"/>
          <w:sz w:val="24"/>
          <w:szCs w:val="24"/>
          <w:highlight w:val="none"/>
        </w:rPr>
      </w:pPr>
      <w:r>
        <w:rPr>
          <w:rFonts w:hint="eastAsia" w:ascii="宋体" w:hAnsi="宋体"/>
          <w:sz w:val="24"/>
          <w:szCs w:val="24"/>
          <w:highlight w:val="none"/>
        </w:rPr>
        <w:t>本次评标采用综合评估法。评标委员会对满足招标文件实质性要求的投标文件，按照本章第2.2款规定的评分标准进行打分，并按得分由高到低顺序推荐中标候选人，排序的前一~三名为第一中标候选人、第二中标候选人和第三中标候选人。总得分相等时，以投标报价低的优先；报价也相等的，以检测方案得分高的优先；如果检测方案得分也相等，由评标委员会采用记名投票方式，以得票多的优先。</w:t>
      </w:r>
    </w:p>
    <w:p w14:paraId="7ED71182">
      <w:pPr>
        <w:rPr>
          <w:rFonts w:ascii="宋体" w:hAnsi="宋体"/>
          <w:highlight w:val="none"/>
        </w:rPr>
      </w:pPr>
    </w:p>
    <w:p w14:paraId="57807306">
      <w:pPr>
        <w:pStyle w:val="5"/>
        <w:rPr>
          <w:highlight w:val="none"/>
        </w:rPr>
      </w:pPr>
      <w:bookmarkStart w:id="123" w:name="bookmark85"/>
      <w:bookmarkEnd w:id="123"/>
      <w:bookmarkStart w:id="124" w:name="_Toc103592029"/>
      <w:bookmarkStart w:id="125" w:name="_Toc533357320"/>
      <w:r>
        <w:rPr>
          <w:highlight w:val="none"/>
        </w:rPr>
        <w:t xml:space="preserve">2. </w:t>
      </w:r>
      <w:r>
        <w:rPr>
          <w:rFonts w:hint="eastAsia"/>
          <w:highlight w:val="none"/>
        </w:rPr>
        <w:t>评审标准</w:t>
      </w:r>
      <w:bookmarkEnd w:id="124"/>
      <w:bookmarkEnd w:id="125"/>
    </w:p>
    <w:p w14:paraId="56A96F8E">
      <w:pPr>
        <w:rPr>
          <w:rFonts w:ascii="宋体" w:hAnsi="宋体"/>
          <w:highlight w:val="none"/>
        </w:rPr>
      </w:pPr>
    </w:p>
    <w:p w14:paraId="57A32423">
      <w:pPr>
        <w:pStyle w:val="7"/>
        <w:ind w:firstLine="420"/>
        <w:rPr>
          <w:highlight w:val="none"/>
        </w:rPr>
      </w:pPr>
      <w:bookmarkStart w:id="126" w:name="bookmark86"/>
      <w:bookmarkEnd w:id="126"/>
      <w:r>
        <w:rPr>
          <w:highlight w:val="none"/>
        </w:rPr>
        <w:t xml:space="preserve">2.1 </w:t>
      </w:r>
      <w:r>
        <w:rPr>
          <w:rFonts w:hint="eastAsia"/>
          <w:highlight w:val="none"/>
        </w:rPr>
        <w:t>初步评审标准</w:t>
      </w:r>
    </w:p>
    <w:p w14:paraId="4BBD2AB9">
      <w:pPr>
        <w:spacing w:line="360" w:lineRule="auto"/>
        <w:ind w:firstLine="480" w:firstLineChars="200"/>
        <w:rPr>
          <w:rFonts w:ascii="宋体" w:hAnsi="宋体"/>
          <w:sz w:val="24"/>
          <w:szCs w:val="24"/>
          <w:highlight w:val="none"/>
        </w:rPr>
      </w:pPr>
      <w:r>
        <w:rPr>
          <w:rFonts w:ascii="宋体" w:hAnsi="宋体"/>
          <w:sz w:val="24"/>
          <w:szCs w:val="24"/>
          <w:highlight w:val="none"/>
        </w:rPr>
        <w:t>2.1.1</w:t>
      </w:r>
      <w:r>
        <w:rPr>
          <w:rFonts w:hint="eastAsia" w:ascii="宋体" w:hAnsi="宋体"/>
          <w:sz w:val="24"/>
          <w:szCs w:val="24"/>
          <w:highlight w:val="none"/>
        </w:rPr>
        <w:t>形式评审标准：见评标办法前附表。</w:t>
      </w:r>
    </w:p>
    <w:p w14:paraId="1A934A4A">
      <w:pPr>
        <w:spacing w:line="360" w:lineRule="auto"/>
        <w:ind w:firstLine="480" w:firstLineChars="200"/>
        <w:rPr>
          <w:rFonts w:ascii="宋体" w:hAnsi="宋体"/>
          <w:sz w:val="24"/>
          <w:szCs w:val="24"/>
          <w:highlight w:val="none"/>
        </w:rPr>
      </w:pPr>
      <w:r>
        <w:rPr>
          <w:rFonts w:ascii="宋体" w:hAnsi="宋体"/>
          <w:sz w:val="24"/>
          <w:szCs w:val="24"/>
          <w:highlight w:val="none"/>
        </w:rPr>
        <w:t>2.1.2</w:t>
      </w:r>
      <w:r>
        <w:rPr>
          <w:rFonts w:hint="eastAsia" w:ascii="宋体" w:hAnsi="宋体"/>
          <w:sz w:val="24"/>
          <w:szCs w:val="24"/>
          <w:highlight w:val="none"/>
        </w:rPr>
        <w:t>资格评审标准：见评标办法前附表。</w:t>
      </w:r>
    </w:p>
    <w:p w14:paraId="7004D370">
      <w:pPr>
        <w:spacing w:line="360" w:lineRule="auto"/>
        <w:ind w:firstLine="480" w:firstLineChars="200"/>
        <w:rPr>
          <w:rFonts w:ascii="宋体" w:hAnsi="宋体"/>
          <w:sz w:val="24"/>
          <w:szCs w:val="24"/>
          <w:highlight w:val="none"/>
        </w:rPr>
      </w:pPr>
      <w:r>
        <w:rPr>
          <w:rFonts w:ascii="宋体" w:hAnsi="宋体"/>
          <w:sz w:val="24"/>
          <w:szCs w:val="24"/>
          <w:highlight w:val="none"/>
        </w:rPr>
        <w:t>2.1.3</w:t>
      </w:r>
      <w:r>
        <w:rPr>
          <w:rFonts w:hint="eastAsia" w:ascii="宋体" w:hAnsi="宋体"/>
          <w:sz w:val="24"/>
          <w:szCs w:val="24"/>
          <w:highlight w:val="none"/>
        </w:rPr>
        <w:t>响应性评审标准：见评标办法前附表。</w:t>
      </w:r>
    </w:p>
    <w:p w14:paraId="4040C888">
      <w:pPr>
        <w:spacing w:line="360" w:lineRule="auto"/>
        <w:ind w:firstLine="480" w:firstLineChars="200"/>
        <w:rPr>
          <w:rFonts w:ascii="宋体" w:hAnsi="宋体"/>
          <w:sz w:val="24"/>
          <w:szCs w:val="24"/>
          <w:highlight w:val="none"/>
        </w:rPr>
      </w:pPr>
      <w:r>
        <w:rPr>
          <w:rFonts w:hint="eastAsia" w:ascii="宋体" w:hAnsi="宋体"/>
          <w:sz w:val="24"/>
          <w:szCs w:val="24"/>
          <w:highlight w:val="none"/>
        </w:rPr>
        <w:t>注：不得将文件顺序、明显的文字错误等列为否决投标的情形。评委发现投标文件中含义不明确、对同类问题表述不一致、有明显文字和计算错误的，应当要求投标人作必要的澄清、说明后再判定投标人是否通过初步评审，不得直接认定其不通过初步评审。</w:t>
      </w:r>
    </w:p>
    <w:p w14:paraId="7D41442E">
      <w:pPr>
        <w:rPr>
          <w:rFonts w:ascii="宋体" w:hAnsi="宋体"/>
          <w:highlight w:val="none"/>
        </w:rPr>
      </w:pPr>
    </w:p>
    <w:p w14:paraId="6ADCBD56">
      <w:pPr>
        <w:pStyle w:val="7"/>
        <w:rPr>
          <w:highlight w:val="none"/>
        </w:rPr>
      </w:pPr>
      <w:bookmarkStart w:id="127" w:name="bookmark87"/>
      <w:bookmarkEnd w:id="127"/>
      <w:r>
        <w:rPr>
          <w:highlight w:val="none"/>
        </w:rPr>
        <w:t xml:space="preserve">2.2 </w:t>
      </w:r>
      <w:r>
        <w:rPr>
          <w:rFonts w:hint="eastAsia"/>
          <w:highlight w:val="none"/>
        </w:rPr>
        <w:t>分值构成与评分标准</w:t>
      </w:r>
    </w:p>
    <w:p w14:paraId="58C2F589">
      <w:pPr>
        <w:spacing w:line="360" w:lineRule="auto"/>
        <w:ind w:firstLine="480" w:firstLineChars="200"/>
        <w:rPr>
          <w:rFonts w:ascii="宋体" w:hAnsi="宋体"/>
          <w:sz w:val="24"/>
          <w:szCs w:val="24"/>
          <w:highlight w:val="none"/>
        </w:rPr>
      </w:pPr>
      <w:r>
        <w:rPr>
          <w:rFonts w:ascii="宋体" w:hAnsi="宋体"/>
          <w:sz w:val="24"/>
          <w:szCs w:val="24"/>
          <w:highlight w:val="none"/>
        </w:rPr>
        <w:t>2.2.1</w:t>
      </w:r>
      <w:r>
        <w:rPr>
          <w:rFonts w:hint="eastAsia" w:ascii="宋体" w:hAnsi="宋体"/>
          <w:sz w:val="24"/>
          <w:szCs w:val="24"/>
          <w:highlight w:val="none"/>
        </w:rPr>
        <w:t>分值构成</w:t>
      </w:r>
    </w:p>
    <w:p w14:paraId="7BEAB2DF">
      <w:pPr>
        <w:spacing w:line="360" w:lineRule="auto"/>
        <w:ind w:firstLine="480" w:firstLineChars="200"/>
        <w:rPr>
          <w:rFonts w:ascii="宋体" w:hAnsi="宋体"/>
          <w:sz w:val="24"/>
          <w:szCs w:val="24"/>
          <w:highlight w:val="none"/>
        </w:rPr>
      </w:pPr>
      <w:r>
        <w:rPr>
          <w:rFonts w:hint="eastAsia" w:ascii="宋体" w:hAnsi="宋体"/>
          <w:sz w:val="24"/>
          <w:szCs w:val="24"/>
          <w:highlight w:val="none"/>
        </w:rPr>
        <w:t>（</w:t>
      </w:r>
      <w:r>
        <w:rPr>
          <w:rFonts w:ascii="宋体" w:hAnsi="宋体"/>
          <w:sz w:val="24"/>
          <w:szCs w:val="24"/>
          <w:highlight w:val="none"/>
        </w:rPr>
        <w:t>1</w:t>
      </w:r>
      <w:r>
        <w:rPr>
          <w:rFonts w:hint="eastAsia" w:ascii="宋体" w:hAnsi="宋体"/>
          <w:sz w:val="24"/>
          <w:szCs w:val="24"/>
          <w:highlight w:val="none"/>
        </w:rPr>
        <w:t>）</w:t>
      </w:r>
      <w:bookmarkStart w:id="128" w:name="_Hlk132124196"/>
      <w:r>
        <w:rPr>
          <w:rFonts w:hint="eastAsia" w:ascii="宋体" w:hAnsi="宋体"/>
          <w:sz w:val="24"/>
          <w:szCs w:val="24"/>
          <w:highlight w:val="none"/>
        </w:rPr>
        <w:t>资信业绩</w:t>
      </w:r>
      <w:bookmarkEnd w:id="128"/>
      <w:r>
        <w:rPr>
          <w:rFonts w:hint="eastAsia" w:ascii="宋体" w:hAnsi="宋体"/>
          <w:sz w:val="24"/>
          <w:szCs w:val="24"/>
          <w:highlight w:val="none"/>
        </w:rPr>
        <w:t>部分：见评标办法前附表；</w:t>
      </w:r>
    </w:p>
    <w:p w14:paraId="01552B96">
      <w:pPr>
        <w:spacing w:line="360" w:lineRule="auto"/>
        <w:ind w:firstLine="480" w:firstLineChars="200"/>
        <w:rPr>
          <w:rFonts w:ascii="宋体" w:hAnsi="宋体"/>
          <w:sz w:val="24"/>
          <w:szCs w:val="24"/>
          <w:highlight w:val="none"/>
        </w:rPr>
      </w:pPr>
      <w:r>
        <w:rPr>
          <w:rFonts w:hint="eastAsia" w:ascii="宋体" w:hAnsi="宋体"/>
          <w:sz w:val="24"/>
          <w:szCs w:val="24"/>
          <w:highlight w:val="none"/>
        </w:rPr>
        <w:t>（</w:t>
      </w:r>
      <w:r>
        <w:rPr>
          <w:rFonts w:ascii="宋体" w:hAnsi="宋体"/>
          <w:sz w:val="24"/>
          <w:szCs w:val="24"/>
          <w:highlight w:val="none"/>
        </w:rPr>
        <w:t>2</w:t>
      </w:r>
      <w:r>
        <w:rPr>
          <w:rFonts w:hint="eastAsia" w:ascii="宋体" w:hAnsi="宋体"/>
          <w:sz w:val="24"/>
          <w:szCs w:val="24"/>
          <w:highlight w:val="none"/>
        </w:rPr>
        <w:t>）技术方案部分：见评标办法前附表；</w:t>
      </w:r>
    </w:p>
    <w:p w14:paraId="2EC22CCA">
      <w:pPr>
        <w:spacing w:line="360" w:lineRule="auto"/>
        <w:ind w:firstLine="480" w:firstLineChars="200"/>
        <w:rPr>
          <w:rFonts w:ascii="宋体" w:hAnsi="宋体"/>
          <w:sz w:val="24"/>
          <w:szCs w:val="24"/>
          <w:highlight w:val="none"/>
        </w:rPr>
      </w:pPr>
      <w:r>
        <w:rPr>
          <w:rFonts w:hint="eastAsia" w:ascii="宋体" w:hAnsi="宋体"/>
          <w:sz w:val="24"/>
          <w:szCs w:val="24"/>
          <w:highlight w:val="none"/>
        </w:rPr>
        <w:t>（</w:t>
      </w:r>
      <w:r>
        <w:rPr>
          <w:rFonts w:ascii="宋体" w:hAnsi="宋体"/>
          <w:sz w:val="24"/>
          <w:szCs w:val="24"/>
          <w:highlight w:val="none"/>
        </w:rPr>
        <w:t>3</w:t>
      </w:r>
      <w:r>
        <w:rPr>
          <w:rFonts w:hint="eastAsia" w:ascii="宋体" w:hAnsi="宋体"/>
          <w:sz w:val="24"/>
          <w:szCs w:val="24"/>
          <w:highlight w:val="none"/>
        </w:rPr>
        <w:t>）投标报价部分：见评标办法前附表；</w:t>
      </w:r>
    </w:p>
    <w:p w14:paraId="72B349B2">
      <w:pPr>
        <w:spacing w:line="360" w:lineRule="auto"/>
        <w:ind w:firstLine="480" w:firstLineChars="200"/>
        <w:rPr>
          <w:rFonts w:ascii="宋体" w:hAnsi="宋体"/>
          <w:sz w:val="24"/>
          <w:szCs w:val="24"/>
          <w:highlight w:val="none"/>
        </w:rPr>
      </w:pPr>
      <w:r>
        <w:rPr>
          <w:rFonts w:hint="eastAsia" w:ascii="宋体" w:hAnsi="宋体"/>
          <w:sz w:val="24"/>
          <w:szCs w:val="24"/>
          <w:highlight w:val="none"/>
        </w:rPr>
        <w:t>（</w:t>
      </w:r>
      <w:r>
        <w:rPr>
          <w:rFonts w:ascii="宋体" w:hAnsi="宋体"/>
          <w:sz w:val="24"/>
          <w:szCs w:val="24"/>
          <w:highlight w:val="none"/>
        </w:rPr>
        <w:t>4</w:t>
      </w:r>
      <w:r>
        <w:rPr>
          <w:rFonts w:hint="eastAsia" w:ascii="宋体" w:hAnsi="宋体"/>
          <w:sz w:val="24"/>
          <w:szCs w:val="24"/>
          <w:highlight w:val="none"/>
        </w:rPr>
        <w:t>）其他因素部分：见评标办法前附表。</w:t>
      </w:r>
    </w:p>
    <w:p w14:paraId="4D7A30C0">
      <w:pPr>
        <w:spacing w:line="360" w:lineRule="auto"/>
        <w:ind w:firstLine="480" w:firstLineChars="200"/>
        <w:rPr>
          <w:rFonts w:ascii="宋体" w:hAnsi="宋体"/>
          <w:sz w:val="24"/>
          <w:szCs w:val="24"/>
          <w:highlight w:val="none"/>
        </w:rPr>
      </w:pPr>
      <w:r>
        <w:rPr>
          <w:rFonts w:ascii="宋体" w:hAnsi="宋体"/>
          <w:sz w:val="24"/>
          <w:szCs w:val="24"/>
          <w:highlight w:val="none"/>
        </w:rPr>
        <w:t>2.2.2</w:t>
      </w:r>
      <w:r>
        <w:rPr>
          <w:rFonts w:hint="eastAsia" w:ascii="宋体" w:hAnsi="宋体"/>
          <w:sz w:val="24"/>
          <w:szCs w:val="24"/>
          <w:highlight w:val="none"/>
        </w:rPr>
        <w:t>评标参考价计算</w:t>
      </w:r>
    </w:p>
    <w:p w14:paraId="44C2927C">
      <w:pPr>
        <w:spacing w:line="360" w:lineRule="auto"/>
        <w:ind w:firstLine="480" w:firstLineChars="200"/>
        <w:rPr>
          <w:rFonts w:ascii="宋体" w:hAnsi="宋体"/>
          <w:sz w:val="24"/>
          <w:szCs w:val="24"/>
          <w:highlight w:val="none"/>
        </w:rPr>
      </w:pPr>
      <w:r>
        <w:rPr>
          <w:rFonts w:hint="eastAsia" w:ascii="宋体" w:hAnsi="宋体"/>
          <w:sz w:val="24"/>
          <w:szCs w:val="24"/>
          <w:highlight w:val="none"/>
        </w:rPr>
        <w:t>评标参考价计算方法：见评标办法前附表。</w:t>
      </w:r>
    </w:p>
    <w:p w14:paraId="1854A988">
      <w:pPr>
        <w:spacing w:line="360" w:lineRule="auto"/>
        <w:ind w:firstLine="480" w:firstLineChars="200"/>
        <w:rPr>
          <w:rFonts w:ascii="宋体" w:hAnsi="宋体"/>
          <w:sz w:val="24"/>
          <w:szCs w:val="24"/>
          <w:highlight w:val="none"/>
        </w:rPr>
      </w:pPr>
      <w:r>
        <w:rPr>
          <w:rFonts w:ascii="宋体" w:hAnsi="宋体"/>
          <w:sz w:val="24"/>
          <w:szCs w:val="24"/>
          <w:highlight w:val="none"/>
        </w:rPr>
        <w:t>2.2.3</w:t>
      </w:r>
      <w:r>
        <w:rPr>
          <w:rFonts w:hint="eastAsia" w:ascii="宋体" w:hAnsi="宋体"/>
          <w:sz w:val="24"/>
          <w:szCs w:val="24"/>
          <w:highlight w:val="none"/>
        </w:rPr>
        <w:t>投标报价的计算</w:t>
      </w:r>
    </w:p>
    <w:p w14:paraId="5D0F0795">
      <w:pPr>
        <w:spacing w:line="360" w:lineRule="auto"/>
        <w:ind w:firstLine="480" w:firstLineChars="200"/>
        <w:rPr>
          <w:rFonts w:ascii="宋体" w:hAnsi="宋体"/>
          <w:sz w:val="24"/>
          <w:szCs w:val="24"/>
          <w:highlight w:val="none"/>
        </w:rPr>
      </w:pPr>
      <w:r>
        <w:rPr>
          <w:rFonts w:hint="eastAsia" w:ascii="宋体" w:hAnsi="宋体"/>
          <w:sz w:val="24"/>
          <w:szCs w:val="24"/>
          <w:highlight w:val="none"/>
        </w:rPr>
        <w:t>投标报价的偏差率计算公式：见评标办法前附表。</w:t>
      </w:r>
    </w:p>
    <w:p w14:paraId="12D0A709">
      <w:pPr>
        <w:spacing w:line="360" w:lineRule="auto"/>
        <w:ind w:firstLine="480" w:firstLineChars="200"/>
        <w:rPr>
          <w:rFonts w:ascii="宋体" w:hAnsi="宋体"/>
          <w:sz w:val="24"/>
          <w:szCs w:val="24"/>
          <w:highlight w:val="none"/>
        </w:rPr>
      </w:pPr>
      <w:r>
        <w:rPr>
          <w:rFonts w:ascii="宋体" w:hAnsi="宋体"/>
          <w:sz w:val="24"/>
          <w:szCs w:val="24"/>
          <w:highlight w:val="none"/>
        </w:rPr>
        <w:t>2.2.4</w:t>
      </w:r>
      <w:r>
        <w:rPr>
          <w:rFonts w:hint="eastAsia" w:ascii="宋体" w:hAnsi="宋体"/>
          <w:sz w:val="24"/>
          <w:szCs w:val="24"/>
          <w:highlight w:val="none"/>
        </w:rPr>
        <w:t>评分标准</w:t>
      </w:r>
    </w:p>
    <w:p w14:paraId="6C239024">
      <w:pPr>
        <w:spacing w:line="360" w:lineRule="auto"/>
        <w:ind w:firstLine="480" w:firstLineChars="200"/>
        <w:rPr>
          <w:rFonts w:ascii="宋体" w:hAnsi="宋体"/>
          <w:sz w:val="24"/>
          <w:szCs w:val="24"/>
          <w:highlight w:val="none"/>
        </w:rPr>
      </w:pPr>
      <w:r>
        <w:rPr>
          <w:rFonts w:hint="eastAsia" w:ascii="宋体" w:hAnsi="宋体"/>
          <w:sz w:val="24"/>
          <w:szCs w:val="24"/>
          <w:highlight w:val="none"/>
        </w:rPr>
        <w:t>（</w:t>
      </w:r>
      <w:r>
        <w:rPr>
          <w:rFonts w:ascii="宋体" w:hAnsi="宋体"/>
          <w:sz w:val="24"/>
          <w:szCs w:val="24"/>
          <w:highlight w:val="none"/>
        </w:rPr>
        <w:t>1</w:t>
      </w:r>
      <w:r>
        <w:rPr>
          <w:rFonts w:hint="eastAsia" w:ascii="宋体" w:hAnsi="宋体"/>
          <w:sz w:val="24"/>
          <w:szCs w:val="24"/>
          <w:highlight w:val="none"/>
        </w:rPr>
        <w:t>）资信业绩评分标准：见评标办法前附表；</w:t>
      </w:r>
    </w:p>
    <w:p w14:paraId="629B8124">
      <w:pPr>
        <w:spacing w:line="360" w:lineRule="auto"/>
        <w:ind w:firstLine="480" w:firstLineChars="200"/>
        <w:rPr>
          <w:rFonts w:ascii="宋体" w:hAnsi="宋体"/>
          <w:sz w:val="24"/>
          <w:szCs w:val="24"/>
          <w:highlight w:val="none"/>
        </w:rPr>
      </w:pPr>
      <w:r>
        <w:rPr>
          <w:rFonts w:hint="eastAsia" w:ascii="宋体" w:hAnsi="宋体"/>
          <w:sz w:val="24"/>
          <w:szCs w:val="24"/>
          <w:highlight w:val="none"/>
        </w:rPr>
        <w:t>（</w:t>
      </w:r>
      <w:r>
        <w:rPr>
          <w:rFonts w:ascii="宋体" w:hAnsi="宋体"/>
          <w:sz w:val="24"/>
          <w:szCs w:val="24"/>
          <w:highlight w:val="none"/>
        </w:rPr>
        <w:t>2</w:t>
      </w:r>
      <w:r>
        <w:rPr>
          <w:rFonts w:hint="eastAsia" w:ascii="宋体" w:hAnsi="宋体"/>
          <w:sz w:val="24"/>
          <w:szCs w:val="24"/>
          <w:highlight w:val="none"/>
        </w:rPr>
        <w:t>）技术方案评分标准：见评标办法前附表；</w:t>
      </w:r>
    </w:p>
    <w:p w14:paraId="12464D8E">
      <w:pPr>
        <w:spacing w:line="360" w:lineRule="auto"/>
        <w:ind w:firstLine="480" w:firstLineChars="200"/>
        <w:rPr>
          <w:rFonts w:ascii="宋体" w:hAnsi="宋体"/>
          <w:sz w:val="24"/>
          <w:szCs w:val="24"/>
          <w:highlight w:val="none"/>
        </w:rPr>
      </w:pPr>
      <w:r>
        <w:rPr>
          <w:rFonts w:hint="eastAsia" w:ascii="宋体" w:hAnsi="宋体"/>
          <w:sz w:val="24"/>
          <w:szCs w:val="24"/>
          <w:highlight w:val="none"/>
        </w:rPr>
        <w:t>（</w:t>
      </w:r>
      <w:r>
        <w:rPr>
          <w:rFonts w:ascii="宋体" w:hAnsi="宋体"/>
          <w:sz w:val="24"/>
          <w:szCs w:val="24"/>
          <w:highlight w:val="none"/>
        </w:rPr>
        <w:t>3</w:t>
      </w:r>
      <w:r>
        <w:rPr>
          <w:rFonts w:hint="eastAsia" w:ascii="宋体" w:hAnsi="宋体"/>
          <w:sz w:val="24"/>
          <w:szCs w:val="24"/>
          <w:highlight w:val="none"/>
        </w:rPr>
        <w:t>）投标报价评分标准：见评标办法前附表；</w:t>
      </w:r>
    </w:p>
    <w:p w14:paraId="491A1758">
      <w:pPr>
        <w:spacing w:line="360" w:lineRule="auto"/>
        <w:ind w:firstLine="480" w:firstLineChars="200"/>
        <w:rPr>
          <w:rFonts w:ascii="宋体" w:hAnsi="宋体"/>
          <w:sz w:val="24"/>
          <w:szCs w:val="24"/>
          <w:highlight w:val="none"/>
        </w:rPr>
      </w:pPr>
      <w:r>
        <w:rPr>
          <w:rFonts w:hint="eastAsia" w:ascii="宋体" w:hAnsi="宋体"/>
          <w:sz w:val="24"/>
          <w:szCs w:val="24"/>
          <w:highlight w:val="none"/>
        </w:rPr>
        <w:t>（</w:t>
      </w:r>
      <w:r>
        <w:rPr>
          <w:rFonts w:ascii="宋体" w:hAnsi="宋体"/>
          <w:sz w:val="24"/>
          <w:szCs w:val="24"/>
          <w:highlight w:val="none"/>
        </w:rPr>
        <w:t>4</w:t>
      </w:r>
      <w:r>
        <w:rPr>
          <w:rFonts w:hint="eastAsia" w:ascii="宋体" w:hAnsi="宋体"/>
          <w:sz w:val="24"/>
          <w:szCs w:val="24"/>
          <w:highlight w:val="none"/>
        </w:rPr>
        <w:t>）其他因素评分标准：见评标办法前附表。</w:t>
      </w:r>
    </w:p>
    <w:p w14:paraId="654C879E">
      <w:pPr>
        <w:pStyle w:val="5"/>
        <w:rPr>
          <w:highlight w:val="none"/>
        </w:rPr>
      </w:pPr>
      <w:bookmarkStart w:id="129" w:name="bookmark88"/>
      <w:bookmarkEnd w:id="129"/>
      <w:bookmarkStart w:id="130" w:name="_Toc533357321"/>
      <w:bookmarkStart w:id="131" w:name="_Toc103592030"/>
      <w:r>
        <w:rPr>
          <w:highlight w:val="none"/>
        </w:rPr>
        <w:t xml:space="preserve">3. </w:t>
      </w:r>
      <w:r>
        <w:rPr>
          <w:rFonts w:hint="eastAsia"/>
          <w:highlight w:val="none"/>
        </w:rPr>
        <w:t>评标程序</w:t>
      </w:r>
      <w:bookmarkEnd w:id="130"/>
      <w:bookmarkEnd w:id="131"/>
    </w:p>
    <w:p w14:paraId="275229A0">
      <w:pPr>
        <w:rPr>
          <w:rFonts w:ascii="宋体" w:hAnsi="宋体"/>
          <w:highlight w:val="none"/>
        </w:rPr>
      </w:pPr>
    </w:p>
    <w:p w14:paraId="5E8FEAC1">
      <w:pPr>
        <w:pStyle w:val="7"/>
        <w:rPr>
          <w:highlight w:val="none"/>
        </w:rPr>
      </w:pPr>
      <w:bookmarkStart w:id="132" w:name="bookmark89"/>
      <w:bookmarkEnd w:id="132"/>
      <w:r>
        <w:rPr>
          <w:highlight w:val="none"/>
        </w:rPr>
        <w:t xml:space="preserve">3.1 </w:t>
      </w:r>
      <w:r>
        <w:rPr>
          <w:rFonts w:hint="eastAsia"/>
          <w:highlight w:val="none"/>
        </w:rPr>
        <w:t>初步评审</w:t>
      </w:r>
    </w:p>
    <w:p w14:paraId="5C53A006">
      <w:pPr>
        <w:spacing w:line="360" w:lineRule="auto"/>
        <w:ind w:firstLine="480" w:firstLineChars="200"/>
        <w:rPr>
          <w:rFonts w:ascii="宋体" w:hAnsi="宋体"/>
          <w:sz w:val="24"/>
          <w:szCs w:val="24"/>
          <w:highlight w:val="none"/>
        </w:rPr>
      </w:pPr>
      <w:r>
        <w:rPr>
          <w:rFonts w:ascii="宋体" w:hAnsi="宋体"/>
          <w:sz w:val="24"/>
          <w:szCs w:val="24"/>
          <w:highlight w:val="none"/>
        </w:rPr>
        <w:t>3.1.1</w:t>
      </w:r>
      <w:r>
        <w:rPr>
          <w:rFonts w:hint="eastAsia" w:ascii="宋体" w:hAnsi="宋体"/>
          <w:sz w:val="24"/>
          <w:szCs w:val="24"/>
          <w:highlight w:val="none"/>
        </w:rPr>
        <w:t>评标委员会可以要求投标人提交第二章“投标人须知”规定的有关证明和证件的原件，以便核验。评标委员会依据本章第</w:t>
      </w:r>
      <w:r>
        <w:rPr>
          <w:rFonts w:ascii="宋体" w:hAnsi="宋体"/>
          <w:sz w:val="24"/>
          <w:szCs w:val="24"/>
          <w:highlight w:val="none"/>
        </w:rPr>
        <w:t>2.1</w:t>
      </w:r>
      <w:r>
        <w:rPr>
          <w:rFonts w:hint="eastAsia" w:ascii="宋体" w:hAnsi="宋体"/>
          <w:sz w:val="24"/>
          <w:szCs w:val="24"/>
          <w:highlight w:val="none"/>
        </w:rPr>
        <w:t>款规定的标准对投标文件进行初步评审。有一项不符合评审标准的，评标委员会应当否决其投标。</w:t>
      </w:r>
    </w:p>
    <w:p w14:paraId="4267BF99">
      <w:pPr>
        <w:spacing w:line="360" w:lineRule="auto"/>
        <w:ind w:firstLine="480" w:firstLineChars="200"/>
        <w:rPr>
          <w:rFonts w:ascii="宋体" w:hAnsi="宋体"/>
          <w:sz w:val="24"/>
          <w:szCs w:val="24"/>
          <w:highlight w:val="none"/>
        </w:rPr>
      </w:pPr>
      <w:r>
        <w:rPr>
          <w:rFonts w:ascii="宋体" w:hAnsi="宋体"/>
          <w:sz w:val="24"/>
          <w:szCs w:val="24"/>
          <w:highlight w:val="none"/>
        </w:rPr>
        <w:t>3.1.2</w:t>
      </w:r>
      <w:r>
        <w:rPr>
          <w:rFonts w:hint="eastAsia" w:ascii="宋体" w:hAnsi="宋体"/>
          <w:sz w:val="24"/>
          <w:szCs w:val="24"/>
          <w:highlight w:val="none"/>
        </w:rPr>
        <w:t>投标人有以下情形之一的，评标委员会应当否决其投标：</w:t>
      </w:r>
    </w:p>
    <w:p w14:paraId="578CF8D1">
      <w:pPr>
        <w:spacing w:line="360" w:lineRule="auto"/>
        <w:ind w:firstLine="480" w:firstLineChars="200"/>
        <w:rPr>
          <w:rFonts w:ascii="宋体" w:hAnsi="宋体"/>
          <w:sz w:val="24"/>
          <w:szCs w:val="24"/>
          <w:highlight w:val="none"/>
        </w:rPr>
      </w:pPr>
      <w:r>
        <w:rPr>
          <w:rFonts w:hint="eastAsia" w:ascii="宋体" w:hAnsi="宋体"/>
          <w:sz w:val="24"/>
          <w:szCs w:val="24"/>
          <w:highlight w:val="none"/>
        </w:rPr>
        <w:t>（</w:t>
      </w:r>
      <w:r>
        <w:rPr>
          <w:rFonts w:ascii="宋体" w:hAnsi="宋体"/>
          <w:sz w:val="24"/>
          <w:szCs w:val="24"/>
          <w:highlight w:val="none"/>
        </w:rPr>
        <w:t>1</w:t>
      </w:r>
      <w:r>
        <w:rPr>
          <w:rFonts w:hint="eastAsia" w:ascii="宋体" w:hAnsi="宋体"/>
          <w:sz w:val="24"/>
          <w:szCs w:val="24"/>
          <w:highlight w:val="none"/>
        </w:rPr>
        <w:t>）投标文件没有对招标文件的实质性要求和条件作出响应，或者对招标文件的偏差超出招标文件规定的偏差范围或最高项数；</w:t>
      </w:r>
    </w:p>
    <w:p w14:paraId="1E4A37F6">
      <w:pPr>
        <w:spacing w:line="360" w:lineRule="auto"/>
        <w:ind w:firstLine="480" w:firstLineChars="200"/>
        <w:rPr>
          <w:rFonts w:ascii="宋体" w:hAnsi="宋体"/>
          <w:sz w:val="24"/>
          <w:szCs w:val="24"/>
          <w:highlight w:val="none"/>
        </w:rPr>
      </w:pPr>
      <w:r>
        <w:rPr>
          <w:rFonts w:hint="eastAsia" w:ascii="宋体" w:hAnsi="宋体"/>
          <w:sz w:val="24"/>
          <w:szCs w:val="24"/>
          <w:highlight w:val="none"/>
        </w:rPr>
        <w:t>（</w:t>
      </w:r>
      <w:r>
        <w:rPr>
          <w:rFonts w:ascii="宋体" w:hAnsi="宋体"/>
          <w:sz w:val="24"/>
          <w:szCs w:val="24"/>
          <w:highlight w:val="none"/>
        </w:rPr>
        <w:t>2</w:t>
      </w:r>
      <w:r>
        <w:rPr>
          <w:rFonts w:hint="eastAsia" w:ascii="宋体" w:hAnsi="宋体"/>
          <w:sz w:val="24"/>
          <w:szCs w:val="24"/>
          <w:highlight w:val="none"/>
        </w:rPr>
        <w:t>）有串通投标、弄虚作假、行贿等违法行为。</w:t>
      </w:r>
    </w:p>
    <w:p w14:paraId="7B134961">
      <w:pPr>
        <w:spacing w:line="360" w:lineRule="auto"/>
        <w:ind w:firstLine="480" w:firstLineChars="200"/>
        <w:rPr>
          <w:rFonts w:ascii="宋体" w:hAnsi="宋体"/>
          <w:sz w:val="24"/>
          <w:szCs w:val="24"/>
          <w:highlight w:val="none"/>
        </w:rPr>
      </w:pPr>
      <w:r>
        <w:rPr>
          <w:rFonts w:ascii="宋体" w:hAnsi="宋体"/>
          <w:sz w:val="24"/>
          <w:szCs w:val="24"/>
          <w:highlight w:val="none"/>
        </w:rPr>
        <w:t>3.1.3</w:t>
      </w:r>
      <w:r>
        <w:rPr>
          <w:rFonts w:hint="eastAsia" w:ascii="宋体" w:hAnsi="宋体"/>
          <w:sz w:val="24"/>
          <w:szCs w:val="24"/>
          <w:highlight w:val="none"/>
        </w:rPr>
        <w:t>投标报价有算术错误及其他错误的，评标委员会按以下原则要求投标人对投标报价进行修正，并要求投标人书面澄清确认。投标人拒不澄清确认的，评标委员会应当否决其投标：</w:t>
      </w:r>
    </w:p>
    <w:p w14:paraId="0680D235">
      <w:pPr>
        <w:spacing w:line="360" w:lineRule="auto"/>
        <w:ind w:firstLine="480" w:firstLineChars="200"/>
        <w:rPr>
          <w:rFonts w:ascii="宋体" w:hAnsi="宋体"/>
          <w:sz w:val="24"/>
          <w:szCs w:val="24"/>
          <w:highlight w:val="none"/>
        </w:rPr>
      </w:pPr>
      <w:r>
        <w:rPr>
          <w:rFonts w:hint="eastAsia" w:ascii="宋体" w:hAnsi="宋体"/>
          <w:sz w:val="24"/>
          <w:szCs w:val="24"/>
          <w:highlight w:val="none"/>
        </w:rPr>
        <w:t>（</w:t>
      </w:r>
      <w:r>
        <w:rPr>
          <w:rFonts w:ascii="宋体" w:hAnsi="宋体"/>
          <w:sz w:val="24"/>
          <w:szCs w:val="24"/>
          <w:highlight w:val="none"/>
        </w:rPr>
        <w:t>1</w:t>
      </w:r>
      <w:r>
        <w:rPr>
          <w:rFonts w:hint="eastAsia" w:ascii="宋体" w:hAnsi="宋体"/>
          <w:sz w:val="24"/>
          <w:szCs w:val="24"/>
          <w:highlight w:val="none"/>
        </w:rPr>
        <w:t>）投标文件中的大写金额与小写金额不一致的，以大写金额为准；</w:t>
      </w:r>
    </w:p>
    <w:p w14:paraId="425DA22A">
      <w:pPr>
        <w:spacing w:line="360" w:lineRule="auto"/>
        <w:ind w:firstLine="480" w:firstLineChars="200"/>
        <w:rPr>
          <w:rFonts w:ascii="宋体" w:hAnsi="宋体"/>
          <w:sz w:val="24"/>
          <w:szCs w:val="24"/>
          <w:highlight w:val="none"/>
        </w:rPr>
      </w:pPr>
      <w:r>
        <w:rPr>
          <w:rFonts w:hint="eastAsia" w:ascii="宋体" w:hAnsi="宋体"/>
          <w:sz w:val="24"/>
          <w:szCs w:val="24"/>
          <w:highlight w:val="none"/>
        </w:rPr>
        <w:t>（</w:t>
      </w:r>
      <w:r>
        <w:rPr>
          <w:rFonts w:ascii="宋体" w:hAnsi="宋体"/>
          <w:sz w:val="24"/>
          <w:szCs w:val="24"/>
          <w:highlight w:val="none"/>
        </w:rPr>
        <w:t>2</w:t>
      </w:r>
      <w:r>
        <w:rPr>
          <w:rFonts w:hint="eastAsia" w:ascii="宋体" w:hAnsi="宋体"/>
          <w:sz w:val="24"/>
          <w:szCs w:val="24"/>
          <w:highlight w:val="none"/>
        </w:rPr>
        <w:t>）总价金额与单价金额不一致的，以单价金额为准，但单价金额小数点有明显错误的除外。</w:t>
      </w:r>
    </w:p>
    <w:p w14:paraId="6F1A937C">
      <w:pPr>
        <w:rPr>
          <w:rFonts w:ascii="宋体" w:hAnsi="宋体"/>
          <w:highlight w:val="none"/>
        </w:rPr>
      </w:pPr>
    </w:p>
    <w:p w14:paraId="5A2AA248">
      <w:pPr>
        <w:pStyle w:val="7"/>
        <w:rPr>
          <w:highlight w:val="none"/>
        </w:rPr>
      </w:pPr>
      <w:bookmarkStart w:id="133" w:name="bookmark90"/>
      <w:bookmarkEnd w:id="133"/>
      <w:r>
        <w:rPr>
          <w:highlight w:val="none"/>
        </w:rPr>
        <w:t xml:space="preserve">3.2 </w:t>
      </w:r>
      <w:r>
        <w:rPr>
          <w:rFonts w:hint="eastAsia"/>
          <w:highlight w:val="none"/>
        </w:rPr>
        <w:t>详细评审</w:t>
      </w:r>
    </w:p>
    <w:p w14:paraId="4BB99EF7">
      <w:pPr>
        <w:spacing w:line="360" w:lineRule="auto"/>
        <w:ind w:firstLine="480" w:firstLineChars="200"/>
        <w:rPr>
          <w:rFonts w:ascii="宋体" w:hAnsi="宋体"/>
          <w:sz w:val="24"/>
          <w:szCs w:val="24"/>
          <w:highlight w:val="none"/>
        </w:rPr>
      </w:pPr>
      <w:r>
        <w:rPr>
          <w:rFonts w:ascii="宋体" w:hAnsi="宋体"/>
          <w:sz w:val="24"/>
          <w:szCs w:val="24"/>
          <w:highlight w:val="none"/>
        </w:rPr>
        <w:t>3.2.1</w:t>
      </w:r>
      <w:r>
        <w:rPr>
          <w:rFonts w:hint="eastAsia" w:ascii="宋体" w:hAnsi="宋体"/>
          <w:sz w:val="24"/>
          <w:szCs w:val="24"/>
          <w:highlight w:val="none"/>
        </w:rPr>
        <w:t>评标委员会按本章第</w:t>
      </w:r>
      <w:r>
        <w:rPr>
          <w:rFonts w:ascii="宋体" w:hAnsi="宋体"/>
          <w:sz w:val="24"/>
          <w:szCs w:val="24"/>
          <w:highlight w:val="none"/>
        </w:rPr>
        <w:t>2.2</w:t>
      </w:r>
      <w:r>
        <w:rPr>
          <w:rFonts w:hint="eastAsia" w:ascii="宋体" w:hAnsi="宋体"/>
          <w:sz w:val="24"/>
          <w:szCs w:val="24"/>
          <w:highlight w:val="none"/>
        </w:rPr>
        <w:t>款规定的量化因素和分值进行打分，并计算出综合评估得分。</w:t>
      </w:r>
    </w:p>
    <w:p w14:paraId="14B3132D">
      <w:pPr>
        <w:spacing w:line="360" w:lineRule="auto"/>
        <w:ind w:firstLine="480" w:firstLineChars="200"/>
        <w:rPr>
          <w:rFonts w:ascii="宋体" w:hAnsi="宋体"/>
          <w:sz w:val="24"/>
          <w:szCs w:val="24"/>
          <w:highlight w:val="none"/>
        </w:rPr>
      </w:pPr>
      <w:r>
        <w:rPr>
          <w:rFonts w:hint="eastAsia" w:ascii="宋体" w:hAnsi="宋体"/>
          <w:sz w:val="24"/>
          <w:szCs w:val="24"/>
          <w:highlight w:val="none"/>
        </w:rPr>
        <w:t>（</w:t>
      </w:r>
      <w:r>
        <w:rPr>
          <w:rFonts w:ascii="宋体" w:hAnsi="宋体"/>
          <w:sz w:val="24"/>
          <w:szCs w:val="24"/>
          <w:highlight w:val="none"/>
        </w:rPr>
        <w:t>1</w:t>
      </w:r>
      <w:r>
        <w:rPr>
          <w:rFonts w:hint="eastAsia" w:ascii="宋体" w:hAnsi="宋体"/>
          <w:sz w:val="24"/>
          <w:szCs w:val="24"/>
          <w:highlight w:val="none"/>
        </w:rPr>
        <w:t>）按本章第</w:t>
      </w:r>
      <w:r>
        <w:rPr>
          <w:rFonts w:ascii="宋体" w:hAnsi="宋体"/>
          <w:sz w:val="24"/>
          <w:szCs w:val="24"/>
          <w:highlight w:val="none"/>
        </w:rPr>
        <w:t>2.2.4</w:t>
      </w:r>
      <w:r>
        <w:rPr>
          <w:rFonts w:hint="eastAsia" w:ascii="宋体" w:hAnsi="宋体"/>
          <w:sz w:val="24"/>
          <w:szCs w:val="24"/>
          <w:highlight w:val="none"/>
        </w:rPr>
        <w:t>（</w:t>
      </w:r>
      <w:r>
        <w:rPr>
          <w:rFonts w:ascii="宋体" w:hAnsi="宋体"/>
          <w:sz w:val="24"/>
          <w:szCs w:val="24"/>
          <w:highlight w:val="none"/>
        </w:rPr>
        <w:t>1</w:t>
      </w:r>
      <w:r>
        <w:rPr>
          <w:rFonts w:hint="eastAsia" w:ascii="宋体" w:hAnsi="宋体"/>
          <w:sz w:val="24"/>
          <w:szCs w:val="24"/>
          <w:highlight w:val="none"/>
        </w:rPr>
        <w:t>）目规定的评审因素和分值对资信业绩部分计算出得分</w:t>
      </w:r>
      <w:r>
        <w:rPr>
          <w:rFonts w:hint="eastAsia" w:ascii="宋体" w:hAnsi="宋体"/>
          <w:b/>
          <w:szCs w:val="21"/>
          <w:highlight w:val="none"/>
        </w:rPr>
        <w:t>A</w:t>
      </w:r>
      <w:r>
        <w:rPr>
          <w:rFonts w:hint="eastAsia" w:ascii="宋体" w:hAnsi="宋体"/>
          <w:sz w:val="24"/>
          <w:szCs w:val="24"/>
          <w:highlight w:val="none"/>
        </w:rPr>
        <w:t>；</w:t>
      </w:r>
    </w:p>
    <w:p w14:paraId="726C45D8">
      <w:pPr>
        <w:spacing w:line="360" w:lineRule="auto"/>
        <w:ind w:firstLine="480" w:firstLineChars="200"/>
        <w:rPr>
          <w:rFonts w:ascii="宋体" w:hAnsi="宋体"/>
          <w:sz w:val="24"/>
          <w:szCs w:val="24"/>
          <w:highlight w:val="none"/>
        </w:rPr>
      </w:pPr>
      <w:r>
        <w:rPr>
          <w:rFonts w:hint="eastAsia" w:ascii="宋体" w:hAnsi="宋体"/>
          <w:sz w:val="24"/>
          <w:szCs w:val="24"/>
          <w:highlight w:val="none"/>
        </w:rPr>
        <w:t>（</w:t>
      </w:r>
      <w:r>
        <w:rPr>
          <w:rFonts w:ascii="宋体" w:hAnsi="宋体"/>
          <w:sz w:val="24"/>
          <w:szCs w:val="24"/>
          <w:highlight w:val="none"/>
        </w:rPr>
        <w:t>2</w:t>
      </w:r>
      <w:r>
        <w:rPr>
          <w:rFonts w:hint="eastAsia" w:ascii="宋体" w:hAnsi="宋体"/>
          <w:sz w:val="24"/>
          <w:szCs w:val="24"/>
          <w:highlight w:val="none"/>
        </w:rPr>
        <w:t>）按本章第</w:t>
      </w:r>
      <w:r>
        <w:rPr>
          <w:rFonts w:ascii="宋体" w:hAnsi="宋体"/>
          <w:sz w:val="24"/>
          <w:szCs w:val="24"/>
          <w:highlight w:val="none"/>
        </w:rPr>
        <w:t>2.2.4</w:t>
      </w:r>
      <w:r>
        <w:rPr>
          <w:rFonts w:hint="eastAsia" w:ascii="宋体" w:hAnsi="宋体"/>
          <w:sz w:val="24"/>
          <w:szCs w:val="24"/>
          <w:highlight w:val="none"/>
        </w:rPr>
        <w:t>（</w:t>
      </w:r>
      <w:r>
        <w:rPr>
          <w:rFonts w:ascii="宋体" w:hAnsi="宋体"/>
          <w:sz w:val="24"/>
          <w:szCs w:val="24"/>
          <w:highlight w:val="none"/>
        </w:rPr>
        <w:t>2</w:t>
      </w:r>
      <w:r>
        <w:rPr>
          <w:rFonts w:hint="eastAsia" w:ascii="宋体" w:hAnsi="宋体"/>
          <w:sz w:val="24"/>
          <w:szCs w:val="24"/>
          <w:highlight w:val="none"/>
        </w:rPr>
        <w:t>）目规定的评审因素和分值对技术方案部分计算出得分</w:t>
      </w:r>
      <w:r>
        <w:rPr>
          <w:rFonts w:hint="eastAsia" w:ascii="宋体" w:hAnsi="宋体"/>
          <w:b/>
          <w:szCs w:val="21"/>
          <w:highlight w:val="none"/>
        </w:rPr>
        <w:t>B</w:t>
      </w:r>
      <w:r>
        <w:rPr>
          <w:rFonts w:hint="eastAsia" w:ascii="宋体" w:hAnsi="宋体"/>
          <w:sz w:val="24"/>
          <w:szCs w:val="24"/>
          <w:highlight w:val="none"/>
        </w:rPr>
        <w:t>；</w:t>
      </w:r>
    </w:p>
    <w:p w14:paraId="4D8861EB">
      <w:pPr>
        <w:spacing w:line="360" w:lineRule="auto"/>
        <w:ind w:firstLine="480" w:firstLineChars="200"/>
        <w:rPr>
          <w:rFonts w:ascii="宋体" w:hAnsi="宋体"/>
          <w:sz w:val="24"/>
          <w:szCs w:val="24"/>
          <w:highlight w:val="none"/>
        </w:rPr>
      </w:pPr>
      <w:r>
        <w:rPr>
          <w:rFonts w:hint="eastAsia" w:ascii="宋体" w:hAnsi="宋体"/>
          <w:sz w:val="24"/>
          <w:szCs w:val="24"/>
          <w:highlight w:val="none"/>
        </w:rPr>
        <w:t>（</w:t>
      </w:r>
      <w:r>
        <w:rPr>
          <w:rFonts w:ascii="宋体" w:hAnsi="宋体"/>
          <w:sz w:val="24"/>
          <w:szCs w:val="24"/>
          <w:highlight w:val="none"/>
        </w:rPr>
        <w:t>3</w:t>
      </w:r>
      <w:r>
        <w:rPr>
          <w:rFonts w:hint="eastAsia" w:ascii="宋体" w:hAnsi="宋体"/>
          <w:sz w:val="24"/>
          <w:szCs w:val="24"/>
          <w:highlight w:val="none"/>
        </w:rPr>
        <w:t>）按本章第</w:t>
      </w:r>
      <w:r>
        <w:rPr>
          <w:rFonts w:ascii="宋体" w:hAnsi="宋体"/>
          <w:sz w:val="24"/>
          <w:szCs w:val="24"/>
          <w:highlight w:val="none"/>
        </w:rPr>
        <w:t>2.2.4</w:t>
      </w:r>
      <w:r>
        <w:rPr>
          <w:rFonts w:hint="eastAsia" w:ascii="宋体" w:hAnsi="宋体"/>
          <w:sz w:val="24"/>
          <w:szCs w:val="24"/>
          <w:highlight w:val="none"/>
        </w:rPr>
        <w:t>（</w:t>
      </w:r>
      <w:r>
        <w:rPr>
          <w:rFonts w:ascii="宋体" w:hAnsi="宋体"/>
          <w:sz w:val="24"/>
          <w:szCs w:val="24"/>
          <w:highlight w:val="none"/>
        </w:rPr>
        <w:t>3</w:t>
      </w:r>
      <w:r>
        <w:rPr>
          <w:rFonts w:hint="eastAsia" w:ascii="宋体" w:hAnsi="宋体"/>
          <w:sz w:val="24"/>
          <w:szCs w:val="24"/>
          <w:highlight w:val="none"/>
        </w:rPr>
        <w:t>）目规定的评审因素和分值对投标报价部分计算出得分</w:t>
      </w:r>
      <w:r>
        <w:rPr>
          <w:rFonts w:hint="eastAsia" w:ascii="宋体" w:hAnsi="宋体"/>
          <w:b/>
          <w:szCs w:val="21"/>
          <w:highlight w:val="none"/>
        </w:rPr>
        <w:t>C</w:t>
      </w:r>
      <w:r>
        <w:rPr>
          <w:rFonts w:hint="eastAsia" w:ascii="宋体" w:hAnsi="宋体"/>
          <w:sz w:val="24"/>
          <w:szCs w:val="24"/>
          <w:highlight w:val="none"/>
        </w:rPr>
        <w:t>；</w:t>
      </w:r>
    </w:p>
    <w:p w14:paraId="019146D6">
      <w:pPr>
        <w:spacing w:line="360" w:lineRule="auto"/>
        <w:ind w:firstLine="480" w:firstLineChars="200"/>
        <w:rPr>
          <w:rFonts w:ascii="宋体" w:hAnsi="宋体"/>
          <w:sz w:val="24"/>
          <w:szCs w:val="24"/>
          <w:highlight w:val="none"/>
        </w:rPr>
      </w:pPr>
      <w:r>
        <w:rPr>
          <w:rFonts w:hint="eastAsia" w:ascii="宋体" w:hAnsi="宋体"/>
          <w:sz w:val="24"/>
          <w:szCs w:val="24"/>
          <w:highlight w:val="none"/>
        </w:rPr>
        <w:t>（</w:t>
      </w:r>
      <w:r>
        <w:rPr>
          <w:rFonts w:ascii="宋体" w:hAnsi="宋体"/>
          <w:sz w:val="24"/>
          <w:szCs w:val="24"/>
          <w:highlight w:val="none"/>
        </w:rPr>
        <w:t>4</w:t>
      </w:r>
      <w:r>
        <w:rPr>
          <w:rFonts w:hint="eastAsia" w:ascii="宋体" w:hAnsi="宋体"/>
          <w:sz w:val="24"/>
          <w:szCs w:val="24"/>
          <w:highlight w:val="none"/>
        </w:rPr>
        <w:t>）按本章第</w:t>
      </w:r>
      <w:r>
        <w:rPr>
          <w:rFonts w:ascii="宋体" w:hAnsi="宋体"/>
          <w:sz w:val="24"/>
          <w:szCs w:val="24"/>
          <w:highlight w:val="none"/>
        </w:rPr>
        <w:t>2.2.4</w:t>
      </w:r>
      <w:r>
        <w:rPr>
          <w:rFonts w:hint="eastAsia" w:ascii="宋体" w:hAnsi="宋体"/>
          <w:sz w:val="24"/>
          <w:szCs w:val="24"/>
          <w:highlight w:val="none"/>
        </w:rPr>
        <w:t>（</w:t>
      </w:r>
      <w:r>
        <w:rPr>
          <w:rFonts w:ascii="宋体" w:hAnsi="宋体"/>
          <w:sz w:val="24"/>
          <w:szCs w:val="24"/>
          <w:highlight w:val="none"/>
        </w:rPr>
        <w:t>4</w:t>
      </w:r>
      <w:r>
        <w:rPr>
          <w:rFonts w:hint="eastAsia" w:ascii="宋体" w:hAnsi="宋体"/>
          <w:sz w:val="24"/>
          <w:szCs w:val="24"/>
          <w:highlight w:val="none"/>
        </w:rPr>
        <w:t>）目规定的评审因素和分值对其他因素部分计算出得分</w:t>
      </w:r>
      <w:r>
        <w:rPr>
          <w:rFonts w:hint="eastAsia" w:ascii="宋体" w:hAnsi="宋体"/>
          <w:b/>
          <w:szCs w:val="21"/>
          <w:highlight w:val="none"/>
        </w:rPr>
        <w:t>D</w:t>
      </w:r>
      <w:r>
        <w:rPr>
          <w:rFonts w:hint="eastAsia" w:ascii="宋体" w:hAnsi="宋体"/>
          <w:sz w:val="24"/>
          <w:szCs w:val="24"/>
          <w:highlight w:val="none"/>
        </w:rPr>
        <w:t>。</w:t>
      </w:r>
    </w:p>
    <w:p w14:paraId="470E0631">
      <w:pPr>
        <w:spacing w:line="360" w:lineRule="auto"/>
        <w:ind w:firstLine="480" w:firstLineChars="200"/>
        <w:rPr>
          <w:rFonts w:ascii="宋体" w:hAnsi="宋体"/>
          <w:sz w:val="24"/>
          <w:szCs w:val="24"/>
          <w:highlight w:val="none"/>
        </w:rPr>
      </w:pPr>
      <w:r>
        <w:rPr>
          <w:rFonts w:ascii="宋体" w:hAnsi="宋体"/>
          <w:sz w:val="24"/>
          <w:szCs w:val="24"/>
          <w:highlight w:val="none"/>
        </w:rPr>
        <w:t>3.2.2</w:t>
      </w:r>
      <w:r>
        <w:rPr>
          <w:rFonts w:hint="eastAsia" w:ascii="宋体" w:hAnsi="宋体"/>
          <w:sz w:val="24"/>
          <w:szCs w:val="24"/>
          <w:highlight w:val="none"/>
        </w:rPr>
        <w:t>评分分值计算保留小数点后两位，小数点后第三位“四舍五入”。</w:t>
      </w:r>
    </w:p>
    <w:p w14:paraId="495B9E8F">
      <w:pPr>
        <w:spacing w:line="360" w:lineRule="auto"/>
        <w:ind w:firstLine="480" w:firstLineChars="200"/>
        <w:rPr>
          <w:rFonts w:ascii="宋体" w:hAnsi="宋体"/>
          <w:sz w:val="24"/>
          <w:szCs w:val="24"/>
          <w:highlight w:val="none"/>
          <w:u w:val="single"/>
        </w:rPr>
      </w:pPr>
      <w:r>
        <w:rPr>
          <w:rFonts w:ascii="宋体" w:hAnsi="宋体"/>
          <w:sz w:val="24"/>
          <w:szCs w:val="24"/>
          <w:highlight w:val="none"/>
        </w:rPr>
        <w:t>3.2.3</w:t>
      </w:r>
      <w:r>
        <w:rPr>
          <w:rFonts w:hint="eastAsia" w:ascii="宋体" w:hAnsi="宋体"/>
          <w:sz w:val="24"/>
          <w:szCs w:val="24"/>
          <w:highlight w:val="none"/>
        </w:rPr>
        <w:t>投标人总得分：</w:t>
      </w:r>
      <w:r>
        <w:rPr>
          <w:rFonts w:hint="eastAsia" w:ascii="宋体" w:hAnsi="宋体"/>
          <w:sz w:val="24"/>
          <w:szCs w:val="24"/>
          <w:highlight w:val="none"/>
          <w:u w:val="single"/>
        </w:rPr>
        <w:t>评标办法前附表</w:t>
      </w:r>
    </w:p>
    <w:p w14:paraId="28EEAE27">
      <w:pPr>
        <w:spacing w:line="360" w:lineRule="auto"/>
        <w:ind w:firstLine="480" w:firstLineChars="200"/>
        <w:rPr>
          <w:rFonts w:ascii="宋体" w:hAnsi="宋体"/>
          <w:sz w:val="24"/>
          <w:szCs w:val="24"/>
          <w:highlight w:val="none"/>
        </w:rPr>
      </w:pPr>
      <w:r>
        <w:rPr>
          <w:rFonts w:ascii="宋体" w:hAnsi="宋体"/>
          <w:sz w:val="24"/>
          <w:szCs w:val="24"/>
          <w:highlight w:val="none"/>
        </w:rPr>
        <w:t>3.2.4</w:t>
      </w:r>
      <w:r>
        <w:rPr>
          <w:rFonts w:hint="eastAsia" w:ascii="宋体" w:hAnsi="宋体"/>
          <w:sz w:val="24"/>
          <w:szCs w:val="24"/>
          <w:highlight w:val="none"/>
        </w:rPr>
        <w:t>评标委员会发现投标人的报价明显低于其他投标报价，使得其投标报价可能低于其个别成本的，应当要求该投标人作出书面说明并提供相应的证明材料。投标人不能合理说明或者不能提供相应证明材料的，评标委员会应当认定该投标人以低于成本报价竞标，并否决其投标。</w:t>
      </w:r>
    </w:p>
    <w:p w14:paraId="4681E925">
      <w:pPr>
        <w:rPr>
          <w:rFonts w:ascii="宋体" w:hAnsi="宋体"/>
          <w:highlight w:val="none"/>
        </w:rPr>
      </w:pPr>
    </w:p>
    <w:p w14:paraId="1336D968">
      <w:pPr>
        <w:pStyle w:val="7"/>
        <w:rPr>
          <w:highlight w:val="none"/>
        </w:rPr>
      </w:pPr>
      <w:bookmarkStart w:id="134" w:name="bookmark91"/>
      <w:bookmarkEnd w:id="134"/>
      <w:r>
        <w:rPr>
          <w:highlight w:val="none"/>
        </w:rPr>
        <w:t xml:space="preserve">3.3 </w:t>
      </w:r>
      <w:r>
        <w:rPr>
          <w:rFonts w:hint="eastAsia"/>
          <w:highlight w:val="none"/>
        </w:rPr>
        <w:t>投标文件的澄清</w:t>
      </w:r>
    </w:p>
    <w:p w14:paraId="49D0B9DE">
      <w:pPr>
        <w:spacing w:line="360" w:lineRule="auto"/>
        <w:ind w:firstLine="480" w:firstLineChars="200"/>
        <w:rPr>
          <w:rFonts w:ascii="宋体" w:hAnsi="宋体"/>
          <w:sz w:val="24"/>
          <w:szCs w:val="24"/>
          <w:highlight w:val="none"/>
        </w:rPr>
      </w:pPr>
      <w:r>
        <w:rPr>
          <w:rFonts w:ascii="宋体" w:hAnsi="宋体"/>
          <w:sz w:val="24"/>
          <w:szCs w:val="24"/>
          <w:highlight w:val="none"/>
        </w:rPr>
        <w:t>3.3.1</w:t>
      </w:r>
      <w:r>
        <w:rPr>
          <w:rFonts w:hint="eastAsia" w:ascii="宋体" w:hAnsi="宋体"/>
          <w:sz w:val="24"/>
          <w:szCs w:val="24"/>
          <w:highlight w:val="none"/>
        </w:rPr>
        <w:t>在评标过程中，评标委员会可以书面形式要求投标人对投标文件中含义不明确、对同类问题表述不一致或者有明显文字和计算错误的内容作必要的澄清、说明或补正。澄清、说明或补正应以书面方式进行。评标委员会不接受投标人主动提出的澄清、说明或补正。</w:t>
      </w:r>
    </w:p>
    <w:p w14:paraId="4DECF4DF">
      <w:pPr>
        <w:spacing w:line="360" w:lineRule="auto"/>
        <w:ind w:firstLine="480" w:firstLineChars="200"/>
        <w:rPr>
          <w:rFonts w:ascii="宋体" w:hAnsi="宋体"/>
          <w:sz w:val="24"/>
          <w:szCs w:val="24"/>
          <w:highlight w:val="none"/>
        </w:rPr>
      </w:pPr>
      <w:r>
        <w:rPr>
          <w:rFonts w:ascii="宋体" w:hAnsi="宋体"/>
          <w:sz w:val="24"/>
          <w:szCs w:val="24"/>
          <w:highlight w:val="none"/>
        </w:rPr>
        <w:t>3.3.2</w:t>
      </w:r>
      <w:r>
        <w:rPr>
          <w:rFonts w:hint="eastAsia" w:ascii="宋体" w:hAnsi="宋体"/>
          <w:sz w:val="24"/>
          <w:szCs w:val="24"/>
          <w:highlight w:val="none"/>
        </w:rPr>
        <w:t>澄清、说明或补正不得超出投标文件的范围且不得改变投标文件的实质性内容，并构成投标文件的组成部分。</w:t>
      </w:r>
    </w:p>
    <w:p w14:paraId="169F7C3C">
      <w:pPr>
        <w:spacing w:line="360" w:lineRule="auto"/>
        <w:ind w:firstLine="480" w:firstLineChars="200"/>
        <w:rPr>
          <w:rFonts w:ascii="宋体" w:hAnsi="宋体"/>
          <w:sz w:val="24"/>
          <w:szCs w:val="24"/>
          <w:highlight w:val="none"/>
        </w:rPr>
      </w:pPr>
      <w:r>
        <w:rPr>
          <w:rFonts w:ascii="宋体" w:hAnsi="宋体"/>
          <w:sz w:val="24"/>
          <w:szCs w:val="24"/>
          <w:highlight w:val="none"/>
        </w:rPr>
        <w:t>3.3.3</w:t>
      </w:r>
      <w:r>
        <w:rPr>
          <w:rFonts w:hint="eastAsia" w:ascii="宋体" w:hAnsi="宋体"/>
          <w:sz w:val="24"/>
          <w:szCs w:val="24"/>
          <w:highlight w:val="none"/>
        </w:rPr>
        <w:t>评标委员会对投标人提交的澄清、说明或补正有疑问的，可以要求投标人进一步澄清、说明或补正，直至满足评标委员会的要求。</w:t>
      </w:r>
    </w:p>
    <w:p w14:paraId="23E0A3B8">
      <w:pPr>
        <w:rPr>
          <w:rFonts w:ascii="宋体" w:hAnsi="宋体"/>
          <w:highlight w:val="none"/>
        </w:rPr>
      </w:pPr>
    </w:p>
    <w:p w14:paraId="2D59F82A">
      <w:pPr>
        <w:pStyle w:val="7"/>
        <w:rPr>
          <w:highlight w:val="none"/>
        </w:rPr>
      </w:pPr>
      <w:bookmarkStart w:id="135" w:name="bookmark92"/>
      <w:bookmarkEnd w:id="135"/>
      <w:r>
        <w:rPr>
          <w:highlight w:val="none"/>
        </w:rPr>
        <w:t xml:space="preserve">3.4 </w:t>
      </w:r>
      <w:r>
        <w:rPr>
          <w:rFonts w:hint="eastAsia"/>
          <w:highlight w:val="none"/>
        </w:rPr>
        <w:t>评标结果</w:t>
      </w:r>
    </w:p>
    <w:p w14:paraId="6729A8FB">
      <w:pPr>
        <w:spacing w:line="360" w:lineRule="auto"/>
        <w:ind w:firstLine="480" w:firstLineChars="200"/>
        <w:rPr>
          <w:rFonts w:ascii="宋体" w:hAnsi="宋体"/>
          <w:sz w:val="24"/>
          <w:szCs w:val="24"/>
          <w:highlight w:val="none"/>
        </w:rPr>
      </w:pPr>
      <w:r>
        <w:rPr>
          <w:rFonts w:ascii="宋体" w:hAnsi="宋体"/>
          <w:sz w:val="24"/>
          <w:szCs w:val="24"/>
          <w:highlight w:val="none"/>
        </w:rPr>
        <w:t>3.4.1</w:t>
      </w:r>
      <w:r>
        <w:rPr>
          <w:rFonts w:hint="eastAsia" w:ascii="宋体" w:hAnsi="宋体"/>
          <w:sz w:val="24"/>
          <w:szCs w:val="24"/>
          <w:highlight w:val="none"/>
        </w:rPr>
        <w:t>除第二章“投标人须知”前附表授权直接确定中标人外，评标委员会按照得分由高到低的顺序推荐中标候选人，并标明排序。</w:t>
      </w:r>
    </w:p>
    <w:p w14:paraId="6BA31414">
      <w:pPr>
        <w:ind w:firstLine="540" w:firstLineChars="225"/>
        <w:rPr>
          <w:rFonts w:ascii="宋体" w:hAnsi="宋体"/>
          <w:sz w:val="24"/>
          <w:szCs w:val="24"/>
          <w:highlight w:val="none"/>
        </w:rPr>
      </w:pPr>
      <w:r>
        <w:rPr>
          <w:rFonts w:ascii="宋体" w:hAnsi="宋体"/>
          <w:sz w:val="24"/>
          <w:szCs w:val="24"/>
          <w:highlight w:val="none"/>
        </w:rPr>
        <w:t>3.4.2</w:t>
      </w:r>
      <w:r>
        <w:rPr>
          <w:rFonts w:hint="eastAsia" w:ascii="宋体" w:hAnsi="宋体"/>
          <w:sz w:val="24"/>
          <w:szCs w:val="24"/>
          <w:highlight w:val="none"/>
        </w:rPr>
        <w:t>评标委员会完成评标后，应当向招标人提交书面评标报告和中标候选人名单。</w:t>
      </w:r>
    </w:p>
    <w:p w14:paraId="7BC4F96E">
      <w:pPr>
        <w:adjustRightInd w:val="0"/>
        <w:snapToGrid w:val="0"/>
        <w:spacing w:line="360" w:lineRule="auto"/>
        <w:jc w:val="center"/>
        <w:rPr>
          <w:rFonts w:ascii="宋体" w:hAnsi="宋体"/>
          <w:szCs w:val="21"/>
          <w:highlight w:val="none"/>
        </w:rPr>
      </w:pPr>
      <w:r>
        <w:rPr>
          <w:rFonts w:ascii="宋体" w:hAnsi="宋体"/>
          <w:szCs w:val="21"/>
          <w:highlight w:val="none"/>
        </w:rPr>
        <w:t xml:space="preserve"> </w:t>
      </w:r>
    </w:p>
    <w:p w14:paraId="34D27840">
      <w:pPr>
        <w:adjustRightInd w:val="0"/>
        <w:snapToGrid w:val="0"/>
        <w:spacing w:line="360" w:lineRule="auto"/>
        <w:jc w:val="center"/>
        <w:rPr>
          <w:rFonts w:ascii="宋体" w:hAnsi="宋体"/>
          <w:b/>
          <w:sz w:val="36"/>
          <w:szCs w:val="36"/>
          <w:highlight w:val="none"/>
        </w:rPr>
      </w:pPr>
    </w:p>
    <w:p w14:paraId="63025B15">
      <w:pPr>
        <w:jc w:val="center"/>
        <w:rPr>
          <w:rFonts w:ascii="宋体" w:hAnsi="宋体"/>
          <w:b/>
          <w:kern w:val="44"/>
          <w:sz w:val="44"/>
          <w:szCs w:val="20"/>
          <w:highlight w:val="none"/>
        </w:rPr>
      </w:pPr>
      <w:r>
        <w:rPr>
          <w:sz w:val="24"/>
          <w:szCs w:val="24"/>
          <w:highlight w:val="none"/>
        </w:rPr>
        <w:br w:type="page"/>
      </w:r>
      <w:bookmarkStart w:id="136" w:name="_Toc533357322"/>
      <w:bookmarkStart w:id="137" w:name="_Toc103592031"/>
      <w:r>
        <w:rPr>
          <w:sz w:val="24"/>
          <w:szCs w:val="24"/>
          <w:highlight w:val="none"/>
        </w:rPr>
        <w:t xml:space="preserve">         </w:t>
      </w:r>
      <w:r>
        <w:rPr>
          <w:rFonts w:hint="eastAsia" w:ascii="宋体" w:hAnsi="宋体"/>
          <w:b/>
          <w:kern w:val="44"/>
          <w:sz w:val="44"/>
          <w:szCs w:val="20"/>
          <w:highlight w:val="none"/>
        </w:rPr>
        <w:t>第四章</w:t>
      </w:r>
      <w:r>
        <w:rPr>
          <w:rFonts w:ascii="宋体" w:hAnsi="宋体"/>
          <w:b/>
          <w:kern w:val="44"/>
          <w:sz w:val="44"/>
          <w:szCs w:val="20"/>
          <w:highlight w:val="none"/>
        </w:rPr>
        <w:t xml:space="preserve">  </w:t>
      </w:r>
      <w:r>
        <w:rPr>
          <w:rFonts w:hint="eastAsia" w:ascii="宋体" w:hAnsi="宋体"/>
          <w:b/>
          <w:kern w:val="44"/>
          <w:sz w:val="44"/>
          <w:szCs w:val="20"/>
          <w:highlight w:val="none"/>
        </w:rPr>
        <w:t>合同条款及格式</w:t>
      </w:r>
      <w:bookmarkEnd w:id="136"/>
      <w:bookmarkEnd w:id="137"/>
      <w:bookmarkStart w:id="138" w:name="_Toc533357324"/>
    </w:p>
    <w:p w14:paraId="6A451671">
      <w:pPr>
        <w:pStyle w:val="26"/>
        <w:rPr>
          <w:highlight w:val="none"/>
        </w:rPr>
      </w:pPr>
    </w:p>
    <w:p w14:paraId="0750AF27">
      <w:pPr>
        <w:widowControl/>
        <w:jc w:val="left"/>
        <w:rPr>
          <w:szCs w:val="24"/>
          <w:highlight w:val="none"/>
        </w:rPr>
      </w:pPr>
      <w:r>
        <w:rPr>
          <w:highlight w:val="none"/>
        </w:rPr>
        <w:br w:type="page"/>
      </w:r>
    </w:p>
    <w:p w14:paraId="33E1CCA1">
      <w:pPr>
        <w:pStyle w:val="26"/>
        <w:rPr>
          <w:highlight w:val="none"/>
        </w:rPr>
      </w:pPr>
    </w:p>
    <w:p w14:paraId="7E15CCD8">
      <w:pPr>
        <w:rPr>
          <w:rFonts w:ascii="楷体_GB2312" w:hAnsi="宋体" w:eastAsia="楷体_GB2312"/>
          <w:b/>
          <w:bCs/>
          <w:sz w:val="52"/>
          <w:szCs w:val="52"/>
          <w:highlight w:val="none"/>
        </w:rPr>
      </w:pPr>
      <w:r>
        <w:rPr>
          <w:highlight w:val="none"/>
        </w:rPr>
        <w:drawing>
          <wp:anchor distT="0" distB="0" distL="114300" distR="114300" simplePos="0" relativeHeight="251663360" behindDoc="0" locked="0" layoutInCell="1" allowOverlap="1">
            <wp:simplePos x="0" y="0"/>
            <wp:positionH relativeFrom="column">
              <wp:posOffset>4039235</wp:posOffset>
            </wp:positionH>
            <wp:positionV relativeFrom="paragraph">
              <wp:posOffset>-310515</wp:posOffset>
            </wp:positionV>
            <wp:extent cx="2158365" cy="1870710"/>
            <wp:effectExtent l="0" t="0" r="0" b="0"/>
            <wp:wrapSquare wrapText="bothSides"/>
            <wp:docPr id="24" name="图片 24" descr="说明: E:\02合同\QQ图片20190725104140.jpgQQ图片20190725104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说明: E:\02合同\QQ图片20190725104140.jpgQQ图片2019072510414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2158365" cy="1870710"/>
                    </a:xfrm>
                    <a:prstGeom prst="rect">
                      <a:avLst/>
                    </a:prstGeom>
                    <a:noFill/>
                    <a:ln>
                      <a:noFill/>
                    </a:ln>
                  </pic:spPr>
                </pic:pic>
              </a:graphicData>
            </a:graphic>
          </wp:anchor>
        </w:drawing>
      </w:r>
      <w:r>
        <w:rPr>
          <w:sz w:val="30"/>
          <w:szCs w:val="24"/>
          <w:highlight w:val="none"/>
        </w:rPr>
        <w:drawing>
          <wp:inline distT="0" distB="0" distL="0" distR="0">
            <wp:extent cx="3438525" cy="361950"/>
            <wp:effectExtent l="0" t="0" r="9525"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3438525" cy="361950"/>
                    </a:xfrm>
                    <a:prstGeom prst="rect">
                      <a:avLst/>
                    </a:prstGeom>
                    <a:noFill/>
                    <a:ln>
                      <a:noFill/>
                    </a:ln>
                  </pic:spPr>
                </pic:pic>
              </a:graphicData>
            </a:graphic>
          </wp:inline>
        </w:drawing>
      </w:r>
    </w:p>
    <w:p w14:paraId="78D074E3">
      <w:pPr>
        <w:spacing w:line="560" w:lineRule="exact"/>
        <w:rPr>
          <w:rFonts w:eastAsia="仿宋_GB2312"/>
          <w:sz w:val="24"/>
          <w:szCs w:val="24"/>
          <w:highlight w:val="none"/>
        </w:rPr>
      </w:pPr>
      <w:r>
        <w:rPr>
          <w:rFonts w:hint="eastAsia" w:eastAsia="仿宋_GB2312"/>
          <w:sz w:val="24"/>
          <w:szCs w:val="24"/>
          <w:highlight w:val="none"/>
        </w:rPr>
        <w:t xml:space="preserve">合同编号：穗开建管测 [   ]   号 </w:t>
      </w:r>
    </w:p>
    <w:p w14:paraId="52134C2C">
      <w:pPr>
        <w:spacing w:line="560" w:lineRule="exact"/>
        <w:jc w:val="center"/>
        <w:rPr>
          <w:rFonts w:ascii="楷体_GB2312" w:hAnsi="宋体" w:eastAsia="楷体_GB2312"/>
          <w:b/>
          <w:bCs/>
          <w:sz w:val="52"/>
          <w:szCs w:val="52"/>
          <w:highlight w:val="none"/>
        </w:rPr>
      </w:pPr>
    </w:p>
    <w:p w14:paraId="706A9523">
      <w:pPr>
        <w:spacing w:line="560" w:lineRule="exact"/>
        <w:jc w:val="center"/>
        <w:rPr>
          <w:rFonts w:ascii="楷体_GB2312" w:hAnsi="宋体" w:eastAsia="楷体_GB2312"/>
          <w:b/>
          <w:bCs/>
          <w:sz w:val="52"/>
          <w:szCs w:val="52"/>
          <w:highlight w:val="none"/>
        </w:rPr>
      </w:pPr>
    </w:p>
    <w:p w14:paraId="26E5E6ED">
      <w:pPr>
        <w:pStyle w:val="26"/>
        <w:rPr>
          <w:rFonts w:ascii="Calibri" w:hAnsi="Calibri"/>
          <w:highlight w:val="none"/>
        </w:rPr>
      </w:pPr>
    </w:p>
    <w:p w14:paraId="5A11DC28">
      <w:pPr>
        <w:pStyle w:val="26"/>
        <w:rPr>
          <w:rFonts w:ascii="Calibri" w:hAnsi="Calibri"/>
          <w:highlight w:val="none"/>
        </w:rPr>
      </w:pPr>
    </w:p>
    <w:p w14:paraId="77B15A23">
      <w:pPr>
        <w:pStyle w:val="26"/>
        <w:rPr>
          <w:rFonts w:ascii="Calibri" w:hAnsi="Calibri"/>
          <w:highlight w:val="none"/>
        </w:rPr>
      </w:pPr>
    </w:p>
    <w:p w14:paraId="3554C186">
      <w:pPr>
        <w:pStyle w:val="26"/>
        <w:rPr>
          <w:rFonts w:ascii="Calibri" w:hAnsi="Calibri"/>
          <w:highlight w:val="none"/>
        </w:rPr>
      </w:pPr>
    </w:p>
    <w:p w14:paraId="448C690A">
      <w:pPr>
        <w:pStyle w:val="26"/>
        <w:rPr>
          <w:rFonts w:ascii="Calibri" w:hAnsi="Calibri"/>
          <w:highlight w:val="none"/>
        </w:rPr>
      </w:pPr>
    </w:p>
    <w:p w14:paraId="68585671">
      <w:pPr>
        <w:spacing w:line="560" w:lineRule="exact"/>
        <w:jc w:val="center"/>
        <w:rPr>
          <w:rFonts w:ascii="楷体_GB2312" w:hAnsi="宋体" w:eastAsia="楷体_GB2312"/>
          <w:b/>
          <w:bCs/>
          <w:sz w:val="52"/>
          <w:szCs w:val="52"/>
          <w:highlight w:val="none"/>
        </w:rPr>
      </w:pPr>
      <w:r>
        <w:rPr>
          <w:rFonts w:hint="eastAsia" w:ascii="楷体_GB2312" w:hAnsi="宋体" w:eastAsia="楷体_GB2312"/>
          <w:b/>
          <w:bCs/>
          <w:sz w:val="52"/>
          <w:szCs w:val="52"/>
          <w:highlight w:val="none"/>
        </w:rPr>
        <w:t>建设工程项目第三方检测服务框架合同</w:t>
      </w:r>
    </w:p>
    <w:p w14:paraId="443B300B">
      <w:pPr>
        <w:spacing w:line="480" w:lineRule="exact"/>
        <w:rPr>
          <w:rFonts w:ascii="楷体_GB2312" w:hAnsi="宋体" w:eastAsia="楷体_GB2312"/>
          <w:highlight w:val="none"/>
        </w:rPr>
      </w:pPr>
    </w:p>
    <w:p w14:paraId="64B631A0">
      <w:pPr>
        <w:snapToGrid w:val="0"/>
        <w:spacing w:line="500" w:lineRule="atLeast"/>
        <w:jc w:val="center"/>
        <w:rPr>
          <w:rFonts w:ascii="楷体_GB2312" w:hAnsi="宋体" w:eastAsia="楷体_GB2312"/>
          <w:highlight w:val="none"/>
        </w:rPr>
      </w:pPr>
      <w:r>
        <w:rPr>
          <w:rFonts w:hint="eastAsia" w:ascii="楷体_GB2312" w:hAnsi="仿宋" w:eastAsia="楷体_GB2312"/>
          <w:sz w:val="28"/>
          <w:szCs w:val="28"/>
          <w:highlight w:val="none"/>
          <w:u w:val="single"/>
        </w:rPr>
        <w:t>（框架合同）</w:t>
      </w:r>
    </w:p>
    <w:p w14:paraId="5819CFFB">
      <w:pPr>
        <w:spacing w:line="480" w:lineRule="exact"/>
        <w:rPr>
          <w:rFonts w:ascii="楷体_GB2312" w:hAnsi="宋体" w:eastAsia="楷体_GB2312"/>
          <w:highlight w:val="none"/>
        </w:rPr>
      </w:pPr>
    </w:p>
    <w:p w14:paraId="08DA5DD7">
      <w:pPr>
        <w:spacing w:line="480" w:lineRule="exact"/>
        <w:ind w:firstLine="562" w:firstLineChars="200"/>
        <w:rPr>
          <w:rFonts w:ascii="仿宋" w:hAnsi="仿宋" w:eastAsia="仿宋"/>
          <w:b/>
          <w:sz w:val="28"/>
          <w:szCs w:val="28"/>
          <w:highlight w:val="none"/>
          <w:u w:val="single"/>
        </w:rPr>
      </w:pPr>
      <w:r>
        <w:rPr>
          <w:rFonts w:hint="eastAsia" w:ascii="仿宋" w:hAnsi="仿宋" w:eastAsia="仿宋"/>
          <w:b/>
          <w:sz w:val="28"/>
          <w:szCs w:val="28"/>
          <w:highlight w:val="none"/>
        </w:rPr>
        <w:t>项目名称：</w:t>
      </w:r>
      <w:r>
        <w:rPr>
          <w:rFonts w:hint="eastAsia" w:ascii="仿宋" w:hAnsi="仿宋" w:eastAsia="仿宋"/>
          <w:b/>
          <w:sz w:val="28"/>
          <w:szCs w:val="28"/>
          <w:highlight w:val="none"/>
          <w:u w:val="single"/>
        </w:rPr>
        <w:t xml:space="preserve">                    检测 </w:t>
      </w:r>
    </w:p>
    <w:p w14:paraId="15704C73">
      <w:pPr>
        <w:spacing w:line="480" w:lineRule="exact"/>
        <w:ind w:firstLine="562" w:firstLineChars="200"/>
        <w:rPr>
          <w:rFonts w:ascii="仿宋" w:hAnsi="仿宋" w:eastAsia="仿宋"/>
          <w:b/>
          <w:sz w:val="28"/>
          <w:szCs w:val="28"/>
          <w:highlight w:val="none"/>
          <w:u w:val="single"/>
        </w:rPr>
      </w:pPr>
      <w:r>
        <w:rPr>
          <w:rFonts w:hint="eastAsia" w:ascii="仿宋" w:hAnsi="仿宋" w:eastAsia="仿宋"/>
          <w:b/>
          <w:sz w:val="28"/>
          <w:szCs w:val="28"/>
          <w:highlight w:val="none"/>
        </w:rPr>
        <w:t>甲    方：</w:t>
      </w:r>
      <w:r>
        <w:rPr>
          <w:rFonts w:hint="eastAsia" w:ascii="仿宋" w:hAnsi="仿宋" w:eastAsia="仿宋"/>
          <w:b/>
          <w:sz w:val="28"/>
          <w:szCs w:val="28"/>
          <w:highlight w:val="none"/>
          <w:u w:val="single"/>
        </w:rPr>
        <w:t xml:space="preserve"> 广州开发区财政投资建设项目管理中心</w:t>
      </w:r>
    </w:p>
    <w:p w14:paraId="57F339B3">
      <w:pPr>
        <w:spacing w:line="480" w:lineRule="exact"/>
        <w:rPr>
          <w:rFonts w:ascii="仿宋" w:hAnsi="仿宋" w:eastAsia="仿宋"/>
          <w:b/>
          <w:sz w:val="28"/>
          <w:szCs w:val="28"/>
          <w:highlight w:val="none"/>
          <w:u w:val="single"/>
        </w:rPr>
      </w:pPr>
      <w:r>
        <w:rPr>
          <w:rFonts w:hint="eastAsia" w:ascii="仿宋" w:hAnsi="仿宋" w:eastAsia="仿宋"/>
          <w:b/>
          <w:sz w:val="28"/>
          <w:szCs w:val="28"/>
          <w:highlight w:val="none"/>
        </w:rPr>
        <w:t xml:space="preserve">    乙    方：</w:t>
      </w:r>
      <w:r>
        <w:rPr>
          <w:rFonts w:hint="eastAsia" w:ascii="仿宋" w:hAnsi="仿宋" w:eastAsia="仿宋"/>
          <w:b/>
          <w:sz w:val="28"/>
          <w:szCs w:val="28"/>
          <w:highlight w:val="none"/>
          <w:u w:val="single"/>
        </w:rPr>
        <w:t xml:space="preserve">                               </w:t>
      </w:r>
    </w:p>
    <w:p w14:paraId="4C463272">
      <w:pPr>
        <w:spacing w:line="480" w:lineRule="exact"/>
        <w:ind w:firstLine="562" w:firstLineChars="200"/>
        <w:rPr>
          <w:rFonts w:ascii="仿宋" w:hAnsi="仿宋" w:eastAsia="仿宋"/>
          <w:b/>
          <w:sz w:val="28"/>
          <w:szCs w:val="28"/>
          <w:highlight w:val="none"/>
          <w:u w:val="single"/>
        </w:rPr>
      </w:pPr>
      <w:r>
        <w:rPr>
          <w:rFonts w:hint="eastAsia" w:ascii="仿宋" w:hAnsi="仿宋" w:eastAsia="仿宋"/>
          <w:b/>
          <w:sz w:val="28"/>
          <w:szCs w:val="28"/>
          <w:highlight w:val="none"/>
        </w:rPr>
        <w:t>签订日期：</w:t>
      </w:r>
      <w:r>
        <w:rPr>
          <w:rFonts w:hint="eastAsia" w:ascii="仿宋" w:hAnsi="仿宋" w:eastAsia="仿宋"/>
          <w:b/>
          <w:sz w:val="28"/>
          <w:szCs w:val="28"/>
          <w:highlight w:val="none"/>
          <w:u w:val="single"/>
        </w:rPr>
        <w:t xml:space="preserve">     年  月    日</w:t>
      </w:r>
    </w:p>
    <w:p w14:paraId="2EEE2D23">
      <w:pPr>
        <w:spacing w:line="480" w:lineRule="exact"/>
        <w:rPr>
          <w:rFonts w:ascii="仿宋" w:hAnsi="仿宋" w:eastAsia="仿宋"/>
          <w:b/>
          <w:sz w:val="28"/>
          <w:szCs w:val="28"/>
          <w:highlight w:val="none"/>
          <w:u w:val="single"/>
        </w:rPr>
      </w:pPr>
      <w:r>
        <w:rPr>
          <w:rFonts w:hint="eastAsia" w:ascii="仿宋" w:hAnsi="仿宋" w:eastAsia="仿宋"/>
          <w:b/>
          <w:sz w:val="28"/>
          <w:szCs w:val="28"/>
          <w:highlight w:val="none"/>
        </w:rPr>
        <w:t xml:space="preserve">    签订地点：</w:t>
      </w:r>
      <w:r>
        <w:rPr>
          <w:rFonts w:hint="eastAsia" w:ascii="仿宋" w:hAnsi="仿宋" w:eastAsia="仿宋"/>
          <w:b/>
          <w:sz w:val="28"/>
          <w:szCs w:val="28"/>
          <w:highlight w:val="none"/>
          <w:u w:val="single"/>
        </w:rPr>
        <w:t xml:space="preserve">广州市黄埔区 </w:t>
      </w:r>
    </w:p>
    <w:p w14:paraId="6ACC16B6">
      <w:pPr>
        <w:pStyle w:val="33"/>
        <w:rPr>
          <w:highlight w:val="none"/>
        </w:rPr>
      </w:pPr>
      <w:r>
        <w:rPr>
          <w:highlight w:val="none"/>
        </w:rPr>
        <w:drawing>
          <wp:anchor distT="0" distB="0" distL="114300" distR="114300" simplePos="0" relativeHeight="251664384" behindDoc="0" locked="0" layoutInCell="1" allowOverlap="0">
            <wp:simplePos x="0" y="0"/>
            <wp:positionH relativeFrom="page">
              <wp:posOffset>275590</wp:posOffset>
            </wp:positionH>
            <wp:positionV relativeFrom="paragraph">
              <wp:posOffset>261620</wp:posOffset>
            </wp:positionV>
            <wp:extent cx="7058025" cy="2505075"/>
            <wp:effectExtent l="0" t="0" r="9525" b="9525"/>
            <wp:wrapSquare wrapText="bothSides"/>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7058025" cy="2505075"/>
                    </a:xfrm>
                    <a:prstGeom prst="rect">
                      <a:avLst/>
                    </a:prstGeom>
                    <a:noFill/>
                    <a:ln>
                      <a:noFill/>
                    </a:ln>
                  </pic:spPr>
                </pic:pic>
              </a:graphicData>
            </a:graphic>
          </wp:anchor>
        </w:drawing>
      </w:r>
    </w:p>
    <w:p w14:paraId="07216BFA">
      <w:pPr>
        <w:pStyle w:val="33"/>
        <w:jc w:val="both"/>
        <w:rPr>
          <w:rFonts w:ascii="楷体_GB2312" w:hAnsi="宋体" w:eastAsia="楷体_GB2312"/>
          <w:highlight w:val="none"/>
        </w:rPr>
        <w:sectPr>
          <w:headerReference r:id="rId7" w:type="first"/>
          <w:headerReference r:id="rId5" w:type="default"/>
          <w:headerReference r:id="rId6" w:type="even"/>
          <w:footerReference r:id="rId8" w:type="even"/>
          <w:pgSz w:w="11906" w:h="16838"/>
          <w:pgMar w:top="1134" w:right="1417" w:bottom="1417" w:left="1417" w:header="850" w:footer="1134" w:gutter="0"/>
          <w:cols w:space="720" w:num="1"/>
          <w:titlePg/>
          <w:docGrid w:linePitch="286" w:charSpace="0"/>
        </w:sectPr>
      </w:pPr>
    </w:p>
    <w:p w14:paraId="3612F11C">
      <w:pPr>
        <w:spacing w:line="500" w:lineRule="exact"/>
        <w:rPr>
          <w:rFonts w:ascii="宋体" w:hAnsi="宋体"/>
          <w:b/>
          <w:sz w:val="36"/>
          <w:szCs w:val="36"/>
          <w:highlight w:val="none"/>
        </w:rPr>
      </w:pPr>
      <w:r>
        <w:rPr>
          <w:rFonts w:hint="eastAsia" w:hAnsi="仿宋" w:eastAsia="仿宋_GB2312"/>
          <w:b/>
          <w:sz w:val="28"/>
          <w:szCs w:val="28"/>
          <w:highlight w:val="none"/>
        </w:rPr>
        <w:t xml:space="preserve">                              </w:t>
      </w:r>
      <w:r>
        <w:rPr>
          <w:rFonts w:hint="eastAsia" w:ascii="宋体" w:hAnsi="宋体"/>
          <w:b/>
          <w:sz w:val="36"/>
          <w:szCs w:val="36"/>
          <w:highlight w:val="none"/>
        </w:rPr>
        <w:t>框架合同</w:t>
      </w:r>
    </w:p>
    <w:p w14:paraId="71401C93">
      <w:pPr>
        <w:pStyle w:val="33"/>
        <w:rPr>
          <w:highlight w:val="none"/>
        </w:rPr>
      </w:pPr>
    </w:p>
    <w:p w14:paraId="77239B31">
      <w:pPr>
        <w:spacing w:line="500" w:lineRule="exact"/>
        <w:rPr>
          <w:rFonts w:hAnsi="宋体" w:eastAsia="仿宋_GB2312"/>
          <w:sz w:val="28"/>
          <w:szCs w:val="28"/>
          <w:highlight w:val="none"/>
          <w:u w:val="single"/>
        </w:rPr>
      </w:pPr>
      <w:r>
        <w:rPr>
          <w:rFonts w:hint="eastAsia" w:hAnsi="宋体" w:eastAsia="仿宋_GB2312"/>
          <w:sz w:val="28"/>
          <w:szCs w:val="28"/>
          <w:highlight w:val="none"/>
        </w:rPr>
        <w:t>甲方：</w:t>
      </w:r>
      <w:r>
        <w:rPr>
          <w:rFonts w:hint="eastAsia" w:hAnsi="仿宋" w:eastAsia="仿宋_GB2312"/>
          <w:sz w:val="28"/>
          <w:szCs w:val="28"/>
          <w:highlight w:val="none"/>
          <w:u w:val="single"/>
        </w:rPr>
        <w:t>广州开发区财政投资建设项目管理中心</w:t>
      </w:r>
    </w:p>
    <w:p w14:paraId="4EEABEBF">
      <w:pPr>
        <w:spacing w:line="500" w:lineRule="exact"/>
        <w:rPr>
          <w:rFonts w:hAnsi="宋体" w:eastAsia="仿宋_GB2312"/>
          <w:sz w:val="28"/>
          <w:szCs w:val="28"/>
          <w:highlight w:val="none"/>
        </w:rPr>
      </w:pPr>
      <w:r>
        <w:rPr>
          <w:rFonts w:hint="eastAsia" w:hAnsi="宋体" w:eastAsia="仿宋_GB2312"/>
          <w:sz w:val="28"/>
          <w:szCs w:val="28"/>
          <w:highlight w:val="none"/>
        </w:rPr>
        <w:t>乙方：</w:t>
      </w:r>
      <w:r>
        <w:rPr>
          <w:rFonts w:hint="eastAsia" w:hAnsi="宋体" w:eastAsia="仿宋_GB2312"/>
          <w:sz w:val="28"/>
          <w:szCs w:val="28"/>
          <w:highlight w:val="none"/>
          <w:u w:val="single"/>
        </w:rPr>
        <w:t xml:space="preserve">                                  </w:t>
      </w:r>
    </w:p>
    <w:p w14:paraId="282E44E8">
      <w:pPr>
        <w:adjustRightInd w:val="0"/>
        <w:snapToGrid w:val="0"/>
        <w:spacing w:line="500" w:lineRule="exact"/>
        <w:ind w:right="11"/>
        <w:rPr>
          <w:rFonts w:eastAsia="仿宋_GB2312"/>
          <w:sz w:val="28"/>
          <w:szCs w:val="28"/>
          <w:highlight w:val="none"/>
        </w:rPr>
      </w:pPr>
    </w:p>
    <w:p w14:paraId="090A26CC">
      <w:pPr>
        <w:adjustRightInd w:val="0"/>
        <w:snapToGrid w:val="0"/>
        <w:spacing w:line="500" w:lineRule="exact"/>
        <w:ind w:firstLine="560" w:firstLineChars="200"/>
        <w:rPr>
          <w:rFonts w:hAnsi="宋体" w:eastAsia="仿宋_GB2312"/>
          <w:sz w:val="28"/>
          <w:szCs w:val="28"/>
          <w:highlight w:val="none"/>
        </w:rPr>
      </w:pPr>
      <w:r>
        <w:rPr>
          <w:rFonts w:hint="eastAsia" w:hAnsi="宋体" w:eastAsia="仿宋_GB2312"/>
          <w:sz w:val="28"/>
          <w:szCs w:val="28"/>
          <w:highlight w:val="none"/>
        </w:rPr>
        <w:t>鉴于</w:t>
      </w:r>
      <w:r>
        <w:rPr>
          <w:rFonts w:hint="eastAsia" w:hAnsi="宋体" w:eastAsia="仿宋_GB2312"/>
          <w:b/>
          <w:sz w:val="28"/>
          <w:szCs w:val="28"/>
          <w:highlight w:val="none"/>
          <w:u w:val="single"/>
        </w:rPr>
        <w:t>广州开发区财政投资建设项目管理中心</w:t>
      </w:r>
      <w:r>
        <w:rPr>
          <w:rFonts w:hint="eastAsia" w:hAnsi="宋体" w:eastAsia="仿宋_GB2312"/>
          <w:sz w:val="28"/>
          <w:szCs w:val="28"/>
          <w:highlight w:val="none"/>
        </w:rPr>
        <w:t>（以下称甲方）就</w:t>
      </w:r>
      <w:r>
        <w:rPr>
          <w:rFonts w:hint="eastAsia" w:hAnsi="宋体" w:eastAsia="仿宋_GB2312"/>
          <w:sz w:val="28"/>
          <w:szCs w:val="28"/>
          <w:highlight w:val="none"/>
          <w:u w:val="single"/>
        </w:rPr>
        <w:t xml:space="preserve">    </w:t>
      </w:r>
      <w:r>
        <w:rPr>
          <w:rFonts w:hint="eastAsia" w:hAnsi="宋体" w:eastAsia="仿宋_GB2312"/>
          <w:sz w:val="28"/>
          <w:szCs w:val="28"/>
          <w:highlight w:val="none"/>
        </w:rPr>
        <w:t>检测服务进行了公开招标，中标人为</w:t>
      </w:r>
      <w:r>
        <w:rPr>
          <w:rFonts w:hint="eastAsia" w:hAnsi="宋体" w:eastAsia="仿宋_GB2312"/>
          <w:sz w:val="28"/>
          <w:szCs w:val="28"/>
          <w:highlight w:val="none"/>
          <w:u w:val="single"/>
        </w:rPr>
        <w:t xml:space="preserve">   </w:t>
      </w:r>
      <w:r>
        <w:rPr>
          <w:rFonts w:hint="eastAsia" w:hAnsi="宋体" w:eastAsia="仿宋_GB2312"/>
          <w:b/>
          <w:sz w:val="28"/>
          <w:szCs w:val="28"/>
          <w:highlight w:val="none"/>
          <w:u w:val="single"/>
        </w:rPr>
        <w:t xml:space="preserve">                  </w:t>
      </w:r>
      <w:r>
        <w:rPr>
          <w:rFonts w:hint="eastAsia" w:hAnsi="宋体" w:eastAsia="仿宋_GB2312"/>
          <w:sz w:val="28"/>
          <w:szCs w:val="28"/>
          <w:highlight w:val="none"/>
        </w:rPr>
        <w:t>（下称乙方），甲方与乙方依照《中华人民共和国民法典》、《中华人民共和国建筑法》及其他有关法律、行政法规、部门规章、地方性法规和规章，遵循平等、自愿、公平和诚实信用的原则，双方就</w:t>
      </w:r>
      <w:r>
        <w:rPr>
          <w:rFonts w:hint="eastAsia" w:hAnsi="宋体" w:eastAsia="仿宋_GB2312"/>
          <w:sz w:val="28"/>
          <w:szCs w:val="28"/>
          <w:highlight w:val="none"/>
          <w:u w:val="single"/>
        </w:rPr>
        <w:t xml:space="preserve">       </w:t>
      </w:r>
      <w:r>
        <w:rPr>
          <w:rFonts w:hint="eastAsia" w:hAnsi="宋体" w:eastAsia="仿宋_GB2312"/>
          <w:sz w:val="28"/>
          <w:szCs w:val="28"/>
          <w:highlight w:val="none"/>
        </w:rPr>
        <w:t>检测服务事宜协商一致，订立本框架合同。</w:t>
      </w:r>
    </w:p>
    <w:p w14:paraId="1D7A2C21">
      <w:pPr>
        <w:adjustRightInd w:val="0"/>
        <w:snapToGrid w:val="0"/>
        <w:spacing w:line="500" w:lineRule="exact"/>
        <w:ind w:firstLine="562" w:firstLineChars="200"/>
        <w:rPr>
          <w:rFonts w:hAnsi="宋体" w:eastAsia="仿宋_GB2312"/>
          <w:b/>
          <w:bCs/>
          <w:sz w:val="28"/>
          <w:szCs w:val="28"/>
          <w:highlight w:val="none"/>
        </w:rPr>
      </w:pPr>
      <w:r>
        <w:rPr>
          <w:rFonts w:hint="eastAsia" w:hAnsi="宋体" w:eastAsia="仿宋_GB2312"/>
          <w:b/>
          <w:bCs/>
          <w:sz w:val="28"/>
          <w:szCs w:val="28"/>
          <w:highlight w:val="none"/>
        </w:rPr>
        <w:t>一、工程概况</w:t>
      </w:r>
    </w:p>
    <w:p w14:paraId="1EB2C7BD">
      <w:pPr>
        <w:adjustRightInd w:val="0"/>
        <w:snapToGrid w:val="0"/>
        <w:spacing w:line="500" w:lineRule="exact"/>
        <w:ind w:firstLine="560" w:firstLineChars="200"/>
        <w:rPr>
          <w:rFonts w:hAnsi="宋体" w:eastAsia="仿宋_GB2312"/>
          <w:sz w:val="28"/>
          <w:szCs w:val="28"/>
          <w:highlight w:val="none"/>
        </w:rPr>
      </w:pPr>
      <w:r>
        <w:rPr>
          <w:rFonts w:hint="eastAsia" w:hAnsi="宋体" w:eastAsia="仿宋_GB2312"/>
          <w:sz w:val="28"/>
          <w:szCs w:val="28"/>
          <w:highlight w:val="none"/>
        </w:rPr>
        <w:t xml:space="preserve">（1）工程名称： </w:t>
      </w:r>
    </w:p>
    <w:p w14:paraId="5E4486C7">
      <w:pPr>
        <w:adjustRightInd w:val="0"/>
        <w:snapToGrid w:val="0"/>
        <w:spacing w:line="500" w:lineRule="exact"/>
        <w:ind w:firstLine="560" w:firstLineChars="200"/>
        <w:rPr>
          <w:rFonts w:hAnsi="宋体" w:eastAsia="仿宋_GB2312"/>
          <w:sz w:val="28"/>
          <w:szCs w:val="28"/>
          <w:highlight w:val="none"/>
        </w:rPr>
      </w:pPr>
      <w:r>
        <w:rPr>
          <w:rFonts w:hint="eastAsia" w:hAnsi="宋体" w:eastAsia="仿宋_GB2312"/>
          <w:sz w:val="28"/>
          <w:szCs w:val="28"/>
          <w:highlight w:val="none"/>
        </w:rPr>
        <w:t xml:space="preserve">（2）工程地点： </w:t>
      </w:r>
    </w:p>
    <w:p w14:paraId="261788BD">
      <w:pPr>
        <w:adjustRightInd w:val="0"/>
        <w:snapToGrid w:val="0"/>
        <w:spacing w:line="500" w:lineRule="exact"/>
        <w:ind w:firstLine="560" w:firstLineChars="200"/>
        <w:rPr>
          <w:rFonts w:hAnsi="宋体" w:eastAsia="仿宋_GB2312"/>
          <w:sz w:val="28"/>
          <w:szCs w:val="28"/>
          <w:highlight w:val="none"/>
        </w:rPr>
      </w:pPr>
      <w:r>
        <w:rPr>
          <w:rFonts w:hint="eastAsia" w:hAnsi="宋体" w:eastAsia="仿宋_GB2312"/>
          <w:sz w:val="28"/>
          <w:szCs w:val="28"/>
          <w:highlight w:val="none"/>
        </w:rPr>
        <w:t>（3） 服务目标：乙方按照国家有关检测规范对甲方委托的服务项目进行检测，确保工程质量。</w:t>
      </w:r>
    </w:p>
    <w:p w14:paraId="742B63B5">
      <w:pPr>
        <w:spacing w:line="500" w:lineRule="exact"/>
        <w:ind w:firstLine="562" w:firstLineChars="200"/>
        <w:rPr>
          <w:rFonts w:hAnsi="宋体" w:eastAsia="仿宋_GB2312"/>
          <w:sz w:val="28"/>
          <w:szCs w:val="28"/>
          <w:highlight w:val="none"/>
        </w:rPr>
      </w:pPr>
      <w:r>
        <w:rPr>
          <w:rFonts w:hint="eastAsia" w:hAnsi="宋体" w:eastAsia="仿宋_GB2312"/>
          <w:b/>
          <w:sz w:val="28"/>
          <w:szCs w:val="28"/>
          <w:highlight w:val="none"/>
        </w:rPr>
        <w:t>二、</w:t>
      </w:r>
      <w:r>
        <w:rPr>
          <w:rFonts w:hint="eastAsia" w:hAnsi="宋体" w:eastAsia="仿宋_GB2312"/>
          <w:sz w:val="28"/>
          <w:szCs w:val="28"/>
          <w:highlight w:val="none"/>
        </w:rPr>
        <w:t>第三方检测服务含多个单独立项的</w:t>
      </w:r>
      <w:r>
        <w:rPr>
          <w:rFonts w:hint="eastAsia" w:hAnsi="宋体" w:eastAsia="仿宋_GB2312"/>
          <w:sz w:val="28"/>
          <w:szCs w:val="28"/>
          <w:highlight w:val="none"/>
          <w:lang w:val="en-US" w:eastAsia="zh-CN"/>
        </w:rPr>
        <w:t>房建</w:t>
      </w:r>
      <w:r>
        <w:rPr>
          <w:rFonts w:hint="eastAsia" w:hAnsi="宋体" w:eastAsia="仿宋_GB2312"/>
          <w:sz w:val="28"/>
          <w:szCs w:val="28"/>
          <w:highlight w:val="none"/>
        </w:rPr>
        <w:t>工程项目（以下简称单项工程）。</w:t>
      </w:r>
      <w:r>
        <w:rPr>
          <w:rFonts w:hint="eastAsia" w:hAnsi="宋体" w:eastAsia="仿宋_GB2312"/>
          <w:sz w:val="28"/>
          <w:szCs w:val="28"/>
          <w:highlight w:val="none"/>
          <w:u w:val="single"/>
        </w:rPr>
        <w:t>单项工程的检测服务合同签订且具备实施检测服务条件后，甲乙双方按甲方确认的单项工程检测方案、实际检测工作量及招标文件规定的计费标准办理单项工程检测服务结算、请款手续。</w:t>
      </w:r>
      <w:r>
        <w:rPr>
          <w:rFonts w:hint="eastAsia" w:hAnsi="宋体" w:eastAsia="仿宋_GB2312"/>
          <w:sz w:val="28"/>
          <w:szCs w:val="28"/>
          <w:highlight w:val="none"/>
        </w:rPr>
        <w:t>具体单项工程检测服务合同文本附后。单项工程检测服务合同与本框架合同内容互为解释和补充，内容不一致的，以单项工程检测服务合同为准。</w:t>
      </w:r>
    </w:p>
    <w:p w14:paraId="1CB7E887">
      <w:pPr>
        <w:adjustRightInd w:val="0"/>
        <w:snapToGrid w:val="0"/>
        <w:spacing w:line="500" w:lineRule="exact"/>
        <w:ind w:right="11" w:firstLine="562" w:firstLineChars="200"/>
        <w:rPr>
          <w:rFonts w:hAnsi="宋体" w:eastAsia="仿宋_GB2312"/>
          <w:b/>
          <w:bCs/>
          <w:sz w:val="28"/>
          <w:szCs w:val="28"/>
          <w:highlight w:val="none"/>
        </w:rPr>
      </w:pPr>
      <w:r>
        <w:rPr>
          <w:rFonts w:hint="eastAsia" w:hAnsi="宋体" w:eastAsia="仿宋_GB2312"/>
          <w:b/>
          <w:bCs/>
          <w:sz w:val="28"/>
          <w:szCs w:val="28"/>
          <w:highlight w:val="none"/>
        </w:rPr>
        <w:t>三、工程承包范围及承包方式</w:t>
      </w:r>
    </w:p>
    <w:p w14:paraId="5652B6CE">
      <w:pPr>
        <w:spacing w:line="500" w:lineRule="exact"/>
        <w:ind w:firstLine="560" w:firstLineChars="200"/>
        <w:rPr>
          <w:rFonts w:hAnsi="宋体" w:eastAsia="仿宋_GB2312"/>
          <w:sz w:val="28"/>
          <w:szCs w:val="28"/>
          <w:highlight w:val="none"/>
        </w:rPr>
      </w:pPr>
      <w:r>
        <w:rPr>
          <w:rFonts w:hint="eastAsia" w:hAnsi="宋体" w:eastAsia="仿宋_GB2312"/>
          <w:sz w:val="28"/>
          <w:szCs w:val="28"/>
          <w:highlight w:val="none"/>
        </w:rPr>
        <w:t>（一）承包范围：</w:t>
      </w:r>
    </w:p>
    <w:p w14:paraId="3AD73EFD">
      <w:pPr>
        <w:spacing w:line="500" w:lineRule="exact"/>
        <w:ind w:firstLine="560" w:firstLineChars="200"/>
        <w:rPr>
          <w:rFonts w:hAnsi="宋体" w:eastAsia="仿宋_GB2312"/>
          <w:sz w:val="28"/>
          <w:szCs w:val="28"/>
          <w:highlight w:val="none"/>
        </w:rPr>
      </w:pPr>
      <w:r>
        <w:rPr>
          <w:rFonts w:hint="eastAsia" w:hAnsi="宋体" w:eastAsia="仿宋_GB2312"/>
          <w:sz w:val="28"/>
          <w:szCs w:val="28"/>
          <w:highlight w:val="none"/>
        </w:rPr>
        <w:t>（二）承包方式：单项工程检测服务合同综合单价包干（其中综合单价中含子项目的，综合单价按实际实施的子项目单价计算），并执行投标下浮率。</w:t>
      </w:r>
    </w:p>
    <w:p w14:paraId="49ECF23C">
      <w:pPr>
        <w:adjustRightInd w:val="0"/>
        <w:snapToGrid w:val="0"/>
        <w:spacing w:line="500" w:lineRule="exact"/>
        <w:ind w:right="11" w:firstLine="562" w:firstLineChars="200"/>
        <w:rPr>
          <w:rFonts w:hAnsi="宋体" w:eastAsia="仿宋_GB2312"/>
          <w:bCs/>
          <w:sz w:val="28"/>
          <w:szCs w:val="28"/>
          <w:highlight w:val="none"/>
        </w:rPr>
      </w:pPr>
      <w:r>
        <w:rPr>
          <w:rFonts w:hint="eastAsia" w:hAnsi="宋体" w:eastAsia="仿宋_GB2312"/>
          <w:b/>
          <w:bCs/>
          <w:sz w:val="28"/>
          <w:szCs w:val="28"/>
          <w:highlight w:val="none"/>
        </w:rPr>
        <w:t>四、合同工期：</w:t>
      </w:r>
      <w:r>
        <w:rPr>
          <w:rFonts w:hint="eastAsia" w:hAnsi="宋体" w:eastAsia="仿宋_GB2312"/>
          <w:bCs/>
          <w:sz w:val="28"/>
          <w:szCs w:val="28"/>
          <w:highlight w:val="none"/>
        </w:rPr>
        <w:t>按照单项工程检测服务合同约定执行。</w:t>
      </w:r>
    </w:p>
    <w:p w14:paraId="7602094B">
      <w:pPr>
        <w:adjustRightInd w:val="0"/>
        <w:snapToGrid w:val="0"/>
        <w:spacing w:line="500" w:lineRule="exact"/>
        <w:ind w:right="11" w:firstLine="562" w:firstLineChars="200"/>
        <w:rPr>
          <w:rFonts w:hAnsi="宋体" w:eastAsia="仿宋_GB2312"/>
          <w:b/>
          <w:bCs/>
          <w:sz w:val="28"/>
          <w:szCs w:val="28"/>
          <w:highlight w:val="none"/>
        </w:rPr>
      </w:pPr>
      <w:r>
        <w:rPr>
          <w:rFonts w:hint="eastAsia" w:hAnsi="宋体" w:eastAsia="仿宋_GB2312"/>
          <w:b/>
          <w:bCs/>
          <w:sz w:val="28"/>
          <w:szCs w:val="28"/>
          <w:highlight w:val="none"/>
        </w:rPr>
        <w:t>五、合同价款</w:t>
      </w:r>
    </w:p>
    <w:p w14:paraId="0CDC4DC9">
      <w:pPr>
        <w:spacing w:line="500" w:lineRule="exact"/>
        <w:ind w:firstLine="482"/>
        <w:rPr>
          <w:rFonts w:hAnsi="宋体" w:eastAsia="仿宋_GB2312"/>
          <w:strike/>
          <w:sz w:val="28"/>
          <w:szCs w:val="28"/>
          <w:highlight w:val="none"/>
        </w:rPr>
      </w:pPr>
      <w:r>
        <w:rPr>
          <w:rFonts w:hint="eastAsia" w:hAnsi="宋体" w:eastAsia="仿宋_GB2312"/>
          <w:sz w:val="28"/>
          <w:szCs w:val="28"/>
          <w:highlight w:val="none"/>
        </w:rPr>
        <w:t>框架合同价暂定为中标价，即</w:t>
      </w:r>
      <w:r>
        <w:rPr>
          <w:rFonts w:hint="eastAsia" w:hAnsi="宋体" w:eastAsia="仿宋_GB2312"/>
          <w:sz w:val="28"/>
          <w:szCs w:val="28"/>
          <w:highlight w:val="none"/>
          <w:u w:val="single"/>
        </w:rPr>
        <w:t xml:space="preserve">     </w:t>
      </w:r>
      <w:r>
        <w:rPr>
          <w:rFonts w:hint="eastAsia" w:hAnsi="宋体" w:eastAsia="仿宋_GB2312"/>
          <w:sz w:val="28"/>
          <w:szCs w:val="28"/>
          <w:highlight w:val="none"/>
        </w:rPr>
        <w:t>万元，其中</w:t>
      </w:r>
      <w:r>
        <w:rPr>
          <w:rFonts w:hint="eastAsia" w:hAnsi="宋体" w:eastAsia="仿宋_GB2312"/>
          <w:sz w:val="28"/>
          <w:szCs w:val="28"/>
          <w:highlight w:val="none"/>
          <w:u w:val="single"/>
        </w:rPr>
        <w:t xml:space="preserve">     </w:t>
      </w:r>
      <w:r>
        <w:rPr>
          <w:rFonts w:hint="eastAsia" w:hAnsi="宋体" w:eastAsia="仿宋_GB2312"/>
          <w:sz w:val="28"/>
          <w:szCs w:val="28"/>
          <w:highlight w:val="none"/>
        </w:rPr>
        <w:t>工程为</w:t>
      </w:r>
      <w:r>
        <w:rPr>
          <w:rFonts w:hint="eastAsia" w:hAnsi="宋体" w:eastAsia="仿宋_GB2312"/>
          <w:sz w:val="28"/>
          <w:szCs w:val="28"/>
          <w:highlight w:val="none"/>
          <w:u w:val="single"/>
        </w:rPr>
        <w:t xml:space="preserve">   </w:t>
      </w:r>
      <w:r>
        <w:rPr>
          <w:rFonts w:hint="eastAsia" w:hAnsi="宋体" w:eastAsia="仿宋_GB2312"/>
          <w:sz w:val="28"/>
          <w:szCs w:val="28"/>
          <w:highlight w:val="none"/>
        </w:rPr>
        <w:t>万元；</w:t>
      </w:r>
      <w:r>
        <w:rPr>
          <w:rFonts w:hint="eastAsia" w:hAnsi="宋体" w:eastAsia="仿宋_GB2312"/>
          <w:sz w:val="28"/>
          <w:szCs w:val="28"/>
          <w:highlight w:val="none"/>
          <w:u w:val="single"/>
        </w:rPr>
        <w:t xml:space="preserve">     </w:t>
      </w:r>
      <w:r>
        <w:rPr>
          <w:rFonts w:hint="eastAsia" w:hAnsi="宋体" w:eastAsia="仿宋_GB2312"/>
          <w:sz w:val="28"/>
          <w:szCs w:val="28"/>
          <w:highlight w:val="none"/>
        </w:rPr>
        <w:t>工程为</w:t>
      </w:r>
      <w:r>
        <w:rPr>
          <w:rFonts w:hint="eastAsia" w:hAnsi="宋体" w:eastAsia="仿宋_GB2312"/>
          <w:sz w:val="28"/>
          <w:szCs w:val="28"/>
          <w:highlight w:val="none"/>
          <w:u w:val="single"/>
        </w:rPr>
        <w:t xml:space="preserve">   </w:t>
      </w:r>
      <w:r>
        <w:rPr>
          <w:rFonts w:hint="eastAsia" w:hAnsi="宋体" w:eastAsia="仿宋_GB2312"/>
          <w:sz w:val="28"/>
          <w:szCs w:val="28"/>
          <w:highlight w:val="none"/>
        </w:rPr>
        <w:t>万元；工程为</w:t>
      </w:r>
      <w:r>
        <w:rPr>
          <w:rFonts w:hint="eastAsia" w:hAnsi="宋体" w:eastAsia="仿宋_GB2312"/>
          <w:sz w:val="28"/>
          <w:szCs w:val="28"/>
          <w:highlight w:val="none"/>
          <w:u w:val="single"/>
        </w:rPr>
        <w:t xml:space="preserve">   </w:t>
      </w:r>
      <w:r>
        <w:rPr>
          <w:rFonts w:hint="eastAsia" w:hAnsi="宋体" w:eastAsia="仿宋_GB2312"/>
          <w:sz w:val="28"/>
          <w:szCs w:val="28"/>
          <w:highlight w:val="none"/>
        </w:rPr>
        <w:t>万元；投标下浮率为</w:t>
      </w:r>
      <w:r>
        <w:rPr>
          <w:rFonts w:hint="eastAsia" w:hAnsi="宋体" w:eastAsia="仿宋_GB2312"/>
          <w:sz w:val="28"/>
          <w:szCs w:val="28"/>
          <w:highlight w:val="none"/>
          <w:u w:val="single"/>
        </w:rPr>
        <w:t xml:space="preserve">     </w:t>
      </w:r>
      <w:r>
        <w:rPr>
          <w:rFonts w:hint="eastAsia" w:hAnsi="宋体" w:eastAsia="仿宋_GB2312"/>
          <w:sz w:val="28"/>
          <w:szCs w:val="28"/>
          <w:highlight w:val="none"/>
        </w:rPr>
        <w:t>%。检测服务费按各单项工程分别计算及支付。单项工程检测服务合同已签订，且当某个单项工程具备实施第三方检测服务条件后，乙方按甲方确认的该单项工程检测方案、</w:t>
      </w:r>
      <w:r>
        <w:rPr>
          <w:rFonts w:hint="eastAsia" w:hAnsi="宋体" w:eastAsia="仿宋_GB2312"/>
          <w:bCs/>
          <w:sz w:val="28"/>
          <w:szCs w:val="28"/>
          <w:highlight w:val="none"/>
        </w:rPr>
        <w:t>招标文件规定的计费标准及投标下浮率编制单项工程检测服务预算费用，报监理单位和甲方审定后，作为该单项工程检测服务合同支付进度款的依据。</w:t>
      </w:r>
      <w:r>
        <w:rPr>
          <w:rFonts w:hint="eastAsia" w:hAnsi="宋体" w:eastAsia="仿宋_GB2312"/>
          <w:b/>
          <w:sz w:val="28"/>
          <w:szCs w:val="28"/>
          <w:highlight w:val="none"/>
        </w:rPr>
        <w:t>单项工程检测合同服务费按实际检测工程量结算，最终结算价以广州开发区财政局审定为准。</w:t>
      </w:r>
      <w:r>
        <w:rPr>
          <w:rFonts w:hint="eastAsia" w:hAnsi="宋体" w:eastAsia="仿宋_GB2312"/>
          <w:strike/>
          <w:sz w:val="28"/>
          <w:szCs w:val="28"/>
          <w:highlight w:val="none"/>
        </w:rPr>
        <w:t>如国家各级审计机关对本项目实施审计，并要求调整项合同价款的，则各方同意按审计意见调整。</w:t>
      </w:r>
    </w:p>
    <w:p w14:paraId="42DAD834">
      <w:pPr>
        <w:adjustRightInd w:val="0"/>
        <w:snapToGrid w:val="0"/>
        <w:spacing w:line="500" w:lineRule="exact"/>
        <w:ind w:right="11" w:firstLine="562" w:firstLineChars="200"/>
        <w:rPr>
          <w:rFonts w:hAnsi="宋体" w:eastAsia="仿宋_GB2312"/>
          <w:bCs/>
          <w:sz w:val="28"/>
          <w:szCs w:val="28"/>
          <w:highlight w:val="none"/>
        </w:rPr>
      </w:pPr>
      <w:r>
        <w:rPr>
          <w:rFonts w:hint="eastAsia" w:hAnsi="宋体" w:eastAsia="仿宋_GB2312"/>
          <w:b/>
          <w:sz w:val="28"/>
          <w:szCs w:val="28"/>
          <w:highlight w:val="none"/>
        </w:rPr>
        <w:t>六、</w:t>
      </w:r>
      <w:r>
        <w:rPr>
          <w:rFonts w:hint="eastAsia" w:hAnsi="宋体" w:eastAsia="仿宋_GB2312"/>
          <w:bCs/>
          <w:sz w:val="28"/>
          <w:szCs w:val="28"/>
          <w:highlight w:val="none"/>
        </w:rPr>
        <w:t>下列文件应被认为是组成本合同的一部分，并互为补充和解释，如各文件存在冲突之处，以如下排列次序在前者优先适用：</w:t>
      </w:r>
    </w:p>
    <w:p w14:paraId="7D548E7A">
      <w:pPr>
        <w:adjustRightInd w:val="0"/>
        <w:snapToGrid w:val="0"/>
        <w:spacing w:line="500" w:lineRule="exact"/>
        <w:ind w:right="11" w:firstLine="560" w:firstLineChars="200"/>
        <w:rPr>
          <w:rFonts w:hAnsi="宋体" w:eastAsia="仿宋_GB2312"/>
          <w:bCs/>
          <w:sz w:val="28"/>
          <w:szCs w:val="28"/>
          <w:highlight w:val="none"/>
        </w:rPr>
      </w:pPr>
      <w:r>
        <w:rPr>
          <w:rFonts w:hint="eastAsia" w:hAnsi="宋体" w:eastAsia="仿宋_GB2312"/>
          <w:bCs/>
          <w:sz w:val="28"/>
          <w:szCs w:val="28"/>
          <w:highlight w:val="none"/>
        </w:rPr>
        <w:t>（1）国家和广东省、广州市、黄埔区、开发区关于本工程的有关文件；</w:t>
      </w:r>
    </w:p>
    <w:p w14:paraId="35ADD2B3">
      <w:pPr>
        <w:spacing w:line="500" w:lineRule="exact"/>
        <w:rPr>
          <w:rFonts w:eastAsia="仿宋_GB2312"/>
          <w:sz w:val="28"/>
          <w:szCs w:val="28"/>
          <w:highlight w:val="none"/>
        </w:rPr>
      </w:pPr>
      <w:r>
        <w:rPr>
          <w:rFonts w:hint="eastAsia" w:eastAsia="仿宋_GB2312"/>
          <w:sz w:val="28"/>
          <w:szCs w:val="28"/>
          <w:highlight w:val="none"/>
        </w:rPr>
        <w:t xml:space="preserve">    （2）本框架合同实施期间双方签订的各单项工程检测服务合同及其补充协议；</w:t>
      </w:r>
    </w:p>
    <w:p w14:paraId="4C28AF41">
      <w:pPr>
        <w:spacing w:line="500" w:lineRule="exact"/>
        <w:rPr>
          <w:rFonts w:eastAsia="仿宋_GB2312"/>
          <w:sz w:val="28"/>
          <w:szCs w:val="28"/>
          <w:highlight w:val="none"/>
        </w:rPr>
      </w:pPr>
      <w:r>
        <w:rPr>
          <w:rFonts w:hint="eastAsia" w:eastAsia="仿宋_GB2312"/>
          <w:sz w:val="28"/>
          <w:szCs w:val="28"/>
          <w:highlight w:val="none"/>
        </w:rPr>
        <w:t>　  （3）框架合同；</w:t>
      </w:r>
    </w:p>
    <w:p w14:paraId="4B0568AA">
      <w:pPr>
        <w:adjustRightInd w:val="0"/>
        <w:snapToGrid w:val="0"/>
        <w:spacing w:line="500" w:lineRule="exact"/>
        <w:ind w:firstLine="560" w:firstLineChars="200"/>
        <w:rPr>
          <w:rFonts w:hAnsi="宋体" w:eastAsia="仿宋_GB2312"/>
          <w:sz w:val="28"/>
          <w:szCs w:val="28"/>
          <w:highlight w:val="none"/>
        </w:rPr>
      </w:pPr>
      <w:r>
        <w:rPr>
          <w:rFonts w:hint="eastAsia" w:hAnsi="宋体" w:eastAsia="仿宋_GB2312"/>
          <w:sz w:val="28"/>
          <w:szCs w:val="28"/>
          <w:highlight w:val="none"/>
        </w:rPr>
        <w:t>（3）中标通知书；</w:t>
      </w:r>
    </w:p>
    <w:p w14:paraId="03E7DC8D">
      <w:pPr>
        <w:adjustRightInd w:val="0"/>
        <w:snapToGrid w:val="0"/>
        <w:spacing w:line="500" w:lineRule="exact"/>
        <w:ind w:firstLine="560" w:firstLineChars="200"/>
        <w:rPr>
          <w:rFonts w:hAnsi="宋体" w:eastAsia="仿宋_GB2312"/>
          <w:sz w:val="28"/>
          <w:szCs w:val="28"/>
          <w:highlight w:val="none"/>
        </w:rPr>
      </w:pPr>
      <w:r>
        <w:rPr>
          <w:rFonts w:hint="eastAsia" w:hAnsi="宋体" w:eastAsia="仿宋_GB2312"/>
          <w:sz w:val="28"/>
          <w:szCs w:val="28"/>
          <w:highlight w:val="none"/>
        </w:rPr>
        <w:t>（4）第三方检测服务招标文件</w:t>
      </w:r>
      <w:r>
        <w:rPr>
          <w:rFonts w:hint="eastAsia" w:hAnsi="宋体" w:eastAsia="仿宋_GB2312"/>
          <w:bCs/>
          <w:sz w:val="28"/>
          <w:szCs w:val="28"/>
          <w:highlight w:val="none"/>
        </w:rPr>
        <w:t>（含招标文件补充文件、澄清文件、答疑文件等）</w:t>
      </w:r>
      <w:r>
        <w:rPr>
          <w:rFonts w:hint="eastAsia" w:hAnsi="宋体" w:eastAsia="仿宋_GB2312"/>
          <w:sz w:val="28"/>
          <w:szCs w:val="28"/>
          <w:highlight w:val="none"/>
        </w:rPr>
        <w:t>；</w:t>
      </w:r>
    </w:p>
    <w:p w14:paraId="5A80222B">
      <w:pPr>
        <w:adjustRightInd w:val="0"/>
        <w:snapToGrid w:val="0"/>
        <w:spacing w:line="500" w:lineRule="exact"/>
        <w:ind w:firstLine="560" w:firstLineChars="200"/>
        <w:rPr>
          <w:rFonts w:hAnsi="宋体" w:eastAsia="仿宋_GB2312"/>
          <w:sz w:val="28"/>
          <w:szCs w:val="28"/>
          <w:highlight w:val="none"/>
        </w:rPr>
      </w:pPr>
      <w:r>
        <w:rPr>
          <w:rFonts w:hint="eastAsia" w:hAnsi="宋体" w:eastAsia="仿宋_GB2312"/>
          <w:sz w:val="28"/>
          <w:szCs w:val="28"/>
          <w:highlight w:val="none"/>
        </w:rPr>
        <w:t>（5）第三方检测服务投标文件</w:t>
      </w:r>
      <w:r>
        <w:rPr>
          <w:rFonts w:hint="eastAsia" w:hAnsi="宋体" w:eastAsia="仿宋_GB2312"/>
          <w:bCs/>
          <w:sz w:val="28"/>
          <w:szCs w:val="28"/>
          <w:highlight w:val="none"/>
        </w:rPr>
        <w:t>（含投标文件澄清等）；</w:t>
      </w:r>
    </w:p>
    <w:p w14:paraId="31BB473D">
      <w:pPr>
        <w:adjustRightInd w:val="0"/>
        <w:snapToGrid w:val="0"/>
        <w:spacing w:line="500" w:lineRule="exact"/>
        <w:ind w:firstLine="560" w:firstLineChars="200"/>
        <w:rPr>
          <w:rFonts w:hAnsi="宋体" w:eastAsia="仿宋_GB2312"/>
          <w:sz w:val="28"/>
          <w:szCs w:val="28"/>
          <w:highlight w:val="none"/>
        </w:rPr>
      </w:pPr>
      <w:r>
        <w:rPr>
          <w:rFonts w:hint="eastAsia" w:hAnsi="宋体" w:eastAsia="仿宋_GB2312"/>
          <w:sz w:val="28"/>
          <w:szCs w:val="28"/>
          <w:highlight w:val="none"/>
        </w:rPr>
        <w:t>（6）组成本框架合同的其他文件。</w:t>
      </w:r>
    </w:p>
    <w:p w14:paraId="5A9A2515">
      <w:pPr>
        <w:adjustRightInd w:val="0"/>
        <w:snapToGrid w:val="0"/>
        <w:spacing w:line="500" w:lineRule="exact"/>
        <w:ind w:firstLine="560" w:firstLineChars="200"/>
        <w:rPr>
          <w:rFonts w:hAnsi="宋体" w:eastAsia="仿宋_GB2312"/>
          <w:sz w:val="28"/>
          <w:szCs w:val="28"/>
          <w:highlight w:val="none"/>
        </w:rPr>
      </w:pPr>
      <w:r>
        <w:rPr>
          <w:rFonts w:hint="eastAsia" w:hAnsi="宋体" w:eastAsia="仿宋_GB2312"/>
          <w:sz w:val="28"/>
          <w:szCs w:val="28"/>
          <w:highlight w:val="none"/>
        </w:rPr>
        <w:t>通过上述顺序解释仍无法明确的事项，由甲方与乙方协商解决；如协商不成，由甲方按照公平合理和有利于本合同工程建设的原则作出决定，乙方应无条件执行。</w:t>
      </w:r>
    </w:p>
    <w:p w14:paraId="469EF655">
      <w:pPr>
        <w:adjustRightInd w:val="0"/>
        <w:snapToGrid w:val="0"/>
        <w:spacing w:line="500" w:lineRule="exact"/>
        <w:ind w:firstLine="562" w:firstLineChars="200"/>
        <w:rPr>
          <w:rFonts w:hAnsi="宋体" w:eastAsia="仿宋_GB2312"/>
          <w:sz w:val="28"/>
          <w:szCs w:val="28"/>
          <w:highlight w:val="none"/>
        </w:rPr>
      </w:pPr>
      <w:r>
        <w:rPr>
          <w:rFonts w:hint="eastAsia" w:hAnsi="宋体" w:eastAsia="仿宋_GB2312"/>
          <w:b/>
          <w:sz w:val="28"/>
          <w:szCs w:val="28"/>
          <w:highlight w:val="none"/>
        </w:rPr>
        <w:t>七、</w:t>
      </w:r>
      <w:r>
        <w:rPr>
          <w:rFonts w:hint="eastAsia" w:hAnsi="宋体" w:eastAsia="仿宋_GB2312"/>
          <w:sz w:val="28"/>
          <w:szCs w:val="28"/>
          <w:highlight w:val="none"/>
        </w:rPr>
        <w:t>单项工程具备检测条件，乙方应按甲方要求期限编制检测服务方案及服务费预算，</w:t>
      </w:r>
      <w:r>
        <w:rPr>
          <w:rFonts w:hint="eastAsia" w:hAnsi="宋体" w:eastAsia="仿宋_GB2312"/>
          <w:bCs/>
          <w:sz w:val="28"/>
          <w:szCs w:val="28"/>
          <w:highlight w:val="none"/>
        </w:rPr>
        <w:t>报监理单位和甲方审核</w:t>
      </w:r>
      <w:r>
        <w:rPr>
          <w:rFonts w:hint="eastAsia" w:hAnsi="宋体" w:eastAsia="仿宋_GB2312"/>
          <w:sz w:val="28"/>
          <w:szCs w:val="28"/>
          <w:highlight w:val="none"/>
        </w:rPr>
        <w:t>。乙方未按甲方完成的，甲方有权解除本框架合同，不再委托乙方实施单项工程检测服务，乙方按中标价的10%支付违约金。如乙方提供的单项工程检测服务不符合约定标准的，甲方可不再委托其实施本合同范围其他单项工程的检测服务工作。</w:t>
      </w:r>
    </w:p>
    <w:p w14:paraId="1775D5E9">
      <w:pPr>
        <w:adjustRightInd w:val="0"/>
        <w:snapToGrid w:val="0"/>
        <w:spacing w:line="500" w:lineRule="exact"/>
        <w:ind w:firstLine="562" w:firstLineChars="200"/>
        <w:rPr>
          <w:rFonts w:hAnsi="宋体" w:eastAsia="仿宋_GB2312"/>
          <w:sz w:val="28"/>
          <w:szCs w:val="28"/>
          <w:highlight w:val="none"/>
        </w:rPr>
      </w:pPr>
      <w:r>
        <w:rPr>
          <w:rFonts w:hint="eastAsia" w:hAnsi="宋体" w:eastAsia="仿宋_GB2312"/>
          <w:b/>
          <w:sz w:val="28"/>
          <w:szCs w:val="28"/>
          <w:highlight w:val="none"/>
        </w:rPr>
        <w:t>八、</w:t>
      </w:r>
      <w:r>
        <w:rPr>
          <w:rFonts w:hint="eastAsia" w:hAnsi="宋体" w:eastAsia="仿宋_GB2312"/>
          <w:sz w:val="28"/>
          <w:szCs w:val="28"/>
          <w:highlight w:val="none"/>
        </w:rPr>
        <w:t>因履行本合同发生争议，双方协商解决，协商不成的，提交工程所在地人民法院诉讼。</w:t>
      </w:r>
    </w:p>
    <w:p w14:paraId="24648167">
      <w:pPr>
        <w:spacing w:line="500" w:lineRule="exact"/>
        <w:ind w:firstLine="562" w:firstLineChars="200"/>
        <w:rPr>
          <w:rFonts w:hAnsi="宋体" w:eastAsia="仿宋_GB2312"/>
          <w:sz w:val="28"/>
          <w:szCs w:val="28"/>
          <w:highlight w:val="none"/>
        </w:rPr>
      </w:pPr>
      <w:r>
        <w:rPr>
          <w:rFonts w:hint="eastAsia" w:hAnsi="宋体" w:eastAsia="仿宋_GB2312"/>
          <w:b/>
          <w:sz w:val="28"/>
          <w:szCs w:val="28"/>
          <w:highlight w:val="none"/>
        </w:rPr>
        <w:t>九、</w:t>
      </w:r>
      <w:r>
        <w:rPr>
          <w:rFonts w:hint="eastAsia" w:hAnsi="宋体" w:eastAsia="仿宋_GB2312"/>
          <w:bCs/>
          <w:sz w:val="28"/>
          <w:szCs w:val="28"/>
          <w:highlight w:val="none"/>
        </w:rPr>
        <w:t>本框架合同自</w:t>
      </w:r>
      <w:r>
        <w:rPr>
          <w:rFonts w:hint="eastAsia" w:hAnsi="宋体" w:eastAsia="仿宋_GB2312"/>
          <w:sz w:val="28"/>
          <w:szCs w:val="28"/>
          <w:highlight w:val="none"/>
        </w:rPr>
        <w:t>甲方</w:t>
      </w:r>
      <w:r>
        <w:rPr>
          <w:rFonts w:hint="eastAsia" w:hAnsi="宋体" w:eastAsia="仿宋_GB2312"/>
          <w:bCs/>
          <w:sz w:val="28"/>
          <w:szCs w:val="28"/>
          <w:highlight w:val="none"/>
        </w:rPr>
        <w:t>、</w:t>
      </w:r>
      <w:r>
        <w:rPr>
          <w:rFonts w:hint="eastAsia" w:hAnsi="宋体" w:eastAsia="仿宋_GB2312"/>
          <w:sz w:val="28"/>
          <w:szCs w:val="28"/>
          <w:highlight w:val="none"/>
        </w:rPr>
        <w:t>乙方</w:t>
      </w:r>
      <w:r>
        <w:rPr>
          <w:rFonts w:hint="eastAsia" w:hAnsi="宋体" w:eastAsia="仿宋_GB2312"/>
          <w:bCs/>
          <w:sz w:val="28"/>
          <w:szCs w:val="28"/>
          <w:highlight w:val="none"/>
        </w:rPr>
        <w:t>双方</w:t>
      </w:r>
      <w:r>
        <w:rPr>
          <w:rFonts w:hint="eastAsia" w:hAnsi="宋体" w:eastAsia="仿宋_GB2312"/>
          <w:sz w:val="28"/>
          <w:szCs w:val="28"/>
          <w:highlight w:val="none"/>
        </w:rPr>
        <w:t>法定代表人（或其授权代理人）签字并加盖法人印章</w:t>
      </w:r>
      <w:r>
        <w:rPr>
          <w:rFonts w:hint="eastAsia" w:hAnsi="宋体" w:eastAsia="仿宋_GB2312"/>
          <w:bCs/>
          <w:sz w:val="28"/>
          <w:szCs w:val="28"/>
          <w:highlight w:val="none"/>
        </w:rPr>
        <w:t>之日起生效，至甲方、乙方</w:t>
      </w:r>
      <w:r>
        <w:rPr>
          <w:rFonts w:hint="eastAsia" w:hAnsi="宋体" w:eastAsia="仿宋_GB2312"/>
          <w:sz w:val="28"/>
          <w:szCs w:val="28"/>
          <w:highlight w:val="none"/>
        </w:rPr>
        <w:t>履行完本框架合同及</w:t>
      </w:r>
      <w:r>
        <w:rPr>
          <w:rFonts w:hint="eastAsia" w:eastAsia="仿宋_GB2312"/>
          <w:sz w:val="28"/>
          <w:szCs w:val="28"/>
          <w:highlight w:val="none"/>
        </w:rPr>
        <w:t>本合同实施期间双方签订的各单项工程检测服务合同及其补充协议</w:t>
      </w:r>
      <w:r>
        <w:rPr>
          <w:rFonts w:hint="eastAsia" w:hAnsi="宋体" w:eastAsia="仿宋_GB2312"/>
          <w:sz w:val="28"/>
          <w:szCs w:val="28"/>
          <w:highlight w:val="none"/>
        </w:rPr>
        <w:t>约定的义务后，本合同终止。</w:t>
      </w:r>
    </w:p>
    <w:p w14:paraId="397CD5DE">
      <w:pPr>
        <w:spacing w:line="520" w:lineRule="exact"/>
        <w:ind w:firstLine="562" w:firstLineChars="200"/>
        <w:rPr>
          <w:rFonts w:ascii="仿宋" w:hAnsi="仿宋" w:eastAsia="仿宋"/>
          <w:sz w:val="28"/>
          <w:szCs w:val="28"/>
          <w:highlight w:val="none"/>
        </w:rPr>
      </w:pPr>
      <w:r>
        <w:rPr>
          <w:rFonts w:hint="eastAsia" w:hAnsi="宋体" w:eastAsia="仿宋_GB2312"/>
          <w:b/>
          <w:bCs/>
          <w:sz w:val="28"/>
          <w:szCs w:val="28"/>
          <w:highlight w:val="none"/>
        </w:rPr>
        <w:t>十</w:t>
      </w:r>
      <w:r>
        <w:rPr>
          <w:rFonts w:hint="eastAsia" w:hAnsi="宋体" w:eastAsia="仿宋_GB2312"/>
          <w:b/>
          <w:sz w:val="28"/>
          <w:szCs w:val="28"/>
          <w:highlight w:val="none"/>
        </w:rPr>
        <w:t>、</w:t>
      </w:r>
      <w:r>
        <w:rPr>
          <w:rFonts w:hint="eastAsia" w:ascii="仿宋" w:hAnsi="仿宋" w:eastAsia="仿宋"/>
          <w:sz w:val="28"/>
          <w:szCs w:val="28"/>
          <w:highlight w:val="none"/>
        </w:rPr>
        <w:t>如乙方为联合体的，本合同协议书由联合体共同签订，由联合体主办方负责开具合同价款全额发票、收取合同款项，联合体主办方收取合同款项后由联合体各方自行分配相应款项，具体分配事宜与甲方无关。</w:t>
      </w:r>
    </w:p>
    <w:p w14:paraId="6E842BA2">
      <w:pPr>
        <w:adjustRightInd w:val="0"/>
        <w:snapToGrid w:val="0"/>
        <w:spacing w:line="500" w:lineRule="exact"/>
        <w:ind w:firstLine="562" w:firstLineChars="200"/>
        <w:rPr>
          <w:rFonts w:hAnsi="宋体" w:eastAsia="仿宋_GB2312"/>
          <w:sz w:val="28"/>
          <w:szCs w:val="28"/>
          <w:highlight w:val="none"/>
        </w:rPr>
      </w:pPr>
      <w:r>
        <w:rPr>
          <w:rFonts w:hint="eastAsia" w:hAnsi="宋体" w:eastAsia="仿宋_GB2312"/>
          <w:b/>
          <w:sz w:val="28"/>
          <w:szCs w:val="28"/>
          <w:highlight w:val="none"/>
        </w:rPr>
        <w:t>十一、</w:t>
      </w:r>
      <w:r>
        <w:rPr>
          <w:rFonts w:hint="eastAsia" w:hAnsi="宋体" w:eastAsia="仿宋_GB2312"/>
          <w:bCs/>
          <w:sz w:val="28"/>
          <w:szCs w:val="28"/>
          <w:highlight w:val="none"/>
        </w:rPr>
        <w:t>本框架合同正本一式  份，</w:t>
      </w:r>
      <w:r>
        <w:rPr>
          <w:rFonts w:hint="eastAsia" w:hAnsi="宋体" w:eastAsia="仿宋_GB2312"/>
          <w:sz w:val="28"/>
          <w:szCs w:val="28"/>
          <w:highlight w:val="none"/>
        </w:rPr>
        <w:t>甲、乙双方</w:t>
      </w:r>
      <w:r>
        <w:rPr>
          <w:rFonts w:hint="eastAsia" w:hAnsi="宋体" w:eastAsia="仿宋_GB2312"/>
          <w:bCs/>
          <w:sz w:val="28"/>
          <w:szCs w:val="28"/>
          <w:highlight w:val="none"/>
        </w:rPr>
        <w:t>各执一份；副本  份，</w:t>
      </w:r>
      <w:r>
        <w:rPr>
          <w:rFonts w:hint="eastAsia" w:hAnsi="宋体" w:eastAsia="仿宋_GB2312"/>
          <w:sz w:val="28"/>
          <w:szCs w:val="28"/>
          <w:highlight w:val="none"/>
        </w:rPr>
        <w:t>甲方</w:t>
      </w:r>
      <w:r>
        <w:rPr>
          <w:rFonts w:hint="eastAsia" w:hAnsi="宋体" w:eastAsia="仿宋_GB2312"/>
          <w:bCs/>
          <w:sz w:val="28"/>
          <w:szCs w:val="28"/>
          <w:highlight w:val="none"/>
        </w:rPr>
        <w:t>执四份，</w:t>
      </w:r>
      <w:r>
        <w:rPr>
          <w:rFonts w:hint="eastAsia" w:hAnsi="宋体" w:eastAsia="仿宋_GB2312"/>
          <w:sz w:val="28"/>
          <w:szCs w:val="28"/>
          <w:highlight w:val="none"/>
        </w:rPr>
        <w:t>乙方</w:t>
      </w:r>
      <w:r>
        <w:rPr>
          <w:rFonts w:hint="eastAsia" w:hAnsi="宋体" w:eastAsia="仿宋_GB2312"/>
          <w:bCs/>
          <w:sz w:val="28"/>
          <w:szCs w:val="28"/>
          <w:highlight w:val="none"/>
        </w:rPr>
        <w:t>执  份。</w:t>
      </w:r>
      <w:r>
        <w:rPr>
          <w:rFonts w:hint="eastAsia" w:hAnsi="宋体" w:eastAsia="仿宋_GB2312"/>
          <w:sz w:val="28"/>
          <w:szCs w:val="28"/>
          <w:highlight w:val="none"/>
        </w:rPr>
        <w:t>合同正、副本具有同等效力，但当合同正本与副本的表述不一致时，以合同正本为准。</w:t>
      </w:r>
    </w:p>
    <w:p w14:paraId="19A3336E">
      <w:pPr>
        <w:spacing w:line="500" w:lineRule="exact"/>
        <w:ind w:firstLine="560" w:firstLineChars="200"/>
        <w:rPr>
          <w:rFonts w:hAnsi="宋体" w:eastAsia="仿宋_GB2312"/>
          <w:sz w:val="28"/>
          <w:szCs w:val="28"/>
          <w:highlight w:val="none"/>
        </w:rPr>
      </w:pPr>
    </w:p>
    <w:p w14:paraId="30ACDDD1">
      <w:pPr>
        <w:spacing w:line="500" w:lineRule="exact"/>
        <w:ind w:firstLine="560" w:firstLineChars="200"/>
        <w:rPr>
          <w:rFonts w:hAnsi="宋体" w:eastAsia="仿宋_GB2312"/>
          <w:sz w:val="28"/>
          <w:szCs w:val="28"/>
          <w:highlight w:val="none"/>
        </w:rPr>
      </w:pPr>
      <w:r>
        <w:rPr>
          <w:rFonts w:hint="eastAsia" w:hAnsi="宋体" w:eastAsia="仿宋_GB2312"/>
          <w:sz w:val="28"/>
          <w:szCs w:val="28"/>
          <w:highlight w:val="none"/>
        </w:rPr>
        <w:t>附件：</w:t>
      </w:r>
    </w:p>
    <w:p w14:paraId="690C5A54">
      <w:pPr>
        <w:spacing w:line="500" w:lineRule="exact"/>
        <w:ind w:firstLine="560" w:firstLineChars="200"/>
        <w:rPr>
          <w:rFonts w:hAnsi="宋体" w:eastAsia="仿宋_GB2312"/>
          <w:sz w:val="28"/>
          <w:szCs w:val="28"/>
          <w:highlight w:val="none"/>
        </w:rPr>
      </w:pPr>
      <w:r>
        <w:rPr>
          <w:rFonts w:hint="eastAsia" w:hAnsi="宋体" w:eastAsia="仿宋_GB2312"/>
          <w:sz w:val="28"/>
          <w:szCs w:val="28"/>
          <w:highlight w:val="none"/>
        </w:rPr>
        <w:t>1.工程建设项目廉政责任书。</w:t>
      </w:r>
    </w:p>
    <w:p w14:paraId="11FD4484">
      <w:pPr>
        <w:spacing w:line="500" w:lineRule="exact"/>
        <w:ind w:firstLine="560" w:firstLineChars="200"/>
        <w:rPr>
          <w:rFonts w:hAnsi="宋体" w:eastAsia="仿宋_GB2312"/>
          <w:sz w:val="28"/>
          <w:szCs w:val="28"/>
          <w:highlight w:val="none"/>
        </w:rPr>
      </w:pPr>
      <w:r>
        <w:rPr>
          <w:rFonts w:hint="eastAsia" w:hAnsi="宋体" w:eastAsia="仿宋_GB2312"/>
          <w:sz w:val="28"/>
          <w:szCs w:val="28"/>
          <w:highlight w:val="none"/>
        </w:rPr>
        <w:t>2.单项工程检测服务合同文本（格式）</w:t>
      </w:r>
    </w:p>
    <w:p w14:paraId="40B5814B">
      <w:pPr>
        <w:adjustRightInd w:val="0"/>
        <w:snapToGrid w:val="0"/>
        <w:spacing w:line="500" w:lineRule="exact"/>
        <w:ind w:right="11" w:firstLine="560" w:firstLineChars="200"/>
        <w:rPr>
          <w:rFonts w:hAnsi="宋体" w:eastAsia="仿宋_GB2312"/>
          <w:sz w:val="28"/>
          <w:szCs w:val="28"/>
          <w:highlight w:val="none"/>
        </w:rPr>
      </w:pPr>
    </w:p>
    <w:p w14:paraId="115F24EB">
      <w:pPr>
        <w:adjustRightInd w:val="0"/>
        <w:snapToGrid w:val="0"/>
        <w:spacing w:line="500" w:lineRule="exact"/>
        <w:ind w:right="11"/>
        <w:rPr>
          <w:rFonts w:hAnsi="宋体" w:eastAsia="仿宋_GB2312"/>
          <w:sz w:val="28"/>
          <w:szCs w:val="28"/>
          <w:highlight w:val="none"/>
        </w:rPr>
      </w:pPr>
    </w:p>
    <w:tbl>
      <w:tblPr>
        <w:tblStyle w:val="27"/>
        <w:tblW w:w="8755" w:type="dxa"/>
        <w:tblInd w:w="0" w:type="dxa"/>
        <w:tblLayout w:type="fixed"/>
        <w:tblCellMar>
          <w:top w:w="0" w:type="dxa"/>
          <w:left w:w="108" w:type="dxa"/>
          <w:bottom w:w="0" w:type="dxa"/>
          <w:right w:w="108" w:type="dxa"/>
        </w:tblCellMar>
      </w:tblPr>
      <w:tblGrid>
        <w:gridCol w:w="1571"/>
        <w:gridCol w:w="2693"/>
        <w:gridCol w:w="1656"/>
        <w:gridCol w:w="2835"/>
      </w:tblGrid>
      <w:tr w14:paraId="02DF91CE">
        <w:tblPrEx>
          <w:tblCellMar>
            <w:top w:w="0" w:type="dxa"/>
            <w:left w:w="108" w:type="dxa"/>
            <w:bottom w:w="0" w:type="dxa"/>
            <w:right w:w="108" w:type="dxa"/>
          </w:tblCellMar>
        </w:tblPrEx>
        <w:trPr>
          <w:trHeight w:val="733" w:hRule="atLeast"/>
        </w:trPr>
        <w:tc>
          <w:tcPr>
            <w:tcW w:w="1571" w:type="dxa"/>
            <w:vAlign w:val="center"/>
          </w:tcPr>
          <w:p w14:paraId="77E33588">
            <w:pPr>
              <w:widowControl/>
              <w:topLinePunct/>
              <w:adjustRightInd w:val="0"/>
              <w:snapToGrid w:val="0"/>
              <w:rPr>
                <w:rFonts w:ascii="仿宋" w:hAnsi="仿宋" w:eastAsia="仿宋"/>
                <w:b/>
                <w:sz w:val="24"/>
                <w:highlight w:val="none"/>
              </w:rPr>
            </w:pPr>
            <w:r>
              <w:rPr>
                <w:rFonts w:hint="eastAsia" w:ascii="仿宋" w:hAnsi="仿宋" w:eastAsia="仿宋"/>
                <w:b/>
                <w:sz w:val="24"/>
                <w:highlight w:val="none"/>
              </w:rPr>
              <w:t>甲      方：</w:t>
            </w:r>
          </w:p>
        </w:tc>
        <w:tc>
          <w:tcPr>
            <w:tcW w:w="2693" w:type="dxa"/>
            <w:vAlign w:val="center"/>
          </w:tcPr>
          <w:p w14:paraId="6E9551FA">
            <w:pPr>
              <w:widowControl/>
              <w:topLinePunct/>
              <w:adjustRightInd w:val="0"/>
              <w:snapToGrid w:val="0"/>
              <w:spacing w:line="300" w:lineRule="exact"/>
              <w:rPr>
                <w:rFonts w:ascii="仿宋" w:hAnsi="仿宋" w:eastAsia="仿宋"/>
                <w:sz w:val="24"/>
                <w:highlight w:val="none"/>
              </w:rPr>
            </w:pPr>
            <w:r>
              <w:rPr>
                <w:rFonts w:hint="eastAsia" w:ascii="仿宋" w:hAnsi="仿宋" w:eastAsia="仿宋"/>
                <w:sz w:val="24"/>
                <w:highlight w:val="none"/>
              </w:rPr>
              <w:t>广州开发区财政投资建设项目管理中心</w:t>
            </w:r>
          </w:p>
        </w:tc>
        <w:tc>
          <w:tcPr>
            <w:tcW w:w="1656" w:type="dxa"/>
            <w:vAlign w:val="center"/>
          </w:tcPr>
          <w:p w14:paraId="4E1C0A88">
            <w:pPr>
              <w:widowControl/>
              <w:topLinePunct/>
              <w:adjustRightInd w:val="0"/>
              <w:snapToGrid w:val="0"/>
              <w:rPr>
                <w:rFonts w:ascii="仿宋" w:hAnsi="仿宋" w:eastAsia="仿宋"/>
                <w:b/>
                <w:sz w:val="24"/>
                <w:highlight w:val="none"/>
              </w:rPr>
            </w:pPr>
            <w:r>
              <w:rPr>
                <w:rFonts w:hint="eastAsia" w:ascii="仿宋" w:hAnsi="仿宋" w:eastAsia="仿宋"/>
                <w:b/>
                <w:sz w:val="24"/>
                <w:highlight w:val="none"/>
              </w:rPr>
              <w:t>乙      方：</w:t>
            </w:r>
          </w:p>
        </w:tc>
        <w:tc>
          <w:tcPr>
            <w:tcW w:w="2835" w:type="dxa"/>
            <w:vAlign w:val="center"/>
          </w:tcPr>
          <w:p w14:paraId="27E36246">
            <w:pPr>
              <w:widowControl/>
              <w:topLinePunct/>
              <w:adjustRightInd w:val="0"/>
              <w:snapToGrid w:val="0"/>
              <w:spacing w:line="300" w:lineRule="exact"/>
              <w:rPr>
                <w:rFonts w:ascii="仿宋" w:hAnsi="仿宋" w:eastAsia="仿宋"/>
                <w:szCs w:val="21"/>
                <w:highlight w:val="none"/>
              </w:rPr>
            </w:pPr>
          </w:p>
        </w:tc>
      </w:tr>
      <w:tr w14:paraId="5CC860FB">
        <w:tblPrEx>
          <w:tblCellMar>
            <w:top w:w="0" w:type="dxa"/>
            <w:left w:w="108" w:type="dxa"/>
            <w:bottom w:w="0" w:type="dxa"/>
            <w:right w:w="108" w:type="dxa"/>
          </w:tblCellMar>
        </w:tblPrEx>
        <w:trPr>
          <w:trHeight w:val="796" w:hRule="atLeast"/>
        </w:trPr>
        <w:tc>
          <w:tcPr>
            <w:tcW w:w="1571" w:type="dxa"/>
            <w:vAlign w:val="center"/>
          </w:tcPr>
          <w:p w14:paraId="77DFD9AA">
            <w:pPr>
              <w:widowControl/>
              <w:topLinePunct/>
              <w:adjustRightInd w:val="0"/>
              <w:snapToGrid w:val="0"/>
              <w:rPr>
                <w:rFonts w:ascii="仿宋" w:hAnsi="仿宋" w:eastAsia="仿宋"/>
                <w:b/>
                <w:sz w:val="24"/>
                <w:highlight w:val="none"/>
              </w:rPr>
            </w:pPr>
            <w:r>
              <w:rPr>
                <w:rFonts w:hint="eastAsia" w:ascii="仿宋" w:hAnsi="仿宋" w:eastAsia="仿宋"/>
                <w:b/>
                <w:sz w:val="24"/>
                <w:highlight w:val="none"/>
              </w:rPr>
              <w:t>住      所：</w:t>
            </w:r>
          </w:p>
        </w:tc>
        <w:tc>
          <w:tcPr>
            <w:tcW w:w="2693" w:type="dxa"/>
            <w:vAlign w:val="center"/>
          </w:tcPr>
          <w:p w14:paraId="672B7665">
            <w:pPr>
              <w:widowControl/>
              <w:topLinePunct/>
              <w:adjustRightInd w:val="0"/>
              <w:snapToGrid w:val="0"/>
              <w:spacing w:line="300" w:lineRule="exact"/>
              <w:rPr>
                <w:rFonts w:ascii="仿宋" w:hAnsi="仿宋" w:eastAsia="仿宋"/>
                <w:sz w:val="24"/>
                <w:highlight w:val="none"/>
              </w:rPr>
            </w:pPr>
          </w:p>
        </w:tc>
        <w:tc>
          <w:tcPr>
            <w:tcW w:w="1656" w:type="dxa"/>
            <w:vAlign w:val="center"/>
          </w:tcPr>
          <w:p w14:paraId="00BB2B57">
            <w:pPr>
              <w:widowControl/>
              <w:topLinePunct/>
              <w:adjustRightInd w:val="0"/>
              <w:snapToGrid w:val="0"/>
              <w:rPr>
                <w:rFonts w:ascii="仿宋" w:hAnsi="仿宋" w:eastAsia="仿宋"/>
                <w:b/>
                <w:sz w:val="24"/>
                <w:highlight w:val="none"/>
              </w:rPr>
            </w:pPr>
            <w:r>
              <w:rPr>
                <w:rFonts w:hint="eastAsia" w:ascii="仿宋" w:hAnsi="仿宋" w:eastAsia="仿宋"/>
                <w:b/>
                <w:sz w:val="24"/>
                <w:highlight w:val="none"/>
              </w:rPr>
              <w:t>住      所：</w:t>
            </w:r>
          </w:p>
        </w:tc>
        <w:tc>
          <w:tcPr>
            <w:tcW w:w="2835" w:type="dxa"/>
            <w:vAlign w:val="center"/>
          </w:tcPr>
          <w:p w14:paraId="0EC94551">
            <w:pPr>
              <w:widowControl/>
              <w:topLinePunct/>
              <w:adjustRightInd w:val="0"/>
              <w:snapToGrid w:val="0"/>
              <w:spacing w:line="300" w:lineRule="exact"/>
              <w:rPr>
                <w:rFonts w:ascii="仿宋" w:hAnsi="仿宋" w:eastAsia="仿宋"/>
                <w:sz w:val="24"/>
                <w:highlight w:val="none"/>
              </w:rPr>
            </w:pPr>
          </w:p>
        </w:tc>
      </w:tr>
      <w:tr w14:paraId="7E2ED75C">
        <w:tblPrEx>
          <w:tblCellMar>
            <w:top w:w="0" w:type="dxa"/>
            <w:left w:w="108" w:type="dxa"/>
            <w:bottom w:w="0" w:type="dxa"/>
            <w:right w:w="108" w:type="dxa"/>
          </w:tblCellMar>
        </w:tblPrEx>
        <w:trPr>
          <w:trHeight w:val="901" w:hRule="atLeast"/>
        </w:trPr>
        <w:tc>
          <w:tcPr>
            <w:tcW w:w="1571" w:type="dxa"/>
            <w:vAlign w:val="center"/>
          </w:tcPr>
          <w:p w14:paraId="611D96E2">
            <w:pPr>
              <w:widowControl/>
              <w:topLinePunct/>
              <w:adjustRightInd w:val="0"/>
              <w:snapToGrid w:val="0"/>
              <w:rPr>
                <w:rFonts w:ascii="仿宋" w:hAnsi="仿宋" w:eastAsia="仿宋"/>
                <w:b/>
                <w:sz w:val="24"/>
                <w:highlight w:val="none"/>
              </w:rPr>
            </w:pPr>
            <w:r>
              <w:rPr>
                <w:rFonts w:hint="eastAsia" w:ascii="仿宋" w:hAnsi="仿宋" w:eastAsia="仿宋"/>
                <w:b/>
                <w:sz w:val="24"/>
                <w:highlight w:val="none"/>
              </w:rPr>
              <w:t>法定代表人：</w:t>
            </w:r>
          </w:p>
        </w:tc>
        <w:tc>
          <w:tcPr>
            <w:tcW w:w="2693" w:type="dxa"/>
            <w:vAlign w:val="center"/>
          </w:tcPr>
          <w:p w14:paraId="15B3F81B">
            <w:pPr>
              <w:widowControl/>
              <w:topLinePunct/>
              <w:adjustRightInd w:val="0"/>
              <w:snapToGrid w:val="0"/>
              <w:spacing w:line="300" w:lineRule="exact"/>
              <w:ind w:firstLine="480"/>
              <w:rPr>
                <w:rFonts w:ascii="仿宋" w:hAnsi="仿宋" w:eastAsia="仿宋"/>
                <w:sz w:val="24"/>
                <w:highlight w:val="none"/>
              </w:rPr>
            </w:pPr>
          </w:p>
        </w:tc>
        <w:tc>
          <w:tcPr>
            <w:tcW w:w="1656" w:type="dxa"/>
            <w:vAlign w:val="center"/>
          </w:tcPr>
          <w:p w14:paraId="2438E3E7">
            <w:pPr>
              <w:widowControl/>
              <w:topLinePunct/>
              <w:adjustRightInd w:val="0"/>
              <w:snapToGrid w:val="0"/>
              <w:rPr>
                <w:rFonts w:ascii="仿宋" w:hAnsi="仿宋" w:eastAsia="仿宋"/>
                <w:b/>
                <w:sz w:val="24"/>
                <w:highlight w:val="none"/>
              </w:rPr>
            </w:pPr>
            <w:r>
              <w:rPr>
                <w:rFonts w:hint="eastAsia" w:ascii="仿宋" w:hAnsi="仿宋" w:eastAsia="仿宋"/>
                <w:b/>
                <w:sz w:val="24"/>
                <w:highlight w:val="none"/>
              </w:rPr>
              <w:t>法定代表人：</w:t>
            </w:r>
          </w:p>
        </w:tc>
        <w:tc>
          <w:tcPr>
            <w:tcW w:w="2835" w:type="dxa"/>
            <w:vAlign w:val="center"/>
          </w:tcPr>
          <w:p w14:paraId="6B0F2F0E">
            <w:pPr>
              <w:widowControl/>
              <w:topLinePunct/>
              <w:adjustRightInd w:val="0"/>
              <w:snapToGrid w:val="0"/>
              <w:spacing w:line="300" w:lineRule="exact"/>
              <w:ind w:firstLine="480"/>
              <w:rPr>
                <w:rFonts w:ascii="仿宋" w:hAnsi="仿宋" w:eastAsia="仿宋"/>
                <w:sz w:val="24"/>
                <w:highlight w:val="none"/>
              </w:rPr>
            </w:pPr>
          </w:p>
        </w:tc>
      </w:tr>
      <w:tr w14:paraId="414DABAB">
        <w:tblPrEx>
          <w:tblCellMar>
            <w:top w:w="0" w:type="dxa"/>
            <w:left w:w="108" w:type="dxa"/>
            <w:bottom w:w="0" w:type="dxa"/>
            <w:right w:w="108" w:type="dxa"/>
          </w:tblCellMar>
        </w:tblPrEx>
        <w:trPr>
          <w:trHeight w:val="810" w:hRule="atLeast"/>
        </w:trPr>
        <w:tc>
          <w:tcPr>
            <w:tcW w:w="1571" w:type="dxa"/>
            <w:vAlign w:val="center"/>
          </w:tcPr>
          <w:p w14:paraId="0036994D">
            <w:pPr>
              <w:widowControl/>
              <w:topLinePunct/>
              <w:adjustRightInd w:val="0"/>
              <w:snapToGrid w:val="0"/>
              <w:rPr>
                <w:rFonts w:ascii="仿宋" w:hAnsi="仿宋" w:eastAsia="仿宋"/>
                <w:b/>
                <w:sz w:val="24"/>
                <w:highlight w:val="none"/>
              </w:rPr>
            </w:pPr>
            <w:r>
              <w:rPr>
                <w:rFonts w:hint="eastAsia" w:ascii="仿宋" w:hAnsi="仿宋" w:eastAsia="仿宋"/>
                <w:b/>
                <w:sz w:val="24"/>
                <w:highlight w:val="none"/>
              </w:rPr>
              <w:t>委托代理人：</w:t>
            </w:r>
          </w:p>
        </w:tc>
        <w:tc>
          <w:tcPr>
            <w:tcW w:w="2693" w:type="dxa"/>
            <w:vAlign w:val="center"/>
          </w:tcPr>
          <w:p w14:paraId="283BD705">
            <w:pPr>
              <w:widowControl/>
              <w:topLinePunct/>
              <w:adjustRightInd w:val="0"/>
              <w:snapToGrid w:val="0"/>
              <w:spacing w:line="300" w:lineRule="exact"/>
              <w:ind w:firstLine="480"/>
              <w:rPr>
                <w:rFonts w:ascii="仿宋" w:hAnsi="仿宋" w:eastAsia="仿宋"/>
                <w:sz w:val="24"/>
                <w:highlight w:val="none"/>
              </w:rPr>
            </w:pPr>
          </w:p>
        </w:tc>
        <w:tc>
          <w:tcPr>
            <w:tcW w:w="1656" w:type="dxa"/>
            <w:vAlign w:val="center"/>
          </w:tcPr>
          <w:p w14:paraId="56FF7F11">
            <w:pPr>
              <w:widowControl/>
              <w:topLinePunct/>
              <w:adjustRightInd w:val="0"/>
              <w:snapToGrid w:val="0"/>
              <w:rPr>
                <w:rFonts w:ascii="仿宋" w:hAnsi="仿宋" w:eastAsia="仿宋"/>
                <w:b/>
                <w:sz w:val="24"/>
                <w:highlight w:val="none"/>
              </w:rPr>
            </w:pPr>
            <w:r>
              <w:rPr>
                <w:rFonts w:hint="eastAsia" w:ascii="仿宋" w:hAnsi="仿宋" w:eastAsia="仿宋"/>
                <w:b/>
                <w:sz w:val="24"/>
                <w:highlight w:val="none"/>
              </w:rPr>
              <w:t>委托代理人：</w:t>
            </w:r>
          </w:p>
        </w:tc>
        <w:tc>
          <w:tcPr>
            <w:tcW w:w="2835" w:type="dxa"/>
            <w:vAlign w:val="center"/>
          </w:tcPr>
          <w:p w14:paraId="401B62C8">
            <w:pPr>
              <w:widowControl/>
              <w:topLinePunct/>
              <w:adjustRightInd w:val="0"/>
              <w:snapToGrid w:val="0"/>
              <w:spacing w:line="300" w:lineRule="exact"/>
              <w:ind w:firstLine="480"/>
              <w:rPr>
                <w:rFonts w:ascii="仿宋" w:hAnsi="仿宋" w:eastAsia="仿宋"/>
                <w:sz w:val="24"/>
                <w:highlight w:val="none"/>
              </w:rPr>
            </w:pPr>
          </w:p>
        </w:tc>
      </w:tr>
      <w:tr w14:paraId="503042E7">
        <w:tblPrEx>
          <w:tblCellMar>
            <w:top w:w="0" w:type="dxa"/>
            <w:left w:w="108" w:type="dxa"/>
            <w:bottom w:w="0" w:type="dxa"/>
            <w:right w:w="108" w:type="dxa"/>
          </w:tblCellMar>
        </w:tblPrEx>
        <w:trPr>
          <w:trHeight w:val="450" w:hRule="atLeast"/>
        </w:trPr>
        <w:tc>
          <w:tcPr>
            <w:tcW w:w="1571" w:type="dxa"/>
            <w:vAlign w:val="center"/>
          </w:tcPr>
          <w:p w14:paraId="147EDBD8">
            <w:pPr>
              <w:widowControl/>
              <w:topLinePunct/>
              <w:adjustRightInd w:val="0"/>
              <w:snapToGrid w:val="0"/>
              <w:rPr>
                <w:rFonts w:ascii="仿宋" w:hAnsi="仿宋" w:eastAsia="仿宋"/>
                <w:b/>
                <w:sz w:val="24"/>
                <w:highlight w:val="none"/>
              </w:rPr>
            </w:pPr>
            <w:r>
              <w:rPr>
                <w:rFonts w:hint="eastAsia" w:ascii="仿宋" w:hAnsi="仿宋" w:eastAsia="仿宋"/>
                <w:b/>
                <w:sz w:val="24"/>
                <w:highlight w:val="none"/>
              </w:rPr>
              <w:t>电      话：</w:t>
            </w:r>
          </w:p>
        </w:tc>
        <w:tc>
          <w:tcPr>
            <w:tcW w:w="2693" w:type="dxa"/>
            <w:vAlign w:val="center"/>
          </w:tcPr>
          <w:p w14:paraId="2DE12D0C">
            <w:pPr>
              <w:widowControl/>
              <w:topLinePunct/>
              <w:adjustRightInd w:val="0"/>
              <w:snapToGrid w:val="0"/>
              <w:spacing w:line="300" w:lineRule="exact"/>
              <w:ind w:firstLine="480"/>
              <w:rPr>
                <w:rFonts w:ascii="仿宋" w:hAnsi="仿宋" w:eastAsia="仿宋"/>
                <w:sz w:val="24"/>
                <w:highlight w:val="none"/>
              </w:rPr>
            </w:pPr>
          </w:p>
        </w:tc>
        <w:tc>
          <w:tcPr>
            <w:tcW w:w="1656" w:type="dxa"/>
            <w:vAlign w:val="center"/>
          </w:tcPr>
          <w:p w14:paraId="6DA7B9CA">
            <w:pPr>
              <w:widowControl/>
              <w:topLinePunct/>
              <w:adjustRightInd w:val="0"/>
              <w:snapToGrid w:val="0"/>
              <w:rPr>
                <w:rFonts w:ascii="仿宋" w:hAnsi="仿宋" w:eastAsia="仿宋"/>
                <w:b/>
                <w:sz w:val="24"/>
                <w:highlight w:val="none"/>
              </w:rPr>
            </w:pPr>
            <w:r>
              <w:rPr>
                <w:rFonts w:hint="eastAsia" w:ascii="仿宋" w:hAnsi="仿宋" w:eastAsia="仿宋"/>
                <w:b/>
                <w:sz w:val="24"/>
                <w:highlight w:val="none"/>
              </w:rPr>
              <w:t>电      话：</w:t>
            </w:r>
          </w:p>
        </w:tc>
        <w:tc>
          <w:tcPr>
            <w:tcW w:w="2835" w:type="dxa"/>
            <w:vAlign w:val="center"/>
          </w:tcPr>
          <w:p w14:paraId="3477728B">
            <w:pPr>
              <w:rPr>
                <w:rFonts w:ascii="仿宋" w:hAnsi="仿宋" w:eastAsia="仿宋"/>
                <w:sz w:val="24"/>
                <w:highlight w:val="none"/>
              </w:rPr>
            </w:pPr>
          </w:p>
        </w:tc>
      </w:tr>
      <w:tr w14:paraId="5D870A8B">
        <w:tblPrEx>
          <w:tblCellMar>
            <w:top w:w="0" w:type="dxa"/>
            <w:left w:w="108" w:type="dxa"/>
            <w:bottom w:w="0" w:type="dxa"/>
            <w:right w:w="108" w:type="dxa"/>
          </w:tblCellMar>
        </w:tblPrEx>
        <w:trPr>
          <w:trHeight w:val="330" w:hRule="atLeast"/>
        </w:trPr>
        <w:tc>
          <w:tcPr>
            <w:tcW w:w="1571" w:type="dxa"/>
            <w:vAlign w:val="center"/>
          </w:tcPr>
          <w:p w14:paraId="04110628">
            <w:pPr>
              <w:widowControl/>
              <w:topLinePunct/>
              <w:adjustRightInd w:val="0"/>
              <w:snapToGrid w:val="0"/>
              <w:rPr>
                <w:rFonts w:ascii="仿宋" w:hAnsi="仿宋" w:eastAsia="仿宋"/>
                <w:b/>
                <w:sz w:val="24"/>
                <w:highlight w:val="none"/>
              </w:rPr>
            </w:pPr>
            <w:r>
              <w:rPr>
                <w:rFonts w:hint="eastAsia" w:ascii="仿宋" w:hAnsi="仿宋" w:eastAsia="仿宋"/>
                <w:b/>
                <w:sz w:val="24"/>
                <w:highlight w:val="none"/>
              </w:rPr>
              <w:t>传      真：</w:t>
            </w:r>
          </w:p>
        </w:tc>
        <w:tc>
          <w:tcPr>
            <w:tcW w:w="2693" w:type="dxa"/>
            <w:vAlign w:val="center"/>
          </w:tcPr>
          <w:p w14:paraId="70996281">
            <w:pPr>
              <w:widowControl/>
              <w:topLinePunct/>
              <w:adjustRightInd w:val="0"/>
              <w:snapToGrid w:val="0"/>
              <w:spacing w:line="300" w:lineRule="exact"/>
              <w:rPr>
                <w:rFonts w:ascii="仿宋" w:hAnsi="仿宋" w:eastAsia="仿宋"/>
                <w:sz w:val="24"/>
                <w:highlight w:val="none"/>
              </w:rPr>
            </w:pPr>
          </w:p>
        </w:tc>
        <w:tc>
          <w:tcPr>
            <w:tcW w:w="1656" w:type="dxa"/>
            <w:vAlign w:val="center"/>
          </w:tcPr>
          <w:p w14:paraId="1F426908">
            <w:pPr>
              <w:widowControl/>
              <w:topLinePunct/>
              <w:adjustRightInd w:val="0"/>
              <w:snapToGrid w:val="0"/>
              <w:rPr>
                <w:rFonts w:ascii="仿宋" w:hAnsi="仿宋" w:eastAsia="仿宋"/>
                <w:b/>
                <w:sz w:val="24"/>
                <w:highlight w:val="none"/>
              </w:rPr>
            </w:pPr>
            <w:r>
              <w:rPr>
                <w:rFonts w:hint="eastAsia" w:ascii="仿宋" w:hAnsi="仿宋" w:eastAsia="仿宋"/>
                <w:b/>
                <w:sz w:val="24"/>
                <w:highlight w:val="none"/>
              </w:rPr>
              <w:t>传      真：</w:t>
            </w:r>
          </w:p>
        </w:tc>
        <w:tc>
          <w:tcPr>
            <w:tcW w:w="2835" w:type="dxa"/>
            <w:vAlign w:val="center"/>
          </w:tcPr>
          <w:p w14:paraId="5387DAF5">
            <w:pPr>
              <w:widowControl/>
              <w:topLinePunct/>
              <w:adjustRightInd w:val="0"/>
              <w:snapToGrid w:val="0"/>
              <w:spacing w:line="300" w:lineRule="exact"/>
              <w:rPr>
                <w:rFonts w:ascii="仿宋" w:hAnsi="仿宋" w:eastAsia="仿宋"/>
                <w:sz w:val="24"/>
                <w:highlight w:val="none"/>
              </w:rPr>
            </w:pPr>
          </w:p>
        </w:tc>
      </w:tr>
      <w:tr w14:paraId="7A1DBB48">
        <w:tblPrEx>
          <w:tblCellMar>
            <w:top w:w="0" w:type="dxa"/>
            <w:left w:w="108" w:type="dxa"/>
            <w:bottom w:w="0" w:type="dxa"/>
            <w:right w:w="108" w:type="dxa"/>
          </w:tblCellMar>
        </w:tblPrEx>
        <w:trPr>
          <w:trHeight w:val="211" w:hRule="atLeast"/>
        </w:trPr>
        <w:tc>
          <w:tcPr>
            <w:tcW w:w="1571" w:type="dxa"/>
            <w:vAlign w:val="center"/>
          </w:tcPr>
          <w:p w14:paraId="6850516C">
            <w:pPr>
              <w:widowControl/>
              <w:topLinePunct/>
              <w:adjustRightInd w:val="0"/>
              <w:snapToGrid w:val="0"/>
              <w:rPr>
                <w:rFonts w:ascii="仿宋" w:hAnsi="仿宋" w:eastAsia="仿宋"/>
                <w:b/>
                <w:sz w:val="24"/>
                <w:highlight w:val="none"/>
              </w:rPr>
            </w:pPr>
            <w:r>
              <w:rPr>
                <w:rFonts w:hint="eastAsia" w:ascii="仿宋" w:hAnsi="仿宋" w:eastAsia="仿宋"/>
                <w:b/>
                <w:sz w:val="24"/>
                <w:highlight w:val="none"/>
              </w:rPr>
              <w:t>开户 银 行：</w:t>
            </w:r>
          </w:p>
        </w:tc>
        <w:tc>
          <w:tcPr>
            <w:tcW w:w="2693" w:type="dxa"/>
            <w:vAlign w:val="center"/>
          </w:tcPr>
          <w:p w14:paraId="231EE304">
            <w:pPr>
              <w:widowControl/>
              <w:topLinePunct/>
              <w:adjustRightInd w:val="0"/>
              <w:snapToGrid w:val="0"/>
              <w:spacing w:line="300" w:lineRule="exact"/>
              <w:ind w:firstLine="480"/>
              <w:rPr>
                <w:rFonts w:ascii="仿宋" w:hAnsi="仿宋" w:eastAsia="仿宋"/>
                <w:sz w:val="24"/>
                <w:highlight w:val="none"/>
              </w:rPr>
            </w:pPr>
          </w:p>
        </w:tc>
        <w:tc>
          <w:tcPr>
            <w:tcW w:w="1656" w:type="dxa"/>
            <w:vAlign w:val="center"/>
          </w:tcPr>
          <w:p w14:paraId="445D2ED3">
            <w:pPr>
              <w:widowControl/>
              <w:topLinePunct/>
              <w:adjustRightInd w:val="0"/>
              <w:snapToGrid w:val="0"/>
              <w:rPr>
                <w:rFonts w:ascii="仿宋" w:hAnsi="仿宋" w:eastAsia="仿宋"/>
                <w:b/>
                <w:sz w:val="24"/>
                <w:highlight w:val="none"/>
              </w:rPr>
            </w:pPr>
            <w:r>
              <w:rPr>
                <w:rFonts w:hint="eastAsia" w:ascii="仿宋" w:hAnsi="仿宋" w:eastAsia="仿宋"/>
                <w:b/>
                <w:sz w:val="24"/>
                <w:highlight w:val="none"/>
              </w:rPr>
              <w:t>开户 银 行：</w:t>
            </w:r>
          </w:p>
        </w:tc>
        <w:tc>
          <w:tcPr>
            <w:tcW w:w="2835" w:type="dxa"/>
            <w:vAlign w:val="center"/>
          </w:tcPr>
          <w:p w14:paraId="35B3B6ED">
            <w:pPr>
              <w:widowControl/>
              <w:topLinePunct/>
              <w:adjustRightInd w:val="0"/>
              <w:snapToGrid w:val="0"/>
              <w:spacing w:line="300" w:lineRule="exact"/>
              <w:rPr>
                <w:rFonts w:ascii="仿宋" w:hAnsi="仿宋" w:eastAsia="仿宋"/>
                <w:sz w:val="24"/>
                <w:highlight w:val="none"/>
              </w:rPr>
            </w:pPr>
          </w:p>
        </w:tc>
      </w:tr>
      <w:tr w14:paraId="0ECE53E8">
        <w:tblPrEx>
          <w:tblCellMar>
            <w:top w:w="0" w:type="dxa"/>
            <w:left w:w="108" w:type="dxa"/>
            <w:bottom w:w="0" w:type="dxa"/>
            <w:right w:w="108" w:type="dxa"/>
          </w:tblCellMar>
        </w:tblPrEx>
        <w:trPr>
          <w:trHeight w:val="420" w:hRule="atLeast"/>
        </w:trPr>
        <w:tc>
          <w:tcPr>
            <w:tcW w:w="1571" w:type="dxa"/>
            <w:vAlign w:val="center"/>
          </w:tcPr>
          <w:p w14:paraId="05414581">
            <w:pPr>
              <w:widowControl/>
              <w:topLinePunct/>
              <w:adjustRightInd w:val="0"/>
              <w:snapToGrid w:val="0"/>
              <w:rPr>
                <w:rFonts w:ascii="仿宋" w:hAnsi="仿宋" w:eastAsia="仿宋"/>
                <w:b/>
                <w:sz w:val="24"/>
                <w:highlight w:val="none"/>
              </w:rPr>
            </w:pPr>
            <w:r>
              <w:rPr>
                <w:rFonts w:hint="eastAsia" w:ascii="仿宋" w:hAnsi="仿宋" w:eastAsia="仿宋"/>
                <w:b/>
                <w:sz w:val="24"/>
                <w:highlight w:val="none"/>
              </w:rPr>
              <w:t>账      号：</w:t>
            </w:r>
          </w:p>
        </w:tc>
        <w:tc>
          <w:tcPr>
            <w:tcW w:w="2693" w:type="dxa"/>
            <w:vAlign w:val="center"/>
          </w:tcPr>
          <w:p w14:paraId="7A159EA0">
            <w:pPr>
              <w:widowControl/>
              <w:topLinePunct/>
              <w:adjustRightInd w:val="0"/>
              <w:snapToGrid w:val="0"/>
              <w:spacing w:line="300" w:lineRule="exact"/>
              <w:ind w:firstLine="480"/>
              <w:rPr>
                <w:rFonts w:ascii="仿宋" w:hAnsi="仿宋" w:eastAsia="仿宋"/>
                <w:sz w:val="24"/>
                <w:highlight w:val="none"/>
              </w:rPr>
            </w:pPr>
          </w:p>
        </w:tc>
        <w:tc>
          <w:tcPr>
            <w:tcW w:w="1656" w:type="dxa"/>
            <w:vAlign w:val="center"/>
          </w:tcPr>
          <w:p w14:paraId="2EA82C1D">
            <w:pPr>
              <w:widowControl/>
              <w:topLinePunct/>
              <w:adjustRightInd w:val="0"/>
              <w:snapToGrid w:val="0"/>
              <w:rPr>
                <w:rFonts w:ascii="仿宋" w:hAnsi="仿宋" w:eastAsia="仿宋"/>
                <w:b/>
                <w:sz w:val="24"/>
                <w:highlight w:val="none"/>
              </w:rPr>
            </w:pPr>
            <w:r>
              <w:rPr>
                <w:rFonts w:hint="eastAsia" w:ascii="仿宋" w:hAnsi="仿宋" w:eastAsia="仿宋"/>
                <w:b/>
                <w:sz w:val="24"/>
                <w:highlight w:val="none"/>
              </w:rPr>
              <w:t>账      号：</w:t>
            </w:r>
          </w:p>
        </w:tc>
        <w:tc>
          <w:tcPr>
            <w:tcW w:w="2835" w:type="dxa"/>
            <w:vAlign w:val="center"/>
          </w:tcPr>
          <w:p w14:paraId="672494EB">
            <w:pPr>
              <w:widowControl/>
              <w:topLinePunct/>
              <w:adjustRightInd w:val="0"/>
              <w:snapToGrid w:val="0"/>
              <w:spacing w:line="300" w:lineRule="exact"/>
              <w:rPr>
                <w:rFonts w:ascii="仿宋" w:hAnsi="仿宋" w:eastAsia="仿宋"/>
                <w:sz w:val="24"/>
                <w:highlight w:val="none"/>
              </w:rPr>
            </w:pPr>
          </w:p>
        </w:tc>
      </w:tr>
      <w:tr w14:paraId="1B4E91B2">
        <w:tblPrEx>
          <w:tblCellMar>
            <w:top w:w="0" w:type="dxa"/>
            <w:left w:w="108" w:type="dxa"/>
            <w:bottom w:w="0" w:type="dxa"/>
            <w:right w:w="108" w:type="dxa"/>
          </w:tblCellMar>
        </w:tblPrEx>
        <w:trPr>
          <w:trHeight w:val="433" w:hRule="atLeast"/>
        </w:trPr>
        <w:tc>
          <w:tcPr>
            <w:tcW w:w="1571" w:type="dxa"/>
            <w:vAlign w:val="center"/>
          </w:tcPr>
          <w:p w14:paraId="5788A9DB">
            <w:pPr>
              <w:widowControl/>
              <w:topLinePunct/>
              <w:adjustRightInd w:val="0"/>
              <w:snapToGrid w:val="0"/>
              <w:rPr>
                <w:rFonts w:ascii="仿宋" w:hAnsi="仿宋" w:eastAsia="仿宋"/>
                <w:b/>
                <w:sz w:val="24"/>
                <w:highlight w:val="none"/>
              </w:rPr>
            </w:pPr>
            <w:r>
              <w:rPr>
                <w:rFonts w:hint="eastAsia" w:ascii="仿宋" w:hAnsi="仿宋" w:eastAsia="仿宋"/>
                <w:b/>
                <w:sz w:val="24"/>
                <w:highlight w:val="none"/>
              </w:rPr>
              <w:t>邮政 编 码：</w:t>
            </w:r>
          </w:p>
        </w:tc>
        <w:tc>
          <w:tcPr>
            <w:tcW w:w="2693" w:type="dxa"/>
            <w:vAlign w:val="center"/>
          </w:tcPr>
          <w:p w14:paraId="66F36AA5">
            <w:pPr>
              <w:widowControl/>
              <w:topLinePunct/>
              <w:adjustRightInd w:val="0"/>
              <w:snapToGrid w:val="0"/>
              <w:spacing w:line="300" w:lineRule="exact"/>
              <w:rPr>
                <w:rFonts w:ascii="仿宋" w:hAnsi="仿宋" w:eastAsia="仿宋"/>
                <w:sz w:val="24"/>
                <w:highlight w:val="none"/>
              </w:rPr>
            </w:pPr>
            <w:r>
              <w:rPr>
                <w:rFonts w:hint="eastAsia" w:ascii="仿宋" w:hAnsi="仿宋" w:eastAsia="仿宋"/>
                <w:sz w:val="24"/>
                <w:highlight w:val="none"/>
              </w:rPr>
              <w:t>510663</w:t>
            </w:r>
          </w:p>
        </w:tc>
        <w:tc>
          <w:tcPr>
            <w:tcW w:w="1656" w:type="dxa"/>
            <w:vAlign w:val="center"/>
          </w:tcPr>
          <w:p w14:paraId="08D396B6">
            <w:pPr>
              <w:widowControl/>
              <w:topLinePunct/>
              <w:adjustRightInd w:val="0"/>
              <w:snapToGrid w:val="0"/>
              <w:rPr>
                <w:rFonts w:ascii="仿宋" w:hAnsi="仿宋" w:eastAsia="仿宋"/>
                <w:b/>
                <w:sz w:val="24"/>
                <w:highlight w:val="none"/>
              </w:rPr>
            </w:pPr>
            <w:r>
              <w:rPr>
                <w:rFonts w:hint="eastAsia" w:ascii="仿宋" w:hAnsi="仿宋" w:eastAsia="仿宋"/>
                <w:b/>
                <w:sz w:val="24"/>
                <w:highlight w:val="none"/>
              </w:rPr>
              <w:t>邮政 编 码：</w:t>
            </w:r>
          </w:p>
        </w:tc>
        <w:tc>
          <w:tcPr>
            <w:tcW w:w="2835" w:type="dxa"/>
            <w:vAlign w:val="center"/>
          </w:tcPr>
          <w:p w14:paraId="4A6FE32F">
            <w:pPr>
              <w:rPr>
                <w:rFonts w:ascii="仿宋" w:hAnsi="仿宋" w:eastAsia="仿宋"/>
                <w:sz w:val="24"/>
                <w:highlight w:val="none"/>
              </w:rPr>
            </w:pPr>
          </w:p>
        </w:tc>
      </w:tr>
    </w:tbl>
    <w:p w14:paraId="5E57D501">
      <w:pPr>
        <w:adjustRightInd w:val="0"/>
        <w:snapToGrid w:val="0"/>
        <w:spacing w:line="500" w:lineRule="exact"/>
        <w:ind w:right="11"/>
        <w:rPr>
          <w:rFonts w:hAnsi="宋体" w:eastAsia="仿宋_GB2312"/>
          <w:sz w:val="28"/>
          <w:szCs w:val="28"/>
          <w:highlight w:val="none"/>
        </w:rPr>
      </w:pPr>
    </w:p>
    <w:p w14:paraId="5E4D5ECC">
      <w:pPr>
        <w:adjustRightInd w:val="0"/>
        <w:snapToGrid w:val="0"/>
        <w:spacing w:line="500" w:lineRule="exact"/>
        <w:ind w:right="11"/>
        <w:rPr>
          <w:rFonts w:hAnsi="宋体" w:eastAsia="仿宋_GB2312"/>
          <w:sz w:val="28"/>
          <w:szCs w:val="28"/>
          <w:highlight w:val="none"/>
        </w:rPr>
      </w:pPr>
      <w:r>
        <w:rPr>
          <w:rFonts w:hint="eastAsia" w:hAnsi="宋体" w:eastAsia="仿宋_GB2312"/>
          <w:sz w:val="28"/>
          <w:szCs w:val="28"/>
          <w:highlight w:val="none"/>
        </w:rPr>
        <w:t xml:space="preserve">签订日期：    年   月   日                      </w:t>
      </w:r>
    </w:p>
    <w:p w14:paraId="73E0B487">
      <w:pPr>
        <w:adjustRightInd w:val="0"/>
        <w:snapToGrid w:val="0"/>
        <w:spacing w:line="500" w:lineRule="exact"/>
        <w:ind w:right="11"/>
        <w:rPr>
          <w:rFonts w:hAnsi="宋体" w:eastAsia="仿宋_GB2312"/>
          <w:sz w:val="28"/>
          <w:szCs w:val="28"/>
          <w:highlight w:val="none"/>
        </w:rPr>
      </w:pPr>
      <w:r>
        <w:rPr>
          <w:rFonts w:hint="eastAsia" w:hAnsi="宋体" w:eastAsia="仿宋_GB2312"/>
          <w:sz w:val="28"/>
          <w:szCs w:val="28"/>
          <w:highlight w:val="none"/>
        </w:rPr>
        <w:t>签订地点：广州市黄埔区</w:t>
      </w:r>
    </w:p>
    <w:p w14:paraId="2A6E3E3F">
      <w:pPr>
        <w:spacing w:line="560" w:lineRule="exact"/>
        <w:rPr>
          <w:rFonts w:hAnsi="仿宋" w:eastAsia="仿宋_GB2312"/>
          <w:b/>
          <w:sz w:val="28"/>
          <w:szCs w:val="28"/>
          <w:highlight w:val="none"/>
        </w:rPr>
      </w:pPr>
    </w:p>
    <w:p w14:paraId="008B42D8">
      <w:pPr>
        <w:spacing w:line="560" w:lineRule="exact"/>
        <w:rPr>
          <w:rFonts w:hAnsi="仿宋" w:eastAsia="仿宋_GB2312"/>
          <w:b/>
          <w:sz w:val="28"/>
          <w:szCs w:val="28"/>
          <w:highlight w:val="none"/>
        </w:rPr>
      </w:pPr>
      <w:r>
        <w:rPr>
          <w:rFonts w:hint="eastAsia" w:hAnsi="仿宋" w:eastAsia="仿宋_GB2312"/>
          <w:b/>
          <w:sz w:val="28"/>
          <w:szCs w:val="28"/>
          <w:highlight w:val="none"/>
        </w:rPr>
        <w:t xml:space="preserve">附件1：              </w:t>
      </w:r>
    </w:p>
    <w:p w14:paraId="7B1BDF00">
      <w:pPr>
        <w:spacing w:line="560" w:lineRule="exact"/>
        <w:jc w:val="center"/>
        <w:rPr>
          <w:rFonts w:ascii="宋体" w:hAnsi="宋体"/>
          <w:b/>
          <w:sz w:val="36"/>
          <w:szCs w:val="28"/>
          <w:highlight w:val="none"/>
        </w:rPr>
      </w:pPr>
      <w:r>
        <w:rPr>
          <w:rFonts w:hint="eastAsia" w:ascii="宋体" w:hAnsi="宋体"/>
          <w:b/>
          <w:sz w:val="36"/>
          <w:szCs w:val="28"/>
          <w:highlight w:val="none"/>
        </w:rPr>
        <w:t>工程建设项目廉政责任书</w:t>
      </w:r>
    </w:p>
    <w:p w14:paraId="3AB73657">
      <w:pPr>
        <w:adjustRightInd w:val="0"/>
        <w:snapToGrid w:val="0"/>
        <w:spacing w:line="560" w:lineRule="exact"/>
        <w:ind w:left="2940"/>
        <w:rPr>
          <w:rFonts w:hAnsi="宋体" w:eastAsia="仿宋_GB2312"/>
          <w:sz w:val="24"/>
          <w:szCs w:val="20"/>
          <w:highlight w:val="none"/>
        </w:rPr>
      </w:pPr>
    </w:p>
    <w:p w14:paraId="4D466A5B">
      <w:pPr>
        <w:adjustRightInd w:val="0"/>
        <w:snapToGrid w:val="0"/>
        <w:spacing w:line="560" w:lineRule="exact"/>
        <w:rPr>
          <w:rFonts w:hAnsi="宋体" w:eastAsia="仿宋_GB2312"/>
          <w:sz w:val="28"/>
          <w:szCs w:val="28"/>
          <w:highlight w:val="none"/>
          <w:u w:val="single"/>
        </w:rPr>
      </w:pPr>
      <w:r>
        <w:rPr>
          <w:rFonts w:hint="eastAsia" w:hAnsi="宋体" w:eastAsia="仿宋_GB2312"/>
          <w:sz w:val="28"/>
          <w:szCs w:val="28"/>
          <w:highlight w:val="none"/>
        </w:rPr>
        <w:t>工程项目名称：</w:t>
      </w:r>
      <w:r>
        <w:rPr>
          <w:rFonts w:hint="eastAsia" w:hAnsi="宋体" w:eastAsia="仿宋_GB2312"/>
          <w:sz w:val="28"/>
          <w:szCs w:val="28"/>
          <w:highlight w:val="none"/>
          <w:u w:val="single"/>
        </w:rPr>
        <w:t xml:space="preserve">                                </w:t>
      </w:r>
    </w:p>
    <w:p w14:paraId="63ACD2B9">
      <w:pPr>
        <w:adjustRightInd w:val="0"/>
        <w:snapToGrid w:val="0"/>
        <w:spacing w:line="560" w:lineRule="exact"/>
        <w:rPr>
          <w:rFonts w:hAnsi="宋体" w:eastAsia="仿宋_GB2312"/>
          <w:sz w:val="28"/>
          <w:szCs w:val="28"/>
          <w:highlight w:val="none"/>
        </w:rPr>
      </w:pPr>
      <w:r>
        <w:rPr>
          <w:rFonts w:hint="eastAsia" w:hAnsi="宋体" w:eastAsia="仿宋_GB2312"/>
          <w:sz w:val="28"/>
          <w:szCs w:val="28"/>
          <w:highlight w:val="none"/>
        </w:rPr>
        <w:t>工程项目地址：</w:t>
      </w:r>
      <w:r>
        <w:rPr>
          <w:rFonts w:hint="eastAsia" w:hAnsi="宋体" w:eastAsia="仿宋_GB2312"/>
          <w:sz w:val="28"/>
          <w:szCs w:val="28"/>
          <w:highlight w:val="none"/>
          <w:u w:val="single"/>
        </w:rPr>
        <w:t xml:space="preserve">                                </w:t>
      </w:r>
    </w:p>
    <w:p w14:paraId="496B176B">
      <w:pPr>
        <w:adjustRightInd w:val="0"/>
        <w:snapToGrid w:val="0"/>
        <w:spacing w:line="560" w:lineRule="exact"/>
        <w:rPr>
          <w:rFonts w:hAnsi="宋体" w:eastAsia="仿宋_GB2312"/>
          <w:sz w:val="28"/>
          <w:szCs w:val="28"/>
          <w:highlight w:val="none"/>
          <w:u w:val="single"/>
        </w:rPr>
      </w:pPr>
      <w:r>
        <w:rPr>
          <w:rFonts w:hint="eastAsia" w:hAnsi="宋体" w:eastAsia="仿宋_GB2312"/>
          <w:sz w:val="28"/>
          <w:szCs w:val="28"/>
          <w:highlight w:val="none"/>
        </w:rPr>
        <w:t xml:space="preserve">甲方： </w:t>
      </w:r>
      <w:r>
        <w:rPr>
          <w:rFonts w:hint="eastAsia" w:hAnsi="宋体" w:eastAsia="仿宋_GB2312"/>
          <w:sz w:val="28"/>
          <w:szCs w:val="28"/>
          <w:highlight w:val="none"/>
          <w:u w:val="single"/>
        </w:rPr>
        <w:t xml:space="preserve">                                       </w:t>
      </w:r>
    </w:p>
    <w:p w14:paraId="1FA313EB">
      <w:pPr>
        <w:adjustRightInd w:val="0"/>
        <w:snapToGrid w:val="0"/>
        <w:spacing w:line="560" w:lineRule="exact"/>
        <w:rPr>
          <w:rFonts w:hAnsi="宋体" w:eastAsia="仿宋_GB2312"/>
          <w:sz w:val="28"/>
          <w:szCs w:val="28"/>
          <w:highlight w:val="none"/>
        </w:rPr>
      </w:pPr>
      <w:r>
        <w:rPr>
          <w:rFonts w:hint="eastAsia" w:hAnsi="宋体" w:eastAsia="仿宋_GB2312"/>
          <w:sz w:val="28"/>
          <w:szCs w:val="28"/>
          <w:highlight w:val="none"/>
        </w:rPr>
        <w:t xml:space="preserve">乙方： </w:t>
      </w:r>
      <w:r>
        <w:rPr>
          <w:rFonts w:hint="eastAsia" w:hAnsi="宋体" w:eastAsia="仿宋_GB2312"/>
          <w:sz w:val="28"/>
          <w:szCs w:val="28"/>
          <w:highlight w:val="none"/>
          <w:u w:val="single"/>
        </w:rPr>
        <w:t xml:space="preserve">                                       </w:t>
      </w:r>
    </w:p>
    <w:p w14:paraId="5EFA5C1C">
      <w:pPr>
        <w:adjustRightInd w:val="0"/>
        <w:snapToGrid w:val="0"/>
        <w:spacing w:line="560" w:lineRule="exact"/>
        <w:rPr>
          <w:rFonts w:hAnsi="宋体" w:eastAsia="仿宋_GB2312"/>
          <w:sz w:val="28"/>
          <w:szCs w:val="28"/>
          <w:highlight w:val="none"/>
        </w:rPr>
      </w:pPr>
    </w:p>
    <w:p w14:paraId="0322AEEB">
      <w:pPr>
        <w:adjustRightInd w:val="0"/>
        <w:snapToGrid w:val="0"/>
        <w:spacing w:line="560" w:lineRule="exact"/>
        <w:ind w:firstLine="482"/>
        <w:rPr>
          <w:rFonts w:hAnsi="宋体" w:eastAsia="仿宋_GB2312"/>
          <w:sz w:val="28"/>
          <w:szCs w:val="28"/>
          <w:highlight w:val="none"/>
        </w:rPr>
      </w:pPr>
      <w:r>
        <w:rPr>
          <w:rFonts w:hint="eastAsia" w:hAnsi="宋体" w:eastAsia="仿宋_GB2312"/>
          <w:sz w:val="28"/>
          <w:szCs w:val="28"/>
          <w:highlight w:val="none"/>
          <w:lang w:bidi="ar"/>
        </w:rPr>
        <w:t>为加强工程建设中的廉政建设，规范工程建设项目的各项活动，防止发生各种谋取不正当利益的违法违纪行为，保护国家、集体和当事人的合法权益，根据国家有关工程建设的法律法规和廉政建设责任制规定，特订立本廉政责任书。</w:t>
      </w:r>
    </w:p>
    <w:p w14:paraId="155320B6">
      <w:pPr>
        <w:adjustRightInd w:val="0"/>
        <w:snapToGrid w:val="0"/>
        <w:spacing w:line="560" w:lineRule="exact"/>
        <w:ind w:firstLine="482"/>
        <w:rPr>
          <w:rFonts w:hAnsi="宋体" w:eastAsia="仿宋_GB2312"/>
          <w:b/>
          <w:sz w:val="28"/>
          <w:szCs w:val="28"/>
          <w:highlight w:val="none"/>
        </w:rPr>
      </w:pPr>
      <w:r>
        <w:rPr>
          <w:rFonts w:hint="eastAsia" w:hAnsi="宋体" w:eastAsia="仿宋_GB2312"/>
          <w:b/>
          <w:sz w:val="28"/>
          <w:szCs w:val="28"/>
          <w:highlight w:val="none"/>
          <w:lang w:bidi="ar"/>
        </w:rPr>
        <w:t xml:space="preserve">第一条  </w:t>
      </w:r>
      <w:r>
        <w:rPr>
          <w:rFonts w:hint="eastAsia" w:hAnsi="宋体" w:eastAsia="仿宋_GB2312"/>
          <w:sz w:val="28"/>
          <w:szCs w:val="28"/>
          <w:highlight w:val="none"/>
          <w:lang w:bidi="ar"/>
        </w:rPr>
        <w:t>甲、乙双方的责任</w:t>
      </w:r>
    </w:p>
    <w:p w14:paraId="0571D643">
      <w:pPr>
        <w:adjustRightInd w:val="0"/>
        <w:snapToGrid w:val="0"/>
        <w:spacing w:line="560" w:lineRule="exact"/>
        <w:ind w:firstLine="482"/>
        <w:rPr>
          <w:rFonts w:hAnsi="宋体" w:eastAsia="仿宋_GB2312"/>
          <w:sz w:val="28"/>
          <w:szCs w:val="28"/>
          <w:highlight w:val="none"/>
        </w:rPr>
      </w:pPr>
      <w:r>
        <w:rPr>
          <w:rFonts w:hint="eastAsia" w:hAnsi="宋体" w:eastAsia="仿宋_GB2312"/>
          <w:sz w:val="28"/>
          <w:szCs w:val="28"/>
          <w:highlight w:val="none"/>
          <w:lang w:bidi="ar"/>
        </w:rPr>
        <w:t>（一）应严格遵守国家关于市场准入、项目招标投标、工程建设和市场活动等有关法律、法规、相关政策，以及廉政建设的各项规定。</w:t>
      </w:r>
    </w:p>
    <w:p w14:paraId="4BD289B8">
      <w:pPr>
        <w:adjustRightInd w:val="0"/>
        <w:snapToGrid w:val="0"/>
        <w:spacing w:line="560" w:lineRule="exact"/>
        <w:ind w:firstLine="482"/>
        <w:rPr>
          <w:rFonts w:hAnsi="宋体" w:eastAsia="仿宋_GB2312"/>
          <w:sz w:val="28"/>
          <w:szCs w:val="28"/>
          <w:highlight w:val="none"/>
        </w:rPr>
      </w:pPr>
      <w:r>
        <w:rPr>
          <w:rFonts w:hint="eastAsia" w:hAnsi="宋体" w:eastAsia="仿宋_GB2312"/>
          <w:sz w:val="28"/>
          <w:szCs w:val="28"/>
          <w:highlight w:val="none"/>
          <w:lang w:bidi="ar"/>
        </w:rPr>
        <w:t>（二）严格执行建设工程项目承发包合同文件，自觉按合同办事。</w:t>
      </w:r>
    </w:p>
    <w:p w14:paraId="183AF75F">
      <w:pPr>
        <w:adjustRightInd w:val="0"/>
        <w:snapToGrid w:val="0"/>
        <w:spacing w:line="560" w:lineRule="exact"/>
        <w:ind w:firstLine="482"/>
        <w:rPr>
          <w:rFonts w:hAnsi="宋体" w:eastAsia="仿宋_GB2312"/>
          <w:sz w:val="28"/>
          <w:szCs w:val="28"/>
          <w:highlight w:val="none"/>
        </w:rPr>
      </w:pPr>
      <w:r>
        <w:rPr>
          <w:rFonts w:hint="eastAsia" w:hAnsi="宋体" w:eastAsia="仿宋_GB2312"/>
          <w:sz w:val="28"/>
          <w:szCs w:val="28"/>
          <w:highlight w:val="none"/>
          <w:lang w:bidi="ar"/>
        </w:rPr>
        <w:t>（三）业务活动必须坚持公开、公平、公正、诚信、透明的原则（除法律法规另有规定者外），不得为获取不正当的利益，损害国家、集体和对方利益，不得违反工程建设过程管理的规章制度。</w:t>
      </w:r>
    </w:p>
    <w:p w14:paraId="6625BC39">
      <w:pPr>
        <w:adjustRightInd w:val="0"/>
        <w:snapToGrid w:val="0"/>
        <w:spacing w:line="560" w:lineRule="exact"/>
        <w:ind w:firstLine="482"/>
        <w:rPr>
          <w:rFonts w:hAnsi="宋体" w:eastAsia="仿宋_GB2312"/>
          <w:sz w:val="28"/>
          <w:szCs w:val="28"/>
          <w:highlight w:val="none"/>
        </w:rPr>
      </w:pPr>
      <w:r>
        <w:rPr>
          <w:rFonts w:hint="eastAsia" w:hAnsi="宋体" w:eastAsia="仿宋_GB2312"/>
          <w:sz w:val="28"/>
          <w:szCs w:val="28"/>
          <w:highlight w:val="none"/>
          <w:lang w:bidi="ar"/>
        </w:rPr>
        <w:t>（四）发现对方在业务活动中有违规、违纪、违法行为的，应及时提醒对方，情节严重的，应向其上级主管部门或纪检监察、司法等有关机关举报。</w:t>
      </w:r>
    </w:p>
    <w:p w14:paraId="7D1B2A94">
      <w:pPr>
        <w:adjustRightInd w:val="0"/>
        <w:snapToGrid w:val="0"/>
        <w:spacing w:line="560" w:lineRule="exact"/>
        <w:ind w:firstLine="482"/>
        <w:rPr>
          <w:rFonts w:hAnsi="宋体" w:eastAsia="仿宋_GB2312"/>
          <w:sz w:val="28"/>
          <w:szCs w:val="28"/>
          <w:highlight w:val="none"/>
        </w:rPr>
      </w:pPr>
      <w:r>
        <w:rPr>
          <w:rFonts w:hint="eastAsia" w:hAnsi="宋体" w:eastAsia="仿宋_GB2312"/>
          <w:b/>
          <w:sz w:val="28"/>
          <w:szCs w:val="28"/>
          <w:highlight w:val="none"/>
          <w:lang w:bidi="ar"/>
        </w:rPr>
        <w:t xml:space="preserve">第二条  </w:t>
      </w:r>
      <w:r>
        <w:rPr>
          <w:rFonts w:hint="eastAsia" w:hAnsi="宋体" w:eastAsia="仿宋_GB2312"/>
          <w:sz w:val="28"/>
          <w:szCs w:val="28"/>
          <w:highlight w:val="none"/>
          <w:lang w:bidi="ar"/>
        </w:rPr>
        <w:t>甲方的责任</w:t>
      </w:r>
    </w:p>
    <w:p w14:paraId="5910B9A1">
      <w:pPr>
        <w:adjustRightInd w:val="0"/>
        <w:snapToGrid w:val="0"/>
        <w:spacing w:line="560" w:lineRule="exact"/>
        <w:ind w:firstLine="482"/>
        <w:rPr>
          <w:rFonts w:hAnsi="宋体" w:eastAsia="仿宋_GB2312"/>
          <w:sz w:val="28"/>
          <w:szCs w:val="28"/>
          <w:highlight w:val="none"/>
        </w:rPr>
      </w:pPr>
      <w:r>
        <w:rPr>
          <w:rFonts w:hint="eastAsia" w:hAnsi="宋体" w:eastAsia="仿宋_GB2312"/>
          <w:sz w:val="28"/>
          <w:szCs w:val="28"/>
          <w:highlight w:val="none"/>
          <w:lang w:bidi="ar"/>
        </w:rPr>
        <w:t>甲方的领导和从事本建设工程项目的工作人员，在工程建设的事前、事中、事后应遵守以下规定：</w:t>
      </w:r>
    </w:p>
    <w:p w14:paraId="0BD71907">
      <w:pPr>
        <w:adjustRightInd w:val="0"/>
        <w:snapToGrid w:val="0"/>
        <w:spacing w:line="560" w:lineRule="exact"/>
        <w:ind w:firstLine="482"/>
        <w:rPr>
          <w:rFonts w:hAnsi="宋体" w:eastAsia="仿宋_GB2312"/>
          <w:sz w:val="28"/>
          <w:szCs w:val="28"/>
          <w:highlight w:val="none"/>
        </w:rPr>
      </w:pPr>
      <w:r>
        <w:rPr>
          <w:rFonts w:hint="eastAsia" w:hAnsi="宋体" w:eastAsia="仿宋_GB2312"/>
          <w:sz w:val="28"/>
          <w:szCs w:val="28"/>
          <w:highlight w:val="none"/>
          <w:lang w:bidi="ar"/>
        </w:rPr>
        <w:t>（一）不准向乙方和相关单位索要或接受回扣、礼金、有价证券、贵重物品和好处费、感谢费等。</w:t>
      </w:r>
    </w:p>
    <w:p w14:paraId="34BCF262">
      <w:pPr>
        <w:adjustRightInd w:val="0"/>
        <w:snapToGrid w:val="0"/>
        <w:spacing w:line="560" w:lineRule="exact"/>
        <w:ind w:firstLine="482"/>
        <w:rPr>
          <w:rFonts w:hAnsi="宋体" w:eastAsia="仿宋_GB2312"/>
          <w:sz w:val="28"/>
          <w:szCs w:val="28"/>
          <w:highlight w:val="none"/>
        </w:rPr>
      </w:pPr>
      <w:r>
        <w:rPr>
          <w:rFonts w:hint="eastAsia" w:hAnsi="宋体" w:eastAsia="仿宋_GB2312"/>
          <w:sz w:val="28"/>
          <w:szCs w:val="28"/>
          <w:highlight w:val="none"/>
          <w:lang w:bidi="ar"/>
        </w:rPr>
        <w:t>（二）不准在乙方和相关单位报销任何应由甲方或个人支付的费用。</w:t>
      </w:r>
    </w:p>
    <w:p w14:paraId="1BC0033A">
      <w:pPr>
        <w:adjustRightInd w:val="0"/>
        <w:snapToGrid w:val="0"/>
        <w:spacing w:line="560" w:lineRule="exact"/>
        <w:ind w:firstLine="482"/>
        <w:rPr>
          <w:rFonts w:hAnsi="宋体" w:eastAsia="仿宋_GB2312"/>
          <w:sz w:val="28"/>
          <w:szCs w:val="28"/>
          <w:highlight w:val="none"/>
        </w:rPr>
      </w:pPr>
      <w:r>
        <w:rPr>
          <w:rFonts w:hint="eastAsia" w:hAnsi="宋体" w:eastAsia="仿宋_GB2312"/>
          <w:sz w:val="28"/>
          <w:szCs w:val="28"/>
          <w:highlight w:val="none"/>
          <w:lang w:bidi="ar"/>
        </w:rPr>
        <w:t>（三）不准要求、暗示或接受乙方和相关单位为个人装修住房、婚丧嫁娶、配偶子女的工作安排以及出国（境）、旅游等提供方便。</w:t>
      </w:r>
    </w:p>
    <w:p w14:paraId="516CF40F">
      <w:pPr>
        <w:adjustRightInd w:val="0"/>
        <w:snapToGrid w:val="0"/>
        <w:spacing w:line="560" w:lineRule="exact"/>
        <w:ind w:firstLine="482"/>
        <w:rPr>
          <w:rFonts w:hAnsi="宋体" w:eastAsia="仿宋_GB2312"/>
          <w:sz w:val="28"/>
          <w:szCs w:val="28"/>
          <w:highlight w:val="none"/>
        </w:rPr>
      </w:pPr>
      <w:r>
        <w:rPr>
          <w:rFonts w:hint="eastAsia" w:hAnsi="宋体" w:eastAsia="仿宋_GB2312"/>
          <w:sz w:val="28"/>
          <w:szCs w:val="28"/>
          <w:highlight w:val="none"/>
          <w:lang w:bidi="ar"/>
        </w:rPr>
        <w:t>（四）不准参加有可能影响公正执行公务的乙方及相关单位的宴请、健身、娱乐等活动。</w:t>
      </w:r>
    </w:p>
    <w:p w14:paraId="49141E68">
      <w:pPr>
        <w:adjustRightInd w:val="0"/>
        <w:snapToGrid w:val="0"/>
        <w:spacing w:line="560" w:lineRule="exact"/>
        <w:ind w:firstLine="482"/>
        <w:rPr>
          <w:rFonts w:hAnsi="宋体" w:eastAsia="仿宋_GB2312"/>
          <w:sz w:val="28"/>
          <w:szCs w:val="28"/>
          <w:highlight w:val="none"/>
        </w:rPr>
      </w:pPr>
      <w:r>
        <w:rPr>
          <w:rFonts w:hint="eastAsia" w:hAnsi="宋体" w:eastAsia="仿宋_GB2312"/>
          <w:sz w:val="28"/>
          <w:szCs w:val="28"/>
          <w:highlight w:val="none"/>
          <w:lang w:bidi="ar"/>
        </w:rPr>
        <w:t>（五）不准向乙方介绍或为配偶、子女、亲属参与同甲方项目工程合同有关的设备、材料、工程分包、劳务等经济活动。不得以任何理由向乙方和相关单位推荐分包单位。</w:t>
      </w:r>
    </w:p>
    <w:p w14:paraId="660D86E6">
      <w:pPr>
        <w:adjustRightInd w:val="0"/>
        <w:snapToGrid w:val="0"/>
        <w:spacing w:line="560" w:lineRule="exact"/>
        <w:ind w:firstLine="482"/>
        <w:rPr>
          <w:rFonts w:hAnsi="宋体" w:eastAsia="仿宋_GB2312"/>
          <w:sz w:val="28"/>
          <w:szCs w:val="28"/>
          <w:highlight w:val="none"/>
        </w:rPr>
      </w:pPr>
      <w:r>
        <w:rPr>
          <w:rFonts w:hint="eastAsia" w:hAnsi="宋体" w:eastAsia="仿宋_GB2312"/>
          <w:b/>
          <w:sz w:val="28"/>
          <w:szCs w:val="28"/>
          <w:highlight w:val="none"/>
          <w:lang w:bidi="ar"/>
        </w:rPr>
        <w:t xml:space="preserve">第三条  </w:t>
      </w:r>
      <w:r>
        <w:rPr>
          <w:rFonts w:hint="eastAsia" w:hAnsi="宋体" w:eastAsia="仿宋_GB2312"/>
          <w:sz w:val="28"/>
          <w:szCs w:val="28"/>
          <w:highlight w:val="none"/>
          <w:lang w:bidi="ar"/>
        </w:rPr>
        <w:t>乙方的责任</w:t>
      </w:r>
    </w:p>
    <w:p w14:paraId="7A52AFED">
      <w:pPr>
        <w:adjustRightInd w:val="0"/>
        <w:snapToGrid w:val="0"/>
        <w:spacing w:line="560" w:lineRule="exact"/>
        <w:ind w:firstLine="482"/>
        <w:rPr>
          <w:rFonts w:hAnsi="宋体" w:eastAsia="仿宋_GB2312"/>
          <w:sz w:val="28"/>
          <w:szCs w:val="28"/>
          <w:highlight w:val="none"/>
        </w:rPr>
      </w:pPr>
      <w:r>
        <w:rPr>
          <w:rFonts w:hint="eastAsia" w:hAnsi="宋体" w:eastAsia="仿宋_GB2312"/>
          <w:sz w:val="28"/>
          <w:szCs w:val="28"/>
          <w:highlight w:val="none"/>
          <w:lang w:bidi="ar"/>
        </w:rPr>
        <w:t>应与甲方保持正常的业务交往，按照有关法律法规和程序开展业务工作，严格执行工程建设过程管理的有关方针、政策，尤其是强制性标准和规范，并遵守以下规定：</w:t>
      </w:r>
    </w:p>
    <w:p w14:paraId="4C6E282D">
      <w:pPr>
        <w:adjustRightInd w:val="0"/>
        <w:snapToGrid w:val="0"/>
        <w:spacing w:line="560" w:lineRule="exact"/>
        <w:ind w:firstLine="482"/>
        <w:rPr>
          <w:rFonts w:hAnsi="宋体" w:eastAsia="仿宋_GB2312"/>
          <w:sz w:val="28"/>
          <w:szCs w:val="28"/>
          <w:highlight w:val="none"/>
        </w:rPr>
      </w:pPr>
      <w:r>
        <w:rPr>
          <w:rFonts w:hint="eastAsia" w:hAnsi="宋体" w:eastAsia="仿宋_GB2312"/>
          <w:sz w:val="28"/>
          <w:szCs w:val="28"/>
          <w:highlight w:val="none"/>
          <w:lang w:bidi="ar"/>
        </w:rPr>
        <w:t>（一）不准以任何理由向甲方、相关单位及其工作人员索要、接受或赠送礼金、有价证券、贵重物品及回扣、好处费、感谢费等。</w:t>
      </w:r>
    </w:p>
    <w:p w14:paraId="05E89A39">
      <w:pPr>
        <w:adjustRightInd w:val="0"/>
        <w:snapToGrid w:val="0"/>
        <w:spacing w:line="560" w:lineRule="exact"/>
        <w:ind w:firstLine="482"/>
        <w:rPr>
          <w:rFonts w:hAnsi="宋体" w:eastAsia="仿宋_GB2312"/>
          <w:sz w:val="28"/>
          <w:szCs w:val="28"/>
          <w:highlight w:val="none"/>
        </w:rPr>
      </w:pPr>
      <w:r>
        <w:rPr>
          <w:rFonts w:hint="eastAsia" w:hAnsi="宋体" w:eastAsia="仿宋_GB2312"/>
          <w:sz w:val="28"/>
          <w:szCs w:val="28"/>
          <w:highlight w:val="none"/>
          <w:lang w:bidi="ar"/>
        </w:rPr>
        <w:t>（二）不准以任何理由为甲方和相关单位报销应由对方或个人支付的费用。</w:t>
      </w:r>
    </w:p>
    <w:p w14:paraId="29C3FE19">
      <w:pPr>
        <w:adjustRightInd w:val="0"/>
        <w:snapToGrid w:val="0"/>
        <w:spacing w:line="560" w:lineRule="exact"/>
        <w:ind w:firstLine="482"/>
        <w:rPr>
          <w:rFonts w:hAnsi="宋体" w:eastAsia="仿宋_GB2312"/>
          <w:sz w:val="28"/>
          <w:szCs w:val="28"/>
          <w:highlight w:val="none"/>
        </w:rPr>
      </w:pPr>
      <w:r>
        <w:rPr>
          <w:rFonts w:hint="eastAsia" w:hAnsi="宋体" w:eastAsia="仿宋_GB2312"/>
          <w:sz w:val="28"/>
          <w:szCs w:val="28"/>
          <w:highlight w:val="none"/>
          <w:lang w:bidi="ar"/>
        </w:rPr>
        <w:t>（三）不准接受或暗示为甲方、相关单位或个人装修住房、婚丧嫁娶、配偶子女的工作安排以及出国（境）、旅游等提供方便。</w:t>
      </w:r>
    </w:p>
    <w:p w14:paraId="288E205B">
      <w:pPr>
        <w:adjustRightInd w:val="0"/>
        <w:snapToGrid w:val="0"/>
        <w:spacing w:line="560" w:lineRule="exact"/>
        <w:ind w:firstLine="482"/>
        <w:rPr>
          <w:rFonts w:hAnsi="宋体" w:eastAsia="仿宋_GB2312"/>
          <w:b/>
          <w:sz w:val="28"/>
          <w:szCs w:val="28"/>
          <w:highlight w:val="none"/>
          <w:lang w:bidi="ar"/>
        </w:rPr>
      </w:pPr>
      <w:r>
        <w:rPr>
          <w:rFonts w:hint="eastAsia" w:hAnsi="宋体" w:eastAsia="仿宋_GB2312"/>
          <w:sz w:val="28"/>
          <w:szCs w:val="28"/>
          <w:highlight w:val="none"/>
          <w:lang w:bidi="ar"/>
        </w:rPr>
        <w:t>（四）不准以任何理由为甲方、相关单位或个人组织有可能影响公正执行公务的宴请、健身、娱乐等活动。</w:t>
      </w:r>
    </w:p>
    <w:p w14:paraId="7AC1698A">
      <w:pPr>
        <w:adjustRightInd w:val="0"/>
        <w:snapToGrid w:val="0"/>
        <w:spacing w:line="560" w:lineRule="exact"/>
        <w:ind w:firstLine="482"/>
        <w:rPr>
          <w:rFonts w:hAnsi="宋体" w:eastAsia="仿宋_GB2312"/>
          <w:sz w:val="28"/>
          <w:szCs w:val="28"/>
          <w:highlight w:val="none"/>
        </w:rPr>
      </w:pPr>
      <w:r>
        <w:rPr>
          <w:rFonts w:hint="eastAsia" w:hAnsi="宋体" w:eastAsia="仿宋_GB2312"/>
          <w:b/>
          <w:sz w:val="28"/>
          <w:szCs w:val="28"/>
          <w:highlight w:val="none"/>
          <w:lang w:bidi="ar"/>
        </w:rPr>
        <w:t xml:space="preserve"> 第四条  </w:t>
      </w:r>
      <w:r>
        <w:rPr>
          <w:rFonts w:hint="eastAsia" w:hAnsi="宋体" w:eastAsia="仿宋_GB2312"/>
          <w:sz w:val="28"/>
          <w:szCs w:val="28"/>
          <w:highlight w:val="none"/>
          <w:lang w:bidi="ar"/>
        </w:rPr>
        <w:t>违约责任</w:t>
      </w:r>
    </w:p>
    <w:p w14:paraId="3040063D">
      <w:pPr>
        <w:adjustRightInd w:val="0"/>
        <w:snapToGrid w:val="0"/>
        <w:spacing w:line="560" w:lineRule="exact"/>
        <w:ind w:firstLine="482"/>
        <w:rPr>
          <w:rFonts w:hAnsi="宋体" w:eastAsia="仿宋_GB2312"/>
          <w:sz w:val="28"/>
          <w:szCs w:val="28"/>
          <w:highlight w:val="none"/>
        </w:rPr>
      </w:pPr>
      <w:r>
        <w:rPr>
          <w:rFonts w:hint="eastAsia" w:hAnsi="宋体" w:eastAsia="仿宋_GB2312"/>
          <w:sz w:val="28"/>
          <w:szCs w:val="28"/>
          <w:highlight w:val="none"/>
          <w:lang w:bidi="ar"/>
        </w:rPr>
        <w:t>（一）甲方工作人员有违反本廉政责任书第一、第二条责任行为的，按照管理权限，依据有关法律法规和规定给予党纪、政纪处分或组织处理；涉嫌犯罪的，移交司法机关追究刑事责任；给乙方单位造成经济损失的，应予以赔偿。</w:t>
      </w:r>
    </w:p>
    <w:p w14:paraId="28BC90CB">
      <w:pPr>
        <w:adjustRightInd w:val="0"/>
        <w:snapToGrid w:val="0"/>
        <w:spacing w:line="560" w:lineRule="exact"/>
        <w:ind w:firstLine="482"/>
        <w:rPr>
          <w:rFonts w:hAnsi="宋体" w:eastAsia="仿宋_GB2312"/>
          <w:sz w:val="28"/>
          <w:szCs w:val="28"/>
          <w:highlight w:val="none"/>
        </w:rPr>
      </w:pPr>
      <w:r>
        <w:rPr>
          <w:rFonts w:hint="eastAsia" w:hAnsi="宋体" w:eastAsia="仿宋_GB2312"/>
          <w:sz w:val="28"/>
          <w:szCs w:val="28"/>
          <w:highlight w:val="none"/>
          <w:lang w:bidi="ar"/>
        </w:rPr>
        <w:t>（二）乙方工作人员有违反本廉政责任书第一、三条责任行为的，按照管理权限，依据有关法律法规和规定给予党纪、政纪处分或组织处理；涉嫌犯罪的，移交司法机关追究刑事责任；给甲方单位造成经济损失的，应予以赔偿。</w:t>
      </w:r>
    </w:p>
    <w:p w14:paraId="1C7B0975">
      <w:pPr>
        <w:adjustRightInd w:val="0"/>
        <w:snapToGrid w:val="0"/>
        <w:spacing w:line="560" w:lineRule="exact"/>
        <w:ind w:firstLine="482"/>
        <w:rPr>
          <w:rFonts w:hAnsi="宋体" w:eastAsia="仿宋_GB2312"/>
          <w:b/>
          <w:sz w:val="28"/>
          <w:szCs w:val="28"/>
          <w:highlight w:val="none"/>
        </w:rPr>
      </w:pPr>
      <w:r>
        <w:rPr>
          <w:rFonts w:hint="eastAsia" w:hAnsi="宋体" w:eastAsia="仿宋_GB2312"/>
          <w:b/>
          <w:sz w:val="28"/>
          <w:szCs w:val="28"/>
          <w:highlight w:val="none"/>
          <w:lang w:bidi="ar"/>
        </w:rPr>
        <w:t xml:space="preserve">第五条  </w:t>
      </w:r>
      <w:r>
        <w:rPr>
          <w:rFonts w:hint="eastAsia" w:hAnsi="宋体" w:eastAsia="仿宋_GB2312"/>
          <w:sz w:val="28"/>
          <w:szCs w:val="28"/>
          <w:highlight w:val="none"/>
          <w:lang w:bidi="ar"/>
        </w:rPr>
        <w:t>本廉政责任书作为合同的附件，与合同具有同等法律效力。经双方签署后立即生效。</w:t>
      </w:r>
    </w:p>
    <w:p w14:paraId="29C81D17">
      <w:pPr>
        <w:adjustRightInd w:val="0"/>
        <w:snapToGrid w:val="0"/>
        <w:spacing w:line="560" w:lineRule="exact"/>
        <w:ind w:firstLine="482"/>
        <w:rPr>
          <w:rFonts w:hAnsi="宋体" w:eastAsia="仿宋_GB2312"/>
          <w:b/>
          <w:sz w:val="28"/>
          <w:szCs w:val="28"/>
          <w:highlight w:val="none"/>
        </w:rPr>
      </w:pPr>
      <w:r>
        <w:rPr>
          <w:rFonts w:hint="eastAsia" w:hAnsi="宋体" w:eastAsia="仿宋_GB2312"/>
          <w:b/>
          <w:sz w:val="28"/>
          <w:szCs w:val="28"/>
          <w:highlight w:val="none"/>
          <w:lang w:bidi="ar"/>
        </w:rPr>
        <w:t xml:space="preserve">第六条  </w:t>
      </w:r>
      <w:r>
        <w:rPr>
          <w:rFonts w:hint="eastAsia" w:hAnsi="宋体" w:eastAsia="仿宋_GB2312"/>
          <w:sz w:val="28"/>
          <w:szCs w:val="28"/>
          <w:highlight w:val="none"/>
          <w:lang w:bidi="ar"/>
        </w:rPr>
        <w:t>本廉政责任书的有效期与合同的有效期相同。</w:t>
      </w:r>
    </w:p>
    <w:p w14:paraId="0CB11386">
      <w:pPr>
        <w:adjustRightInd w:val="0"/>
        <w:snapToGrid w:val="0"/>
        <w:spacing w:line="560" w:lineRule="exact"/>
        <w:ind w:firstLine="482"/>
        <w:rPr>
          <w:rFonts w:hAnsi="宋体" w:eastAsia="仿宋_GB2312"/>
          <w:b/>
          <w:sz w:val="28"/>
          <w:szCs w:val="28"/>
          <w:highlight w:val="none"/>
        </w:rPr>
      </w:pPr>
      <w:r>
        <w:rPr>
          <w:rFonts w:hint="eastAsia" w:hAnsi="宋体" w:eastAsia="仿宋_GB2312"/>
          <w:b/>
          <w:sz w:val="28"/>
          <w:szCs w:val="28"/>
          <w:highlight w:val="none"/>
          <w:lang w:bidi="ar"/>
        </w:rPr>
        <w:t xml:space="preserve">第七条  </w:t>
      </w:r>
      <w:r>
        <w:rPr>
          <w:rFonts w:hint="eastAsia" w:hAnsi="宋体" w:eastAsia="仿宋_GB2312"/>
          <w:sz w:val="28"/>
          <w:szCs w:val="28"/>
          <w:highlight w:val="none"/>
          <w:lang w:bidi="ar"/>
        </w:rPr>
        <w:t>本廉政责任书的</w:t>
      </w:r>
      <w:r>
        <w:rPr>
          <w:rFonts w:hint="eastAsia" w:hAnsi="宋体" w:eastAsia="仿宋_GB2312"/>
          <w:bCs/>
          <w:sz w:val="28"/>
          <w:szCs w:val="28"/>
          <w:highlight w:val="none"/>
          <w:lang w:bidi="ar"/>
        </w:rPr>
        <w:t>份数与合同份数相同。</w:t>
      </w:r>
    </w:p>
    <w:p w14:paraId="5538FD92">
      <w:pPr>
        <w:adjustRightInd w:val="0"/>
        <w:snapToGrid w:val="0"/>
        <w:spacing w:line="560" w:lineRule="exact"/>
        <w:ind w:right="11"/>
        <w:rPr>
          <w:rFonts w:hAnsi="宋体" w:eastAsia="仿宋_GB2312"/>
          <w:sz w:val="28"/>
          <w:szCs w:val="28"/>
          <w:highlight w:val="none"/>
        </w:rPr>
      </w:pPr>
    </w:p>
    <w:p w14:paraId="566653EF">
      <w:pPr>
        <w:adjustRightInd w:val="0"/>
        <w:snapToGrid w:val="0"/>
        <w:spacing w:line="560" w:lineRule="exact"/>
        <w:ind w:left="2240" w:right="11" w:hanging="2240" w:hangingChars="800"/>
        <w:rPr>
          <w:rFonts w:hAnsi="宋体" w:eastAsia="仿宋_GB2312"/>
          <w:sz w:val="28"/>
          <w:szCs w:val="28"/>
          <w:highlight w:val="none"/>
        </w:rPr>
      </w:pPr>
      <w:r>
        <w:rPr>
          <w:rFonts w:hint="eastAsia" w:hAnsi="宋体" w:eastAsia="仿宋_GB2312"/>
          <w:sz w:val="28"/>
          <w:szCs w:val="28"/>
          <w:highlight w:val="none"/>
        </w:rPr>
        <w:t xml:space="preserve">甲方：                                 乙方： </w:t>
      </w:r>
    </w:p>
    <w:p w14:paraId="217FBEA9">
      <w:pPr>
        <w:adjustRightInd w:val="0"/>
        <w:snapToGrid w:val="0"/>
        <w:spacing w:line="560" w:lineRule="exact"/>
        <w:ind w:left="2057" w:leftChars="513" w:right="11" w:hanging="980" w:hangingChars="350"/>
        <w:rPr>
          <w:rFonts w:hAnsi="宋体" w:eastAsia="仿宋_GB2312"/>
          <w:sz w:val="28"/>
          <w:szCs w:val="28"/>
          <w:highlight w:val="none"/>
        </w:rPr>
      </w:pPr>
      <w:r>
        <w:rPr>
          <w:rFonts w:hint="eastAsia" w:hAnsi="宋体" w:eastAsia="仿宋_GB2312"/>
          <w:sz w:val="28"/>
          <w:szCs w:val="28"/>
          <w:highlight w:val="none"/>
        </w:rPr>
        <w:t xml:space="preserve">                          </w:t>
      </w:r>
    </w:p>
    <w:p w14:paraId="6AAC6A96">
      <w:pPr>
        <w:adjustRightInd w:val="0"/>
        <w:snapToGrid w:val="0"/>
        <w:spacing w:line="560" w:lineRule="exact"/>
        <w:ind w:right="11"/>
        <w:rPr>
          <w:rFonts w:hAnsi="宋体" w:eastAsia="仿宋_GB2312"/>
          <w:sz w:val="28"/>
          <w:szCs w:val="28"/>
          <w:highlight w:val="none"/>
        </w:rPr>
      </w:pPr>
      <w:r>
        <w:rPr>
          <w:rFonts w:hint="eastAsia" w:hAnsi="宋体" w:eastAsia="仿宋_GB2312"/>
          <w:sz w:val="28"/>
          <w:szCs w:val="28"/>
          <w:highlight w:val="none"/>
        </w:rPr>
        <w:t>法定代表人：                           法定代表人：</w:t>
      </w:r>
    </w:p>
    <w:p w14:paraId="62D677DC">
      <w:pPr>
        <w:tabs>
          <w:tab w:val="left" w:pos="5460"/>
        </w:tabs>
        <w:adjustRightInd w:val="0"/>
        <w:snapToGrid w:val="0"/>
        <w:spacing w:line="560" w:lineRule="exact"/>
        <w:ind w:left="-2" w:leftChars="-1" w:right="11"/>
        <w:rPr>
          <w:rFonts w:hAnsi="宋体" w:eastAsia="仿宋_GB2312"/>
          <w:sz w:val="28"/>
          <w:szCs w:val="28"/>
          <w:highlight w:val="none"/>
        </w:rPr>
      </w:pPr>
    </w:p>
    <w:p w14:paraId="43CD64F8">
      <w:pPr>
        <w:tabs>
          <w:tab w:val="left" w:pos="5460"/>
        </w:tabs>
        <w:adjustRightInd w:val="0"/>
        <w:snapToGrid w:val="0"/>
        <w:spacing w:line="560" w:lineRule="exact"/>
        <w:ind w:left="-2" w:leftChars="-1" w:right="11"/>
        <w:rPr>
          <w:rFonts w:hAnsi="宋体" w:eastAsia="仿宋_GB2312"/>
          <w:sz w:val="28"/>
          <w:szCs w:val="28"/>
          <w:highlight w:val="none"/>
        </w:rPr>
      </w:pPr>
      <w:r>
        <w:rPr>
          <w:rFonts w:hint="eastAsia" w:hAnsi="宋体" w:eastAsia="仿宋_GB2312"/>
          <w:sz w:val="28"/>
          <w:szCs w:val="28"/>
          <w:highlight w:val="none"/>
        </w:rPr>
        <w:t>委托代理人：                           委托代理人：</w:t>
      </w:r>
    </w:p>
    <w:p w14:paraId="01C06A86">
      <w:pPr>
        <w:tabs>
          <w:tab w:val="left" w:pos="5460"/>
        </w:tabs>
        <w:adjustRightInd w:val="0"/>
        <w:snapToGrid w:val="0"/>
        <w:spacing w:line="560" w:lineRule="exact"/>
        <w:ind w:left="-2" w:leftChars="-1" w:right="11"/>
        <w:rPr>
          <w:rFonts w:hAnsi="宋体" w:eastAsia="仿宋_GB2312"/>
          <w:sz w:val="28"/>
          <w:szCs w:val="28"/>
          <w:highlight w:val="none"/>
        </w:rPr>
      </w:pPr>
    </w:p>
    <w:p w14:paraId="556CBB9F">
      <w:pPr>
        <w:tabs>
          <w:tab w:val="left" w:pos="5460"/>
        </w:tabs>
        <w:adjustRightInd w:val="0"/>
        <w:snapToGrid w:val="0"/>
        <w:spacing w:line="560" w:lineRule="exact"/>
        <w:ind w:left="-2" w:leftChars="-1" w:right="11"/>
        <w:rPr>
          <w:rFonts w:hAnsi="宋体" w:eastAsia="仿宋_GB2312"/>
          <w:sz w:val="28"/>
          <w:szCs w:val="28"/>
          <w:highlight w:val="none"/>
        </w:rPr>
      </w:pPr>
      <w:r>
        <w:rPr>
          <w:rFonts w:hint="eastAsia" w:hAnsi="宋体" w:eastAsia="仿宋_GB2312"/>
          <w:sz w:val="28"/>
          <w:szCs w:val="28"/>
          <w:highlight w:val="none"/>
        </w:rPr>
        <w:t>签订约日期：</w:t>
      </w:r>
      <w:r>
        <w:rPr>
          <w:rFonts w:hint="eastAsia" w:hAnsi="宋体" w:eastAsia="仿宋_GB2312"/>
          <w:sz w:val="28"/>
          <w:szCs w:val="28"/>
          <w:highlight w:val="none"/>
          <w:u w:val="single"/>
        </w:rPr>
        <w:t xml:space="preserve">    </w:t>
      </w:r>
      <w:r>
        <w:rPr>
          <w:rFonts w:hint="eastAsia" w:hAnsi="宋体" w:eastAsia="仿宋_GB2312"/>
          <w:sz w:val="28"/>
          <w:szCs w:val="28"/>
          <w:highlight w:val="none"/>
        </w:rPr>
        <w:t>年</w:t>
      </w:r>
      <w:r>
        <w:rPr>
          <w:rFonts w:hint="eastAsia" w:hAnsi="宋体" w:eastAsia="仿宋_GB2312"/>
          <w:sz w:val="28"/>
          <w:szCs w:val="28"/>
          <w:highlight w:val="none"/>
          <w:u w:val="single"/>
        </w:rPr>
        <w:t xml:space="preserve">   </w:t>
      </w:r>
      <w:r>
        <w:rPr>
          <w:rFonts w:hint="eastAsia" w:hAnsi="宋体" w:eastAsia="仿宋_GB2312"/>
          <w:sz w:val="28"/>
          <w:szCs w:val="28"/>
          <w:highlight w:val="none"/>
        </w:rPr>
        <w:t>月</w:t>
      </w:r>
      <w:r>
        <w:rPr>
          <w:rFonts w:hint="eastAsia" w:hAnsi="宋体" w:eastAsia="仿宋_GB2312"/>
          <w:sz w:val="28"/>
          <w:szCs w:val="28"/>
          <w:highlight w:val="none"/>
          <w:u w:val="single"/>
        </w:rPr>
        <w:t xml:space="preserve">   </w:t>
      </w:r>
      <w:r>
        <w:rPr>
          <w:rFonts w:hint="eastAsia" w:hAnsi="宋体" w:eastAsia="仿宋_GB2312"/>
          <w:sz w:val="28"/>
          <w:szCs w:val="28"/>
          <w:highlight w:val="none"/>
        </w:rPr>
        <w:t xml:space="preserve">日                      </w:t>
      </w:r>
    </w:p>
    <w:p w14:paraId="6220B628">
      <w:pPr>
        <w:spacing w:line="560" w:lineRule="exact"/>
        <w:rPr>
          <w:rFonts w:hAnsi="宋体" w:eastAsia="仿宋_GB2312"/>
          <w:sz w:val="28"/>
          <w:szCs w:val="28"/>
          <w:highlight w:val="none"/>
        </w:rPr>
      </w:pPr>
      <w:r>
        <w:rPr>
          <w:rFonts w:hint="eastAsia" w:hAnsi="宋体" w:eastAsia="仿宋_GB2312"/>
          <w:sz w:val="28"/>
          <w:szCs w:val="28"/>
          <w:highlight w:val="none"/>
        </w:rPr>
        <w:t>签订地点：广州市黄埔区</w:t>
      </w:r>
    </w:p>
    <w:p w14:paraId="1C12FB99">
      <w:pPr>
        <w:spacing w:line="560" w:lineRule="exact"/>
        <w:rPr>
          <w:rFonts w:hAnsi="仿宋" w:eastAsia="仿宋_GB2312"/>
          <w:b/>
          <w:sz w:val="28"/>
          <w:szCs w:val="28"/>
          <w:highlight w:val="none"/>
        </w:rPr>
      </w:pPr>
      <w:r>
        <w:rPr>
          <w:rFonts w:hAnsi="仿宋" w:eastAsia="仿宋_GB2312"/>
          <w:b/>
          <w:sz w:val="28"/>
          <w:szCs w:val="28"/>
          <w:highlight w:val="none"/>
        </w:rPr>
        <w:br w:type="page"/>
      </w:r>
      <w:r>
        <w:rPr>
          <w:rFonts w:hint="eastAsia" w:hAnsi="仿宋" w:eastAsia="仿宋_GB2312"/>
          <w:b/>
          <w:sz w:val="28"/>
          <w:szCs w:val="28"/>
          <w:highlight w:val="none"/>
        </w:rPr>
        <w:t>附件2：</w:t>
      </w:r>
    </w:p>
    <w:p w14:paraId="63BC7295">
      <w:pPr>
        <w:rPr>
          <w:sz w:val="30"/>
          <w:szCs w:val="24"/>
          <w:highlight w:val="none"/>
        </w:rPr>
      </w:pPr>
      <w:r>
        <w:rPr>
          <w:highlight w:val="none"/>
        </w:rPr>
        <w:drawing>
          <wp:anchor distT="0" distB="0" distL="114300" distR="114300" simplePos="0" relativeHeight="251662336" behindDoc="0" locked="0" layoutInCell="1" allowOverlap="1">
            <wp:simplePos x="0" y="0"/>
            <wp:positionH relativeFrom="column">
              <wp:posOffset>3949065</wp:posOffset>
            </wp:positionH>
            <wp:positionV relativeFrom="paragraph">
              <wp:posOffset>211455</wp:posOffset>
            </wp:positionV>
            <wp:extent cx="2237105" cy="1938655"/>
            <wp:effectExtent l="0" t="0" r="0" b="4445"/>
            <wp:wrapSquare wrapText="bothSides"/>
            <wp:docPr id="22" name="图片 22" descr="说明: E:\02合同\QQ图片20190725104140.jpgQQ图片20190725104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说明: E:\02合同\QQ图片20190725104140.jpgQQ图片2019072510414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2237105" cy="1938655"/>
                    </a:xfrm>
                    <a:prstGeom prst="rect">
                      <a:avLst/>
                    </a:prstGeom>
                    <a:noFill/>
                    <a:ln>
                      <a:noFill/>
                    </a:ln>
                  </pic:spPr>
                </pic:pic>
              </a:graphicData>
            </a:graphic>
          </wp:anchor>
        </w:drawing>
      </w:r>
    </w:p>
    <w:p w14:paraId="1B8F038A">
      <w:pPr>
        <w:rPr>
          <w:rFonts w:eastAsia="仿宋_GB2312"/>
          <w:sz w:val="28"/>
          <w:szCs w:val="28"/>
          <w:highlight w:val="none"/>
        </w:rPr>
      </w:pPr>
      <w:r>
        <w:rPr>
          <w:sz w:val="30"/>
          <w:szCs w:val="24"/>
          <w:highlight w:val="none"/>
        </w:rPr>
        <w:drawing>
          <wp:inline distT="0" distB="0" distL="0" distR="0">
            <wp:extent cx="3438525" cy="361950"/>
            <wp:effectExtent l="0" t="0" r="9525"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3438525" cy="361950"/>
                    </a:xfrm>
                    <a:prstGeom prst="rect">
                      <a:avLst/>
                    </a:prstGeom>
                    <a:noFill/>
                    <a:ln>
                      <a:noFill/>
                    </a:ln>
                  </pic:spPr>
                </pic:pic>
              </a:graphicData>
            </a:graphic>
          </wp:inline>
        </w:drawing>
      </w:r>
    </w:p>
    <w:p w14:paraId="5438A7DB">
      <w:pPr>
        <w:spacing w:line="560" w:lineRule="exact"/>
        <w:rPr>
          <w:rFonts w:eastAsia="仿宋_GB2312"/>
          <w:sz w:val="28"/>
          <w:szCs w:val="28"/>
          <w:highlight w:val="none"/>
        </w:rPr>
      </w:pPr>
      <w:r>
        <w:rPr>
          <w:rFonts w:hint="eastAsia" w:eastAsia="仿宋_GB2312"/>
          <w:sz w:val="28"/>
          <w:szCs w:val="28"/>
          <w:highlight w:val="none"/>
        </w:rPr>
        <w:t>合同编号：穗开建管测[    ]   号</w:t>
      </w:r>
    </w:p>
    <w:p w14:paraId="31E1379F">
      <w:pPr>
        <w:spacing w:line="560" w:lineRule="exact"/>
        <w:rPr>
          <w:rFonts w:ascii="楷体_GB2312" w:eastAsia="楷体_GB2312"/>
          <w:sz w:val="28"/>
          <w:szCs w:val="28"/>
          <w:highlight w:val="none"/>
        </w:rPr>
      </w:pPr>
      <w:r>
        <w:rPr>
          <w:rFonts w:hint="eastAsia" w:ascii="楷体_GB2312" w:eastAsia="楷体_GB2312"/>
          <w:sz w:val="28"/>
          <w:szCs w:val="28"/>
          <w:highlight w:val="none"/>
        </w:rPr>
        <w:t xml:space="preserve"> </w:t>
      </w:r>
    </w:p>
    <w:p w14:paraId="4C46E234">
      <w:pPr>
        <w:spacing w:line="560" w:lineRule="exact"/>
        <w:ind w:firstLine="840" w:firstLineChars="400"/>
        <w:rPr>
          <w:rFonts w:ascii="楷体_GB2312" w:eastAsia="楷体_GB2312"/>
          <w:highlight w:val="none"/>
        </w:rPr>
      </w:pPr>
    </w:p>
    <w:p w14:paraId="24B28C3A">
      <w:pPr>
        <w:spacing w:line="560" w:lineRule="exact"/>
        <w:ind w:firstLine="8400" w:firstLineChars="3500"/>
        <w:rPr>
          <w:rFonts w:ascii="楷体_GB2312" w:eastAsia="楷体_GB2312"/>
          <w:sz w:val="24"/>
          <w:highlight w:val="none"/>
        </w:rPr>
      </w:pPr>
      <w:r>
        <w:rPr>
          <w:rFonts w:hint="eastAsia" w:ascii="楷体_GB2312" w:eastAsia="楷体_GB2312"/>
          <w:sz w:val="24"/>
          <w:highlight w:val="none"/>
        </w:rPr>
        <w:t xml:space="preserve">                            </w:t>
      </w:r>
    </w:p>
    <w:p w14:paraId="3457429E">
      <w:pPr>
        <w:pStyle w:val="33"/>
        <w:rPr>
          <w:highlight w:val="none"/>
        </w:rPr>
      </w:pPr>
    </w:p>
    <w:p w14:paraId="13632B89">
      <w:pPr>
        <w:pStyle w:val="33"/>
        <w:rPr>
          <w:highlight w:val="none"/>
        </w:rPr>
      </w:pPr>
    </w:p>
    <w:p w14:paraId="6DF3DBFE">
      <w:pPr>
        <w:pStyle w:val="33"/>
        <w:rPr>
          <w:highlight w:val="none"/>
        </w:rPr>
      </w:pPr>
    </w:p>
    <w:p w14:paraId="2D7BC851">
      <w:pPr>
        <w:spacing w:line="560" w:lineRule="exact"/>
        <w:jc w:val="center"/>
        <w:rPr>
          <w:rFonts w:ascii="宋体" w:hAnsi="宋体"/>
          <w:b/>
          <w:bCs/>
          <w:sz w:val="52"/>
          <w:szCs w:val="52"/>
          <w:highlight w:val="none"/>
        </w:rPr>
      </w:pPr>
      <w:r>
        <w:rPr>
          <w:rFonts w:hint="eastAsia" w:ascii="宋体" w:hAnsi="宋体"/>
          <w:b/>
          <w:bCs/>
          <w:sz w:val="52"/>
          <w:szCs w:val="52"/>
          <w:highlight w:val="none"/>
        </w:rPr>
        <w:t>建设工程项目第三方检测业务单项工程检测合同</w:t>
      </w:r>
    </w:p>
    <w:p w14:paraId="390928EC">
      <w:pPr>
        <w:spacing w:line="480" w:lineRule="exact"/>
        <w:ind w:firstLine="5100" w:firstLineChars="1700"/>
        <w:rPr>
          <w:rFonts w:hAnsi="宋体" w:eastAsia="仿宋_GB2312"/>
          <w:sz w:val="30"/>
          <w:szCs w:val="30"/>
          <w:highlight w:val="none"/>
        </w:rPr>
      </w:pPr>
    </w:p>
    <w:p w14:paraId="78603515">
      <w:pPr>
        <w:spacing w:line="480" w:lineRule="exact"/>
        <w:ind w:firstLine="2520" w:firstLineChars="900"/>
        <w:jc w:val="left"/>
        <w:rPr>
          <w:rFonts w:hAnsi="宋体" w:eastAsia="仿宋_GB2312"/>
          <w:sz w:val="28"/>
          <w:szCs w:val="28"/>
          <w:highlight w:val="none"/>
        </w:rPr>
      </w:pPr>
      <w:r>
        <w:rPr>
          <w:rFonts w:hint="eastAsia" w:hAnsi="宋体" w:eastAsia="仿宋_GB2312"/>
          <w:sz w:val="28"/>
          <w:szCs w:val="28"/>
          <w:highlight w:val="none"/>
        </w:rPr>
        <w:t>（单项工程检测合同格式）</w:t>
      </w:r>
    </w:p>
    <w:p w14:paraId="1373149A">
      <w:pPr>
        <w:pStyle w:val="33"/>
        <w:jc w:val="both"/>
        <w:rPr>
          <w:highlight w:val="none"/>
        </w:rPr>
      </w:pPr>
    </w:p>
    <w:p w14:paraId="55943A23">
      <w:pPr>
        <w:pStyle w:val="33"/>
        <w:rPr>
          <w:highlight w:val="none"/>
        </w:rPr>
      </w:pPr>
    </w:p>
    <w:p w14:paraId="465C3FC4">
      <w:pPr>
        <w:spacing w:line="480" w:lineRule="exact"/>
        <w:ind w:firstLine="1400" w:firstLineChars="500"/>
        <w:rPr>
          <w:rFonts w:hAnsi="仿宋" w:eastAsia="仿宋_GB2312"/>
          <w:sz w:val="28"/>
          <w:szCs w:val="28"/>
          <w:highlight w:val="none"/>
          <w:u w:val="single"/>
        </w:rPr>
      </w:pPr>
      <w:r>
        <w:rPr>
          <w:rFonts w:hint="eastAsia" w:hAnsi="仿宋" w:eastAsia="仿宋_GB2312"/>
          <w:sz w:val="28"/>
          <w:szCs w:val="28"/>
          <w:highlight w:val="none"/>
        </w:rPr>
        <w:t>项目名称：</w:t>
      </w:r>
      <w:r>
        <w:rPr>
          <w:rFonts w:hint="eastAsia" w:hAnsi="仿宋" w:eastAsia="仿宋_GB2312"/>
          <w:sz w:val="28"/>
          <w:szCs w:val="28"/>
          <w:highlight w:val="none"/>
          <w:u w:val="single"/>
        </w:rPr>
        <w:t xml:space="preserve">                                  </w:t>
      </w:r>
    </w:p>
    <w:p w14:paraId="21461B16">
      <w:pPr>
        <w:spacing w:line="480" w:lineRule="exact"/>
        <w:rPr>
          <w:rFonts w:hAnsi="仿宋" w:eastAsia="仿宋_GB2312"/>
          <w:sz w:val="28"/>
          <w:szCs w:val="28"/>
          <w:highlight w:val="none"/>
          <w:u w:val="single"/>
        </w:rPr>
      </w:pPr>
      <w:r>
        <w:rPr>
          <w:rFonts w:hint="eastAsia" w:hAnsi="仿宋" w:eastAsia="仿宋_GB2312"/>
          <w:sz w:val="28"/>
          <w:szCs w:val="28"/>
          <w:highlight w:val="none"/>
        </w:rPr>
        <w:t xml:space="preserve">          委托单位：</w:t>
      </w:r>
      <w:r>
        <w:rPr>
          <w:rFonts w:hint="eastAsia" w:hAnsi="仿宋" w:eastAsia="仿宋_GB2312"/>
          <w:sz w:val="28"/>
          <w:szCs w:val="28"/>
          <w:highlight w:val="none"/>
          <w:u w:val="single"/>
        </w:rPr>
        <w:t>广州开发区财政投资建设项目管理中心</w:t>
      </w:r>
    </w:p>
    <w:p w14:paraId="5E3071FE">
      <w:pPr>
        <w:snapToGrid w:val="0"/>
        <w:spacing w:line="440" w:lineRule="exact"/>
        <w:rPr>
          <w:rFonts w:hAnsi="仿宋" w:eastAsia="仿宋_GB2312"/>
          <w:sz w:val="28"/>
          <w:szCs w:val="28"/>
          <w:highlight w:val="none"/>
          <w:u w:val="single"/>
        </w:rPr>
      </w:pPr>
      <w:r>
        <w:rPr>
          <w:rFonts w:hint="eastAsia" w:hAnsi="仿宋" w:eastAsia="仿宋_GB2312"/>
          <w:sz w:val="28"/>
          <w:szCs w:val="28"/>
          <w:highlight w:val="none"/>
        </w:rPr>
        <w:t xml:space="preserve">          服务单位：</w:t>
      </w:r>
      <w:r>
        <w:rPr>
          <w:rFonts w:hint="eastAsia" w:hAnsi="仿宋" w:eastAsia="仿宋_GB2312"/>
          <w:sz w:val="28"/>
          <w:szCs w:val="28"/>
          <w:highlight w:val="none"/>
          <w:u w:val="single"/>
        </w:rPr>
        <w:t xml:space="preserve">                                  </w:t>
      </w:r>
    </w:p>
    <w:p w14:paraId="56D8DF97">
      <w:pPr>
        <w:spacing w:line="480" w:lineRule="exact"/>
        <w:rPr>
          <w:rFonts w:hAnsi="仿宋" w:eastAsia="仿宋_GB2312"/>
          <w:sz w:val="28"/>
          <w:szCs w:val="28"/>
          <w:highlight w:val="none"/>
          <w:u w:val="single"/>
        </w:rPr>
      </w:pPr>
      <w:r>
        <w:rPr>
          <w:rFonts w:hint="eastAsia" w:hAnsi="仿宋" w:eastAsia="仿宋_GB2312"/>
          <w:sz w:val="28"/>
          <w:szCs w:val="28"/>
          <w:highlight w:val="none"/>
        </w:rPr>
        <w:t xml:space="preserve">          签订日期：</w:t>
      </w:r>
      <w:r>
        <w:rPr>
          <w:rFonts w:hint="eastAsia" w:hAnsi="仿宋" w:eastAsia="仿宋_GB2312"/>
          <w:sz w:val="28"/>
          <w:szCs w:val="28"/>
          <w:highlight w:val="none"/>
          <w:u w:val="single"/>
        </w:rPr>
        <w:t xml:space="preserve">    年  月   日</w:t>
      </w:r>
    </w:p>
    <w:p w14:paraId="3FF53871">
      <w:pPr>
        <w:spacing w:line="480" w:lineRule="exact"/>
        <w:rPr>
          <w:rFonts w:hAnsi="仿宋" w:eastAsia="仿宋_GB2312"/>
          <w:sz w:val="28"/>
          <w:szCs w:val="28"/>
          <w:highlight w:val="none"/>
          <w:u w:val="single"/>
        </w:rPr>
      </w:pPr>
      <w:r>
        <w:rPr>
          <w:highlight w:val="none"/>
        </w:rPr>
        <w:drawing>
          <wp:anchor distT="0" distB="0" distL="114300" distR="114300" simplePos="0" relativeHeight="251661312" behindDoc="0" locked="0" layoutInCell="1" allowOverlap="0">
            <wp:simplePos x="0" y="0"/>
            <wp:positionH relativeFrom="column">
              <wp:posOffset>-680720</wp:posOffset>
            </wp:positionH>
            <wp:positionV relativeFrom="paragraph">
              <wp:posOffset>351790</wp:posOffset>
            </wp:positionV>
            <wp:extent cx="7277100" cy="1866900"/>
            <wp:effectExtent l="0" t="0" r="0" b="0"/>
            <wp:wrapSquare wrapText="bothSides"/>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7277100" cy="1866900"/>
                    </a:xfrm>
                    <a:prstGeom prst="rect">
                      <a:avLst/>
                    </a:prstGeom>
                    <a:noFill/>
                    <a:ln>
                      <a:noFill/>
                    </a:ln>
                  </pic:spPr>
                </pic:pic>
              </a:graphicData>
            </a:graphic>
          </wp:anchor>
        </w:drawing>
      </w:r>
      <w:r>
        <w:rPr>
          <w:rFonts w:hint="eastAsia" w:hAnsi="仿宋" w:eastAsia="仿宋_GB2312"/>
          <w:sz w:val="28"/>
          <w:szCs w:val="28"/>
          <w:highlight w:val="none"/>
        </w:rPr>
        <w:t xml:space="preserve">          签订地点：</w:t>
      </w:r>
      <w:r>
        <w:rPr>
          <w:rFonts w:hint="eastAsia" w:hAnsi="仿宋" w:eastAsia="仿宋_GB2312"/>
          <w:sz w:val="28"/>
          <w:szCs w:val="28"/>
          <w:highlight w:val="none"/>
          <w:u w:val="single"/>
        </w:rPr>
        <w:t xml:space="preserve">广州市黄埔区 </w:t>
      </w:r>
    </w:p>
    <w:p w14:paraId="72B39D8D">
      <w:pPr>
        <w:widowControl/>
        <w:spacing w:line="560" w:lineRule="exact"/>
        <w:jc w:val="left"/>
        <w:rPr>
          <w:rFonts w:ascii="楷体_GB2312" w:hAnsi="宋体" w:eastAsia="楷体_GB2312"/>
          <w:highlight w:val="none"/>
        </w:rPr>
        <w:sectPr>
          <w:pgSz w:w="11906" w:h="16838"/>
          <w:pgMar w:top="1417" w:right="1417" w:bottom="1417" w:left="1417" w:header="850" w:footer="1134" w:gutter="0"/>
          <w:cols w:space="720" w:num="1"/>
          <w:docGrid w:linePitch="286" w:charSpace="0"/>
        </w:sectPr>
      </w:pPr>
    </w:p>
    <w:p w14:paraId="00A633D0">
      <w:pPr>
        <w:spacing w:line="500" w:lineRule="exact"/>
        <w:rPr>
          <w:rFonts w:ascii="仿宋" w:hAnsi="仿宋" w:eastAsia="仿宋"/>
          <w:sz w:val="28"/>
          <w:szCs w:val="28"/>
          <w:highlight w:val="none"/>
          <w:u w:val="single"/>
        </w:rPr>
      </w:pPr>
      <w:r>
        <w:rPr>
          <w:rFonts w:hint="eastAsia" w:ascii="仿宋" w:hAnsi="仿宋" w:eastAsia="仿宋"/>
          <w:sz w:val="28"/>
          <w:szCs w:val="28"/>
          <w:highlight w:val="none"/>
        </w:rPr>
        <w:t>甲方：</w:t>
      </w:r>
      <w:r>
        <w:rPr>
          <w:rFonts w:hint="eastAsia" w:ascii="仿宋" w:hAnsi="仿宋" w:eastAsia="仿宋"/>
          <w:sz w:val="28"/>
          <w:szCs w:val="28"/>
          <w:highlight w:val="none"/>
          <w:u w:val="single"/>
        </w:rPr>
        <w:t>广州开发区财政投资建设项目管理中心</w:t>
      </w:r>
    </w:p>
    <w:p w14:paraId="3E7B395A">
      <w:pPr>
        <w:spacing w:line="500" w:lineRule="exact"/>
        <w:rPr>
          <w:rFonts w:ascii="仿宋" w:hAnsi="仿宋" w:eastAsia="仿宋"/>
          <w:sz w:val="28"/>
          <w:szCs w:val="28"/>
          <w:highlight w:val="none"/>
        </w:rPr>
      </w:pPr>
      <w:r>
        <w:rPr>
          <w:rFonts w:hint="eastAsia" w:ascii="仿宋" w:hAnsi="仿宋" w:eastAsia="仿宋"/>
          <w:sz w:val="28"/>
          <w:szCs w:val="28"/>
          <w:highlight w:val="none"/>
        </w:rPr>
        <w:t>乙方：</w:t>
      </w:r>
      <w:r>
        <w:rPr>
          <w:rFonts w:hint="eastAsia" w:ascii="仿宋" w:hAnsi="仿宋" w:eastAsia="仿宋"/>
          <w:sz w:val="28"/>
          <w:szCs w:val="28"/>
          <w:highlight w:val="none"/>
          <w:u w:val="single"/>
        </w:rPr>
        <w:t xml:space="preserve">*****           </w:t>
      </w:r>
    </w:p>
    <w:p w14:paraId="76419BAD">
      <w:pPr>
        <w:adjustRightInd w:val="0"/>
        <w:snapToGrid w:val="0"/>
        <w:spacing w:line="500" w:lineRule="exact"/>
        <w:ind w:right="11"/>
        <w:rPr>
          <w:rFonts w:ascii="仿宋" w:hAnsi="仿宋" w:eastAsia="仿宋"/>
          <w:sz w:val="28"/>
          <w:szCs w:val="28"/>
          <w:highlight w:val="none"/>
        </w:rPr>
      </w:pPr>
      <w:r>
        <w:rPr>
          <w:rFonts w:ascii="仿宋" w:hAnsi="仿宋" w:eastAsia="仿宋"/>
          <w:sz w:val="28"/>
          <w:szCs w:val="28"/>
          <w:highlight w:val="none"/>
        </w:rPr>
        <w:t xml:space="preserve"> </w:t>
      </w:r>
    </w:p>
    <w:p w14:paraId="373C8B0D">
      <w:pPr>
        <w:adjustRightInd w:val="0"/>
        <w:snapToGrid w:val="0"/>
        <w:spacing w:line="50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鉴于</w:t>
      </w:r>
      <w:r>
        <w:rPr>
          <w:rFonts w:hint="eastAsia" w:ascii="仿宋" w:hAnsi="仿宋" w:eastAsia="仿宋"/>
          <w:sz w:val="28"/>
          <w:szCs w:val="28"/>
          <w:highlight w:val="none"/>
          <w:u w:val="single"/>
        </w:rPr>
        <w:t>广州开发区财政投资建设项目管理中心</w:t>
      </w:r>
      <w:r>
        <w:rPr>
          <w:rFonts w:hint="eastAsia" w:ascii="仿宋" w:hAnsi="仿宋" w:eastAsia="仿宋"/>
          <w:sz w:val="28"/>
          <w:szCs w:val="28"/>
          <w:highlight w:val="none"/>
        </w:rPr>
        <w:t>（以下称甲方）就</w:t>
      </w:r>
      <w:r>
        <w:rPr>
          <w:rFonts w:hint="eastAsia" w:ascii="仿宋" w:hAnsi="仿宋" w:eastAsia="仿宋"/>
          <w:sz w:val="28"/>
          <w:szCs w:val="28"/>
          <w:highlight w:val="none"/>
          <w:u w:val="single"/>
        </w:rPr>
        <w:t>******</w:t>
      </w:r>
      <w:r>
        <w:rPr>
          <w:rFonts w:hint="eastAsia" w:ascii="仿宋" w:hAnsi="仿宋" w:eastAsia="仿宋"/>
          <w:sz w:val="28"/>
          <w:szCs w:val="28"/>
          <w:highlight w:val="none"/>
        </w:rPr>
        <w:t>检测服务进行了公开招标，中标人为</w:t>
      </w:r>
      <w:r>
        <w:rPr>
          <w:rFonts w:hint="eastAsia" w:ascii="仿宋" w:hAnsi="仿宋" w:eastAsia="仿宋"/>
          <w:sz w:val="28"/>
          <w:szCs w:val="28"/>
          <w:highlight w:val="none"/>
          <w:u w:val="single"/>
        </w:rPr>
        <w:t xml:space="preserve">***** </w:t>
      </w:r>
      <w:r>
        <w:rPr>
          <w:rFonts w:hint="eastAsia" w:ascii="仿宋" w:hAnsi="仿宋" w:eastAsia="仿宋"/>
          <w:sz w:val="28"/>
          <w:szCs w:val="28"/>
          <w:highlight w:val="none"/>
        </w:rPr>
        <w:t>（下称乙方），甲方与乙方依照《中华人民共和国民法典》、《中华人民共和国建筑法》及其他有关法律、行政法规、部门规章、地方性法规和规章，遵循平等、自愿、公平和诚实信用的原则，双方就</w:t>
      </w:r>
      <w:r>
        <w:rPr>
          <w:rFonts w:hint="eastAsia" w:ascii="仿宋" w:hAnsi="仿宋" w:eastAsia="仿宋"/>
          <w:sz w:val="28"/>
          <w:szCs w:val="28"/>
          <w:highlight w:val="none"/>
          <w:u w:val="single"/>
        </w:rPr>
        <w:t>******</w:t>
      </w:r>
      <w:r>
        <w:rPr>
          <w:rFonts w:hint="eastAsia" w:ascii="仿宋" w:hAnsi="仿宋" w:eastAsia="仿宋"/>
          <w:sz w:val="28"/>
          <w:szCs w:val="28"/>
          <w:highlight w:val="none"/>
        </w:rPr>
        <w:t>检测服务事宜协商一致，订立本合同。</w:t>
      </w:r>
    </w:p>
    <w:p w14:paraId="7898C07E">
      <w:pPr>
        <w:adjustRightInd w:val="0"/>
        <w:snapToGrid w:val="0"/>
        <w:spacing w:line="500" w:lineRule="exact"/>
        <w:ind w:right="11" w:firstLine="560" w:firstLineChars="200"/>
        <w:rPr>
          <w:rFonts w:ascii="仿宋" w:hAnsi="仿宋" w:eastAsia="仿宋"/>
          <w:bCs/>
          <w:sz w:val="28"/>
          <w:szCs w:val="28"/>
          <w:highlight w:val="none"/>
        </w:rPr>
      </w:pPr>
    </w:p>
    <w:p w14:paraId="309714EF">
      <w:pPr>
        <w:adjustRightInd w:val="0"/>
        <w:snapToGrid w:val="0"/>
        <w:spacing w:line="500" w:lineRule="exact"/>
        <w:ind w:right="11" w:firstLine="562" w:firstLineChars="200"/>
        <w:rPr>
          <w:rFonts w:ascii="仿宋" w:hAnsi="仿宋" w:eastAsia="仿宋"/>
          <w:bCs/>
          <w:sz w:val="28"/>
          <w:szCs w:val="28"/>
          <w:highlight w:val="none"/>
        </w:rPr>
      </w:pPr>
      <w:r>
        <w:rPr>
          <w:rFonts w:hint="eastAsia" w:ascii="仿宋" w:hAnsi="仿宋" w:eastAsia="仿宋"/>
          <w:b/>
          <w:sz w:val="28"/>
          <w:szCs w:val="28"/>
          <w:highlight w:val="none"/>
        </w:rPr>
        <w:t>一、下列文件应被认为是组成本合同的一部分，并互为补充和解释，如各文件存在冲突之处，以如下排列次序在前者优先适用：</w:t>
      </w:r>
    </w:p>
    <w:p w14:paraId="32A8DB96">
      <w:pPr>
        <w:adjustRightInd w:val="0"/>
        <w:snapToGrid w:val="0"/>
        <w:spacing w:line="500" w:lineRule="exact"/>
        <w:ind w:right="11" w:firstLine="560" w:firstLineChars="200"/>
        <w:rPr>
          <w:rFonts w:ascii="仿宋" w:hAnsi="仿宋" w:eastAsia="仿宋"/>
          <w:bCs/>
          <w:sz w:val="28"/>
          <w:szCs w:val="28"/>
          <w:highlight w:val="none"/>
        </w:rPr>
      </w:pPr>
      <w:r>
        <w:rPr>
          <w:rFonts w:hint="eastAsia" w:ascii="仿宋" w:hAnsi="仿宋" w:eastAsia="仿宋"/>
          <w:bCs/>
          <w:sz w:val="28"/>
          <w:szCs w:val="28"/>
          <w:highlight w:val="none"/>
        </w:rPr>
        <w:t>1、国家和广东省、广州市、黄埔区、开发区关于本工程的有关文件；</w:t>
      </w:r>
    </w:p>
    <w:p w14:paraId="2356286F">
      <w:pPr>
        <w:spacing w:line="500" w:lineRule="exact"/>
        <w:rPr>
          <w:rFonts w:ascii="仿宋" w:hAnsi="仿宋" w:eastAsia="仿宋"/>
          <w:sz w:val="28"/>
          <w:szCs w:val="28"/>
          <w:highlight w:val="none"/>
        </w:rPr>
      </w:pPr>
      <w:r>
        <w:rPr>
          <w:rFonts w:hint="eastAsia" w:ascii="仿宋" w:hAnsi="仿宋" w:eastAsia="仿宋"/>
          <w:sz w:val="28"/>
          <w:szCs w:val="28"/>
          <w:highlight w:val="none"/>
        </w:rPr>
        <w:t xml:space="preserve">    2、本合同实施期间双方签订的其补充协议；</w:t>
      </w:r>
    </w:p>
    <w:p w14:paraId="0F89AEF9">
      <w:pPr>
        <w:spacing w:line="500" w:lineRule="exact"/>
        <w:rPr>
          <w:rFonts w:ascii="仿宋" w:hAnsi="仿宋" w:eastAsia="仿宋"/>
          <w:sz w:val="28"/>
          <w:szCs w:val="28"/>
          <w:highlight w:val="none"/>
        </w:rPr>
      </w:pPr>
      <w:r>
        <w:rPr>
          <w:rFonts w:hint="eastAsia" w:ascii="仿宋" w:hAnsi="仿宋" w:eastAsia="仿宋"/>
          <w:sz w:val="28"/>
          <w:szCs w:val="28"/>
          <w:highlight w:val="none"/>
        </w:rPr>
        <w:t>　  3、中标通知书；</w:t>
      </w:r>
    </w:p>
    <w:p w14:paraId="36766A87">
      <w:pPr>
        <w:adjustRightInd w:val="0"/>
        <w:snapToGrid w:val="0"/>
        <w:spacing w:line="50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4、第三方检测服务招标文件</w:t>
      </w:r>
      <w:r>
        <w:rPr>
          <w:rFonts w:hint="eastAsia" w:ascii="仿宋" w:hAnsi="仿宋" w:eastAsia="仿宋"/>
          <w:bCs/>
          <w:sz w:val="28"/>
          <w:szCs w:val="28"/>
          <w:highlight w:val="none"/>
        </w:rPr>
        <w:t>（含招标文件补充文件、澄清文件、答疑文件等）</w:t>
      </w:r>
      <w:r>
        <w:rPr>
          <w:rFonts w:hint="eastAsia" w:ascii="仿宋" w:hAnsi="仿宋" w:eastAsia="仿宋"/>
          <w:sz w:val="28"/>
          <w:szCs w:val="28"/>
          <w:highlight w:val="none"/>
        </w:rPr>
        <w:t>；</w:t>
      </w:r>
    </w:p>
    <w:p w14:paraId="474FCC91">
      <w:pPr>
        <w:adjustRightInd w:val="0"/>
        <w:snapToGrid w:val="0"/>
        <w:spacing w:line="50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5、第三方检测服务投标文件</w:t>
      </w:r>
      <w:r>
        <w:rPr>
          <w:rFonts w:hint="eastAsia" w:ascii="仿宋" w:hAnsi="仿宋" w:eastAsia="仿宋"/>
          <w:bCs/>
          <w:sz w:val="28"/>
          <w:szCs w:val="28"/>
          <w:highlight w:val="none"/>
        </w:rPr>
        <w:t>（含投标文件澄清等）；</w:t>
      </w:r>
    </w:p>
    <w:p w14:paraId="3C1E55F9">
      <w:pPr>
        <w:adjustRightInd w:val="0"/>
        <w:snapToGrid w:val="0"/>
        <w:spacing w:line="50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6、组成本合同的其他文件。</w:t>
      </w:r>
    </w:p>
    <w:p w14:paraId="3129D1A1">
      <w:pPr>
        <w:adjustRightInd w:val="0"/>
        <w:snapToGrid w:val="0"/>
        <w:spacing w:line="500" w:lineRule="exact"/>
        <w:ind w:firstLine="560" w:firstLineChars="200"/>
        <w:rPr>
          <w:rFonts w:ascii="仿宋" w:hAnsi="仿宋" w:eastAsia="仿宋"/>
          <w:b/>
          <w:bCs/>
          <w:sz w:val="28"/>
          <w:szCs w:val="28"/>
          <w:highlight w:val="none"/>
        </w:rPr>
      </w:pPr>
      <w:r>
        <w:rPr>
          <w:rFonts w:hint="eastAsia" w:ascii="仿宋" w:hAnsi="仿宋" w:eastAsia="仿宋"/>
          <w:sz w:val="28"/>
          <w:szCs w:val="28"/>
          <w:highlight w:val="none"/>
        </w:rPr>
        <w:t>通过上述顺序解释仍无法明确的事项，由甲方与乙方协商解决；如协商不成，由甲方按照公平合理和有利于本合同工程建设的原则作出决定，乙方应无条件执行。</w:t>
      </w:r>
    </w:p>
    <w:p w14:paraId="1E11472D">
      <w:pPr>
        <w:spacing w:line="500" w:lineRule="exact"/>
        <w:ind w:firstLine="562" w:firstLineChars="200"/>
        <w:contextualSpacing/>
        <w:rPr>
          <w:rFonts w:ascii="仿宋" w:hAnsi="仿宋" w:eastAsia="仿宋"/>
          <w:b/>
          <w:bCs/>
          <w:sz w:val="28"/>
          <w:szCs w:val="28"/>
          <w:highlight w:val="none"/>
        </w:rPr>
      </w:pPr>
      <w:r>
        <w:rPr>
          <w:rFonts w:hint="eastAsia" w:ascii="仿宋" w:hAnsi="仿宋" w:eastAsia="仿宋"/>
          <w:b/>
          <w:bCs/>
          <w:sz w:val="28"/>
          <w:szCs w:val="28"/>
          <w:highlight w:val="none"/>
        </w:rPr>
        <w:t>二、项目概况</w:t>
      </w:r>
    </w:p>
    <w:p w14:paraId="1CCC20BD">
      <w:pPr>
        <w:adjustRightInd w:val="0"/>
        <w:snapToGrid w:val="0"/>
        <w:spacing w:line="500" w:lineRule="exact"/>
        <w:ind w:firstLine="560" w:firstLineChars="200"/>
        <w:rPr>
          <w:rFonts w:ascii="仿宋" w:hAnsi="仿宋" w:eastAsia="仿宋"/>
          <w:sz w:val="28"/>
          <w:szCs w:val="28"/>
          <w:highlight w:val="none"/>
        </w:rPr>
      </w:pPr>
      <w:r>
        <w:rPr>
          <w:rFonts w:hint="eastAsia" w:ascii="仿宋" w:hAnsi="仿宋" w:eastAsia="仿宋"/>
          <w:bCs/>
          <w:sz w:val="28"/>
          <w:szCs w:val="28"/>
          <w:highlight w:val="none"/>
        </w:rPr>
        <w:t>1、项目名称：</w:t>
      </w:r>
      <w:r>
        <w:rPr>
          <w:rFonts w:hint="eastAsia" w:ascii="仿宋" w:hAnsi="仿宋" w:eastAsia="仿宋"/>
          <w:sz w:val="28"/>
          <w:szCs w:val="28"/>
          <w:highlight w:val="none"/>
          <w:u w:val="single"/>
        </w:rPr>
        <w:t>******检测</w:t>
      </w:r>
      <w:r>
        <w:rPr>
          <w:rFonts w:hint="eastAsia" w:ascii="仿宋" w:hAnsi="仿宋" w:eastAsia="仿宋"/>
          <w:sz w:val="28"/>
          <w:szCs w:val="28"/>
          <w:highlight w:val="none"/>
        </w:rPr>
        <w:t xml:space="preserve"> </w:t>
      </w:r>
    </w:p>
    <w:p w14:paraId="0E30A085">
      <w:pPr>
        <w:spacing w:line="500" w:lineRule="exact"/>
        <w:ind w:firstLine="560" w:firstLineChars="200"/>
        <w:contextualSpacing/>
        <w:rPr>
          <w:rFonts w:ascii="仿宋" w:hAnsi="仿宋" w:eastAsia="仿宋"/>
          <w:sz w:val="28"/>
          <w:szCs w:val="28"/>
          <w:highlight w:val="none"/>
        </w:rPr>
      </w:pPr>
      <w:r>
        <w:rPr>
          <w:rFonts w:hint="eastAsia" w:ascii="仿宋" w:hAnsi="仿宋" w:eastAsia="仿宋"/>
          <w:bCs/>
          <w:sz w:val="28"/>
          <w:szCs w:val="28"/>
          <w:highlight w:val="none"/>
        </w:rPr>
        <w:t>2、项目地点：</w:t>
      </w:r>
      <w:r>
        <w:rPr>
          <w:rFonts w:hint="eastAsia" w:ascii="仿宋" w:hAnsi="仿宋" w:eastAsia="仿宋"/>
          <w:bCs/>
          <w:sz w:val="28"/>
          <w:szCs w:val="28"/>
          <w:highlight w:val="none"/>
          <w:u w:val="single"/>
        </w:rPr>
        <w:t>*******</w:t>
      </w:r>
    </w:p>
    <w:p w14:paraId="193E49AA">
      <w:pPr>
        <w:spacing w:line="500" w:lineRule="exact"/>
        <w:ind w:firstLine="560" w:firstLineChars="200"/>
        <w:contextualSpacing/>
        <w:rPr>
          <w:rFonts w:ascii="仿宋" w:hAnsi="仿宋" w:eastAsia="仿宋"/>
          <w:sz w:val="28"/>
          <w:szCs w:val="28"/>
          <w:highlight w:val="none"/>
        </w:rPr>
      </w:pPr>
      <w:r>
        <w:rPr>
          <w:rFonts w:hint="eastAsia" w:ascii="仿宋" w:hAnsi="仿宋" w:eastAsia="仿宋"/>
          <w:sz w:val="28"/>
          <w:szCs w:val="28"/>
          <w:highlight w:val="none"/>
        </w:rPr>
        <w:t>3、服务目标：乙方按照国家有关检测规范对甲方委托的服务项目进行检测，确保工程质量。</w:t>
      </w:r>
    </w:p>
    <w:p w14:paraId="51803937">
      <w:pPr>
        <w:pStyle w:val="33"/>
        <w:spacing w:line="500" w:lineRule="exact"/>
        <w:jc w:val="both"/>
        <w:rPr>
          <w:rFonts w:ascii="仿宋" w:hAnsi="仿宋" w:eastAsia="仿宋"/>
          <w:highlight w:val="none"/>
        </w:rPr>
      </w:pPr>
      <w:r>
        <w:rPr>
          <w:rFonts w:hint="eastAsia" w:ascii="仿宋" w:hAnsi="仿宋" w:eastAsia="仿宋"/>
          <w:sz w:val="28"/>
          <w:szCs w:val="28"/>
          <w:highlight w:val="none"/>
        </w:rPr>
        <w:t xml:space="preserve">    4、从乙方进场至所有服务项目完成竣工验收备案为止，服务周期必须满足实际施工要求。</w:t>
      </w:r>
    </w:p>
    <w:p w14:paraId="73A88F30">
      <w:pPr>
        <w:spacing w:line="500" w:lineRule="exact"/>
        <w:ind w:firstLine="560" w:firstLineChars="200"/>
        <w:contextualSpacing/>
        <w:rPr>
          <w:rFonts w:ascii="仿宋" w:hAnsi="仿宋" w:eastAsia="仿宋"/>
          <w:sz w:val="28"/>
          <w:szCs w:val="28"/>
          <w:highlight w:val="none"/>
        </w:rPr>
      </w:pPr>
      <w:r>
        <w:rPr>
          <w:rFonts w:hint="eastAsia" w:ascii="仿宋" w:hAnsi="仿宋" w:eastAsia="仿宋"/>
          <w:sz w:val="28"/>
          <w:szCs w:val="28"/>
          <w:highlight w:val="none"/>
        </w:rPr>
        <w:t>5、监理单位：</w:t>
      </w:r>
      <w:r>
        <w:rPr>
          <w:rFonts w:hint="eastAsia" w:ascii="仿宋" w:hAnsi="仿宋" w:eastAsia="仿宋"/>
          <w:sz w:val="28"/>
          <w:szCs w:val="28"/>
          <w:highlight w:val="none"/>
          <w:u w:val="single"/>
        </w:rPr>
        <w:t>*********</w:t>
      </w:r>
    </w:p>
    <w:p w14:paraId="42AB44FE">
      <w:pPr>
        <w:spacing w:line="500" w:lineRule="exact"/>
        <w:ind w:firstLine="551" w:firstLineChars="196"/>
        <w:contextualSpacing/>
        <w:rPr>
          <w:rFonts w:ascii="仿宋" w:hAnsi="仿宋" w:eastAsia="仿宋"/>
          <w:sz w:val="28"/>
          <w:szCs w:val="28"/>
          <w:highlight w:val="none"/>
        </w:rPr>
      </w:pPr>
      <w:r>
        <w:rPr>
          <w:rFonts w:hint="eastAsia" w:ascii="仿宋" w:hAnsi="仿宋" w:eastAsia="仿宋"/>
          <w:b/>
          <w:sz w:val="28"/>
          <w:szCs w:val="28"/>
          <w:highlight w:val="none"/>
        </w:rPr>
        <w:t>三、工作内容及技术要求</w:t>
      </w:r>
    </w:p>
    <w:p w14:paraId="7A63603C">
      <w:pPr>
        <w:shd w:val="clear" w:color="auto" w:fill="FFFFFF"/>
        <w:adjustRightInd w:val="0"/>
        <w:spacing w:line="500" w:lineRule="exact"/>
        <w:ind w:firstLine="490" w:firstLineChars="175"/>
        <w:rPr>
          <w:rFonts w:ascii="仿宋" w:hAnsi="仿宋" w:eastAsia="仿宋"/>
          <w:sz w:val="28"/>
          <w:szCs w:val="28"/>
          <w:highlight w:val="none"/>
          <w:u w:val="single"/>
        </w:rPr>
      </w:pPr>
      <w:r>
        <w:rPr>
          <w:rFonts w:hint="eastAsia" w:ascii="仿宋" w:hAnsi="仿宋" w:eastAsia="仿宋"/>
          <w:sz w:val="28"/>
          <w:szCs w:val="28"/>
          <w:highlight w:val="none"/>
        </w:rPr>
        <w:t>1、检测服务的工作内容：</w:t>
      </w:r>
      <w:r>
        <w:rPr>
          <w:rFonts w:hint="eastAsia" w:ascii="仿宋" w:hAnsi="仿宋" w:eastAsia="仿宋"/>
          <w:sz w:val="28"/>
          <w:szCs w:val="28"/>
          <w:highlight w:val="none"/>
          <w:u w:val="single"/>
        </w:rPr>
        <w:t>************检测，工作内容主要包含但不限于：地基基础工程检测、主体结构工程现场检测、钢结构工程检测、人防结构检测、防雷检测、消防检测、道路检测、见证取样材料检测、建筑幕墙工程检测、节能检测、环境检测、智能化检测、园林绿化检测等第三方检测工作，具体检测项目以本项目清单、设计图纸及有关规范要求为准。</w:t>
      </w:r>
    </w:p>
    <w:p w14:paraId="3C5BDA32">
      <w:pPr>
        <w:shd w:val="clear" w:color="auto" w:fill="FFFFFF"/>
        <w:adjustRightInd w:val="0"/>
        <w:spacing w:line="500" w:lineRule="exact"/>
        <w:ind w:firstLine="490" w:firstLineChars="175"/>
        <w:rPr>
          <w:rFonts w:ascii="仿宋" w:hAnsi="仿宋" w:eastAsia="仿宋"/>
          <w:sz w:val="28"/>
          <w:szCs w:val="28"/>
          <w:highlight w:val="none"/>
          <w:u w:val="single"/>
        </w:rPr>
      </w:pPr>
      <w:r>
        <w:rPr>
          <w:rFonts w:hint="eastAsia" w:ascii="仿宋" w:hAnsi="仿宋" w:eastAsia="仿宋"/>
          <w:sz w:val="28"/>
          <w:szCs w:val="28"/>
          <w:highlight w:val="none"/>
          <w:u w:val="single"/>
        </w:rPr>
        <w:t>服务范围除以上工作外，还包括但不限于以下内容：</w:t>
      </w:r>
    </w:p>
    <w:p w14:paraId="7F5F95C5">
      <w:pPr>
        <w:shd w:val="clear" w:color="auto" w:fill="FFFFFF"/>
        <w:adjustRightInd w:val="0"/>
        <w:spacing w:line="500" w:lineRule="exact"/>
        <w:ind w:firstLine="490" w:firstLineChars="175"/>
        <w:rPr>
          <w:rFonts w:ascii="仿宋" w:hAnsi="仿宋" w:eastAsia="仿宋"/>
          <w:sz w:val="28"/>
          <w:szCs w:val="28"/>
          <w:highlight w:val="none"/>
          <w:u w:val="single"/>
        </w:rPr>
      </w:pPr>
      <w:r>
        <w:rPr>
          <w:rFonts w:hint="eastAsia" w:ascii="仿宋" w:hAnsi="仿宋" w:eastAsia="仿宋"/>
          <w:sz w:val="28"/>
          <w:szCs w:val="28"/>
          <w:highlight w:val="none"/>
          <w:u w:val="single"/>
        </w:rPr>
        <w:t>（1）与工程所在行政区域的相关建设行政主管部门和监督部门所进行的协调工作，且合同价中已经综合考虑了该项协调工作的费用。如申报检测技术成果的审批，保证技术成果能够通过相关部门认可，确保不因检测工作影响本工程项目的建设进度和竣工验收。</w:t>
      </w:r>
    </w:p>
    <w:p w14:paraId="0BC44661">
      <w:pPr>
        <w:shd w:val="clear" w:color="auto" w:fill="FFFFFF"/>
        <w:adjustRightInd w:val="0"/>
        <w:spacing w:line="500" w:lineRule="exact"/>
        <w:ind w:firstLine="490" w:firstLineChars="175"/>
        <w:rPr>
          <w:rFonts w:ascii="仿宋" w:hAnsi="仿宋" w:eastAsia="仿宋"/>
          <w:sz w:val="28"/>
          <w:szCs w:val="28"/>
          <w:highlight w:val="none"/>
          <w:u w:val="single"/>
        </w:rPr>
      </w:pPr>
      <w:r>
        <w:rPr>
          <w:rFonts w:hint="eastAsia" w:ascii="仿宋" w:hAnsi="仿宋" w:eastAsia="仿宋"/>
          <w:sz w:val="28"/>
          <w:szCs w:val="28"/>
          <w:highlight w:val="none"/>
          <w:u w:val="single"/>
        </w:rPr>
        <w:t>（2）在进行检测任务的过程中与该工程相关的施工单位、监理单位、设计单位、业主、建设管理单位、建设主管部门等相关单位的协调工作，且合同价中已经综合考虑了该项协调工作的费用。</w:t>
      </w:r>
    </w:p>
    <w:p w14:paraId="5E456082">
      <w:pPr>
        <w:shd w:val="clear" w:color="auto" w:fill="FFFFFF"/>
        <w:adjustRightInd w:val="0"/>
        <w:spacing w:line="500" w:lineRule="exact"/>
        <w:ind w:firstLine="490" w:firstLineChars="175"/>
        <w:rPr>
          <w:rFonts w:ascii="仿宋" w:hAnsi="仿宋" w:eastAsia="仿宋"/>
          <w:sz w:val="28"/>
          <w:szCs w:val="28"/>
          <w:highlight w:val="none"/>
          <w:u w:val="single"/>
        </w:rPr>
      </w:pPr>
      <w:r>
        <w:rPr>
          <w:rFonts w:hint="eastAsia" w:ascii="仿宋" w:hAnsi="仿宋" w:eastAsia="仿宋"/>
          <w:sz w:val="28"/>
          <w:szCs w:val="28"/>
          <w:highlight w:val="none"/>
          <w:u w:val="single"/>
        </w:rPr>
        <w:t>（3）因按相关规定须与行业、行政监督部门传输报送检测数据信息的工作，且合同价中已经综合考虑了该项协调工作的费用。</w:t>
      </w:r>
    </w:p>
    <w:p w14:paraId="16253C44">
      <w:pPr>
        <w:shd w:val="clear" w:color="auto" w:fill="FFFFFF"/>
        <w:adjustRightInd w:val="0"/>
        <w:spacing w:line="500" w:lineRule="exact"/>
        <w:ind w:firstLine="490" w:firstLineChars="175"/>
        <w:rPr>
          <w:rFonts w:ascii="仿宋" w:hAnsi="仿宋" w:eastAsia="仿宋"/>
          <w:sz w:val="28"/>
          <w:szCs w:val="28"/>
          <w:highlight w:val="none"/>
          <w:u w:val="single"/>
        </w:rPr>
      </w:pPr>
      <w:r>
        <w:rPr>
          <w:rFonts w:hint="eastAsia" w:ascii="仿宋" w:hAnsi="仿宋" w:eastAsia="仿宋"/>
          <w:sz w:val="28"/>
          <w:szCs w:val="28"/>
          <w:highlight w:val="none"/>
          <w:u w:val="single"/>
        </w:rPr>
        <w:t>（4）根据相关规范和标准、主管部门文件的规定以及设计图纸的有关要求，结合工程实际情况编制相关项目的《检测方案》，并报质监部门备案（如需要）。</w:t>
      </w:r>
    </w:p>
    <w:p w14:paraId="3495E6AA">
      <w:pPr>
        <w:shd w:val="clear" w:color="auto" w:fill="FFFFFF"/>
        <w:adjustRightInd w:val="0"/>
        <w:spacing w:line="500" w:lineRule="exact"/>
        <w:ind w:firstLine="490" w:firstLineChars="175"/>
        <w:rPr>
          <w:rFonts w:ascii="仿宋" w:hAnsi="仿宋" w:eastAsia="仿宋"/>
          <w:sz w:val="28"/>
          <w:szCs w:val="28"/>
          <w:highlight w:val="none"/>
          <w:u w:val="single"/>
        </w:rPr>
      </w:pPr>
      <w:r>
        <w:rPr>
          <w:rFonts w:hint="eastAsia" w:ascii="仿宋" w:hAnsi="仿宋" w:eastAsia="仿宋"/>
          <w:sz w:val="28"/>
          <w:szCs w:val="28"/>
          <w:highlight w:val="none"/>
          <w:u w:val="single"/>
        </w:rPr>
        <w:t>（5）负责检测的工程质量需符合《建设工程质量管理条例》等国家相关管理要求。</w:t>
      </w:r>
    </w:p>
    <w:p w14:paraId="3F54842E">
      <w:pPr>
        <w:shd w:val="clear" w:color="auto" w:fill="FFFFFF"/>
        <w:adjustRightInd w:val="0"/>
        <w:spacing w:line="500" w:lineRule="exact"/>
        <w:ind w:firstLine="490" w:firstLineChars="175"/>
        <w:rPr>
          <w:rFonts w:ascii="仿宋" w:hAnsi="仿宋" w:eastAsia="仿宋"/>
          <w:sz w:val="28"/>
          <w:szCs w:val="28"/>
          <w:highlight w:val="none"/>
          <w:u w:val="single"/>
        </w:rPr>
      </w:pPr>
      <w:r>
        <w:rPr>
          <w:rFonts w:hint="eastAsia" w:ascii="仿宋" w:hAnsi="仿宋" w:eastAsia="仿宋"/>
          <w:sz w:val="28"/>
          <w:szCs w:val="28"/>
          <w:highlight w:val="none"/>
          <w:u w:val="single"/>
        </w:rPr>
        <w:t>（具体以招标文件、施工图纸、检测方案为准）。</w:t>
      </w:r>
    </w:p>
    <w:p w14:paraId="49A4BDE3">
      <w:pPr>
        <w:spacing w:after="120" w:line="500" w:lineRule="exact"/>
        <w:ind w:left="482"/>
        <w:rPr>
          <w:rFonts w:ascii="仿宋" w:hAnsi="仿宋" w:eastAsia="仿宋"/>
          <w:b/>
          <w:sz w:val="28"/>
          <w:szCs w:val="28"/>
          <w:highlight w:val="none"/>
        </w:rPr>
      </w:pPr>
      <w:r>
        <w:rPr>
          <w:rFonts w:hint="eastAsia" w:ascii="仿宋" w:hAnsi="仿宋" w:eastAsia="仿宋"/>
          <w:b/>
          <w:sz w:val="28"/>
          <w:szCs w:val="28"/>
          <w:highlight w:val="none"/>
        </w:rPr>
        <w:t>2、技术要求</w:t>
      </w:r>
    </w:p>
    <w:p w14:paraId="626F4CA9">
      <w:pPr>
        <w:autoSpaceDE w:val="0"/>
        <w:autoSpaceDN w:val="0"/>
        <w:spacing w:line="500" w:lineRule="exact"/>
        <w:ind w:firstLine="560" w:firstLineChars="200"/>
        <w:contextualSpacing/>
        <w:rPr>
          <w:rFonts w:ascii="仿宋" w:hAnsi="仿宋" w:eastAsia="仿宋"/>
          <w:kern w:val="28"/>
          <w:sz w:val="28"/>
          <w:szCs w:val="28"/>
          <w:highlight w:val="none"/>
        </w:rPr>
      </w:pPr>
      <w:r>
        <w:rPr>
          <w:rFonts w:hint="eastAsia" w:ascii="仿宋" w:hAnsi="仿宋" w:eastAsia="仿宋"/>
          <w:kern w:val="28"/>
          <w:sz w:val="28"/>
          <w:szCs w:val="28"/>
          <w:highlight w:val="none"/>
        </w:rPr>
        <w:t>（1）乙方的检测工作必须满足国家、广东省、广州市相关检测规范、强制性标准。</w:t>
      </w:r>
    </w:p>
    <w:p w14:paraId="0E34FBAD">
      <w:pPr>
        <w:autoSpaceDE w:val="0"/>
        <w:autoSpaceDN w:val="0"/>
        <w:spacing w:line="500" w:lineRule="exact"/>
        <w:ind w:firstLine="560" w:firstLineChars="200"/>
        <w:contextualSpacing/>
        <w:rPr>
          <w:rFonts w:ascii="仿宋" w:hAnsi="仿宋" w:eastAsia="仿宋"/>
          <w:kern w:val="28"/>
          <w:sz w:val="28"/>
          <w:szCs w:val="28"/>
          <w:highlight w:val="none"/>
        </w:rPr>
      </w:pPr>
      <w:r>
        <w:rPr>
          <w:rFonts w:hint="eastAsia" w:ascii="仿宋" w:hAnsi="仿宋" w:eastAsia="仿宋"/>
          <w:kern w:val="28"/>
          <w:sz w:val="28"/>
          <w:szCs w:val="28"/>
          <w:highlight w:val="none"/>
        </w:rPr>
        <w:t>（2）乙方除按要求完成本次招标范围内的检测工作外，还应完成以下工作：</w:t>
      </w:r>
    </w:p>
    <w:p w14:paraId="7244E60C">
      <w:pPr>
        <w:tabs>
          <w:tab w:val="left" w:pos="1800"/>
        </w:tabs>
        <w:spacing w:line="50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1）根据设计文件、施工组织设计、相关规范和相关行政职能部门要求和甲方要求，结合项目实际情况，编制检测方案，并确保检测方案符合有关规范要求及通过工程所在行政区域的相关建设行政主管部门和监督部门的审批，同时负责协调相关工作，保证技术成果能够通过相关部门认可，确保不因检测工作影响本工程项目的建设进度和竣工验收。</w:t>
      </w:r>
    </w:p>
    <w:p w14:paraId="2F6FD7B5">
      <w:pPr>
        <w:tabs>
          <w:tab w:val="left" w:pos="1800"/>
        </w:tabs>
        <w:spacing w:line="50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（2）在进行检测服务过程中，与该工程相关的施工、监理、设计、咨询等相关单位及建设行政主管部门和监督部门协调，乙方需在合同价中综合考虑该项协调工作费用。</w:t>
      </w:r>
    </w:p>
    <w:p w14:paraId="3C11D101">
      <w:pPr>
        <w:tabs>
          <w:tab w:val="left" w:pos="1800"/>
        </w:tabs>
        <w:spacing w:line="50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（3）</w:t>
      </w:r>
      <w:r>
        <w:rPr>
          <w:rFonts w:hint="eastAsia" w:ascii="仿宋" w:hAnsi="仿宋" w:eastAsia="仿宋"/>
          <w:kern w:val="28"/>
          <w:sz w:val="28"/>
          <w:szCs w:val="28"/>
          <w:highlight w:val="none"/>
        </w:rPr>
        <w:t>本招标项目已包含监督抽检的工作内容，监督抽检数量按建设行政主管部门要求实施，乙方需在合同价中综合考虑该部分费用。</w:t>
      </w:r>
    </w:p>
    <w:p w14:paraId="676596B5">
      <w:pPr>
        <w:tabs>
          <w:tab w:val="left" w:pos="1800"/>
        </w:tabs>
        <w:spacing w:line="50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（4）负责检测数据的有关信息通过广州市建设工程质量检测监管信息网报送，乙方已在合同清单单价中综合考虑该项协调工作费用。</w:t>
      </w:r>
    </w:p>
    <w:p w14:paraId="2BAF641E">
      <w:pPr>
        <w:tabs>
          <w:tab w:val="left" w:pos="1155"/>
        </w:tabs>
        <w:spacing w:before="20" w:after="120" w:line="500" w:lineRule="exact"/>
        <w:ind w:left="420" w:firstLine="281" w:firstLineChars="100"/>
        <w:rPr>
          <w:rFonts w:ascii="仿宋" w:hAnsi="仿宋" w:eastAsia="仿宋"/>
          <w:b/>
          <w:sz w:val="28"/>
          <w:szCs w:val="28"/>
          <w:highlight w:val="none"/>
        </w:rPr>
      </w:pPr>
      <w:r>
        <w:rPr>
          <w:rFonts w:hint="eastAsia" w:ascii="仿宋" w:hAnsi="仿宋" w:eastAsia="仿宋"/>
          <w:b/>
          <w:sz w:val="28"/>
          <w:szCs w:val="28"/>
          <w:highlight w:val="none"/>
        </w:rPr>
        <w:t>四、甲乙双方的责任与义务</w:t>
      </w:r>
    </w:p>
    <w:p w14:paraId="77C8ECF1">
      <w:pPr>
        <w:tabs>
          <w:tab w:val="left" w:pos="1155"/>
        </w:tabs>
        <w:spacing w:before="20" w:after="120" w:line="500" w:lineRule="exact"/>
        <w:ind w:firstLine="562" w:firstLineChars="200"/>
        <w:rPr>
          <w:rFonts w:ascii="仿宋" w:hAnsi="仿宋" w:eastAsia="仿宋"/>
          <w:b/>
          <w:sz w:val="28"/>
          <w:szCs w:val="28"/>
          <w:highlight w:val="none"/>
        </w:rPr>
      </w:pPr>
      <w:r>
        <w:rPr>
          <w:rFonts w:hint="eastAsia" w:ascii="仿宋" w:hAnsi="仿宋" w:eastAsia="仿宋"/>
          <w:b/>
          <w:sz w:val="28"/>
          <w:szCs w:val="28"/>
          <w:highlight w:val="none"/>
        </w:rPr>
        <w:t>（一）甲方责任与义务</w:t>
      </w:r>
    </w:p>
    <w:p w14:paraId="371085EA">
      <w:pPr>
        <w:spacing w:line="500" w:lineRule="exact"/>
        <w:ind w:firstLine="554" w:firstLineChars="198"/>
        <w:contextualSpacing/>
        <w:rPr>
          <w:rFonts w:ascii="仿宋" w:hAnsi="仿宋" w:eastAsia="仿宋"/>
          <w:sz w:val="28"/>
          <w:szCs w:val="28"/>
          <w:highlight w:val="none"/>
        </w:rPr>
      </w:pPr>
      <w:r>
        <w:rPr>
          <w:rFonts w:hint="eastAsia" w:ascii="仿宋" w:hAnsi="仿宋" w:eastAsia="仿宋"/>
          <w:sz w:val="28"/>
          <w:szCs w:val="28"/>
          <w:highlight w:val="none"/>
        </w:rPr>
        <w:t>1、及时审核乙方提交的质量检测实施方案。</w:t>
      </w:r>
    </w:p>
    <w:p w14:paraId="65E443D7">
      <w:pPr>
        <w:spacing w:line="500" w:lineRule="exact"/>
        <w:ind w:firstLine="554" w:firstLineChars="198"/>
        <w:contextualSpacing/>
        <w:rPr>
          <w:rFonts w:ascii="仿宋" w:hAnsi="仿宋" w:eastAsia="仿宋"/>
          <w:sz w:val="28"/>
          <w:szCs w:val="28"/>
          <w:highlight w:val="none"/>
        </w:rPr>
      </w:pPr>
      <w:r>
        <w:rPr>
          <w:rFonts w:hint="eastAsia" w:ascii="仿宋" w:hAnsi="仿宋" w:eastAsia="仿宋"/>
          <w:sz w:val="28"/>
          <w:szCs w:val="28"/>
          <w:highlight w:val="none"/>
        </w:rPr>
        <w:t>2、为乙方提供必要的工作条件和协助解决检验过程中出现的问题。</w:t>
      </w:r>
    </w:p>
    <w:p w14:paraId="1A9DF238">
      <w:pPr>
        <w:spacing w:line="500" w:lineRule="exact"/>
        <w:ind w:firstLine="554" w:firstLineChars="198"/>
        <w:contextualSpacing/>
        <w:rPr>
          <w:rFonts w:ascii="仿宋" w:hAnsi="仿宋" w:eastAsia="仿宋"/>
          <w:sz w:val="28"/>
          <w:szCs w:val="28"/>
          <w:highlight w:val="none"/>
        </w:rPr>
      </w:pPr>
      <w:r>
        <w:rPr>
          <w:rFonts w:hint="eastAsia" w:ascii="仿宋" w:hAnsi="仿宋" w:eastAsia="仿宋"/>
          <w:sz w:val="28"/>
          <w:szCs w:val="28"/>
          <w:highlight w:val="none"/>
        </w:rPr>
        <w:t>3、协助乙方设备进、退场。</w:t>
      </w:r>
    </w:p>
    <w:p w14:paraId="29C8DED8">
      <w:pPr>
        <w:spacing w:line="500" w:lineRule="exact"/>
        <w:ind w:firstLine="554" w:firstLineChars="198"/>
        <w:contextualSpacing/>
        <w:rPr>
          <w:rFonts w:ascii="仿宋" w:hAnsi="仿宋" w:eastAsia="仿宋"/>
          <w:sz w:val="28"/>
          <w:szCs w:val="28"/>
          <w:highlight w:val="none"/>
        </w:rPr>
      </w:pPr>
      <w:r>
        <w:rPr>
          <w:rFonts w:hint="eastAsia" w:ascii="仿宋" w:hAnsi="仿宋" w:eastAsia="仿宋"/>
          <w:sz w:val="28"/>
          <w:szCs w:val="28"/>
          <w:highlight w:val="none"/>
        </w:rPr>
        <w:t>4、指定专人或委托相关单位对乙方现场检验进行旁站式监督，对乙方按要求完成的工作量予以签字确认。</w:t>
      </w:r>
    </w:p>
    <w:p w14:paraId="7C4C65C8">
      <w:pPr>
        <w:tabs>
          <w:tab w:val="left" w:pos="1155"/>
        </w:tabs>
        <w:spacing w:before="20" w:after="120" w:line="500" w:lineRule="exact"/>
        <w:ind w:firstLine="562" w:firstLineChars="200"/>
        <w:rPr>
          <w:rFonts w:ascii="仿宋" w:hAnsi="仿宋" w:eastAsia="仿宋"/>
          <w:b/>
          <w:sz w:val="28"/>
          <w:szCs w:val="28"/>
          <w:highlight w:val="none"/>
        </w:rPr>
      </w:pPr>
      <w:r>
        <w:rPr>
          <w:rFonts w:hint="eastAsia" w:ascii="仿宋" w:hAnsi="仿宋" w:eastAsia="仿宋"/>
          <w:b/>
          <w:sz w:val="28"/>
          <w:szCs w:val="28"/>
          <w:highlight w:val="none"/>
        </w:rPr>
        <w:t>（二）乙方责任与义务</w:t>
      </w:r>
    </w:p>
    <w:p w14:paraId="0F42B35C">
      <w:pPr>
        <w:spacing w:line="500" w:lineRule="exact"/>
        <w:ind w:firstLine="554" w:firstLineChars="198"/>
        <w:contextualSpacing/>
        <w:rPr>
          <w:rFonts w:ascii="仿宋" w:hAnsi="仿宋" w:eastAsia="仿宋"/>
          <w:sz w:val="28"/>
          <w:szCs w:val="28"/>
          <w:highlight w:val="none"/>
        </w:rPr>
      </w:pPr>
      <w:r>
        <w:rPr>
          <w:rFonts w:hint="eastAsia" w:ascii="仿宋" w:hAnsi="仿宋" w:eastAsia="仿宋"/>
          <w:sz w:val="28"/>
          <w:szCs w:val="28"/>
          <w:highlight w:val="none"/>
        </w:rPr>
        <w:t>1、开展检测工作前，乙方应向甲方提交检测实施方案，</w:t>
      </w:r>
      <w:r>
        <w:rPr>
          <w:rFonts w:hint="eastAsia" w:ascii="仿宋" w:hAnsi="仿宋" w:eastAsia="仿宋"/>
          <w:bCs/>
          <w:sz w:val="28"/>
          <w:szCs w:val="28"/>
          <w:highlight w:val="none"/>
        </w:rPr>
        <w:t>经施工单位复核、监理单位及甲方审核确定后执行。如甲方要求乙方对</w:t>
      </w:r>
      <w:r>
        <w:rPr>
          <w:rFonts w:hint="eastAsia" w:ascii="仿宋" w:hAnsi="仿宋" w:eastAsia="仿宋"/>
          <w:sz w:val="28"/>
          <w:szCs w:val="28"/>
          <w:highlight w:val="none"/>
        </w:rPr>
        <w:t>检测实施方案</w:t>
      </w:r>
      <w:r>
        <w:rPr>
          <w:rFonts w:hint="eastAsia" w:ascii="仿宋" w:hAnsi="仿宋" w:eastAsia="仿宋"/>
          <w:bCs/>
          <w:sz w:val="28"/>
          <w:szCs w:val="28"/>
          <w:highlight w:val="none"/>
        </w:rPr>
        <w:t>进行调整，乙方必须在收到甲方调整意见之日起3个工作日内，按甲方要求完成调整并重新报甲方审核</w:t>
      </w:r>
      <w:r>
        <w:rPr>
          <w:rFonts w:hint="eastAsia" w:ascii="仿宋" w:hAnsi="仿宋" w:eastAsia="仿宋"/>
          <w:sz w:val="28"/>
          <w:szCs w:val="28"/>
          <w:highlight w:val="none"/>
        </w:rPr>
        <w:t>。</w:t>
      </w:r>
    </w:p>
    <w:p w14:paraId="73B78408">
      <w:pPr>
        <w:spacing w:line="500" w:lineRule="exact"/>
        <w:ind w:firstLine="554" w:firstLineChars="198"/>
        <w:contextualSpacing/>
        <w:rPr>
          <w:rFonts w:ascii="仿宋" w:hAnsi="仿宋" w:eastAsia="仿宋"/>
          <w:sz w:val="28"/>
          <w:szCs w:val="28"/>
          <w:highlight w:val="none"/>
        </w:rPr>
      </w:pPr>
      <w:r>
        <w:rPr>
          <w:rFonts w:hint="eastAsia" w:ascii="仿宋" w:hAnsi="仿宋" w:eastAsia="仿宋"/>
          <w:sz w:val="28"/>
          <w:szCs w:val="28"/>
          <w:highlight w:val="none"/>
        </w:rPr>
        <w:t>2、对需要抽查检验的项目，由乙方根据工程实际进度向甲方递交抽查申请单，经甲方签字盖章确认后执行现场见证抽检。</w:t>
      </w:r>
    </w:p>
    <w:p w14:paraId="3C60BA8A">
      <w:pPr>
        <w:spacing w:line="500" w:lineRule="exact"/>
        <w:ind w:firstLine="554" w:firstLineChars="198"/>
        <w:contextualSpacing/>
        <w:rPr>
          <w:rFonts w:ascii="仿宋" w:hAnsi="仿宋" w:eastAsia="仿宋"/>
          <w:sz w:val="28"/>
          <w:szCs w:val="28"/>
          <w:highlight w:val="none"/>
        </w:rPr>
      </w:pPr>
      <w:r>
        <w:rPr>
          <w:rFonts w:hint="eastAsia" w:ascii="仿宋" w:hAnsi="仿宋" w:eastAsia="仿宋"/>
          <w:sz w:val="28"/>
          <w:szCs w:val="28"/>
          <w:highlight w:val="none"/>
        </w:rPr>
        <w:t>3、乙方应组织技术人员、仪器设备按甲方要求进场，并按本合同约定及有关技术规范、标准、规程和甲方的任务通知、技术要求进行检测工作，向甲方提交检验报告。</w:t>
      </w:r>
    </w:p>
    <w:p w14:paraId="3FA2A60C">
      <w:pPr>
        <w:spacing w:line="500" w:lineRule="exact"/>
        <w:ind w:firstLine="554" w:firstLineChars="198"/>
        <w:contextualSpacing/>
        <w:rPr>
          <w:rFonts w:ascii="仿宋" w:hAnsi="仿宋" w:eastAsia="仿宋"/>
          <w:sz w:val="28"/>
          <w:szCs w:val="28"/>
          <w:highlight w:val="none"/>
        </w:rPr>
      </w:pPr>
      <w:r>
        <w:rPr>
          <w:rFonts w:hint="eastAsia" w:ascii="仿宋" w:hAnsi="仿宋" w:eastAsia="仿宋"/>
          <w:sz w:val="28"/>
          <w:szCs w:val="28"/>
          <w:highlight w:val="none"/>
        </w:rPr>
        <w:t>4、乙方发现甲方提供的资料、数据、场地等工作条件不符合约定时应及时通知甲方，经甲方审核确认后检验工期可得顺延；超过3个工作日未通知甲方的，视为其对甲方提供的工作条件予以认可，检验工期不得顺延。</w:t>
      </w:r>
    </w:p>
    <w:p w14:paraId="2AE4DA69">
      <w:pPr>
        <w:spacing w:line="500" w:lineRule="exact"/>
        <w:ind w:firstLine="554" w:firstLineChars="198"/>
        <w:contextualSpacing/>
        <w:rPr>
          <w:rFonts w:ascii="仿宋" w:hAnsi="仿宋" w:eastAsia="仿宋"/>
          <w:sz w:val="28"/>
          <w:szCs w:val="28"/>
          <w:highlight w:val="none"/>
        </w:rPr>
      </w:pPr>
      <w:r>
        <w:rPr>
          <w:rFonts w:hint="eastAsia" w:ascii="仿宋" w:hAnsi="仿宋" w:eastAsia="仿宋"/>
          <w:sz w:val="28"/>
          <w:szCs w:val="28"/>
          <w:highlight w:val="none"/>
        </w:rPr>
        <w:t>5、乙方在现场检验过程中，发现检验结果异常时，应立即通知甲方；如当场无法得出结论而经分析后得出的结果异常时，应在检验结束后的2个日历日内通知甲方。</w:t>
      </w:r>
    </w:p>
    <w:p w14:paraId="50388551">
      <w:pPr>
        <w:spacing w:line="50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6、在现场工作的乙方人员，应遵守甲方的安全保卫及其它有关的规章制度。</w:t>
      </w:r>
    </w:p>
    <w:p w14:paraId="53BCB61E">
      <w:pPr>
        <w:spacing w:line="50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7、负责检测过程和检测设备、人员的进退场以及检测用水电使用费。</w:t>
      </w:r>
    </w:p>
    <w:p w14:paraId="35E23591">
      <w:pPr>
        <w:spacing w:line="50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8、保证检测成果的公正性、准确性、及时性，保证检测工作符合合同约定及相关技术规范要求。</w:t>
      </w:r>
    </w:p>
    <w:p w14:paraId="470ACA9D">
      <w:pPr>
        <w:spacing w:line="50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9、检测报告盖有检验检测报告专用章、广东省质量技术监督局核准的计量认证合格“CMA”标志，盖章后的检测报告具有法律效力。</w:t>
      </w:r>
    </w:p>
    <w:p w14:paraId="3AE987C2">
      <w:pPr>
        <w:spacing w:line="50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10、在检测工作中，乙方应按安全防护有关规定进入现场作业，若发生安全事故，乙方自行承担一切责任。</w:t>
      </w:r>
    </w:p>
    <w:p w14:paraId="338AA5CB">
      <w:pPr>
        <w:adjustRightInd w:val="0"/>
        <w:snapToGrid w:val="0"/>
        <w:spacing w:line="50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11、本项目实施期间，如果因本项目施工质量抽查监督及验收需要，按规范和经批准的检测方案，经甲方确认需增加检测项目，且乙方也具备相应资质，则乙方不得以任何原因拒绝为甲方提供检测，并按要求出具检测报告。乙方检测资质不能涵盖的项目报甲方批准后，由乙方委托具有相应资质的第三方实施，乙方应对该第三方出具的结果负责，并取得相应管理部门的确认。</w:t>
      </w:r>
    </w:p>
    <w:p w14:paraId="024E97D1">
      <w:pPr>
        <w:adjustRightInd w:val="0"/>
        <w:snapToGrid w:val="0"/>
        <w:spacing w:line="500" w:lineRule="exact"/>
        <w:ind w:firstLine="560" w:firstLineChars="200"/>
        <w:rPr>
          <w:highlight w:val="none"/>
        </w:rPr>
      </w:pPr>
      <w:r>
        <w:rPr>
          <w:rFonts w:hint="eastAsia" w:ascii="仿宋" w:hAnsi="仿宋" w:eastAsia="仿宋"/>
          <w:sz w:val="28"/>
          <w:szCs w:val="28"/>
          <w:highlight w:val="none"/>
        </w:rPr>
        <w:t>12、在施工过程中，乙方依据施工图及相关检测验收规范，编制检测方案和工程量清单，以满足施工质量抽查监督、各单项竣工验收、竣工验收备案及区质检站等政府职能部门要求为前提，合理编制，不可擅自虚增检测项目和工作量，否则不予结算。检测方案需报施工单位、监理单位、设计单位、勘察单位、代建单位（如有）和建设业主审核确认后方可实施，检测项目及工作量按实结算。</w:t>
      </w:r>
    </w:p>
    <w:p w14:paraId="6C660743">
      <w:pPr>
        <w:tabs>
          <w:tab w:val="left" w:pos="1155"/>
        </w:tabs>
        <w:spacing w:before="20" w:after="120" w:line="500" w:lineRule="exact"/>
        <w:ind w:left="420" w:firstLine="281" w:firstLineChars="100"/>
        <w:rPr>
          <w:rFonts w:ascii="仿宋" w:hAnsi="仿宋" w:eastAsia="仿宋"/>
          <w:b/>
          <w:sz w:val="28"/>
          <w:szCs w:val="28"/>
          <w:highlight w:val="none"/>
        </w:rPr>
      </w:pPr>
      <w:r>
        <w:rPr>
          <w:rFonts w:hint="eastAsia" w:ascii="仿宋" w:hAnsi="仿宋" w:eastAsia="仿宋"/>
          <w:b/>
          <w:sz w:val="28"/>
          <w:szCs w:val="28"/>
          <w:highlight w:val="none"/>
        </w:rPr>
        <w:t>五、服务周期</w:t>
      </w:r>
    </w:p>
    <w:p w14:paraId="68BF7AB8">
      <w:pPr>
        <w:spacing w:line="500" w:lineRule="exact"/>
        <w:ind w:firstLine="554" w:firstLineChars="198"/>
        <w:contextualSpacing/>
        <w:rPr>
          <w:rFonts w:ascii="仿宋" w:hAnsi="仿宋" w:eastAsia="仿宋"/>
          <w:sz w:val="28"/>
          <w:szCs w:val="28"/>
          <w:highlight w:val="none"/>
        </w:rPr>
      </w:pPr>
      <w:r>
        <w:rPr>
          <w:rFonts w:hint="eastAsia" w:ascii="仿宋" w:hAnsi="仿宋" w:eastAsia="仿宋"/>
          <w:sz w:val="28"/>
          <w:szCs w:val="28"/>
          <w:highlight w:val="none"/>
        </w:rPr>
        <w:t>1、从乙方进场至完成所有检测项目且技术成果通过审批，服务周期必须满足实际施工及验收要求，且甲方有权根据工程实际需要调整工期及验收时间，乙方需配合甲方的调整作出相应的执行计划。</w:t>
      </w:r>
    </w:p>
    <w:p w14:paraId="662D7CBA">
      <w:pPr>
        <w:tabs>
          <w:tab w:val="left" w:pos="1155"/>
        </w:tabs>
        <w:spacing w:line="500" w:lineRule="exact"/>
        <w:ind w:firstLine="562" w:firstLineChars="200"/>
        <w:rPr>
          <w:rFonts w:ascii="仿宋" w:hAnsi="仿宋" w:eastAsia="仿宋"/>
          <w:b/>
          <w:sz w:val="28"/>
          <w:szCs w:val="28"/>
          <w:highlight w:val="none"/>
        </w:rPr>
      </w:pPr>
      <w:r>
        <w:rPr>
          <w:rFonts w:hint="eastAsia" w:ascii="仿宋" w:hAnsi="仿宋" w:eastAsia="仿宋"/>
          <w:b/>
          <w:sz w:val="28"/>
          <w:szCs w:val="28"/>
          <w:highlight w:val="none"/>
        </w:rPr>
        <w:t>六、检测标准</w:t>
      </w:r>
    </w:p>
    <w:p w14:paraId="1B16EFA5">
      <w:pPr>
        <w:tabs>
          <w:tab w:val="left" w:pos="1155"/>
        </w:tabs>
        <w:spacing w:line="500" w:lineRule="exact"/>
        <w:ind w:firstLine="420" w:firstLineChars="150"/>
        <w:rPr>
          <w:rFonts w:ascii="仿宋" w:hAnsi="仿宋" w:eastAsia="仿宋"/>
          <w:sz w:val="28"/>
          <w:szCs w:val="28"/>
          <w:highlight w:val="none"/>
        </w:rPr>
      </w:pPr>
      <w:r>
        <w:rPr>
          <w:rFonts w:hint="eastAsia" w:ascii="仿宋" w:hAnsi="仿宋" w:eastAsia="仿宋"/>
          <w:sz w:val="28"/>
          <w:szCs w:val="28"/>
          <w:highlight w:val="none"/>
        </w:rPr>
        <w:t>1、《建筑工程施工质量验收统一标准》（GB 50300-2013）；</w:t>
      </w:r>
    </w:p>
    <w:p w14:paraId="17CF39AD">
      <w:pPr>
        <w:tabs>
          <w:tab w:val="left" w:pos="1155"/>
        </w:tabs>
        <w:spacing w:line="500" w:lineRule="exact"/>
        <w:ind w:firstLine="420" w:firstLineChars="150"/>
        <w:rPr>
          <w:rFonts w:ascii="仿宋" w:hAnsi="仿宋" w:eastAsia="仿宋"/>
          <w:sz w:val="28"/>
          <w:szCs w:val="28"/>
          <w:highlight w:val="none"/>
        </w:rPr>
      </w:pPr>
      <w:r>
        <w:rPr>
          <w:rFonts w:hint="eastAsia" w:ascii="仿宋" w:hAnsi="仿宋" w:eastAsia="仿宋"/>
          <w:sz w:val="28"/>
          <w:szCs w:val="28"/>
          <w:highlight w:val="none"/>
        </w:rPr>
        <w:t>2、《混凝土结构工程施工质量验收规范》（GB 50204-2015）；</w:t>
      </w:r>
    </w:p>
    <w:p w14:paraId="774F8356">
      <w:pPr>
        <w:tabs>
          <w:tab w:val="left" w:pos="1155"/>
        </w:tabs>
        <w:spacing w:line="500" w:lineRule="exact"/>
        <w:ind w:firstLine="420" w:firstLineChars="150"/>
        <w:rPr>
          <w:rFonts w:ascii="仿宋" w:hAnsi="仿宋" w:eastAsia="仿宋"/>
          <w:sz w:val="28"/>
          <w:szCs w:val="28"/>
          <w:highlight w:val="none"/>
        </w:rPr>
      </w:pPr>
      <w:r>
        <w:rPr>
          <w:rFonts w:hint="eastAsia" w:ascii="仿宋" w:hAnsi="仿宋" w:eastAsia="仿宋"/>
          <w:sz w:val="28"/>
          <w:szCs w:val="28"/>
          <w:highlight w:val="none"/>
        </w:rPr>
        <w:t>3、《砌体结构工程施工质量验收规范》（GB 50203-2011）；</w:t>
      </w:r>
    </w:p>
    <w:p w14:paraId="5C8DBBFE">
      <w:pPr>
        <w:tabs>
          <w:tab w:val="left" w:pos="1155"/>
        </w:tabs>
        <w:spacing w:line="500" w:lineRule="exact"/>
        <w:ind w:firstLine="420" w:firstLineChars="150"/>
        <w:rPr>
          <w:rFonts w:ascii="仿宋" w:hAnsi="仿宋" w:eastAsia="仿宋"/>
          <w:sz w:val="28"/>
          <w:szCs w:val="28"/>
          <w:highlight w:val="none"/>
        </w:rPr>
      </w:pPr>
      <w:r>
        <w:rPr>
          <w:rFonts w:hint="eastAsia" w:ascii="仿宋" w:hAnsi="仿宋" w:eastAsia="仿宋"/>
          <w:sz w:val="28"/>
          <w:szCs w:val="28"/>
          <w:highlight w:val="none"/>
        </w:rPr>
        <w:t>4、《屋面工程质量验收规范》（GB 50207-2012）；</w:t>
      </w:r>
    </w:p>
    <w:p w14:paraId="79D31A52">
      <w:pPr>
        <w:tabs>
          <w:tab w:val="left" w:pos="1155"/>
        </w:tabs>
        <w:spacing w:line="500" w:lineRule="exact"/>
        <w:ind w:firstLine="420" w:firstLineChars="150"/>
        <w:rPr>
          <w:rFonts w:ascii="仿宋" w:hAnsi="仿宋" w:eastAsia="仿宋"/>
          <w:sz w:val="28"/>
          <w:szCs w:val="28"/>
          <w:highlight w:val="none"/>
        </w:rPr>
      </w:pPr>
      <w:r>
        <w:rPr>
          <w:rFonts w:hint="eastAsia" w:ascii="仿宋" w:hAnsi="仿宋" w:eastAsia="仿宋"/>
          <w:sz w:val="28"/>
          <w:szCs w:val="28"/>
          <w:highlight w:val="none"/>
        </w:rPr>
        <w:t>5、《给水排水管道工程施工及验收规范》（GB 50268-2008）；</w:t>
      </w:r>
    </w:p>
    <w:p w14:paraId="5EA7FDAF">
      <w:pPr>
        <w:tabs>
          <w:tab w:val="left" w:pos="1155"/>
        </w:tabs>
        <w:spacing w:line="500" w:lineRule="exact"/>
        <w:ind w:firstLine="420" w:firstLineChars="150"/>
        <w:rPr>
          <w:rFonts w:ascii="仿宋" w:hAnsi="仿宋" w:eastAsia="仿宋"/>
          <w:sz w:val="28"/>
          <w:szCs w:val="28"/>
          <w:highlight w:val="none"/>
        </w:rPr>
      </w:pPr>
      <w:r>
        <w:rPr>
          <w:rFonts w:hint="eastAsia" w:ascii="仿宋" w:hAnsi="仿宋" w:eastAsia="仿宋"/>
          <w:sz w:val="28"/>
          <w:szCs w:val="28"/>
          <w:highlight w:val="none"/>
        </w:rPr>
        <w:t>6、《建筑地面工程施工质量验收规范》（GB 50209-2010）；</w:t>
      </w:r>
    </w:p>
    <w:p w14:paraId="0CBF348E">
      <w:pPr>
        <w:tabs>
          <w:tab w:val="left" w:pos="1155"/>
        </w:tabs>
        <w:spacing w:line="500" w:lineRule="exact"/>
        <w:ind w:firstLine="420" w:firstLineChars="150"/>
        <w:rPr>
          <w:rFonts w:ascii="仿宋" w:hAnsi="仿宋" w:eastAsia="仿宋"/>
          <w:sz w:val="28"/>
          <w:szCs w:val="28"/>
          <w:highlight w:val="none"/>
        </w:rPr>
      </w:pPr>
      <w:r>
        <w:rPr>
          <w:rFonts w:hint="eastAsia" w:ascii="仿宋" w:hAnsi="仿宋" w:eastAsia="仿宋"/>
          <w:sz w:val="28"/>
          <w:szCs w:val="28"/>
          <w:highlight w:val="none"/>
        </w:rPr>
        <w:t>7、《建筑装饰装修工程质量验收标准》（GB 50210-2018）；</w:t>
      </w:r>
    </w:p>
    <w:p w14:paraId="1FFAC892">
      <w:pPr>
        <w:tabs>
          <w:tab w:val="left" w:pos="1155"/>
        </w:tabs>
        <w:spacing w:line="500" w:lineRule="exact"/>
        <w:ind w:firstLine="420" w:firstLineChars="150"/>
        <w:rPr>
          <w:rFonts w:ascii="仿宋" w:hAnsi="仿宋" w:eastAsia="仿宋"/>
          <w:sz w:val="28"/>
          <w:szCs w:val="28"/>
          <w:highlight w:val="none"/>
        </w:rPr>
      </w:pPr>
      <w:r>
        <w:rPr>
          <w:rFonts w:hint="eastAsia" w:ascii="仿宋" w:hAnsi="仿宋" w:eastAsia="仿宋"/>
          <w:sz w:val="28"/>
          <w:szCs w:val="28"/>
          <w:highlight w:val="none"/>
        </w:rPr>
        <w:t>8、《建筑节能工程施工质量验收规范》（GB 50411-2019）；</w:t>
      </w:r>
    </w:p>
    <w:p w14:paraId="6EC6AFCB">
      <w:pPr>
        <w:tabs>
          <w:tab w:val="left" w:pos="1155"/>
        </w:tabs>
        <w:spacing w:line="500" w:lineRule="exact"/>
        <w:ind w:firstLine="420" w:firstLineChars="150"/>
        <w:rPr>
          <w:rFonts w:ascii="仿宋" w:hAnsi="仿宋" w:eastAsia="仿宋"/>
          <w:sz w:val="28"/>
          <w:szCs w:val="28"/>
          <w:highlight w:val="none"/>
        </w:rPr>
      </w:pPr>
      <w:r>
        <w:rPr>
          <w:rFonts w:hint="eastAsia" w:ascii="仿宋" w:hAnsi="仿宋" w:eastAsia="仿宋"/>
          <w:sz w:val="28"/>
          <w:szCs w:val="28"/>
          <w:highlight w:val="none"/>
        </w:rPr>
        <w:t>9、《民用建筑工程室内环境污染控制规范》（GB 50325-2020）；</w:t>
      </w:r>
    </w:p>
    <w:p w14:paraId="19102D58">
      <w:pPr>
        <w:tabs>
          <w:tab w:val="left" w:pos="1155"/>
        </w:tabs>
        <w:spacing w:line="500" w:lineRule="exact"/>
        <w:ind w:firstLine="420" w:firstLineChars="150"/>
        <w:rPr>
          <w:rFonts w:ascii="仿宋" w:hAnsi="仿宋" w:eastAsia="仿宋"/>
          <w:sz w:val="28"/>
          <w:szCs w:val="28"/>
          <w:highlight w:val="none"/>
        </w:rPr>
      </w:pPr>
      <w:r>
        <w:rPr>
          <w:rFonts w:hint="eastAsia" w:ascii="仿宋" w:hAnsi="仿宋" w:eastAsia="仿宋"/>
          <w:sz w:val="28"/>
          <w:szCs w:val="28"/>
          <w:highlight w:val="none"/>
        </w:rPr>
        <w:t>10、《通风与空调工程施工质量验收规范》（GB 50243-2016）；</w:t>
      </w:r>
    </w:p>
    <w:p w14:paraId="466875ED">
      <w:pPr>
        <w:tabs>
          <w:tab w:val="left" w:pos="1155"/>
        </w:tabs>
        <w:spacing w:line="500" w:lineRule="exact"/>
        <w:ind w:firstLine="420" w:firstLineChars="150"/>
        <w:rPr>
          <w:rFonts w:ascii="仿宋" w:hAnsi="仿宋" w:eastAsia="仿宋"/>
          <w:sz w:val="28"/>
          <w:szCs w:val="28"/>
          <w:highlight w:val="none"/>
        </w:rPr>
      </w:pPr>
      <w:r>
        <w:rPr>
          <w:rFonts w:hint="eastAsia" w:ascii="仿宋" w:hAnsi="仿宋" w:eastAsia="仿宋"/>
          <w:sz w:val="28"/>
          <w:szCs w:val="28"/>
          <w:highlight w:val="none"/>
        </w:rPr>
        <w:t>11、《建筑电气工程施工质量验收规范》（GB 50303-2015）；</w:t>
      </w:r>
    </w:p>
    <w:p w14:paraId="52CDE50F">
      <w:pPr>
        <w:tabs>
          <w:tab w:val="left" w:pos="1155"/>
        </w:tabs>
        <w:spacing w:line="500" w:lineRule="exact"/>
        <w:ind w:firstLine="420" w:firstLineChars="150"/>
        <w:rPr>
          <w:rFonts w:ascii="仿宋" w:hAnsi="仿宋" w:eastAsia="仿宋"/>
          <w:sz w:val="28"/>
          <w:szCs w:val="28"/>
          <w:highlight w:val="none"/>
        </w:rPr>
      </w:pPr>
      <w:r>
        <w:rPr>
          <w:rFonts w:hint="eastAsia" w:ascii="仿宋" w:hAnsi="仿宋" w:eastAsia="仿宋"/>
          <w:sz w:val="28"/>
          <w:szCs w:val="28"/>
          <w:highlight w:val="none"/>
        </w:rPr>
        <w:t>12、《公共建筑节能检测标准》（JGJ/T 177-2009）；</w:t>
      </w:r>
    </w:p>
    <w:p w14:paraId="020CAF85">
      <w:pPr>
        <w:tabs>
          <w:tab w:val="left" w:pos="1155"/>
        </w:tabs>
        <w:spacing w:line="500" w:lineRule="exact"/>
        <w:ind w:firstLine="420" w:firstLineChars="150"/>
        <w:rPr>
          <w:rFonts w:ascii="仿宋" w:hAnsi="仿宋" w:eastAsia="仿宋"/>
          <w:sz w:val="28"/>
          <w:szCs w:val="28"/>
          <w:highlight w:val="none"/>
        </w:rPr>
      </w:pPr>
      <w:r>
        <w:rPr>
          <w:rFonts w:hint="eastAsia" w:ascii="仿宋" w:hAnsi="仿宋" w:eastAsia="仿宋"/>
          <w:sz w:val="28"/>
          <w:szCs w:val="28"/>
          <w:highlight w:val="none"/>
        </w:rPr>
        <w:t>13、《居住建筑节能检测标准》（JGJ/T 132-2009）；</w:t>
      </w:r>
    </w:p>
    <w:p w14:paraId="04822BBE">
      <w:pPr>
        <w:tabs>
          <w:tab w:val="left" w:pos="1155"/>
        </w:tabs>
        <w:spacing w:line="500" w:lineRule="exact"/>
        <w:ind w:firstLine="420" w:firstLineChars="150"/>
        <w:rPr>
          <w:rFonts w:ascii="仿宋" w:hAnsi="仿宋" w:eastAsia="仿宋"/>
          <w:sz w:val="28"/>
          <w:szCs w:val="28"/>
          <w:highlight w:val="none"/>
        </w:rPr>
      </w:pPr>
      <w:r>
        <w:rPr>
          <w:rFonts w:hint="eastAsia" w:ascii="仿宋" w:hAnsi="仿宋" w:eastAsia="仿宋"/>
          <w:sz w:val="28"/>
          <w:szCs w:val="28"/>
          <w:highlight w:val="none"/>
        </w:rPr>
        <w:t>14、《照明测量方法》（GB/T 5700-2008）；</w:t>
      </w:r>
    </w:p>
    <w:p w14:paraId="090B3AA7">
      <w:pPr>
        <w:tabs>
          <w:tab w:val="left" w:pos="1155"/>
        </w:tabs>
        <w:spacing w:line="500" w:lineRule="exact"/>
        <w:ind w:firstLine="420" w:firstLineChars="150"/>
        <w:rPr>
          <w:rFonts w:ascii="仿宋" w:hAnsi="仿宋" w:eastAsia="仿宋"/>
          <w:sz w:val="28"/>
          <w:szCs w:val="28"/>
          <w:highlight w:val="none"/>
        </w:rPr>
      </w:pPr>
      <w:r>
        <w:rPr>
          <w:rFonts w:hint="eastAsia" w:ascii="仿宋" w:hAnsi="仿宋" w:eastAsia="仿宋"/>
          <w:sz w:val="28"/>
          <w:szCs w:val="28"/>
          <w:highlight w:val="none"/>
        </w:rPr>
        <w:t>15、《风机盘管机组》（GB/T 19232-2019）；</w:t>
      </w:r>
    </w:p>
    <w:p w14:paraId="21C918B4">
      <w:pPr>
        <w:tabs>
          <w:tab w:val="left" w:pos="1155"/>
        </w:tabs>
        <w:spacing w:line="500" w:lineRule="exact"/>
        <w:ind w:firstLine="420" w:firstLineChars="150"/>
        <w:rPr>
          <w:rFonts w:ascii="仿宋" w:hAnsi="仿宋" w:eastAsia="仿宋"/>
          <w:sz w:val="28"/>
          <w:szCs w:val="28"/>
          <w:highlight w:val="none"/>
        </w:rPr>
      </w:pPr>
      <w:r>
        <w:rPr>
          <w:rFonts w:hint="eastAsia" w:ascii="仿宋" w:hAnsi="仿宋" w:eastAsia="仿宋"/>
          <w:sz w:val="28"/>
          <w:szCs w:val="28"/>
          <w:highlight w:val="none"/>
        </w:rPr>
        <w:t>16、《建筑设计防火规范》（GB 50016-2014）</w:t>
      </w:r>
    </w:p>
    <w:p w14:paraId="6681AC4E">
      <w:pPr>
        <w:tabs>
          <w:tab w:val="left" w:pos="1155"/>
        </w:tabs>
        <w:spacing w:line="500" w:lineRule="exact"/>
        <w:ind w:firstLine="420" w:firstLineChars="150"/>
        <w:rPr>
          <w:rFonts w:ascii="仿宋" w:hAnsi="仿宋" w:eastAsia="仿宋"/>
          <w:sz w:val="28"/>
          <w:szCs w:val="28"/>
          <w:highlight w:val="none"/>
        </w:rPr>
      </w:pPr>
      <w:r>
        <w:rPr>
          <w:rFonts w:hint="eastAsia" w:ascii="仿宋" w:hAnsi="仿宋" w:eastAsia="仿宋"/>
          <w:sz w:val="28"/>
          <w:szCs w:val="28"/>
          <w:highlight w:val="none"/>
        </w:rPr>
        <w:t>17、《自动喷水灭火系统设计规范》（GB 50084-2017）；</w:t>
      </w:r>
    </w:p>
    <w:p w14:paraId="7CEB067B">
      <w:pPr>
        <w:tabs>
          <w:tab w:val="left" w:pos="1155"/>
        </w:tabs>
        <w:spacing w:line="500" w:lineRule="exact"/>
        <w:ind w:firstLine="420" w:firstLineChars="150"/>
        <w:rPr>
          <w:rFonts w:ascii="仿宋" w:hAnsi="仿宋" w:eastAsia="仿宋"/>
          <w:sz w:val="28"/>
          <w:szCs w:val="28"/>
          <w:highlight w:val="none"/>
        </w:rPr>
      </w:pPr>
      <w:r>
        <w:rPr>
          <w:rFonts w:hint="eastAsia" w:ascii="仿宋" w:hAnsi="仿宋" w:eastAsia="仿宋"/>
          <w:sz w:val="28"/>
          <w:szCs w:val="28"/>
          <w:highlight w:val="none"/>
        </w:rPr>
        <w:t>18、《自动喷水灭火系统施工及验收规范》（GB 50261-2017）；</w:t>
      </w:r>
    </w:p>
    <w:p w14:paraId="0DF4C039">
      <w:pPr>
        <w:tabs>
          <w:tab w:val="left" w:pos="1155"/>
        </w:tabs>
        <w:spacing w:line="500" w:lineRule="exact"/>
        <w:ind w:firstLine="420" w:firstLineChars="150"/>
        <w:rPr>
          <w:rFonts w:ascii="仿宋" w:hAnsi="仿宋" w:eastAsia="仿宋"/>
          <w:sz w:val="28"/>
          <w:szCs w:val="28"/>
          <w:highlight w:val="none"/>
        </w:rPr>
      </w:pPr>
      <w:r>
        <w:rPr>
          <w:rFonts w:hint="eastAsia" w:ascii="仿宋" w:hAnsi="仿宋" w:eastAsia="仿宋"/>
          <w:sz w:val="28"/>
          <w:szCs w:val="28"/>
          <w:highlight w:val="none"/>
        </w:rPr>
        <w:t>19、《火灾自动报警系统施工及验收标准》（GB 50166-2019）；</w:t>
      </w:r>
    </w:p>
    <w:p w14:paraId="70796314">
      <w:pPr>
        <w:tabs>
          <w:tab w:val="left" w:pos="1155"/>
        </w:tabs>
        <w:spacing w:line="500" w:lineRule="exact"/>
        <w:ind w:firstLine="420" w:firstLineChars="150"/>
        <w:rPr>
          <w:rFonts w:ascii="仿宋" w:hAnsi="仿宋" w:eastAsia="仿宋"/>
          <w:sz w:val="28"/>
          <w:szCs w:val="28"/>
          <w:highlight w:val="none"/>
        </w:rPr>
      </w:pPr>
      <w:r>
        <w:rPr>
          <w:rFonts w:hint="eastAsia" w:ascii="仿宋" w:hAnsi="仿宋" w:eastAsia="仿宋"/>
          <w:sz w:val="28"/>
          <w:szCs w:val="28"/>
          <w:highlight w:val="none"/>
        </w:rPr>
        <w:t>20、《火灾自动报警系统设计规范》（GB 50116-2013）；</w:t>
      </w:r>
    </w:p>
    <w:p w14:paraId="08088ECA">
      <w:pPr>
        <w:tabs>
          <w:tab w:val="left" w:pos="1155"/>
        </w:tabs>
        <w:spacing w:line="500" w:lineRule="exact"/>
        <w:ind w:firstLine="420" w:firstLineChars="150"/>
        <w:rPr>
          <w:rFonts w:ascii="仿宋" w:hAnsi="仿宋" w:eastAsia="仿宋"/>
          <w:sz w:val="28"/>
          <w:szCs w:val="28"/>
          <w:highlight w:val="none"/>
        </w:rPr>
      </w:pPr>
      <w:r>
        <w:rPr>
          <w:rFonts w:hint="eastAsia" w:ascii="仿宋" w:hAnsi="仿宋" w:eastAsia="仿宋"/>
          <w:sz w:val="28"/>
          <w:szCs w:val="28"/>
          <w:highlight w:val="none"/>
        </w:rPr>
        <w:t>21、《消防应急照明和疏散指示系统》（GB 17945-2010）；</w:t>
      </w:r>
    </w:p>
    <w:p w14:paraId="01419ADB">
      <w:pPr>
        <w:tabs>
          <w:tab w:val="left" w:pos="1155"/>
        </w:tabs>
        <w:spacing w:line="500" w:lineRule="exact"/>
        <w:ind w:firstLine="420" w:firstLineChars="150"/>
        <w:rPr>
          <w:rFonts w:ascii="仿宋" w:hAnsi="仿宋" w:eastAsia="仿宋"/>
          <w:sz w:val="28"/>
          <w:szCs w:val="28"/>
          <w:highlight w:val="none"/>
        </w:rPr>
      </w:pPr>
      <w:r>
        <w:rPr>
          <w:rFonts w:hint="eastAsia" w:ascii="仿宋" w:hAnsi="仿宋" w:eastAsia="仿宋"/>
          <w:sz w:val="28"/>
          <w:szCs w:val="28"/>
          <w:highlight w:val="none"/>
        </w:rPr>
        <w:t>22、《综合布线系统工程验收规范》（GB/T 50312-2016）；</w:t>
      </w:r>
    </w:p>
    <w:p w14:paraId="44698721">
      <w:pPr>
        <w:tabs>
          <w:tab w:val="left" w:pos="1155"/>
        </w:tabs>
        <w:spacing w:line="500" w:lineRule="exact"/>
        <w:ind w:firstLine="420" w:firstLineChars="150"/>
        <w:rPr>
          <w:rFonts w:ascii="仿宋" w:hAnsi="仿宋" w:eastAsia="仿宋"/>
          <w:sz w:val="28"/>
          <w:szCs w:val="28"/>
          <w:highlight w:val="none"/>
        </w:rPr>
      </w:pPr>
      <w:r>
        <w:rPr>
          <w:rFonts w:hint="eastAsia" w:ascii="仿宋" w:hAnsi="仿宋" w:eastAsia="仿宋"/>
          <w:sz w:val="28"/>
          <w:szCs w:val="28"/>
          <w:highlight w:val="none"/>
        </w:rPr>
        <w:t>23、《智能建筑工程检测规程》（CECS 182-2005）；</w:t>
      </w:r>
    </w:p>
    <w:p w14:paraId="3716AF16">
      <w:pPr>
        <w:tabs>
          <w:tab w:val="left" w:pos="1155"/>
        </w:tabs>
        <w:spacing w:line="500" w:lineRule="exact"/>
        <w:ind w:firstLine="420" w:firstLineChars="150"/>
        <w:rPr>
          <w:rFonts w:ascii="仿宋" w:hAnsi="仿宋" w:eastAsia="仿宋"/>
          <w:sz w:val="28"/>
          <w:szCs w:val="28"/>
          <w:highlight w:val="none"/>
        </w:rPr>
      </w:pPr>
      <w:r>
        <w:rPr>
          <w:rFonts w:hint="eastAsia" w:ascii="仿宋" w:hAnsi="仿宋" w:eastAsia="仿宋"/>
          <w:sz w:val="28"/>
          <w:szCs w:val="28"/>
          <w:highlight w:val="none"/>
        </w:rPr>
        <w:t>24、《安全防范工程技术标准》（GB 50348-2018）；</w:t>
      </w:r>
    </w:p>
    <w:p w14:paraId="153C12D2">
      <w:pPr>
        <w:tabs>
          <w:tab w:val="left" w:pos="1155"/>
        </w:tabs>
        <w:spacing w:line="500" w:lineRule="exact"/>
        <w:ind w:firstLine="420" w:firstLineChars="150"/>
        <w:rPr>
          <w:rFonts w:ascii="仿宋" w:hAnsi="仿宋" w:eastAsia="仿宋"/>
          <w:sz w:val="28"/>
          <w:szCs w:val="28"/>
          <w:highlight w:val="none"/>
        </w:rPr>
      </w:pPr>
      <w:r>
        <w:rPr>
          <w:rFonts w:hint="eastAsia" w:ascii="仿宋" w:hAnsi="仿宋" w:eastAsia="仿宋"/>
          <w:sz w:val="28"/>
          <w:szCs w:val="28"/>
          <w:highlight w:val="none"/>
        </w:rPr>
        <w:t>25、《民用闭路监视电视系统工程技术规范》（GB 50198-2011）；</w:t>
      </w:r>
    </w:p>
    <w:p w14:paraId="707CA97F">
      <w:pPr>
        <w:tabs>
          <w:tab w:val="left" w:pos="1155"/>
        </w:tabs>
        <w:spacing w:line="500" w:lineRule="exact"/>
        <w:ind w:firstLine="420" w:firstLineChars="150"/>
        <w:rPr>
          <w:rFonts w:ascii="仿宋" w:hAnsi="仿宋" w:eastAsia="仿宋"/>
          <w:sz w:val="28"/>
          <w:szCs w:val="28"/>
          <w:highlight w:val="none"/>
        </w:rPr>
      </w:pPr>
      <w:r>
        <w:rPr>
          <w:rFonts w:hint="eastAsia" w:ascii="仿宋" w:hAnsi="仿宋" w:eastAsia="仿宋"/>
          <w:sz w:val="28"/>
          <w:szCs w:val="28"/>
          <w:highlight w:val="none"/>
        </w:rPr>
        <w:t>26、《电子巡查系统技术要求》（GA/T 644-2006）；</w:t>
      </w:r>
    </w:p>
    <w:p w14:paraId="3C1880C3">
      <w:pPr>
        <w:tabs>
          <w:tab w:val="left" w:pos="1155"/>
        </w:tabs>
        <w:spacing w:line="500" w:lineRule="exact"/>
        <w:ind w:firstLine="420" w:firstLineChars="150"/>
        <w:rPr>
          <w:rFonts w:ascii="仿宋" w:hAnsi="仿宋" w:eastAsia="仿宋"/>
          <w:sz w:val="28"/>
          <w:szCs w:val="28"/>
          <w:highlight w:val="none"/>
        </w:rPr>
      </w:pPr>
      <w:r>
        <w:rPr>
          <w:rFonts w:hint="eastAsia" w:ascii="仿宋" w:hAnsi="仿宋" w:eastAsia="仿宋"/>
          <w:sz w:val="28"/>
          <w:szCs w:val="28"/>
          <w:highlight w:val="none"/>
        </w:rPr>
        <w:t>27、《基于以太网技术的局域网（LAN）系统验收测试方法》（GB/T 21671-2018）；</w:t>
      </w:r>
    </w:p>
    <w:p w14:paraId="3CA99148">
      <w:pPr>
        <w:tabs>
          <w:tab w:val="left" w:pos="1155"/>
        </w:tabs>
        <w:spacing w:line="500" w:lineRule="exact"/>
        <w:ind w:firstLine="420" w:firstLineChars="150"/>
        <w:rPr>
          <w:rFonts w:ascii="仿宋" w:hAnsi="仿宋" w:eastAsia="仿宋"/>
          <w:sz w:val="28"/>
          <w:szCs w:val="28"/>
          <w:highlight w:val="none"/>
        </w:rPr>
      </w:pPr>
      <w:r>
        <w:rPr>
          <w:rFonts w:hint="eastAsia" w:ascii="仿宋" w:hAnsi="仿宋" w:eastAsia="仿宋"/>
          <w:sz w:val="28"/>
          <w:szCs w:val="28"/>
          <w:highlight w:val="none"/>
        </w:rPr>
        <w:t>28、《出入口控制系统技术要求》（GA/T 394-2002）；</w:t>
      </w:r>
    </w:p>
    <w:p w14:paraId="5FE83089">
      <w:pPr>
        <w:tabs>
          <w:tab w:val="left" w:pos="1155"/>
        </w:tabs>
        <w:spacing w:line="500" w:lineRule="exact"/>
        <w:ind w:firstLine="420" w:firstLineChars="150"/>
        <w:rPr>
          <w:rFonts w:ascii="仿宋" w:hAnsi="仿宋" w:eastAsia="仿宋"/>
          <w:sz w:val="28"/>
          <w:szCs w:val="28"/>
          <w:highlight w:val="none"/>
        </w:rPr>
      </w:pPr>
      <w:r>
        <w:rPr>
          <w:rFonts w:hint="eastAsia" w:ascii="仿宋" w:hAnsi="仿宋" w:eastAsia="仿宋"/>
          <w:sz w:val="28"/>
          <w:szCs w:val="28"/>
          <w:highlight w:val="none"/>
        </w:rPr>
        <w:t>29、《厅堂扩声特性测量方法》（GB/T 4959-2011）；</w:t>
      </w:r>
    </w:p>
    <w:p w14:paraId="0E04F489">
      <w:pPr>
        <w:tabs>
          <w:tab w:val="left" w:pos="1155"/>
        </w:tabs>
        <w:spacing w:line="500" w:lineRule="exact"/>
        <w:ind w:firstLine="420" w:firstLineChars="150"/>
        <w:rPr>
          <w:rFonts w:ascii="仿宋" w:hAnsi="仿宋" w:eastAsia="仿宋"/>
          <w:sz w:val="28"/>
          <w:szCs w:val="28"/>
          <w:highlight w:val="none"/>
        </w:rPr>
      </w:pPr>
      <w:r>
        <w:rPr>
          <w:rFonts w:hint="eastAsia" w:ascii="仿宋" w:hAnsi="仿宋" w:eastAsia="仿宋"/>
          <w:sz w:val="28"/>
          <w:szCs w:val="28"/>
          <w:highlight w:val="none"/>
        </w:rPr>
        <w:t>30、《视频显示系统工程测量规范》（GB/T 50525-2010）；</w:t>
      </w:r>
    </w:p>
    <w:p w14:paraId="43A205C3">
      <w:pPr>
        <w:tabs>
          <w:tab w:val="left" w:pos="1155"/>
        </w:tabs>
        <w:spacing w:line="500" w:lineRule="exact"/>
        <w:ind w:firstLine="420" w:firstLineChars="150"/>
        <w:rPr>
          <w:rFonts w:ascii="仿宋" w:hAnsi="仿宋" w:eastAsia="仿宋"/>
          <w:sz w:val="28"/>
          <w:szCs w:val="28"/>
          <w:highlight w:val="none"/>
        </w:rPr>
      </w:pPr>
      <w:r>
        <w:rPr>
          <w:rFonts w:hint="eastAsia" w:ascii="仿宋" w:hAnsi="仿宋" w:eastAsia="仿宋"/>
          <w:sz w:val="28"/>
          <w:szCs w:val="28"/>
          <w:highlight w:val="none"/>
        </w:rPr>
        <w:t>31、《发光二极管（LED）显示屏测试方法》（SJ/T 11281-2017）；</w:t>
      </w:r>
    </w:p>
    <w:p w14:paraId="7D0F8D0B">
      <w:pPr>
        <w:tabs>
          <w:tab w:val="left" w:pos="1155"/>
        </w:tabs>
        <w:spacing w:line="500" w:lineRule="exact"/>
        <w:ind w:firstLine="420" w:firstLineChars="150"/>
        <w:rPr>
          <w:rFonts w:ascii="仿宋" w:hAnsi="仿宋" w:eastAsia="仿宋"/>
          <w:sz w:val="28"/>
          <w:szCs w:val="28"/>
          <w:highlight w:val="none"/>
        </w:rPr>
      </w:pPr>
      <w:r>
        <w:rPr>
          <w:rFonts w:hint="eastAsia" w:ascii="仿宋" w:hAnsi="仿宋" w:eastAsia="仿宋"/>
          <w:sz w:val="28"/>
          <w:szCs w:val="28"/>
          <w:highlight w:val="none"/>
        </w:rPr>
        <w:t>32、《计算机场地通用规范》（GB/T 2887-2011）；</w:t>
      </w:r>
    </w:p>
    <w:p w14:paraId="7B381578">
      <w:pPr>
        <w:tabs>
          <w:tab w:val="left" w:pos="1155"/>
        </w:tabs>
        <w:spacing w:line="500" w:lineRule="exact"/>
        <w:ind w:firstLine="420" w:firstLineChars="150"/>
        <w:rPr>
          <w:rFonts w:ascii="仿宋" w:hAnsi="仿宋" w:eastAsia="仿宋"/>
          <w:sz w:val="28"/>
          <w:szCs w:val="28"/>
          <w:highlight w:val="none"/>
        </w:rPr>
      </w:pPr>
      <w:r>
        <w:rPr>
          <w:rFonts w:hint="eastAsia" w:ascii="仿宋" w:hAnsi="仿宋" w:eastAsia="仿宋"/>
          <w:sz w:val="28"/>
          <w:szCs w:val="28"/>
          <w:highlight w:val="none"/>
        </w:rPr>
        <w:t>33、《数据中心基础设施施工及验收规范》（GB 50462-2015）；</w:t>
      </w:r>
    </w:p>
    <w:p w14:paraId="7537DD8C">
      <w:pPr>
        <w:tabs>
          <w:tab w:val="left" w:pos="1155"/>
        </w:tabs>
        <w:spacing w:line="500" w:lineRule="exact"/>
        <w:ind w:firstLine="420" w:firstLineChars="150"/>
        <w:rPr>
          <w:rFonts w:ascii="仿宋" w:hAnsi="仿宋" w:eastAsia="仿宋"/>
          <w:sz w:val="28"/>
          <w:szCs w:val="28"/>
          <w:highlight w:val="none"/>
        </w:rPr>
      </w:pPr>
      <w:r>
        <w:rPr>
          <w:rFonts w:hint="eastAsia" w:ascii="仿宋" w:hAnsi="仿宋" w:eastAsia="仿宋"/>
          <w:sz w:val="28"/>
          <w:szCs w:val="28"/>
          <w:highlight w:val="none"/>
        </w:rPr>
        <w:t>34、《数据中心设计规范》（GB 50174-2017）；</w:t>
      </w:r>
    </w:p>
    <w:p w14:paraId="3B9262C0">
      <w:pPr>
        <w:tabs>
          <w:tab w:val="left" w:pos="1155"/>
        </w:tabs>
        <w:spacing w:line="500" w:lineRule="exact"/>
        <w:ind w:firstLine="420" w:firstLineChars="150"/>
        <w:rPr>
          <w:rFonts w:ascii="仿宋" w:hAnsi="仿宋" w:eastAsia="仿宋"/>
          <w:sz w:val="28"/>
          <w:szCs w:val="28"/>
          <w:highlight w:val="none"/>
        </w:rPr>
      </w:pPr>
      <w:r>
        <w:rPr>
          <w:rFonts w:hint="eastAsia" w:ascii="仿宋" w:hAnsi="仿宋" w:eastAsia="仿宋"/>
          <w:sz w:val="28"/>
          <w:szCs w:val="28"/>
          <w:highlight w:val="none"/>
        </w:rPr>
        <w:t>35、《住宅区和住宅建筑内光纤到户通信设施工程施工及验收规范》（GB50847-2012）；</w:t>
      </w:r>
    </w:p>
    <w:p w14:paraId="00EE1CCD">
      <w:pPr>
        <w:tabs>
          <w:tab w:val="left" w:pos="1155"/>
        </w:tabs>
        <w:spacing w:line="500" w:lineRule="exact"/>
        <w:ind w:firstLine="420" w:firstLineChars="150"/>
        <w:rPr>
          <w:rFonts w:ascii="仿宋" w:hAnsi="仿宋" w:eastAsia="仿宋"/>
          <w:sz w:val="28"/>
          <w:szCs w:val="28"/>
          <w:highlight w:val="none"/>
        </w:rPr>
      </w:pPr>
      <w:r>
        <w:rPr>
          <w:rFonts w:hint="eastAsia" w:ascii="仿宋" w:hAnsi="仿宋" w:eastAsia="仿宋"/>
          <w:sz w:val="28"/>
          <w:szCs w:val="28"/>
          <w:highlight w:val="none"/>
        </w:rPr>
        <w:t>36、《光纤试验方法规范 第22部分：尺寸参数的测量方法和试验程序 长度》（GB/T 15972.22-2008）；</w:t>
      </w:r>
    </w:p>
    <w:p w14:paraId="7523F897">
      <w:pPr>
        <w:tabs>
          <w:tab w:val="left" w:pos="1155"/>
        </w:tabs>
        <w:spacing w:line="500" w:lineRule="exact"/>
        <w:ind w:firstLine="420" w:firstLineChars="150"/>
        <w:rPr>
          <w:rFonts w:ascii="仿宋" w:hAnsi="仿宋" w:eastAsia="仿宋"/>
          <w:sz w:val="28"/>
          <w:szCs w:val="28"/>
          <w:highlight w:val="none"/>
        </w:rPr>
      </w:pPr>
      <w:r>
        <w:rPr>
          <w:rFonts w:hint="eastAsia" w:ascii="仿宋" w:hAnsi="仿宋" w:eastAsia="仿宋"/>
          <w:sz w:val="28"/>
          <w:szCs w:val="28"/>
          <w:highlight w:val="none"/>
        </w:rPr>
        <w:t>37、《光纤试验方法规范 第40部分：传输特性和光学特性的测量方法和试验程序 衰减》（GB/T 15972.40-2008）；</w:t>
      </w:r>
    </w:p>
    <w:p w14:paraId="28EADBA2">
      <w:pPr>
        <w:tabs>
          <w:tab w:val="left" w:pos="1155"/>
        </w:tabs>
        <w:spacing w:line="500" w:lineRule="exact"/>
        <w:ind w:firstLine="420" w:firstLineChars="150"/>
        <w:rPr>
          <w:rFonts w:ascii="仿宋" w:hAnsi="仿宋" w:eastAsia="仿宋"/>
          <w:sz w:val="28"/>
          <w:szCs w:val="28"/>
          <w:highlight w:val="none"/>
        </w:rPr>
      </w:pPr>
      <w:r>
        <w:rPr>
          <w:rFonts w:hint="eastAsia" w:ascii="仿宋" w:hAnsi="仿宋" w:eastAsia="仿宋"/>
          <w:sz w:val="28"/>
          <w:szCs w:val="28"/>
          <w:highlight w:val="none"/>
        </w:rPr>
        <w:t>38、《住宅区和住宅建筑内光纤到户通信设施工程设计规范》（GB 50846-2012）；</w:t>
      </w:r>
    </w:p>
    <w:p w14:paraId="437CED60">
      <w:pPr>
        <w:tabs>
          <w:tab w:val="left" w:pos="1155"/>
        </w:tabs>
        <w:spacing w:line="500" w:lineRule="exact"/>
        <w:ind w:firstLine="420" w:firstLineChars="150"/>
        <w:rPr>
          <w:rFonts w:ascii="仿宋" w:hAnsi="仿宋" w:eastAsia="仿宋"/>
          <w:sz w:val="28"/>
          <w:szCs w:val="28"/>
          <w:highlight w:val="none"/>
        </w:rPr>
      </w:pPr>
      <w:r>
        <w:rPr>
          <w:rFonts w:hint="eastAsia" w:ascii="仿宋" w:hAnsi="仿宋" w:eastAsia="仿宋"/>
          <w:sz w:val="28"/>
          <w:szCs w:val="28"/>
          <w:highlight w:val="none"/>
        </w:rPr>
        <w:t>39、《民用建筑隔声设计规范》（GB 50118-2010）；</w:t>
      </w:r>
    </w:p>
    <w:p w14:paraId="0ACBA8EC">
      <w:pPr>
        <w:tabs>
          <w:tab w:val="left" w:pos="1155"/>
        </w:tabs>
        <w:spacing w:line="500" w:lineRule="exact"/>
        <w:ind w:firstLine="420" w:firstLineChars="150"/>
        <w:rPr>
          <w:rFonts w:ascii="仿宋" w:hAnsi="仿宋" w:eastAsia="仿宋"/>
          <w:sz w:val="28"/>
          <w:szCs w:val="28"/>
          <w:highlight w:val="none"/>
        </w:rPr>
      </w:pPr>
      <w:r>
        <w:rPr>
          <w:rFonts w:hint="eastAsia" w:ascii="仿宋" w:hAnsi="仿宋" w:eastAsia="仿宋"/>
          <w:sz w:val="28"/>
          <w:szCs w:val="28"/>
          <w:highlight w:val="none"/>
        </w:rPr>
        <w:t>40、《声环境质量标准》（GB 3096-2008）；</w:t>
      </w:r>
    </w:p>
    <w:p w14:paraId="02E3F1FB">
      <w:pPr>
        <w:tabs>
          <w:tab w:val="left" w:pos="1155"/>
        </w:tabs>
        <w:spacing w:line="500" w:lineRule="exact"/>
        <w:ind w:firstLine="420" w:firstLineChars="150"/>
        <w:rPr>
          <w:rFonts w:ascii="仿宋" w:hAnsi="仿宋" w:eastAsia="仿宋"/>
          <w:sz w:val="28"/>
          <w:szCs w:val="28"/>
          <w:highlight w:val="none"/>
        </w:rPr>
      </w:pPr>
      <w:r>
        <w:rPr>
          <w:rFonts w:hint="eastAsia" w:ascii="仿宋" w:hAnsi="仿宋" w:eastAsia="仿宋"/>
          <w:sz w:val="28"/>
          <w:szCs w:val="28"/>
          <w:highlight w:val="none"/>
        </w:rPr>
        <w:t>41、《建筑环境通用规范》（GB 55016-2021）；</w:t>
      </w:r>
    </w:p>
    <w:p w14:paraId="71F041E6">
      <w:pPr>
        <w:tabs>
          <w:tab w:val="left" w:pos="1155"/>
        </w:tabs>
        <w:spacing w:line="500" w:lineRule="exact"/>
        <w:ind w:firstLine="420" w:firstLineChars="150"/>
        <w:rPr>
          <w:rFonts w:ascii="仿宋" w:hAnsi="仿宋" w:eastAsia="仿宋"/>
          <w:sz w:val="28"/>
          <w:szCs w:val="28"/>
          <w:highlight w:val="none"/>
        </w:rPr>
      </w:pPr>
      <w:r>
        <w:rPr>
          <w:rFonts w:hint="eastAsia" w:ascii="仿宋" w:hAnsi="仿宋" w:eastAsia="仿宋"/>
          <w:sz w:val="28"/>
          <w:szCs w:val="28"/>
          <w:highlight w:val="none"/>
        </w:rPr>
        <w:t>42、《园林绿化木本苗》（CJ/T 24-2018）；</w:t>
      </w:r>
    </w:p>
    <w:p w14:paraId="63B4C6D5">
      <w:pPr>
        <w:tabs>
          <w:tab w:val="left" w:pos="1155"/>
        </w:tabs>
        <w:spacing w:line="500" w:lineRule="exact"/>
        <w:ind w:firstLine="420" w:firstLineChars="150"/>
        <w:rPr>
          <w:rFonts w:ascii="仿宋" w:hAnsi="仿宋" w:eastAsia="仿宋"/>
          <w:sz w:val="28"/>
          <w:szCs w:val="28"/>
          <w:highlight w:val="none"/>
        </w:rPr>
      </w:pPr>
      <w:r>
        <w:rPr>
          <w:rFonts w:hint="eastAsia" w:ascii="仿宋" w:hAnsi="仿宋" w:eastAsia="仿宋"/>
          <w:sz w:val="28"/>
          <w:szCs w:val="28"/>
          <w:highlight w:val="none"/>
        </w:rPr>
        <w:t>43、《园林绿化工程施工及验收规范》（CJJ 82-2012）；</w:t>
      </w:r>
    </w:p>
    <w:p w14:paraId="7AFBEB22">
      <w:pPr>
        <w:tabs>
          <w:tab w:val="left" w:pos="1155"/>
        </w:tabs>
        <w:spacing w:line="500" w:lineRule="exact"/>
        <w:ind w:firstLine="420" w:firstLineChars="150"/>
        <w:rPr>
          <w:rFonts w:ascii="仿宋" w:hAnsi="仿宋" w:eastAsia="仿宋"/>
          <w:sz w:val="28"/>
          <w:szCs w:val="28"/>
          <w:highlight w:val="none"/>
        </w:rPr>
      </w:pPr>
      <w:r>
        <w:rPr>
          <w:rFonts w:hint="eastAsia" w:ascii="仿宋" w:hAnsi="仿宋" w:eastAsia="仿宋"/>
          <w:sz w:val="28"/>
          <w:szCs w:val="28"/>
          <w:highlight w:val="none"/>
        </w:rPr>
        <w:t>44、《有机肥料》（NY/T 525-2021）；</w:t>
      </w:r>
    </w:p>
    <w:p w14:paraId="6488C77D">
      <w:pPr>
        <w:tabs>
          <w:tab w:val="left" w:pos="1155"/>
        </w:tabs>
        <w:spacing w:line="500" w:lineRule="exact"/>
        <w:ind w:firstLine="420" w:firstLineChars="150"/>
        <w:rPr>
          <w:rFonts w:ascii="仿宋" w:hAnsi="仿宋" w:eastAsia="仿宋"/>
          <w:sz w:val="28"/>
          <w:szCs w:val="28"/>
          <w:highlight w:val="none"/>
        </w:rPr>
      </w:pPr>
      <w:r>
        <w:rPr>
          <w:rFonts w:hint="eastAsia" w:ascii="仿宋" w:hAnsi="仿宋" w:eastAsia="仿宋"/>
          <w:sz w:val="28"/>
          <w:szCs w:val="28"/>
          <w:highlight w:val="none"/>
        </w:rPr>
        <w:t>45、广东标准《建筑防火及消防设施检测技术规程》（DBJ/T15-110-2015）；</w:t>
      </w:r>
    </w:p>
    <w:p w14:paraId="40D8162A">
      <w:pPr>
        <w:tabs>
          <w:tab w:val="left" w:pos="1155"/>
        </w:tabs>
        <w:spacing w:line="500" w:lineRule="exact"/>
        <w:ind w:firstLine="420" w:firstLineChars="150"/>
        <w:rPr>
          <w:rFonts w:ascii="仿宋" w:hAnsi="仿宋" w:eastAsia="仿宋"/>
          <w:sz w:val="28"/>
          <w:szCs w:val="28"/>
          <w:highlight w:val="none"/>
        </w:rPr>
      </w:pPr>
      <w:r>
        <w:rPr>
          <w:rFonts w:hint="eastAsia" w:ascii="仿宋" w:hAnsi="仿宋" w:eastAsia="仿宋"/>
          <w:sz w:val="28"/>
          <w:szCs w:val="28"/>
          <w:highlight w:val="none"/>
        </w:rPr>
        <w:t>46、广东标准《广东省建筑节能与绿色建筑工程施工质量验收规范》（DBJ15-65-2021）；</w:t>
      </w:r>
    </w:p>
    <w:p w14:paraId="714CCECF">
      <w:pPr>
        <w:tabs>
          <w:tab w:val="left" w:pos="1155"/>
        </w:tabs>
        <w:spacing w:line="500" w:lineRule="exact"/>
        <w:ind w:firstLine="420" w:firstLineChars="150"/>
        <w:rPr>
          <w:rFonts w:ascii="仿宋" w:hAnsi="仿宋" w:eastAsia="仿宋"/>
          <w:sz w:val="28"/>
          <w:szCs w:val="28"/>
          <w:highlight w:val="none"/>
        </w:rPr>
      </w:pPr>
      <w:r>
        <w:rPr>
          <w:rFonts w:hint="eastAsia" w:ascii="仿宋" w:hAnsi="仿宋" w:eastAsia="仿宋"/>
          <w:sz w:val="28"/>
          <w:szCs w:val="28"/>
          <w:highlight w:val="none"/>
        </w:rPr>
        <w:t>47、广州市标准《园林绿化植物材料》（DB4401/T 37-2019）；</w:t>
      </w:r>
    </w:p>
    <w:p w14:paraId="55FD9E81">
      <w:pPr>
        <w:tabs>
          <w:tab w:val="left" w:pos="1155"/>
        </w:tabs>
        <w:spacing w:line="500" w:lineRule="exact"/>
        <w:ind w:firstLine="420" w:firstLineChars="150"/>
        <w:rPr>
          <w:rFonts w:ascii="仿宋" w:hAnsi="仿宋" w:eastAsia="仿宋"/>
          <w:sz w:val="28"/>
          <w:szCs w:val="28"/>
          <w:highlight w:val="none"/>
        </w:rPr>
      </w:pPr>
      <w:r>
        <w:rPr>
          <w:rFonts w:hint="eastAsia" w:ascii="仿宋" w:hAnsi="仿宋" w:eastAsia="仿宋"/>
          <w:sz w:val="28"/>
          <w:szCs w:val="28"/>
          <w:highlight w:val="none"/>
        </w:rPr>
        <w:t>48、广州市标准《城市绿化工程施工和验收规范》（DB440100/T114-2007）；</w:t>
      </w:r>
    </w:p>
    <w:p w14:paraId="7EFD6844">
      <w:pPr>
        <w:tabs>
          <w:tab w:val="left" w:pos="1155"/>
        </w:tabs>
        <w:spacing w:line="500" w:lineRule="exact"/>
        <w:ind w:firstLine="420" w:firstLineChars="150"/>
        <w:rPr>
          <w:rFonts w:ascii="仿宋" w:hAnsi="仿宋" w:eastAsia="仿宋"/>
          <w:sz w:val="28"/>
          <w:szCs w:val="28"/>
          <w:highlight w:val="none"/>
        </w:rPr>
      </w:pPr>
      <w:r>
        <w:rPr>
          <w:rFonts w:hint="eastAsia" w:ascii="仿宋" w:hAnsi="仿宋" w:eastAsia="仿宋"/>
          <w:sz w:val="28"/>
          <w:szCs w:val="28"/>
          <w:highlight w:val="none"/>
        </w:rPr>
        <w:t>49、国家和广东省、广州市、黄埔区、开发区其他有关检测的法律、法规、规章、规范及标准。实际检测依据以实施检测时国家及地方发布的最新规范、标准及规定为准。</w:t>
      </w:r>
    </w:p>
    <w:p w14:paraId="5476D6B4">
      <w:pPr>
        <w:tabs>
          <w:tab w:val="left" w:pos="0"/>
        </w:tabs>
        <w:spacing w:line="500" w:lineRule="exact"/>
        <w:ind w:firstLine="506" w:firstLineChars="180"/>
        <w:rPr>
          <w:rFonts w:ascii="仿宋" w:hAnsi="仿宋" w:eastAsia="仿宋"/>
          <w:sz w:val="28"/>
          <w:szCs w:val="28"/>
          <w:highlight w:val="none"/>
        </w:rPr>
      </w:pPr>
      <w:r>
        <w:rPr>
          <w:rFonts w:hint="eastAsia" w:ascii="仿宋" w:hAnsi="仿宋" w:eastAsia="仿宋"/>
          <w:b/>
          <w:sz w:val="28"/>
          <w:szCs w:val="28"/>
          <w:highlight w:val="none"/>
        </w:rPr>
        <w:t>七、技术服务成果的提交</w:t>
      </w:r>
    </w:p>
    <w:p w14:paraId="02B1762E">
      <w:pPr>
        <w:spacing w:line="500" w:lineRule="exact"/>
        <w:ind w:firstLine="560" w:firstLineChars="200"/>
        <w:contextualSpacing/>
        <w:rPr>
          <w:rFonts w:ascii="仿宋" w:hAnsi="仿宋" w:eastAsia="仿宋"/>
          <w:sz w:val="28"/>
          <w:szCs w:val="28"/>
          <w:highlight w:val="none"/>
        </w:rPr>
      </w:pPr>
      <w:r>
        <w:rPr>
          <w:rFonts w:hint="eastAsia" w:ascii="仿宋" w:hAnsi="仿宋" w:eastAsia="仿宋"/>
          <w:sz w:val="28"/>
          <w:szCs w:val="28"/>
          <w:highlight w:val="none"/>
        </w:rPr>
        <w:t>1、乙方在检测工作完成后，应按甲方要求及时提交有效的检测报告（检测报告分为初步报告和最终报告）。初步报告应在每次检测后3天内提交给甲方，一式三份。最终报告应在每次检测后7天内提交，一式十份。最终报告需加盖检测报告专用章和计量认证章（CMA章）；检测报告签认人员的检测资格证书必须在乙方处注册。</w:t>
      </w:r>
    </w:p>
    <w:p w14:paraId="3EB34C64">
      <w:pPr>
        <w:spacing w:after="120" w:line="50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2、所有检测报告必须符合国家和地方现行的规范、标准。</w:t>
      </w:r>
    </w:p>
    <w:p w14:paraId="32FF241D">
      <w:pPr>
        <w:spacing w:line="500" w:lineRule="exact"/>
        <w:contextualSpacing/>
        <w:rPr>
          <w:rFonts w:ascii="仿宋" w:hAnsi="仿宋" w:eastAsia="仿宋"/>
          <w:b/>
          <w:sz w:val="28"/>
          <w:szCs w:val="28"/>
          <w:highlight w:val="none"/>
        </w:rPr>
      </w:pPr>
      <w:r>
        <w:rPr>
          <w:rFonts w:hint="eastAsia" w:ascii="仿宋" w:hAnsi="仿宋" w:eastAsia="仿宋"/>
          <w:b/>
          <w:sz w:val="28"/>
          <w:szCs w:val="28"/>
          <w:highlight w:val="none"/>
        </w:rPr>
        <w:t xml:space="preserve">    八、服务报酬及支付方式</w:t>
      </w:r>
    </w:p>
    <w:p w14:paraId="58D33A35">
      <w:pPr>
        <w:autoSpaceDE w:val="0"/>
        <w:autoSpaceDN w:val="0"/>
        <w:adjustRightInd w:val="0"/>
        <w:spacing w:line="500" w:lineRule="exact"/>
        <w:ind w:firstLine="560" w:firstLineChars="200"/>
        <w:contextualSpacing/>
        <w:rPr>
          <w:rFonts w:ascii="仿宋" w:hAnsi="仿宋" w:eastAsia="仿宋"/>
          <w:sz w:val="28"/>
          <w:szCs w:val="28"/>
          <w:highlight w:val="none"/>
        </w:rPr>
      </w:pPr>
      <w:r>
        <w:rPr>
          <w:rFonts w:hint="eastAsia" w:ascii="仿宋" w:hAnsi="仿宋" w:eastAsia="仿宋"/>
          <w:sz w:val="28"/>
          <w:szCs w:val="28"/>
          <w:highlight w:val="none"/>
        </w:rPr>
        <w:t>1、本合同价暂定为投标报价，即人民币：</w:t>
      </w:r>
      <w:r>
        <w:rPr>
          <w:rFonts w:hint="eastAsia" w:ascii="仿宋" w:hAnsi="仿宋" w:eastAsia="仿宋"/>
          <w:sz w:val="28"/>
          <w:szCs w:val="28"/>
          <w:highlight w:val="none"/>
          <w:u w:val="single"/>
        </w:rPr>
        <w:t xml:space="preserve">     </w:t>
      </w:r>
      <w:r>
        <w:rPr>
          <w:rFonts w:hint="eastAsia" w:ascii="仿宋" w:hAnsi="仿宋" w:eastAsia="仿宋"/>
          <w:sz w:val="28"/>
          <w:szCs w:val="28"/>
          <w:highlight w:val="none"/>
        </w:rPr>
        <w:t>元（大写：</w:t>
      </w:r>
      <w:r>
        <w:rPr>
          <w:rFonts w:hint="eastAsia" w:ascii="仿宋" w:hAnsi="仿宋" w:eastAsia="仿宋"/>
          <w:sz w:val="28"/>
          <w:szCs w:val="28"/>
          <w:highlight w:val="none"/>
          <w:u w:val="single"/>
        </w:rPr>
        <w:t xml:space="preserve">     </w:t>
      </w:r>
      <w:r>
        <w:rPr>
          <w:rFonts w:hint="eastAsia" w:ascii="仿宋" w:hAnsi="仿宋" w:eastAsia="仿宋"/>
          <w:sz w:val="28"/>
          <w:szCs w:val="28"/>
          <w:highlight w:val="none"/>
        </w:rPr>
        <w:t>）；投标下浮率为：</w:t>
      </w:r>
      <w:r>
        <w:rPr>
          <w:rFonts w:hint="eastAsia" w:ascii="仿宋" w:hAnsi="仿宋" w:eastAsia="仿宋"/>
          <w:sz w:val="28"/>
          <w:szCs w:val="28"/>
          <w:highlight w:val="none"/>
          <w:u w:val="single"/>
        </w:rPr>
        <w:t xml:space="preserve">   </w:t>
      </w:r>
      <w:r>
        <w:rPr>
          <w:rFonts w:hint="eastAsia" w:ascii="仿宋" w:hAnsi="仿宋" w:eastAsia="仿宋"/>
          <w:sz w:val="28"/>
          <w:szCs w:val="28"/>
          <w:highlight w:val="none"/>
        </w:rPr>
        <w:t>%。乙方按照甲方审核同意的检测实施方案及本合同约定的计费标准，并执行投标下浮率后编制本工程检测服务费用明细表，经甲方及监理单位审核后，根据审核的检测费用签订补充协议，并作为支付本工程检测进度款及结算的依据。</w:t>
      </w:r>
    </w:p>
    <w:p w14:paraId="0B09FEEF">
      <w:pPr>
        <w:autoSpaceDE w:val="0"/>
        <w:autoSpaceDN w:val="0"/>
        <w:adjustRightInd w:val="0"/>
        <w:spacing w:line="500" w:lineRule="exact"/>
        <w:ind w:firstLine="562" w:firstLineChars="200"/>
        <w:contextualSpacing/>
        <w:rPr>
          <w:rFonts w:ascii="仿宋" w:hAnsi="仿宋" w:eastAsia="仿宋"/>
          <w:b/>
          <w:sz w:val="28"/>
          <w:szCs w:val="28"/>
          <w:highlight w:val="none"/>
        </w:rPr>
      </w:pPr>
      <w:r>
        <w:rPr>
          <w:rFonts w:hint="eastAsia" w:ascii="仿宋" w:hAnsi="仿宋" w:eastAsia="仿宋"/>
          <w:b/>
          <w:sz w:val="28"/>
          <w:szCs w:val="28"/>
          <w:highlight w:val="none"/>
        </w:rPr>
        <w:t>2、计费标准</w:t>
      </w:r>
    </w:p>
    <w:p w14:paraId="69F119AE">
      <w:pPr>
        <w:autoSpaceDE w:val="0"/>
        <w:autoSpaceDN w:val="0"/>
        <w:adjustRightInd w:val="0"/>
        <w:spacing w:line="500" w:lineRule="exact"/>
        <w:ind w:firstLine="560" w:firstLineChars="200"/>
        <w:contextualSpacing/>
        <w:rPr>
          <w:rFonts w:ascii="仿宋" w:hAnsi="仿宋" w:eastAsia="仿宋"/>
          <w:sz w:val="28"/>
          <w:szCs w:val="28"/>
          <w:highlight w:val="none"/>
        </w:rPr>
      </w:pPr>
      <w:r>
        <w:rPr>
          <w:rFonts w:hint="eastAsia" w:ascii="仿宋" w:hAnsi="仿宋" w:eastAsia="仿宋"/>
          <w:sz w:val="28"/>
          <w:szCs w:val="28"/>
          <w:highlight w:val="none"/>
        </w:rPr>
        <w:t>根据黄埔区财政局《关于印发广州市黄埔区 广州开发区政府投资建设项目资金管理办法的通知》（穗埔财[2020]373号）及《广州开发区财政投资建设项目管理中心咨询服务类合同结算编审指引》穗开建管[2021]33号（其中单价参照《关于印发&lt;广东省房屋建筑和市政工程质量安全检测收费指导价（第一批）&gt;和&lt;广东省既有房屋建筑安全性鉴定收费指导价&gt;的通知》（粤建检协[2015]8号）下浮20%，再乘以（1-投标下浮率）计取。最终检测综合单价和结算总价以广州开发区财政局或其授权委托单位审定为准。</w:t>
      </w:r>
    </w:p>
    <w:p w14:paraId="492F0767">
      <w:pPr>
        <w:autoSpaceDE w:val="0"/>
        <w:autoSpaceDN w:val="0"/>
        <w:adjustRightInd w:val="0"/>
        <w:spacing w:line="500" w:lineRule="exact"/>
        <w:ind w:firstLine="562" w:firstLineChars="200"/>
        <w:contextualSpacing/>
        <w:rPr>
          <w:rFonts w:ascii="仿宋" w:hAnsi="仿宋" w:eastAsia="仿宋"/>
          <w:sz w:val="28"/>
          <w:szCs w:val="28"/>
          <w:highlight w:val="none"/>
        </w:rPr>
      </w:pPr>
      <w:r>
        <w:rPr>
          <w:rFonts w:hint="eastAsia" w:ascii="仿宋" w:hAnsi="仿宋" w:eastAsia="仿宋"/>
          <w:b/>
          <w:sz w:val="28"/>
          <w:szCs w:val="28"/>
          <w:highlight w:val="none"/>
        </w:rPr>
        <w:t>3、</w:t>
      </w:r>
      <w:r>
        <w:rPr>
          <w:rFonts w:hint="eastAsia" w:ascii="仿宋" w:hAnsi="仿宋" w:eastAsia="仿宋"/>
          <w:sz w:val="28"/>
          <w:szCs w:val="28"/>
          <w:highlight w:val="none"/>
        </w:rPr>
        <w:t>本工程预算价中的综合单价已包括了为完成设计文件及有关规范要求的所有材料设备检测项目所发生的劳务(含技术人员)、材料、机械(含各种车辆、仪器设备、软件等使用费、进出场费)、差旅交通费、临时设施费、检测试验费、报告编写费、各项管理费、就餐费、住宿费、管理费、利润、规费、税金、保险费、相关协调费及其他实物和技术工作收费等全部相关费用，以及合同明示或暗示的所有责任、义务和风险。</w:t>
      </w:r>
    </w:p>
    <w:p w14:paraId="3E3E1700">
      <w:pPr>
        <w:spacing w:line="500" w:lineRule="exact"/>
        <w:ind w:firstLine="482"/>
        <w:rPr>
          <w:rFonts w:ascii="仿宋" w:hAnsi="仿宋" w:eastAsia="仿宋"/>
          <w:b/>
          <w:sz w:val="28"/>
          <w:szCs w:val="28"/>
          <w:highlight w:val="none"/>
        </w:rPr>
      </w:pPr>
      <w:r>
        <w:rPr>
          <w:rFonts w:hint="eastAsia" w:ascii="仿宋" w:hAnsi="仿宋" w:eastAsia="仿宋"/>
          <w:b/>
          <w:sz w:val="28"/>
          <w:szCs w:val="28"/>
          <w:highlight w:val="none"/>
        </w:rPr>
        <w:t>4、结算方式</w:t>
      </w:r>
    </w:p>
    <w:p w14:paraId="727E3879">
      <w:pPr>
        <w:spacing w:line="500" w:lineRule="exact"/>
        <w:ind w:left="105" w:leftChars="50" w:firstLine="420" w:firstLineChars="150"/>
        <w:rPr>
          <w:rFonts w:ascii="仿宋" w:hAnsi="仿宋" w:eastAsia="仿宋"/>
          <w:sz w:val="28"/>
          <w:szCs w:val="28"/>
          <w:highlight w:val="none"/>
        </w:rPr>
      </w:pPr>
      <w:r>
        <w:rPr>
          <w:rFonts w:hint="eastAsia" w:ascii="仿宋" w:hAnsi="仿宋" w:eastAsia="仿宋"/>
          <w:sz w:val="28"/>
          <w:szCs w:val="28"/>
          <w:highlight w:val="none"/>
        </w:rPr>
        <w:t>按经甲方审核后的预算综合单价【单项工程检测服务合同综合单价包干（其中综合单价中含子项目的，综合单价按实际实施的子项目单价计算）】，并执行投标下浮率，工程量按实际发生量并经甲方审核同意。预算书没有开列但实际已实施的检测项目，按合同中约定的计费标准确认检测项目综合单价，乘以中标下浮率，再乘以实际工程量进行结算。最终结算以广州开发区财政局或其授权委托单位审定结算价为准。</w:t>
      </w:r>
    </w:p>
    <w:p w14:paraId="4FE2E03D">
      <w:pPr>
        <w:spacing w:line="500" w:lineRule="exact"/>
        <w:ind w:left="105" w:leftChars="50" w:firstLine="422" w:firstLineChars="150"/>
        <w:rPr>
          <w:rFonts w:ascii="仿宋" w:hAnsi="仿宋" w:eastAsia="仿宋"/>
          <w:b/>
          <w:sz w:val="28"/>
          <w:szCs w:val="28"/>
          <w:highlight w:val="none"/>
        </w:rPr>
      </w:pPr>
      <w:r>
        <w:rPr>
          <w:rFonts w:hint="eastAsia" w:ascii="仿宋" w:hAnsi="仿宋" w:eastAsia="仿宋"/>
          <w:b/>
          <w:sz w:val="28"/>
          <w:szCs w:val="28"/>
          <w:highlight w:val="none"/>
        </w:rPr>
        <w:t>5</w:t>
      </w:r>
      <w:r>
        <w:rPr>
          <w:rFonts w:ascii="仿宋" w:hAnsi="仿宋" w:eastAsia="仿宋"/>
          <w:b/>
          <w:sz w:val="28"/>
          <w:szCs w:val="28"/>
          <w:highlight w:val="none"/>
        </w:rPr>
        <w:t>、支付方式</w:t>
      </w:r>
    </w:p>
    <w:p w14:paraId="2B754620">
      <w:pPr>
        <w:spacing w:line="500" w:lineRule="exact"/>
        <w:ind w:firstLine="560" w:firstLineChars="200"/>
        <w:rPr>
          <w:rFonts w:ascii="仿宋" w:hAnsi="仿宋" w:eastAsia="仿宋"/>
          <w:sz w:val="28"/>
          <w:szCs w:val="28"/>
          <w:highlight w:val="none"/>
        </w:rPr>
      </w:pPr>
      <w:r>
        <w:rPr>
          <w:rFonts w:ascii="仿宋" w:hAnsi="仿宋" w:eastAsia="仿宋"/>
          <w:sz w:val="28"/>
          <w:szCs w:val="28"/>
          <w:highlight w:val="none"/>
        </w:rPr>
        <w:t>（1）本合同签订生效后，乙方按要求编制完成检测预算并经甲方审核通过后，可向甲方申请支付本合同暂定总价的20%，甲方应在收到乙方款项申请手续并审核确认之日起十个工作日内且财政拨款到位后支付。</w:t>
      </w:r>
    </w:p>
    <w:p w14:paraId="42C4F511">
      <w:pPr>
        <w:spacing w:line="500" w:lineRule="exact"/>
        <w:ind w:firstLine="560" w:firstLineChars="200"/>
        <w:rPr>
          <w:rFonts w:ascii="仿宋" w:hAnsi="仿宋" w:eastAsia="仿宋"/>
          <w:sz w:val="28"/>
          <w:szCs w:val="28"/>
          <w:highlight w:val="none"/>
        </w:rPr>
      </w:pPr>
      <w:r>
        <w:rPr>
          <w:rFonts w:ascii="仿宋" w:hAnsi="仿宋" w:eastAsia="仿宋"/>
          <w:sz w:val="28"/>
          <w:szCs w:val="28"/>
          <w:highlight w:val="none"/>
        </w:rPr>
        <w:t>（2）每季度支付一次检测费用，乙方完成各分项检测工作并提交符合要求的检测成果报告经甲方审核通过后，乙方可向甲方申请该分项检测工作实际金额的80%（即实际工程量乘以经甲方审核的综合单价）作为本合同检测服务进度款（前期已付预付款转作甲方已付进度款），且累计支付不超过合同暂定总价的80%。甲方应在收到乙方款项申请手续并审核确认之日起十个工作日内且财政拨款到位后支付。</w:t>
      </w:r>
    </w:p>
    <w:p w14:paraId="74DE7799">
      <w:pPr>
        <w:spacing w:line="500" w:lineRule="exact"/>
        <w:ind w:firstLine="560" w:firstLineChars="200"/>
        <w:rPr>
          <w:rFonts w:ascii="仿宋" w:hAnsi="仿宋" w:eastAsia="仿宋"/>
          <w:sz w:val="28"/>
          <w:szCs w:val="28"/>
          <w:highlight w:val="none"/>
        </w:rPr>
      </w:pPr>
      <w:r>
        <w:rPr>
          <w:rFonts w:ascii="仿宋" w:hAnsi="仿宋" w:eastAsia="仿宋"/>
          <w:sz w:val="28"/>
          <w:szCs w:val="28"/>
          <w:highlight w:val="none"/>
        </w:rPr>
        <w:t>（3）本合同全部检测技术服务工作完成，乙方向甲方报送符合要求的检测成果报告及完整的合同结算资料，经区财政部门或其授权委托单位审定最终结算价款后，甲方应该在收到乙方款项申请手续并审核确认之日十个工作日内且财政拨款到位后一次付清结算余款给乙方。</w:t>
      </w:r>
    </w:p>
    <w:p w14:paraId="483B9E5C">
      <w:pPr>
        <w:spacing w:line="500" w:lineRule="exact"/>
        <w:ind w:firstLine="562" w:firstLineChars="200"/>
        <w:rPr>
          <w:rFonts w:ascii="仿宋" w:hAnsi="仿宋" w:eastAsia="仿宋"/>
          <w:sz w:val="28"/>
          <w:szCs w:val="28"/>
          <w:highlight w:val="none"/>
          <w:u w:val="single"/>
        </w:rPr>
      </w:pPr>
      <w:r>
        <w:rPr>
          <w:rFonts w:hint="eastAsia" w:ascii="仿宋" w:hAnsi="仿宋" w:eastAsia="仿宋"/>
          <w:b/>
          <w:sz w:val="28"/>
          <w:szCs w:val="28"/>
          <w:highlight w:val="none"/>
        </w:rPr>
        <w:t>九、知识产权</w:t>
      </w:r>
    </w:p>
    <w:p w14:paraId="48B8B20E">
      <w:pPr>
        <w:spacing w:line="500" w:lineRule="exact"/>
        <w:ind w:firstLine="560" w:firstLineChars="200"/>
        <w:rPr>
          <w:rFonts w:ascii="仿宋" w:hAnsi="仿宋" w:eastAsia="仿宋"/>
          <w:sz w:val="28"/>
          <w:szCs w:val="28"/>
          <w:highlight w:val="none"/>
          <w:u w:val="single"/>
        </w:rPr>
      </w:pPr>
      <w:r>
        <w:rPr>
          <w:rFonts w:hint="eastAsia" w:ascii="仿宋" w:hAnsi="仿宋" w:eastAsia="仿宋"/>
          <w:sz w:val="28"/>
          <w:szCs w:val="28"/>
          <w:highlight w:val="none"/>
        </w:rPr>
        <w:t>1、在本合同有效期内，甲方利用乙方提交的技术服务工作成果所完成的新的技术成果，归甲方所有。</w:t>
      </w:r>
    </w:p>
    <w:p w14:paraId="4ABEA9C5">
      <w:pPr>
        <w:spacing w:line="50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2、在本合同有效期内，乙方利用甲方提供技术资料和工作条件所完成的新的技术成果，归甲方所有。</w:t>
      </w:r>
    </w:p>
    <w:p w14:paraId="66475FBD">
      <w:pPr>
        <w:spacing w:line="500" w:lineRule="exact"/>
        <w:ind w:firstLine="562" w:firstLineChars="200"/>
        <w:rPr>
          <w:rFonts w:ascii="仿宋" w:hAnsi="仿宋" w:eastAsia="仿宋"/>
          <w:sz w:val="28"/>
          <w:szCs w:val="28"/>
          <w:highlight w:val="none"/>
          <w:u w:val="single"/>
        </w:rPr>
      </w:pPr>
      <w:r>
        <w:rPr>
          <w:rFonts w:hint="eastAsia" w:ascii="仿宋" w:hAnsi="仿宋" w:eastAsia="仿宋"/>
          <w:b/>
          <w:sz w:val="28"/>
          <w:szCs w:val="28"/>
          <w:highlight w:val="none"/>
        </w:rPr>
        <w:t>十、违约责任</w:t>
      </w:r>
    </w:p>
    <w:p w14:paraId="56C2EFCC">
      <w:pPr>
        <w:spacing w:line="500" w:lineRule="exact"/>
        <w:ind w:firstLine="560" w:firstLineChars="200"/>
        <w:rPr>
          <w:rFonts w:ascii="仿宋" w:hAnsi="仿宋" w:eastAsia="仿宋"/>
          <w:sz w:val="28"/>
          <w:szCs w:val="28"/>
          <w:highlight w:val="none"/>
          <w:u w:val="single"/>
        </w:rPr>
      </w:pPr>
      <w:r>
        <w:rPr>
          <w:rFonts w:hint="eastAsia" w:ascii="仿宋" w:hAnsi="仿宋" w:eastAsia="仿宋"/>
          <w:sz w:val="28"/>
          <w:szCs w:val="28"/>
          <w:highlight w:val="none"/>
        </w:rPr>
        <w:t>1、除非法律、法规规定或本合同约定，任何一方不得擅自解除合同，擅自解除合同者应向对方支付</w:t>
      </w:r>
      <w:r>
        <w:rPr>
          <w:rFonts w:hint="eastAsia" w:ascii="仿宋" w:hAnsi="仿宋" w:eastAsia="仿宋"/>
          <w:bCs/>
          <w:sz w:val="28"/>
          <w:szCs w:val="28"/>
          <w:highlight w:val="none"/>
        </w:rPr>
        <w:t>本合同</w:t>
      </w:r>
      <w:r>
        <w:rPr>
          <w:rFonts w:hint="eastAsia" w:ascii="仿宋" w:hAnsi="仿宋" w:eastAsia="仿宋"/>
          <w:sz w:val="28"/>
          <w:szCs w:val="28"/>
          <w:highlight w:val="none"/>
        </w:rPr>
        <w:t>暂定价20%的违约金。如乙方擅自解除合同的，还需返还甲方已支付的全部款项。</w:t>
      </w:r>
    </w:p>
    <w:p w14:paraId="57BDD904">
      <w:pPr>
        <w:spacing w:line="500" w:lineRule="exact"/>
        <w:ind w:firstLine="560" w:firstLineChars="200"/>
        <w:rPr>
          <w:rFonts w:ascii="仿宋" w:hAnsi="仿宋" w:eastAsia="仿宋"/>
          <w:sz w:val="28"/>
          <w:szCs w:val="28"/>
          <w:highlight w:val="none"/>
          <w:u w:val="single"/>
        </w:rPr>
      </w:pPr>
      <w:r>
        <w:rPr>
          <w:rFonts w:hint="eastAsia" w:ascii="仿宋" w:hAnsi="仿宋" w:eastAsia="仿宋"/>
          <w:sz w:val="28"/>
          <w:szCs w:val="28"/>
          <w:highlight w:val="none"/>
        </w:rPr>
        <w:t>2、甲方违反本合同第八条支付时间约定，每逾期一日按应付款项的</w:t>
      </w:r>
      <w:r>
        <w:rPr>
          <w:rFonts w:hint="eastAsia" w:ascii="仿宋" w:hAnsi="仿宋" w:eastAsia="仿宋"/>
          <w:sz w:val="28"/>
          <w:szCs w:val="28"/>
          <w:highlight w:val="none"/>
          <w:u w:val="single"/>
        </w:rPr>
        <w:t>万分之一</w:t>
      </w:r>
      <w:r>
        <w:rPr>
          <w:rFonts w:hint="eastAsia" w:ascii="仿宋" w:hAnsi="仿宋" w:eastAsia="仿宋"/>
          <w:sz w:val="28"/>
          <w:szCs w:val="28"/>
          <w:highlight w:val="none"/>
        </w:rPr>
        <w:t>向乙方支付违约金，但违约金总额最高不超过逾付款项的20%。本工程属财政投资，因受政府财政投资控制，在甲方按合同规定时间内完成各项支付手续报财政审批后，由于财政审批导致支付时间延长时，不属甲方违约。</w:t>
      </w:r>
    </w:p>
    <w:p w14:paraId="34E7FD51">
      <w:pPr>
        <w:spacing w:line="50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3、如因乙方失误或报告情况失实造成甲方与第三方发生纠纷或损失的，由乙方承担。</w:t>
      </w:r>
    </w:p>
    <w:p w14:paraId="03BCD462">
      <w:pPr>
        <w:spacing w:after="120" w:line="50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4、乙方不按本合同约定的期限完成检测工作或提交检验报告，每逾期一日，应向甲方支付本合同暂定款万分之一的违约金，累计逾期10日以上，甲方有权单方面解除合同；同时，乙方应赔偿由此给甲方造成的全部损失。</w:t>
      </w:r>
    </w:p>
    <w:p w14:paraId="67DC1F19">
      <w:pPr>
        <w:spacing w:after="120" w:line="50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5、由乙方原因致使乙方提供的检测报告不准确，乙方应无偿返工或采取补救措施予以完善，由此造成延迟交付的，按照本合同第十条第4点的约定处理。</w:t>
      </w:r>
    </w:p>
    <w:p w14:paraId="348C2849">
      <w:pPr>
        <w:spacing w:line="500" w:lineRule="exact"/>
        <w:ind w:firstLine="551" w:firstLineChars="196"/>
        <w:rPr>
          <w:rFonts w:ascii="仿宋" w:hAnsi="仿宋" w:eastAsia="仿宋"/>
          <w:sz w:val="28"/>
          <w:szCs w:val="28"/>
          <w:highlight w:val="none"/>
        </w:rPr>
      </w:pPr>
      <w:r>
        <w:rPr>
          <w:rFonts w:hint="eastAsia" w:ascii="仿宋" w:hAnsi="仿宋" w:eastAsia="仿宋"/>
          <w:b/>
          <w:sz w:val="28"/>
          <w:szCs w:val="28"/>
          <w:highlight w:val="none"/>
        </w:rPr>
        <w:t xml:space="preserve">十一、 </w:t>
      </w:r>
      <w:r>
        <w:rPr>
          <w:rFonts w:hint="eastAsia" w:ascii="仿宋" w:hAnsi="仿宋" w:eastAsia="仿宋"/>
          <w:sz w:val="28"/>
          <w:szCs w:val="28"/>
          <w:highlight w:val="none"/>
        </w:rPr>
        <w:t>双方约定本合同其他相关事项为：</w:t>
      </w:r>
    </w:p>
    <w:p w14:paraId="5C8B0EEC">
      <w:pPr>
        <w:spacing w:line="500" w:lineRule="exact"/>
        <w:ind w:firstLine="560" w:firstLineChars="200"/>
        <w:rPr>
          <w:rFonts w:ascii="仿宋" w:hAnsi="仿宋" w:eastAsia="仿宋"/>
          <w:sz w:val="28"/>
          <w:szCs w:val="28"/>
          <w:highlight w:val="none"/>
          <w:u w:val="single"/>
        </w:rPr>
      </w:pPr>
      <w:r>
        <w:rPr>
          <w:rFonts w:hint="eastAsia" w:ascii="仿宋" w:hAnsi="仿宋" w:eastAsia="仿宋"/>
          <w:sz w:val="28"/>
          <w:szCs w:val="28"/>
          <w:highlight w:val="none"/>
          <w:u w:val="single"/>
        </w:rPr>
        <w:t>1、</w:t>
      </w:r>
      <w:r>
        <w:rPr>
          <w:rFonts w:ascii="仿宋" w:hAnsi="仿宋" w:eastAsia="仿宋"/>
          <w:sz w:val="28"/>
          <w:szCs w:val="28"/>
          <w:highlight w:val="none"/>
          <w:u w:val="single"/>
        </w:rPr>
        <w:t>对于非主要检测工作，</w:t>
      </w:r>
      <w:r>
        <w:rPr>
          <w:rFonts w:hint="eastAsia" w:ascii="仿宋" w:hAnsi="仿宋" w:eastAsia="仿宋"/>
          <w:sz w:val="28"/>
          <w:szCs w:val="28"/>
          <w:highlight w:val="none"/>
          <w:u w:val="single"/>
        </w:rPr>
        <w:t>乙方</w:t>
      </w:r>
      <w:r>
        <w:rPr>
          <w:rFonts w:ascii="仿宋" w:hAnsi="仿宋" w:eastAsia="仿宋"/>
          <w:sz w:val="28"/>
          <w:szCs w:val="28"/>
          <w:highlight w:val="none"/>
          <w:u w:val="single"/>
        </w:rPr>
        <w:t>不具备资质的，经</w:t>
      </w:r>
      <w:r>
        <w:rPr>
          <w:rFonts w:hint="eastAsia" w:ascii="仿宋" w:hAnsi="仿宋" w:eastAsia="仿宋"/>
          <w:sz w:val="28"/>
          <w:szCs w:val="28"/>
          <w:highlight w:val="none"/>
          <w:u w:val="single"/>
        </w:rPr>
        <w:t>甲方</w:t>
      </w:r>
      <w:r>
        <w:rPr>
          <w:rFonts w:ascii="仿宋" w:hAnsi="仿宋" w:eastAsia="仿宋"/>
          <w:sz w:val="28"/>
          <w:szCs w:val="28"/>
          <w:highlight w:val="none"/>
          <w:u w:val="single"/>
        </w:rPr>
        <w:t>同意后可依法分包给具备相关资质的检测单位，分包的检测工作不得再次分包</w:t>
      </w:r>
      <w:r>
        <w:rPr>
          <w:rFonts w:hint="eastAsia" w:ascii="仿宋" w:hAnsi="仿宋" w:eastAsia="仿宋"/>
          <w:sz w:val="28"/>
          <w:szCs w:val="28"/>
          <w:highlight w:val="none"/>
          <w:u w:val="single"/>
        </w:rPr>
        <w:t>，且乙方与第三方检测单位应对该检测结果向甲方承担连带责任</w:t>
      </w:r>
      <w:r>
        <w:rPr>
          <w:rFonts w:ascii="仿宋" w:hAnsi="仿宋" w:eastAsia="仿宋"/>
          <w:sz w:val="28"/>
          <w:szCs w:val="28"/>
          <w:highlight w:val="none"/>
          <w:u w:val="single"/>
        </w:rPr>
        <w:t>。</w:t>
      </w:r>
    </w:p>
    <w:p w14:paraId="76600DCE">
      <w:pPr>
        <w:spacing w:line="500" w:lineRule="exact"/>
        <w:ind w:firstLine="560" w:firstLineChars="200"/>
        <w:rPr>
          <w:rFonts w:ascii="仿宋" w:hAnsi="仿宋" w:eastAsia="仿宋"/>
          <w:sz w:val="28"/>
          <w:szCs w:val="28"/>
          <w:highlight w:val="none"/>
          <w:u w:val="single"/>
        </w:rPr>
      </w:pPr>
      <w:r>
        <w:rPr>
          <w:rFonts w:hint="eastAsia" w:ascii="仿宋" w:hAnsi="仿宋" w:eastAsia="仿宋"/>
          <w:sz w:val="28"/>
          <w:szCs w:val="28"/>
          <w:highlight w:val="none"/>
          <w:u w:val="single"/>
        </w:rPr>
        <w:t>2、</w:t>
      </w:r>
      <w:r>
        <w:rPr>
          <w:rFonts w:ascii="仿宋" w:hAnsi="仿宋" w:eastAsia="仿宋"/>
          <w:sz w:val="28"/>
          <w:szCs w:val="28"/>
          <w:highlight w:val="none"/>
          <w:u w:val="single"/>
        </w:rPr>
        <w:t>如乙方及乙方的项目负责人存在因与工程项目施工相关的车辆运输而被最高人民法院在“信用中国”网站或各级信用信息共享平台中列入失信被执行人名单或被交通运输行政主管部门在“信用交通”网站列入严重违法超限超载运输失信当事人名单或被工商行政管理机关在全国企业信用信息公示系统中列入严重违法失信企业名单或被黄埔区、广州开发区公安、城管、住建、交通、水务、规自等部门列入黑名单、不良行为记录（处罚有效期内）的，经甲方核实，甲方有权终止合同。</w:t>
      </w:r>
    </w:p>
    <w:p w14:paraId="46B887F1">
      <w:pPr>
        <w:spacing w:line="500" w:lineRule="exact"/>
        <w:ind w:firstLine="560" w:firstLineChars="200"/>
        <w:rPr>
          <w:rFonts w:ascii="仿宋" w:hAnsi="仿宋" w:eastAsia="仿宋"/>
          <w:sz w:val="28"/>
          <w:szCs w:val="28"/>
          <w:highlight w:val="none"/>
          <w:u w:val="single"/>
        </w:rPr>
      </w:pPr>
      <w:r>
        <w:rPr>
          <w:rFonts w:hint="eastAsia" w:ascii="仿宋" w:hAnsi="仿宋" w:eastAsia="仿宋"/>
          <w:sz w:val="28"/>
          <w:szCs w:val="28"/>
          <w:highlight w:val="none"/>
          <w:u w:val="single"/>
        </w:rPr>
        <w:t>3、</w:t>
      </w:r>
      <w:r>
        <w:rPr>
          <w:rFonts w:ascii="仿宋" w:hAnsi="仿宋" w:eastAsia="仿宋"/>
          <w:sz w:val="28"/>
          <w:szCs w:val="28"/>
          <w:highlight w:val="none"/>
          <w:u w:val="single"/>
        </w:rPr>
        <w:t>如乙方将工程施工过程中产生的土石方、建筑垃圾及施工过程中使用的建筑材料、设备等的运输委托给被最高人民法院在“信用中国”网站或各级信用信息共享平台中列入失信被执行人名单或被交通运输行政主管部门在“信用交通”网站列入严重违法超限超载运输失信当事人名单或被工商行政管理机关在全国企业信用信息公示系统中列入严重违法失信企业名单或被黄埔区、广州开发区公安、城管、住建、交通、水务、规自等部门列入黑名单、不良行为记录（处罚有效期内）的单位或个体经营者运输的，经甲方核实，甲方有权终止合同。</w:t>
      </w:r>
    </w:p>
    <w:p w14:paraId="0799DEC7">
      <w:pPr>
        <w:pStyle w:val="33"/>
        <w:spacing w:line="500" w:lineRule="exact"/>
        <w:ind w:firstLine="560" w:firstLineChars="200"/>
        <w:jc w:val="both"/>
        <w:rPr>
          <w:rFonts w:ascii="仿宋" w:hAnsi="仿宋" w:eastAsia="仿宋"/>
          <w:highlight w:val="none"/>
        </w:rPr>
      </w:pPr>
      <w:r>
        <w:rPr>
          <w:rFonts w:hint="eastAsia" w:ascii="仿宋" w:hAnsi="仿宋" w:eastAsia="仿宋"/>
          <w:sz w:val="28"/>
          <w:szCs w:val="28"/>
          <w:highlight w:val="none"/>
          <w:u w:val="single"/>
        </w:rPr>
        <w:t>4、</w:t>
      </w:r>
      <w:r>
        <w:rPr>
          <w:rFonts w:ascii="仿宋" w:hAnsi="仿宋" w:eastAsia="仿宋"/>
          <w:sz w:val="28"/>
          <w:szCs w:val="28"/>
          <w:highlight w:val="none"/>
          <w:u w:val="single"/>
        </w:rPr>
        <w:t>如本合同需缴纳合同印花税，乙方需在有关税务部门规定期限及结清本合同费用前，代缴按规定属甲方缴纳的部分，代缴后甲方按代缴金额实报实销。乙方未按规定期限代缴印花税的，因此产生的滞纳金由乙方承担。</w:t>
      </w:r>
    </w:p>
    <w:p w14:paraId="1E716C22">
      <w:pPr>
        <w:spacing w:line="520" w:lineRule="exact"/>
        <w:ind w:firstLine="560" w:firstLineChars="200"/>
        <w:rPr>
          <w:rFonts w:ascii="仿宋" w:hAnsi="仿宋" w:eastAsia="仿宋"/>
          <w:sz w:val="28"/>
          <w:szCs w:val="28"/>
          <w:highlight w:val="none"/>
          <w:u w:val="single"/>
        </w:rPr>
      </w:pPr>
      <w:r>
        <w:rPr>
          <w:rFonts w:hint="eastAsia" w:ascii="仿宋" w:hAnsi="仿宋" w:eastAsia="仿宋"/>
          <w:sz w:val="28"/>
          <w:szCs w:val="28"/>
          <w:highlight w:val="none"/>
          <w:u w:val="single"/>
        </w:rPr>
        <w:t>5、如乙方为联合体的，本合同协议书由联合体共同签订，由联合体主办方负责开具合同价款全额发票、收取合同款项，联合体主办方收取合同款项后由联合体各方自行分配相应款项，具体分配事宜与甲方无关。</w:t>
      </w:r>
    </w:p>
    <w:p w14:paraId="13355756">
      <w:pPr>
        <w:spacing w:line="50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u w:val="single"/>
        </w:rPr>
        <w:t xml:space="preserve">6、如有未尽事宜，双方另行协商，达成补充协议 </w:t>
      </w:r>
      <w:r>
        <w:rPr>
          <w:rFonts w:hint="eastAsia" w:ascii="仿宋" w:hAnsi="仿宋" w:eastAsia="仿宋"/>
          <w:sz w:val="28"/>
          <w:szCs w:val="28"/>
          <w:highlight w:val="none"/>
        </w:rPr>
        <w:t>。</w:t>
      </w:r>
    </w:p>
    <w:p w14:paraId="0815312A">
      <w:pPr>
        <w:spacing w:line="500" w:lineRule="exact"/>
        <w:ind w:firstLine="562" w:firstLineChars="200"/>
        <w:rPr>
          <w:rFonts w:ascii="仿宋" w:hAnsi="仿宋" w:eastAsia="仿宋"/>
          <w:highlight w:val="none"/>
        </w:rPr>
      </w:pPr>
      <w:r>
        <w:rPr>
          <w:rFonts w:hint="eastAsia" w:ascii="仿宋" w:hAnsi="仿宋" w:eastAsia="仿宋"/>
          <w:b/>
          <w:sz w:val="28"/>
          <w:szCs w:val="28"/>
          <w:highlight w:val="none"/>
        </w:rPr>
        <w:t>十二</w:t>
      </w:r>
      <w:r>
        <w:rPr>
          <w:rFonts w:hint="eastAsia" w:ascii="仿宋" w:hAnsi="仿宋" w:eastAsia="仿宋"/>
          <w:sz w:val="28"/>
          <w:szCs w:val="28"/>
          <w:highlight w:val="none"/>
        </w:rPr>
        <w:t>、双方因履行本合同而发生的争议，应协商解决。协商不成的，向广州市黄埔区人民法院起诉。</w:t>
      </w:r>
    </w:p>
    <w:p w14:paraId="2924E3E9">
      <w:pPr>
        <w:spacing w:line="500" w:lineRule="exact"/>
        <w:ind w:firstLine="562" w:firstLineChars="200"/>
        <w:rPr>
          <w:rFonts w:ascii="仿宋" w:hAnsi="仿宋" w:eastAsia="仿宋"/>
          <w:sz w:val="28"/>
          <w:szCs w:val="28"/>
          <w:highlight w:val="none"/>
        </w:rPr>
      </w:pPr>
      <w:r>
        <w:rPr>
          <w:rFonts w:hint="eastAsia" w:ascii="仿宋" w:hAnsi="仿宋" w:eastAsia="仿宋"/>
          <w:b/>
          <w:sz w:val="28"/>
          <w:szCs w:val="28"/>
          <w:highlight w:val="none"/>
        </w:rPr>
        <w:t>十三、</w:t>
      </w:r>
      <w:r>
        <w:rPr>
          <w:rFonts w:hint="eastAsia" w:ascii="仿宋" w:hAnsi="仿宋" w:eastAsia="仿宋"/>
          <w:sz w:val="28"/>
          <w:szCs w:val="28"/>
          <w:highlight w:val="none"/>
        </w:rPr>
        <w:t>本合同经甲、乙双方签字盖章后生效。本合同正本一式  份，甲、乙双方各执一份，副本  份，甲方执四份，乙方执  份,均具有同等法律效力，当正本与副本不一致的，以正本为准。</w:t>
      </w:r>
    </w:p>
    <w:p w14:paraId="26EF402B">
      <w:pPr>
        <w:pStyle w:val="2"/>
        <w:spacing w:line="500" w:lineRule="exact"/>
        <w:ind w:firstLine="560" w:firstLineChars="200"/>
        <w:jc w:val="left"/>
        <w:rPr>
          <w:rFonts w:ascii="仿宋" w:hAnsi="仿宋" w:eastAsia="仿宋"/>
          <w:sz w:val="28"/>
          <w:szCs w:val="28"/>
          <w:highlight w:val="none"/>
        </w:rPr>
      </w:pPr>
    </w:p>
    <w:p w14:paraId="4D65E05E">
      <w:pPr>
        <w:rPr>
          <w:rFonts w:ascii="仿宋" w:hAnsi="仿宋" w:eastAsia="仿宋"/>
          <w:sz w:val="28"/>
          <w:szCs w:val="28"/>
          <w:highlight w:val="none"/>
        </w:rPr>
      </w:pPr>
      <w:r>
        <w:rPr>
          <w:rFonts w:ascii="仿宋" w:hAnsi="仿宋" w:eastAsia="仿宋"/>
          <w:sz w:val="28"/>
          <w:szCs w:val="28"/>
          <w:highlight w:val="none"/>
        </w:rPr>
        <w:br w:type="page"/>
      </w:r>
    </w:p>
    <w:p w14:paraId="3951406A">
      <w:pPr>
        <w:pStyle w:val="2"/>
        <w:spacing w:line="500" w:lineRule="exact"/>
        <w:ind w:firstLine="560" w:firstLineChars="200"/>
        <w:jc w:val="left"/>
        <w:rPr>
          <w:rFonts w:ascii="仿宋" w:hAnsi="仿宋" w:eastAsia="仿宋"/>
          <w:sz w:val="28"/>
          <w:szCs w:val="28"/>
          <w:highlight w:val="none"/>
        </w:rPr>
      </w:pPr>
    </w:p>
    <w:tbl>
      <w:tblPr>
        <w:tblStyle w:val="27"/>
        <w:tblW w:w="8755" w:type="dxa"/>
        <w:tblInd w:w="0" w:type="dxa"/>
        <w:tblLayout w:type="fixed"/>
        <w:tblCellMar>
          <w:top w:w="0" w:type="dxa"/>
          <w:left w:w="108" w:type="dxa"/>
          <w:bottom w:w="0" w:type="dxa"/>
          <w:right w:w="108" w:type="dxa"/>
        </w:tblCellMar>
      </w:tblPr>
      <w:tblGrid>
        <w:gridCol w:w="1571"/>
        <w:gridCol w:w="2693"/>
        <w:gridCol w:w="1656"/>
        <w:gridCol w:w="2835"/>
      </w:tblGrid>
      <w:tr w14:paraId="5BD5FD9C">
        <w:tblPrEx>
          <w:tblCellMar>
            <w:top w:w="0" w:type="dxa"/>
            <w:left w:w="108" w:type="dxa"/>
            <w:bottom w:w="0" w:type="dxa"/>
            <w:right w:w="108" w:type="dxa"/>
          </w:tblCellMar>
        </w:tblPrEx>
        <w:trPr>
          <w:trHeight w:val="733" w:hRule="atLeast"/>
        </w:trPr>
        <w:tc>
          <w:tcPr>
            <w:tcW w:w="1571" w:type="dxa"/>
            <w:vAlign w:val="center"/>
          </w:tcPr>
          <w:p w14:paraId="53EAC438">
            <w:pPr>
              <w:widowControl/>
              <w:topLinePunct/>
              <w:adjustRightInd w:val="0"/>
              <w:snapToGrid w:val="0"/>
              <w:rPr>
                <w:rFonts w:ascii="仿宋" w:hAnsi="仿宋" w:eastAsia="仿宋"/>
                <w:b/>
                <w:sz w:val="24"/>
                <w:highlight w:val="none"/>
              </w:rPr>
            </w:pPr>
            <w:r>
              <w:rPr>
                <w:rFonts w:hint="eastAsia" w:ascii="仿宋" w:hAnsi="仿宋" w:eastAsia="仿宋"/>
                <w:b/>
                <w:sz w:val="24"/>
                <w:highlight w:val="none"/>
              </w:rPr>
              <w:t>甲      方：</w:t>
            </w:r>
          </w:p>
        </w:tc>
        <w:tc>
          <w:tcPr>
            <w:tcW w:w="2693" w:type="dxa"/>
            <w:vAlign w:val="center"/>
          </w:tcPr>
          <w:p w14:paraId="35381189">
            <w:pPr>
              <w:widowControl/>
              <w:topLinePunct/>
              <w:adjustRightInd w:val="0"/>
              <w:snapToGrid w:val="0"/>
              <w:spacing w:line="300" w:lineRule="exact"/>
              <w:rPr>
                <w:rFonts w:ascii="仿宋" w:hAnsi="仿宋" w:eastAsia="仿宋"/>
                <w:sz w:val="24"/>
                <w:highlight w:val="none"/>
              </w:rPr>
            </w:pPr>
            <w:r>
              <w:rPr>
                <w:rFonts w:hint="eastAsia" w:ascii="仿宋" w:hAnsi="仿宋" w:eastAsia="仿宋"/>
                <w:sz w:val="24"/>
                <w:highlight w:val="none"/>
              </w:rPr>
              <w:t>广州开发区财政投资建设项目管理中心</w:t>
            </w:r>
          </w:p>
        </w:tc>
        <w:tc>
          <w:tcPr>
            <w:tcW w:w="1656" w:type="dxa"/>
            <w:vAlign w:val="center"/>
          </w:tcPr>
          <w:p w14:paraId="0EA81719">
            <w:pPr>
              <w:widowControl/>
              <w:topLinePunct/>
              <w:adjustRightInd w:val="0"/>
              <w:snapToGrid w:val="0"/>
              <w:rPr>
                <w:rFonts w:ascii="仿宋" w:hAnsi="仿宋" w:eastAsia="仿宋"/>
                <w:b/>
                <w:sz w:val="24"/>
                <w:highlight w:val="none"/>
              </w:rPr>
            </w:pPr>
            <w:r>
              <w:rPr>
                <w:rFonts w:hint="eastAsia" w:ascii="仿宋" w:hAnsi="仿宋" w:eastAsia="仿宋"/>
                <w:b/>
                <w:sz w:val="24"/>
                <w:highlight w:val="none"/>
              </w:rPr>
              <w:t>乙      方：</w:t>
            </w:r>
          </w:p>
        </w:tc>
        <w:tc>
          <w:tcPr>
            <w:tcW w:w="2835" w:type="dxa"/>
            <w:vAlign w:val="center"/>
          </w:tcPr>
          <w:p w14:paraId="32E11EB5">
            <w:pPr>
              <w:widowControl/>
              <w:topLinePunct/>
              <w:adjustRightInd w:val="0"/>
              <w:snapToGrid w:val="0"/>
              <w:spacing w:line="300" w:lineRule="exact"/>
              <w:rPr>
                <w:rFonts w:ascii="仿宋" w:hAnsi="仿宋" w:eastAsia="仿宋"/>
                <w:szCs w:val="21"/>
                <w:highlight w:val="none"/>
              </w:rPr>
            </w:pPr>
          </w:p>
        </w:tc>
      </w:tr>
      <w:tr w14:paraId="3D9973D1">
        <w:tblPrEx>
          <w:tblCellMar>
            <w:top w:w="0" w:type="dxa"/>
            <w:left w:w="108" w:type="dxa"/>
            <w:bottom w:w="0" w:type="dxa"/>
            <w:right w:w="108" w:type="dxa"/>
          </w:tblCellMar>
        </w:tblPrEx>
        <w:trPr>
          <w:trHeight w:val="796" w:hRule="atLeast"/>
        </w:trPr>
        <w:tc>
          <w:tcPr>
            <w:tcW w:w="1571" w:type="dxa"/>
            <w:vAlign w:val="center"/>
          </w:tcPr>
          <w:p w14:paraId="1E000295">
            <w:pPr>
              <w:widowControl/>
              <w:topLinePunct/>
              <w:adjustRightInd w:val="0"/>
              <w:snapToGrid w:val="0"/>
              <w:rPr>
                <w:rFonts w:ascii="仿宋" w:hAnsi="仿宋" w:eastAsia="仿宋"/>
                <w:b/>
                <w:sz w:val="24"/>
                <w:highlight w:val="none"/>
              </w:rPr>
            </w:pPr>
            <w:r>
              <w:rPr>
                <w:rFonts w:hint="eastAsia" w:ascii="仿宋" w:hAnsi="仿宋" w:eastAsia="仿宋"/>
                <w:b/>
                <w:sz w:val="24"/>
                <w:highlight w:val="none"/>
              </w:rPr>
              <w:t>住      所：</w:t>
            </w:r>
          </w:p>
        </w:tc>
        <w:tc>
          <w:tcPr>
            <w:tcW w:w="2693" w:type="dxa"/>
            <w:vAlign w:val="center"/>
          </w:tcPr>
          <w:p w14:paraId="243335F7">
            <w:pPr>
              <w:widowControl/>
              <w:topLinePunct/>
              <w:adjustRightInd w:val="0"/>
              <w:snapToGrid w:val="0"/>
              <w:spacing w:line="300" w:lineRule="exact"/>
              <w:rPr>
                <w:rFonts w:ascii="仿宋" w:hAnsi="仿宋" w:eastAsia="仿宋"/>
                <w:sz w:val="24"/>
                <w:highlight w:val="none"/>
              </w:rPr>
            </w:pPr>
          </w:p>
        </w:tc>
        <w:tc>
          <w:tcPr>
            <w:tcW w:w="1656" w:type="dxa"/>
            <w:vAlign w:val="center"/>
          </w:tcPr>
          <w:p w14:paraId="750E7CEB">
            <w:pPr>
              <w:widowControl/>
              <w:topLinePunct/>
              <w:adjustRightInd w:val="0"/>
              <w:snapToGrid w:val="0"/>
              <w:rPr>
                <w:rFonts w:ascii="仿宋" w:hAnsi="仿宋" w:eastAsia="仿宋"/>
                <w:b/>
                <w:sz w:val="24"/>
                <w:highlight w:val="none"/>
              </w:rPr>
            </w:pPr>
            <w:r>
              <w:rPr>
                <w:rFonts w:hint="eastAsia" w:ascii="仿宋" w:hAnsi="仿宋" w:eastAsia="仿宋"/>
                <w:b/>
                <w:sz w:val="24"/>
                <w:highlight w:val="none"/>
              </w:rPr>
              <w:t>住      所：</w:t>
            </w:r>
          </w:p>
        </w:tc>
        <w:tc>
          <w:tcPr>
            <w:tcW w:w="2835" w:type="dxa"/>
            <w:vAlign w:val="center"/>
          </w:tcPr>
          <w:p w14:paraId="576F2A49">
            <w:pPr>
              <w:widowControl/>
              <w:topLinePunct/>
              <w:adjustRightInd w:val="0"/>
              <w:snapToGrid w:val="0"/>
              <w:spacing w:line="300" w:lineRule="exact"/>
              <w:rPr>
                <w:rFonts w:ascii="仿宋" w:hAnsi="仿宋" w:eastAsia="仿宋"/>
                <w:sz w:val="24"/>
                <w:highlight w:val="none"/>
              </w:rPr>
            </w:pPr>
          </w:p>
        </w:tc>
      </w:tr>
      <w:tr w14:paraId="651784DB">
        <w:tblPrEx>
          <w:tblCellMar>
            <w:top w:w="0" w:type="dxa"/>
            <w:left w:w="108" w:type="dxa"/>
            <w:bottom w:w="0" w:type="dxa"/>
            <w:right w:w="108" w:type="dxa"/>
          </w:tblCellMar>
        </w:tblPrEx>
        <w:trPr>
          <w:trHeight w:val="901" w:hRule="atLeast"/>
        </w:trPr>
        <w:tc>
          <w:tcPr>
            <w:tcW w:w="1571" w:type="dxa"/>
            <w:vAlign w:val="center"/>
          </w:tcPr>
          <w:p w14:paraId="771C1081">
            <w:pPr>
              <w:widowControl/>
              <w:topLinePunct/>
              <w:adjustRightInd w:val="0"/>
              <w:snapToGrid w:val="0"/>
              <w:rPr>
                <w:rFonts w:ascii="仿宋" w:hAnsi="仿宋" w:eastAsia="仿宋"/>
                <w:b/>
                <w:sz w:val="24"/>
                <w:highlight w:val="none"/>
              </w:rPr>
            </w:pPr>
            <w:r>
              <w:rPr>
                <w:rFonts w:hint="eastAsia" w:ascii="仿宋" w:hAnsi="仿宋" w:eastAsia="仿宋"/>
                <w:b/>
                <w:sz w:val="24"/>
                <w:highlight w:val="none"/>
              </w:rPr>
              <w:t>法定代表人：</w:t>
            </w:r>
          </w:p>
        </w:tc>
        <w:tc>
          <w:tcPr>
            <w:tcW w:w="2693" w:type="dxa"/>
            <w:vAlign w:val="center"/>
          </w:tcPr>
          <w:p w14:paraId="053F8868">
            <w:pPr>
              <w:widowControl/>
              <w:topLinePunct/>
              <w:adjustRightInd w:val="0"/>
              <w:snapToGrid w:val="0"/>
              <w:spacing w:line="300" w:lineRule="exact"/>
              <w:ind w:firstLine="480"/>
              <w:rPr>
                <w:rFonts w:ascii="仿宋" w:hAnsi="仿宋" w:eastAsia="仿宋"/>
                <w:sz w:val="24"/>
                <w:highlight w:val="none"/>
              </w:rPr>
            </w:pPr>
          </w:p>
        </w:tc>
        <w:tc>
          <w:tcPr>
            <w:tcW w:w="1656" w:type="dxa"/>
            <w:vAlign w:val="center"/>
          </w:tcPr>
          <w:p w14:paraId="432AABEA">
            <w:pPr>
              <w:widowControl/>
              <w:topLinePunct/>
              <w:adjustRightInd w:val="0"/>
              <w:snapToGrid w:val="0"/>
              <w:rPr>
                <w:rFonts w:ascii="仿宋" w:hAnsi="仿宋" w:eastAsia="仿宋"/>
                <w:b/>
                <w:sz w:val="24"/>
                <w:highlight w:val="none"/>
              </w:rPr>
            </w:pPr>
            <w:r>
              <w:rPr>
                <w:rFonts w:hint="eastAsia" w:ascii="仿宋" w:hAnsi="仿宋" w:eastAsia="仿宋"/>
                <w:b/>
                <w:sz w:val="24"/>
                <w:highlight w:val="none"/>
              </w:rPr>
              <w:t>法定代表人：</w:t>
            </w:r>
          </w:p>
        </w:tc>
        <w:tc>
          <w:tcPr>
            <w:tcW w:w="2835" w:type="dxa"/>
            <w:vAlign w:val="center"/>
          </w:tcPr>
          <w:p w14:paraId="20A8F08A">
            <w:pPr>
              <w:widowControl/>
              <w:topLinePunct/>
              <w:adjustRightInd w:val="0"/>
              <w:snapToGrid w:val="0"/>
              <w:spacing w:line="300" w:lineRule="exact"/>
              <w:ind w:firstLine="480"/>
              <w:rPr>
                <w:rFonts w:ascii="仿宋" w:hAnsi="仿宋" w:eastAsia="仿宋"/>
                <w:sz w:val="24"/>
                <w:highlight w:val="none"/>
              </w:rPr>
            </w:pPr>
          </w:p>
        </w:tc>
      </w:tr>
      <w:tr w14:paraId="1B26193E">
        <w:tblPrEx>
          <w:tblCellMar>
            <w:top w:w="0" w:type="dxa"/>
            <w:left w:w="108" w:type="dxa"/>
            <w:bottom w:w="0" w:type="dxa"/>
            <w:right w:w="108" w:type="dxa"/>
          </w:tblCellMar>
        </w:tblPrEx>
        <w:trPr>
          <w:trHeight w:val="810" w:hRule="atLeast"/>
        </w:trPr>
        <w:tc>
          <w:tcPr>
            <w:tcW w:w="1571" w:type="dxa"/>
            <w:vAlign w:val="center"/>
          </w:tcPr>
          <w:p w14:paraId="6F55636D">
            <w:pPr>
              <w:widowControl/>
              <w:topLinePunct/>
              <w:adjustRightInd w:val="0"/>
              <w:snapToGrid w:val="0"/>
              <w:rPr>
                <w:rFonts w:ascii="仿宋" w:hAnsi="仿宋" w:eastAsia="仿宋"/>
                <w:b/>
                <w:sz w:val="24"/>
                <w:highlight w:val="none"/>
              </w:rPr>
            </w:pPr>
            <w:r>
              <w:rPr>
                <w:rFonts w:hint="eastAsia" w:ascii="仿宋" w:hAnsi="仿宋" w:eastAsia="仿宋"/>
                <w:b/>
                <w:sz w:val="24"/>
                <w:highlight w:val="none"/>
              </w:rPr>
              <w:t>委托代理人：</w:t>
            </w:r>
          </w:p>
        </w:tc>
        <w:tc>
          <w:tcPr>
            <w:tcW w:w="2693" w:type="dxa"/>
            <w:vAlign w:val="center"/>
          </w:tcPr>
          <w:p w14:paraId="42454079">
            <w:pPr>
              <w:widowControl/>
              <w:topLinePunct/>
              <w:adjustRightInd w:val="0"/>
              <w:snapToGrid w:val="0"/>
              <w:spacing w:line="300" w:lineRule="exact"/>
              <w:ind w:firstLine="480"/>
              <w:rPr>
                <w:rFonts w:ascii="仿宋" w:hAnsi="仿宋" w:eastAsia="仿宋"/>
                <w:sz w:val="24"/>
                <w:highlight w:val="none"/>
              </w:rPr>
            </w:pPr>
          </w:p>
        </w:tc>
        <w:tc>
          <w:tcPr>
            <w:tcW w:w="1656" w:type="dxa"/>
            <w:vAlign w:val="center"/>
          </w:tcPr>
          <w:p w14:paraId="0B168A2E">
            <w:pPr>
              <w:widowControl/>
              <w:topLinePunct/>
              <w:adjustRightInd w:val="0"/>
              <w:snapToGrid w:val="0"/>
              <w:rPr>
                <w:rFonts w:ascii="仿宋" w:hAnsi="仿宋" w:eastAsia="仿宋"/>
                <w:b/>
                <w:sz w:val="24"/>
                <w:highlight w:val="none"/>
              </w:rPr>
            </w:pPr>
            <w:r>
              <w:rPr>
                <w:rFonts w:hint="eastAsia" w:ascii="仿宋" w:hAnsi="仿宋" w:eastAsia="仿宋"/>
                <w:b/>
                <w:sz w:val="24"/>
                <w:highlight w:val="none"/>
              </w:rPr>
              <w:t>委托代理人：</w:t>
            </w:r>
          </w:p>
        </w:tc>
        <w:tc>
          <w:tcPr>
            <w:tcW w:w="2835" w:type="dxa"/>
            <w:vAlign w:val="center"/>
          </w:tcPr>
          <w:p w14:paraId="0A104109">
            <w:pPr>
              <w:widowControl/>
              <w:topLinePunct/>
              <w:adjustRightInd w:val="0"/>
              <w:snapToGrid w:val="0"/>
              <w:spacing w:line="300" w:lineRule="exact"/>
              <w:ind w:firstLine="480"/>
              <w:rPr>
                <w:rFonts w:ascii="仿宋" w:hAnsi="仿宋" w:eastAsia="仿宋"/>
                <w:sz w:val="24"/>
                <w:highlight w:val="none"/>
              </w:rPr>
            </w:pPr>
          </w:p>
        </w:tc>
      </w:tr>
      <w:tr w14:paraId="039E8385">
        <w:tblPrEx>
          <w:tblCellMar>
            <w:top w:w="0" w:type="dxa"/>
            <w:left w:w="108" w:type="dxa"/>
            <w:bottom w:w="0" w:type="dxa"/>
            <w:right w:w="108" w:type="dxa"/>
          </w:tblCellMar>
        </w:tblPrEx>
        <w:trPr>
          <w:trHeight w:val="450" w:hRule="atLeast"/>
        </w:trPr>
        <w:tc>
          <w:tcPr>
            <w:tcW w:w="1571" w:type="dxa"/>
            <w:vAlign w:val="center"/>
          </w:tcPr>
          <w:p w14:paraId="6C4DCD2B">
            <w:pPr>
              <w:widowControl/>
              <w:topLinePunct/>
              <w:adjustRightInd w:val="0"/>
              <w:snapToGrid w:val="0"/>
              <w:rPr>
                <w:rFonts w:ascii="仿宋" w:hAnsi="仿宋" w:eastAsia="仿宋"/>
                <w:b/>
                <w:sz w:val="24"/>
                <w:highlight w:val="none"/>
              </w:rPr>
            </w:pPr>
            <w:r>
              <w:rPr>
                <w:rFonts w:hint="eastAsia" w:ascii="仿宋" w:hAnsi="仿宋" w:eastAsia="仿宋"/>
                <w:b/>
                <w:sz w:val="24"/>
                <w:highlight w:val="none"/>
              </w:rPr>
              <w:t>电      话：</w:t>
            </w:r>
          </w:p>
        </w:tc>
        <w:tc>
          <w:tcPr>
            <w:tcW w:w="2693" w:type="dxa"/>
            <w:vAlign w:val="center"/>
          </w:tcPr>
          <w:p w14:paraId="3DB65B9B">
            <w:pPr>
              <w:widowControl/>
              <w:topLinePunct/>
              <w:adjustRightInd w:val="0"/>
              <w:snapToGrid w:val="0"/>
              <w:spacing w:line="300" w:lineRule="exact"/>
              <w:ind w:firstLine="480"/>
              <w:rPr>
                <w:rFonts w:ascii="仿宋" w:hAnsi="仿宋" w:eastAsia="仿宋"/>
                <w:sz w:val="24"/>
                <w:highlight w:val="none"/>
              </w:rPr>
            </w:pPr>
          </w:p>
        </w:tc>
        <w:tc>
          <w:tcPr>
            <w:tcW w:w="1656" w:type="dxa"/>
            <w:vAlign w:val="center"/>
          </w:tcPr>
          <w:p w14:paraId="68E7B35E">
            <w:pPr>
              <w:widowControl/>
              <w:topLinePunct/>
              <w:adjustRightInd w:val="0"/>
              <w:snapToGrid w:val="0"/>
              <w:rPr>
                <w:rFonts w:ascii="仿宋" w:hAnsi="仿宋" w:eastAsia="仿宋"/>
                <w:b/>
                <w:sz w:val="24"/>
                <w:highlight w:val="none"/>
              </w:rPr>
            </w:pPr>
            <w:r>
              <w:rPr>
                <w:rFonts w:hint="eastAsia" w:ascii="仿宋" w:hAnsi="仿宋" w:eastAsia="仿宋"/>
                <w:b/>
                <w:sz w:val="24"/>
                <w:highlight w:val="none"/>
              </w:rPr>
              <w:t>电      话：</w:t>
            </w:r>
          </w:p>
        </w:tc>
        <w:tc>
          <w:tcPr>
            <w:tcW w:w="2835" w:type="dxa"/>
            <w:vAlign w:val="center"/>
          </w:tcPr>
          <w:p w14:paraId="3C910FEF">
            <w:pPr>
              <w:rPr>
                <w:rFonts w:ascii="仿宋" w:hAnsi="仿宋" w:eastAsia="仿宋"/>
                <w:sz w:val="24"/>
                <w:highlight w:val="none"/>
              </w:rPr>
            </w:pPr>
          </w:p>
        </w:tc>
      </w:tr>
      <w:tr w14:paraId="608F31CD">
        <w:tblPrEx>
          <w:tblCellMar>
            <w:top w:w="0" w:type="dxa"/>
            <w:left w:w="108" w:type="dxa"/>
            <w:bottom w:w="0" w:type="dxa"/>
            <w:right w:w="108" w:type="dxa"/>
          </w:tblCellMar>
        </w:tblPrEx>
        <w:trPr>
          <w:trHeight w:val="330" w:hRule="atLeast"/>
        </w:trPr>
        <w:tc>
          <w:tcPr>
            <w:tcW w:w="1571" w:type="dxa"/>
            <w:vAlign w:val="center"/>
          </w:tcPr>
          <w:p w14:paraId="7579639B">
            <w:pPr>
              <w:widowControl/>
              <w:topLinePunct/>
              <w:adjustRightInd w:val="0"/>
              <w:snapToGrid w:val="0"/>
              <w:rPr>
                <w:rFonts w:ascii="仿宋" w:hAnsi="仿宋" w:eastAsia="仿宋"/>
                <w:b/>
                <w:sz w:val="24"/>
                <w:highlight w:val="none"/>
              </w:rPr>
            </w:pPr>
            <w:r>
              <w:rPr>
                <w:rFonts w:hint="eastAsia" w:ascii="仿宋" w:hAnsi="仿宋" w:eastAsia="仿宋"/>
                <w:b/>
                <w:sz w:val="24"/>
                <w:highlight w:val="none"/>
              </w:rPr>
              <w:t>传      真：</w:t>
            </w:r>
          </w:p>
        </w:tc>
        <w:tc>
          <w:tcPr>
            <w:tcW w:w="2693" w:type="dxa"/>
            <w:vAlign w:val="center"/>
          </w:tcPr>
          <w:p w14:paraId="45D235E3">
            <w:pPr>
              <w:widowControl/>
              <w:topLinePunct/>
              <w:adjustRightInd w:val="0"/>
              <w:snapToGrid w:val="0"/>
              <w:spacing w:line="300" w:lineRule="exact"/>
              <w:rPr>
                <w:rFonts w:ascii="仿宋" w:hAnsi="仿宋" w:eastAsia="仿宋"/>
                <w:sz w:val="24"/>
                <w:highlight w:val="none"/>
              </w:rPr>
            </w:pPr>
          </w:p>
        </w:tc>
        <w:tc>
          <w:tcPr>
            <w:tcW w:w="1656" w:type="dxa"/>
            <w:vAlign w:val="center"/>
          </w:tcPr>
          <w:p w14:paraId="016D2E87">
            <w:pPr>
              <w:widowControl/>
              <w:topLinePunct/>
              <w:adjustRightInd w:val="0"/>
              <w:snapToGrid w:val="0"/>
              <w:rPr>
                <w:rFonts w:ascii="仿宋" w:hAnsi="仿宋" w:eastAsia="仿宋"/>
                <w:b/>
                <w:sz w:val="24"/>
                <w:highlight w:val="none"/>
              </w:rPr>
            </w:pPr>
            <w:r>
              <w:rPr>
                <w:rFonts w:hint="eastAsia" w:ascii="仿宋" w:hAnsi="仿宋" w:eastAsia="仿宋"/>
                <w:b/>
                <w:sz w:val="24"/>
                <w:highlight w:val="none"/>
              </w:rPr>
              <w:t>传      真：</w:t>
            </w:r>
          </w:p>
        </w:tc>
        <w:tc>
          <w:tcPr>
            <w:tcW w:w="2835" w:type="dxa"/>
            <w:vAlign w:val="center"/>
          </w:tcPr>
          <w:p w14:paraId="1E1A16F6">
            <w:pPr>
              <w:widowControl/>
              <w:topLinePunct/>
              <w:adjustRightInd w:val="0"/>
              <w:snapToGrid w:val="0"/>
              <w:spacing w:line="300" w:lineRule="exact"/>
              <w:rPr>
                <w:rFonts w:ascii="仿宋" w:hAnsi="仿宋" w:eastAsia="仿宋"/>
                <w:sz w:val="24"/>
                <w:highlight w:val="none"/>
              </w:rPr>
            </w:pPr>
          </w:p>
        </w:tc>
      </w:tr>
      <w:tr w14:paraId="5AA747F0">
        <w:tblPrEx>
          <w:tblCellMar>
            <w:top w:w="0" w:type="dxa"/>
            <w:left w:w="108" w:type="dxa"/>
            <w:bottom w:w="0" w:type="dxa"/>
            <w:right w:w="108" w:type="dxa"/>
          </w:tblCellMar>
        </w:tblPrEx>
        <w:trPr>
          <w:trHeight w:val="211" w:hRule="atLeast"/>
        </w:trPr>
        <w:tc>
          <w:tcPr>
            <w:tcW w:w="1571" w:type="dxa"/>
            <w:vAlign w:val="center"/>
          </w:tcPr>
          <w:p w14:paraId="5B217E5C">
            <w:pPr>
              <w:widowControl/>
              <w:topLinePunct/>
              <w:adjustRightInd w:val="0"/>
              <w:snapToGrid w:val="0"/>
              <w:rPr>
                <w:rFonts w:ascii="仿宋" w:hAnsi="仿宋" w:eastAsia="仿宋"/>
                <w:b/>
                <w:sz w:val="24"/>
                <w:highlight w:val="none"/>
              </w:rPr>
            </w:pPr>
            <w:r>
              <w:rPr>
                <w:rFonts w:hint="eastAsia" w:ascii="仿宋" w:hAnsi="仿宋" w:eastAsia="仿宋"/>
                <w:b/>
                <w:sz w:val="24"/>
                <w:highlight w:val="none"/>
              </w:rPr>
              <w:t>开户 银 行：</w:t>
            </w:r>
          </w:p>
        </w:tc>
        <w:tc>
          <w:tcPr>
            <w:tcW w:w="2693" w:type="dxa"/>
            <w:vAlign w:val="center"/>
          </w:tcPr>
          <w:p w14:paraId="7629BAAB">
            <w:pPr>
              <w:widowControl/>
              <w:topLinePunct/>
              <w:adjustRightInd w:val="0"/>
              <w:snapToGrid w:val="0"/>
              <w:spacing w:line="300" w:lineRule="exact"/>
              <w:ind w:firstLine="480"/>
              <w:rPr>
                <w:rFonts w:ascii="仿宋" w:hAnsi="仿宋" w:eastAsia="仿宋"/>
                <w:sz w:val="24"/>
                <w:highlight w:val="none"/>
              </w:rPr>
            </w:pPr>
          </w:p>
        </w:tc>
        <w:tc>
          <w:tcPr>
            <w:tcW w:w="1656" w:type="dxa"/>
            <w:vAlign w:val="center"/>
          </w:tcPr>
          <w:p w14:paraId="7ED155F5">
            <w:pPr>
              <w:widowControl/>
              <w:topLinePunct/>
              <w:adjustRightInd w:val="0"/>
              <w:snapToGrid w:val="0"/>
              <w:rPr>
                <w:rFonts w:ascii="仿宋" w:hAnsi="仿宋" w:eastAsia="仿宋"/>
                <w:b/>
                <w:sz w:val="24"/>
                <w:highlight w:val="none"/>
              </w:rPr>
            </w:pPr>
            <w:r>
              <w:rPr>
                <w:rFonts w:hint="eastAsia" w:ascii="仿宋" w:hAnsi="仿宋" w:eastAsia="仿宋"/>
                <w:b/>
                <w:sz w:val="24"/>
                <w:highlight w:val="none"/>
              </w:rPr>
              <w:t>开户 银 行：</w:t>
            </w:r>
          </w:p>
        </w:tc>
        <w:tc>
          <w:tcPr>
            <w:tcW w:w="2835" w:type="dxa"/>
            <w:vAlign w:val="center"/>
          </w:tcPr>
          <w:p w14:paraId="559FF2A5">
            <w:pPr>
              <w:widowControl/>
              <w:topLinePunct/>
              <w:adjustRightInd w:val="0"/>
              <w:snapToGrid w:val="0"/>
              <w:spacing w:line="300" w:lineRule="exact"/>
              <w:rPr>
                <w:rFonts w:ascii="仿宋" w:hAnsi="仿宋" w:eastAsia="仿宋"/>
                <w:sz w:val="24"/>
                <w:highlight w:val="none"/>
              </w:rPr>
            </w:pPr>
          </w:p>
        </w:tc>
      </w:tr>
      <w:tr w14:paraId="1F2AF3F0">
        <w:tblPrEx>
          <w:tblCellMar>
            <w:top w:w="0" w:type="dxa"/>
            <w:left w:w="108" w:type="dxa"/>
            <w:bottom w:w="0" w:type="dxa"/>
            <w:right w:w="108" w:type="dxa"/>
          </w:tblCellMar>
        </w:tblPrEx>
        <w:trPr>
          <w:trHeight w:val="420" w:hRule="atLeast"/>
        </w:trPr>
        <w:tc>
          <w:tcPr>
            <w:tcW w:w="1571" w:type="dxa"/>
            <w:vAlign w:val="center"/>
          </w:tcPr>
          <w:p w14:paraId="2271532B">
            <w:pPr>
              <w:widowControl/>
              <w:topLinePunct/>
              <w:adjustRightInd w:val="0"/>
              <w:snapToGrid w:val="0"/>
              <w:rPr>
                <w:rFonts w:ascii="仿宋" w:hAnsi="仿宋" w:eastAsia="仿宋"/>
                <w:b/>
                <w:sz w:val="24"/>
                <w:highlight w:val="none"/>
              </w:rPr>
            </w:pPr>
            <w:r>
              <w:rPr>
                <w:rFonts w:hint="eastAsia" w:ascii="仿宋" w:hAnsi="仿宋" w:eastAsia="仿宋"/>
                <w:b/>
                <w:sz w:val="24"/>
                <w:highlight w:val="none"/>
              </w:rPr>
              <w:t>账      号：</w:t>
            </w:r>
          </w:p>
        </w:tc>
        <w:tc>
          <w:tcPr>
            <w:tcW w:w="2693" w:type="dxa"/>
            <w:vAlign w:val="center"/>
          </w:tcPr>
          <w:p w14:paraId="35D7C310">
            <w:pPr>
              <w:widowControl/>
              <w:topLinePunct/>
              <w:adjustRightInd w:val="0"/>
              <w:snapToGrid w:val="0"/>
              <w:spacing w:line="300" w:lineRule="exact"/>
              <w:ind w:firstLine="480"/>
              <w:rPr>
                <w:rFonts w:ascii="仿宋" w:hAnsi="仿宋" w:eastAsia="仿宋"/>
                <w:sz w:val="24"/>
                <w:highlight w:val="none"/>
              </w:rPr>
            </w:pPr>
          </w:p>
        </w:tc>
        <w:tc>
          <w:tcPr>
            <w:tcW w:w="1656" w:type="dxa"/>
            <w:vAlign w:val="center"/>
          </w:tcPr>
          <w:p w14:paraId="6A355EB0">
            <w:pPr>
              <w:widowControl/>
              <w:topLinePunct/>
              <w:adjustRightInd w:val="0"/>
              <w:snapToGrid w:val="0"/>
              <w:rPr>
                <w:rFonts w:ascii="仿宋" w:hAnsi="仿宋" w:eastAsia="仿宋"/>
                <w:b/>
                <w:sz w:val="24"/>
                <w:highlight w:val="none"/>
              </w:rPr>
            </w:pPr>
            <w:r>
              <w:rPr>
                <w:rFonts w:hint="eastAsia" w:ascii="仿宋" w:hAnsi="仿宋" w:eastAsia="仿宋"/>
                <w:b/>
                <w:sz w:val="24"/>
                <w:highlight w:val="none"/>
              </w:rPr>
              <w:t>账      号：</w:t>
            </w:r>
          </w:p>
        </w:tc>
        <w:tc>
          <w:tcPr>
            <w:tcW w:w="2835" w:type="dxa"/>
            <w:vAlign w:val="center"/>
          </w:tcPr>
          <w:p w14:paraId="16DD9B91">
            <w:pPr>
              <w:widowControl/>
              <w:topLinePunct/>
              <w:adjustRightInd w:val="0"/>
              <w:snapToGrid w:val="0"/>
              <w:spacing w:line="300" w:lineRule="exact"/>
              <w:rPr>
                <w:rFonts w:ascii="仿宋" w:hAnsi="仿宋" w:eastAsia="仿宋"/>
                <w:sz w:val="24"/>
                <w:highlight w:val="none"/>
              </w:rPr>
            </w:pPr>
          </w:p>
        </w:tc>
      </w:tr>
      <w:tr w14:paraId="4315AF61">
        <w:tblPrEx>
          <w:tblCellMar>
            <w:top w:w="0" w:type="dxa"/>
            <w:left w:w="108" w:type="dxa"/>
            <w:bottom w:w="0" w:type="dxa"/>
            <w:right w:w="108" w:type="dxa"/>
          </w:tblCellMar>
        </w:tblPrEx>
        <w:trPr>
          <w:trHeight w:val="433" w:hRule="atLeast"/>
        </w:trPr>
        <w:tc>
          <w:tcPr>
            <w:tcW w:w="1571" w:type="dxa"/>
            <w:vAlign w:val="center"/>
          </w:tcPr>
          <w:p w14:paraId="6EF41E53">
            <w:pPr>
              <w:widowControl/>
              <w:topLinePunct/>
              <w:adjustRightInd w:val="0"/>
              <w:snapToGrid w:val="0"/>
              <w:rPr>
                <w:rFonts w:ascii="仿宋" w:hAnsi="仿宋" w:eastAsia="仿宋"/>
                <w:b/>
                <w:sz w:val="24"/>
                <w:highlight w:val="none"/>
              </w:rPr>
            </w:pPr>
            <w:r>
              <w:rPr>
                <w:rFonts w:hint="eastAsia" w:ascii="仿宋" w:hAnsi="仿宋" w:eastAsia="仿宋"/>
                <w:b/>
                <w:sz w:val="24"/>
                <w:highlight w:val="none"/>
              </w:rPr>
              <w:t>邮政 编 码：</w:t>
            </w:r>
          </w:p>
        </w:tc>
        <w:tc>
          <w:tcPr>
            <w:tcW w:w="2693" w:type="dxa"/>
            <w:vAlign w:val="center"/>
          </w:tcPr>
          <w:p w14:paraId="08581A43">
            <w:pPr>
              <w:widowControl/>
              <w:topLinePunct/>
              <w:adjustRightInd w:val="0"/>
              <w:snapToGrid w:val="0"/>
              <w:spacing w:line="300" w:lineRule="exact"/>
              <w:rPr>
                <w:rFonts w:ascii="仿宋" w:hAnsi="仿宋" w:eastAsia="仿宋"/>
                <w:sz w:val="24"/>
                <w:highlight w:val="none"/>
              </w:rPr>
            </w:pPr>
            <w:r>
              <w:rPr>
                <w:rFonts w:hint="eastAsia" w:ascii="仿宋" w:hAnsi="仿宋" w:eastAsia="仿宋"/>
                <w:sz w:val="24"/>
                <w:highlight w:val="none"/>
              </w:rPr>
              <w:t>510663</w:t>
            </w:r>
          </w:p>
        </w:tc>
        <w:tc>
          <w:tcPr>
            <w:tcW w:w="1656" w:type="dxa"/>
            <w:vAlign w:val="center"/>
          </w:tcPr>
          <w:p w14:paraId="09BA8B69">
            <w:pPr>
              <w:widowControl/>
              <w:topLinePunct/>
              <w:adjustRightInd w:val="0"/>
              <w:snapToGrid w:val="0"/>
              <w:rPr>
                <w:rFonts w:ascii="仿宋" w:hAnsi="仿宋" w:eastAsia="仿宋"/>
                <w:b/>
                <w:sz w:val="24"/>
                <w:highlight w:val="none"/>
              </w:rPr>
            </w:pPr>
            <w:r>
              <w:rPr>
                <w:rFonts w:hint="eastAsia" w:ascii="仿宋" w:hAnsi="仿宋" w:eastAsia="仿宋"/>
                <w:b/>
                <w:sz w:val="24"/>
                <w:highlight w:val="none"/>
              </w:rPr>
              <w:t>邮政 编 码：</w:t>
            </w:r>
          </w:p>
        </w:tc>
        <w:tc>
          <w:tcPr>
            <w:tcW w:w="2835" w:type="dxa"/>
            <w:vAlign w:val="center"/>
          </w:tcPr>
          <w:p w14:paraId="151CB987">
            <w:pPr>
              <w:rPr>
                <w:rFonts w:ascii="仿宋" w:hAnsi="仿宋" w:eastAsia="仿宋"/>
                <w:sz w:val="24"/>
                <w:highlight w:val="none"/>
              </w:rPr>
            </w:pPr>
          </w:p>
        </w:tc>
      </w:tr>
    </w:tbl>
    <w:p w14:paraId="6C89A2E3">
      <w:pPr>
        <w:adjustRightInd w:val="0"/>
        <w:snapToGrid w:val="0"/>
        <w:spacing w:line="500" w:lineRule="exact"/>
        <w:ind w:right="11"/>
        <w:rPr>
          <w:rFonts w:ascii="仿宋" w:hAnsi="仿宋" w:eastAsia="仿宋"/>
          <w:sz w:val="28"/>
          <w:szCs w:val="28"/>
          <w:highlight w:val="none"/>
        </w:rPr>
      </w:pPr>
    </w:p>
    <w:p w14:paraId="510972F9">
      <w:pPr>
        <w:adjustRightInd w:val="0"/>
        <w:snapToGrid w:val="0"/>
        <w:spacing w:line="500" w:lineRule="exact"/>
        <w:ind w:right="11"/>
        <w:rPr>
          <w:rFonts w:ascii="仿宋" w:hAnsi="仿宋" w:eastAsia="仿宋"/>
          <w:sz w:val="28"/>
          <w:szCs w:val="28"/>
          <w:highlight w:val="none"/>
        </w:rPr>
      </w:pPr>
      <w:r>
        <w:rPr>
          <w:rFonts w:hint="eastAsia" w:ascii="仿宋" w:hAnsi="仿宋" w:eastAsia="仿宋"/>
          <w:sz w:val="28"/>
          <w:szCs w:val="28"/>
          <w:highlight w:val="none"/>
        </w:rPr>
        <w:t>签约日期：    年    月   日</w:t>
      </w:r>
    </w:p>
    <w:p w14:paraId="42872925">
      <w:pPr>
        <w:adjustRightInd w:val="0"/>
        <w:snapToGrid w:val="0"/>
        <w:spacing w:line="500" w:lineRule="exact"/>
        <w:ind w:right="11"/>
        <w:rPr>
          <w:rFonts w:ascii="仿宋" w:hAnsi="仿宋" w:eastAsia="仿宋"/>
          <w:highlight w:val="none"/>
        </w:rPr>
      </w:pPr>
      <w:r>
        <w:rPr>
          <w:rFonts w:hint="eastAsia" w:ascii="仿宋" w:hAnsi="仿宋" w:eastAsia="仿宋"/>
          <w:sz w:val="28"/>
          <w:szCs w:val="28"/>
          <w:highlight w:val="none"/>
        </w:rPr>
        <w:t>签约地点：广州市黄埔区</w:t>
      </w:r>
      <w:r>
        <w:rPr>
          <w:rFonts w:ascii="仿宋" w:hAnsi="仿宋" w:eastAsia="仿宋"/>
          <w:highlight w:val="none"/>
        </w:rPr>
        <w:t xml:space="preserve"> </w:t>
      </w:r>
    </w:p>
    <w:p w14:paraId="7C3F1AEA">
      <w:pPr>
        <w:pStyle w:val="3"/>
        <w:rPr>
          <w:rFonts w:hAnsi="Courier New" w:eastAsia="仿宋_GB2312"/>
          <w:sz w:val="28"/>
          <w:szCs w:val="28"/>
          <w:highlight w:val="none"/>
        </w:rPr>
      </w:pPr>
    </w:p>
    <w:p w14:paraId="5937EF47">
      <w:pPr>
        <w:snapToGrid w:val="0"/>
        <w:spacing w:line="580" w:lineRule="exact"/>
        <w:ind w:left="420" w:firstLine="480" w:firstLineChars="200"/>
        <w:rPr>
          <w:rFonts w:ascii="楷体_GB2312" w:hAnsi="宋体" w:eastAsia="楷体_GB2312" w:cs="宋体"/>
          <w:snapToGrid w:val="0"/>
          <w:kern w:val="0"/>
          <w:sz w:val="24"/>
          <w:szCs w:val="24"/>
          <w:highlight w:val="none"/>
        </w:rPr>
      </w:pPr>
    </w:p>
    <w:p w14:paraId="6D6118E4">
      <w:pPr>
        <w:rPr>
          <w:highlight w:val="none"/>
        </w:rPr>
      </w:pPr>
    </w:p>
    <w:p w14:paraId="63D92AAB">
      <w:pPr>
        <w:pStyle w:val="4"/>
        <w:rPr>
          <w:highlight w:val="none"/>
        </w:rPr>
      </w:pPr>
    </w:p>
    <w:p w14:paraId="7ABE4B52">
      <w:pPr>
        <w:rPr>
          <w:highlight w:val="none"/>
        </w:rPr>
      </w:pPr>
    </w:p>
    <w:p w14:paraId="153FB79B">
      <w:pPr>
        <w:pStyle w:val="3"/>
        <w:rPr>
          <w:highlight w:val="none"/>
        </w:rPr>
      </w:pPr>
      <w:r>
        <w:rPr>
          <w:rFonts w:hint="eastAsia"/>
          <w:highlight w:val="none"/>
        </w:rPr>
        <w:br w:type="page"/>
      </w:r>
      <w:bookmarkStart w:id="139" w:name="_Toc103592032"/>
      <w:r>
        <w:rPr>
          <w:rFonts w:hint="eastAsia"/>
          <w:highlight w:val="none"/>
        </w:rPr>
        <w:t>第二卷</w:t>
      </w:r>
      <w:bookmarkEnd w:id="139"/>
    </w:p>
    <w:p w14:paraId="4A2C6FBB">
      <w:pPr>
        <w:pStyle w:val="3"/>
        <w:numPr>
          <w:ilvl w:val="0"/>
          <w:numId w:val="2"/>
        </w:numPr>
        <w:rPr>
          <w:highlight w:val="none"/>
        </w:rPr>
      </w:pPr>
      <w:r>
        <w:rPr>
          <w:rFonts w:hint="eastAsia"/>
          <w:highlight w:val="none"/>
        </w:rPr>
        <w:t xml:space="preserve"> </w:t>
      </w:r>
      <w:bookmarkStart w:id="140" w:name="_Toc103592033"/>
      <w:r>
        <w:rPr>
          <w:rFonts w:hint="eastAsia"/>
          <w:highlight w:val="none"/>
        </w:rPr>
        <w:t>委托人要求</w:t>
      </w:r>
      <w:bookmarkEnd w:id="140"/>
    </w:p>
    <w:p w14:paraId="74084038">
      <w:pPr>
        <w:spacing w:line="360" w:lineRule="auto"/>
        <w:ind w:firstLine="426" w:firstLineChars="177"/>
        <w:rPr>
          <w:rFonts w:ascii="宋体" w:hAnsi="宋体"/>
          <w:b/>
          <w:sz w:val="24"/>
          <w:szCs w:val="24"/>
          <w:highlight w:val="none"/>
        </w:rPr>
      </w:pPr>
      <w:r>
        <w:rPr>
          <w:rFonts w:hint="eastAsia" w:ascii="宋体" w:hAnsi="宋体"/>
          <w:b/>
          <w:sz w:val="24"/>
          <w:szCs w:val="24"/>
          <w:highlight w:val="none"/>
        </w:rPr>
        <w:t>1. 项目概况：</w:t>
      </w:r>
    </w:p>
    <w:p w14:paraId="46701E63">
      <w:pPr>
        <w:spacing w:line="360" w:lineRule="auto"/>
        <w:ind w:firstLine="424" w:firstLineChars="177"/>
        <w:rPr>
          <w:rFonts w:hint="eastAsia" w:ascii="宋体" w:hAnsi="宋体"/>
          <w:sz w:val="24"/>
          <w:szCs w:val="24"/>
          <w:highlight w:val="none"/>
          <w:u w:val="single"/>
          <w:lang w:eastAsia="zh-CN"/>
        </w:rPr>
      </w:pPr>
      <w:r>
        <w:rPr>
          <w:rFonts w:hint="eastAsia" w:ascii="宋体" w:hAnsi="宋体"/>
          <w:sz w:val="24"/>
          <w:szCs w:val="24"/>
          <w:highlight w:val="none"/>
        </w:rPr>
        <w:t>1.1项目名称：</w:t>
      </w:r>
      <w:r>
        <w:rPr>
          <w:rFonts w:hint="eastAsia" w:ascii="宋体" w:hAnsi="宋体"/>
          <w:sz w:val="24"/>
          <w:szCs w:val="24"/>
          <w:highlight w:val="none"/>
          <w:u w:val="single"/>
          <w:lang w:eastAsia="zh-CN"/>
        </w:rPr>
        <w:t>黄埔区刘村消防站建设工程、黄埔区深井消防站建设工程、萝岗区天鹿湖消防站第三方检测服务</w:t>
      </w:r>
    </w:p>
    <w:p w14:paraId="2862D6C6">
      <w:pPr>
        <w:spacing w:line="360" w:lineRule="auto"/>
        <w:ind w:firstLine="424" w:firstLineChars="177"/>
        <w:rPr>
          <w:rFonts w:ascii="宋体" w:hAnsi="宋体"/>
          <w:sz w:val="24"/>
          <w:szCs w:val="24"/>
          <w:highlight w:val="none"/>
        </w:rPr>
      </w:pPr>
      <w:r>
        <w:rPr>
          <w:rFonts w:hint="eastAsia" w:ascii="宋体" w:hAnsi="宋体"/>
          <w:sz w:val="24"/>
          <w:szCs w:val="24"/>
          <w:highlight w:val="none"/>
        </w:rPr>
        <w:t>1.2建设规模：</w:t>
      </w:r>
    </w:p>
    <w:p w14:paraId="6D518A28">
      <w:pPr>
        <w:keepNext w:val="0"/>
        <w:keepLines w:val="0"/>
        <w:pageBreakBefore w:val="0"/>
        <w:shd w:val="clear"/>
        <w:wordWrap/>
        <w:bidi w:val="0"/>
        <w:spacing w:line="360" w:lineRule="auto"/>
        <w:ind w:firstLine="537" w:firstLineChars="224"/>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w:t>
      </w:r>
      <w:r>
        <w:rPr>
          <w:rFonts w:hint="eastAsia" w:ascii="宋体" w:hAnsi="宋体" w:cs="宋体"/>
          <w:sz w:val="24"/>
          <w:szCs w:val="24"/>
          <w:highlight w:val="none"/>
          <w:u w:val="single"/>
          <w:lang w:eastAsia="zh-CN"/>
        </w:rPr>
        <w:t>黄埔区刘村消防站建设工程：项目拟新建一个大型消防站，项目用地面积8737.47平方米，总建筑面积7969平方米，地上建筑面积7969平方米。建设内容包括新建综合楼建筑面积 7681平方米，新建训练塔288平方米。设置地面机动车位15泊，及新建配套公用工程、室外工程等。</w:t>
      </w:r>
    </w:p>
    <w:p w14:paraId="613F9670">
      <w:pPr>
        <w:keepNext w:val="0"/>
        <w:keepLines w:val="0"/>
        <w:pageBreakBefore w:val="0"/>
        <w:shd w:val="clear"/>
        <w:wordWrap/>
        <w:bidi w:val="0"/>
        <w:spacing w:line="360" w:lineRule="auto"/>
        <w:ind w:firstLine="537" w:firstLineChars="224"/>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u w:val="single"/>
        </w:rPr>
        <w:t>黄埔区深井消防站建设工程：项目拟新建一个一级普通消防站，项目用地面积5343 平方米，总建筑面积3991.84平方米，地上建筑面积 3991.84平方米。建设内容包括新建综合楼建筑面积3253.01平方米，新建战备楼及训练塔建筑面积738.83平方米，设置地面机动车位6泊，及新建配套公用工程、室外工程等。</w:t>
      </w:r>
    </w:p>
    <w:p w14:paraId="6332CFD2">
      <w:pPr>
        <w:spacing w:line="360" w:lineRule="auto"/>
        <w:ind w:firstLine="472" w:firstLineChars="200"/>
        <w:rPr>
          <w:rFonts w:hint="eastAsia" w:ascii="宋体" w:hAnsi="宋体" w:eastAsia="宋体" w:cs="宋体"/>
          <w:color w:val="auto"/>
          <w:spacing w:val="-2"/>
          <w:sz w:val="24"/>
          <w:szCs w:val="24"/>
          <w:highlight w:val="none"/>
          <w:u w:val="single"/>
          <w:lang w:eastAsia="zh-CN"/>
        </w:rPr>
      </w:pPr>
      <w:r>
        <w:rPr>
          <w:rFonts w:hint="eastAsia" w:ascii="宋体" w:hAnsi="宋体" w:eastAsia="宋体" w:cs="宋体"/>
          <w:color w:val="auto"/>
          <w:spacing w:val="-2"/>
          <w:sz w:val="24"/>
          <w:szCs w:val="24"/>
          <w:highlight w:val="none"/>
          <w:u w:val="none"/>
          <w:lang w:val="en-US" w:eastAsia="zh-CN"/>
        </w:rPr>
        <w:t>3、</w:t>
      </w:r>
      <w:r>
        <w:rPr>
          <w:rFonts w:hint="eastAsia" w:ascii="宋体" w:hAnsi="宋体" w:eastAsia="宋体" w:cs="宋体"/>
          <w:color w:val="auto"/>
          <w:spacing w:val="-2"/>
          <w:sz w:val="24"/>
          <w:szCs w:val="24"/>
          <w:highlight w:val="none"/>
          <w:u w:val="single"/>
          <w:lang w:eastAsia="zh-CN"/>
        </w:rPr>
        <w:t>萝岗区天鹿湖消防站：项目拟新建一个一级普通消防站，项目用地面积5036.43平方米，总建筑面积3999.9平方米，地上建筑面积 3999.9平方米。建设内容包括新建综合楼建筑面积3834.3平方米，新建训练塔建筑面积165.6平方米，设置地面机动车位4泊，及新建配套公用工程、室外工程等。</w:t>
      </w:r>
    </w:p>
    <w:p w14:paraId="0B1E5382">
      <w:pPr>
        <w:spacing w:line="360" w:lineRule="auto"/>
        <w:ind w:firstLine="424" w:firstLineChars="177"/>
        <w:rPr>
          <w:rFonts w:ascii="宋体" w:hAnsi="宋体"/>
          <w:sz w:val="24"/>
          <w:szCs w:val="24"/>
          <w:highlight w:val="none"/>
        </w:rPr>
      </w:pPr>
      <w:r>
        <w:rPr>
          <w:rFonts w:hint="eastAsia" w:ascii="宋体" w:hAnsi="宋体"/>
          <w:sz w:val="24"/>
          <w:szCs w:val="24"/>
          <w:highlight w:val="none"/>
        </w:rPr>
        <w:t>1.3建设地点：</w:t>
      </w:r>
      <w:r>
        <w:rPr>
          <w:rFonts w:hint="eastAsia" w:ascii="宋体" w:hAnsi="宋体" w:cs="宋体"/>
          <w:sz w:val="24"/>
          <w:szCs w:val="24"/>
          <w:highlight w:val="none"/>
          <w:u w:val="single"/>
        </w:rPr>
        <w:t>广州市黄埔区。</w:t>
      </w:r>
    </w:p>
    <w:p w14:paraId="392E669C">
      <w:pPr>
        <w:spacing w:line="360" w:lineRule="auto"/>
        <w:ind w:firstLine="424" w:firstLineChars="177"/>
        <w:rPr>
          <w:rFonts w:ascii="宋体" w:hAnsi="宋体"/>
          <w:sz w:val="24"/>
          <w:szCs w:val="24"/>
          <w:highlight w:val="none"/>
        </w:rPr>
      </w:pPr>
      <w:r>
        <w:rPr>
          <w:rFonts w:hint="eastAsia" w:ascii="宋体" w:hAnsi="宋体"/>
          <w:sz w:val="24"/>
          <w:szCs w:val="24"/>
          <w:highlight w:val="none"/>
        </w:rPr>
        <w:t>1.4工程投资：</w:t>
      </w:r>
    </w:p>
    <w:p w14:paraId="505B8135">
      <w:pPr>
        <w:tabs>
          <w:tab w:val="left" w:pos="7513"/>
        </w:tabs>
        <w:spacing w:line="360" w:lineRule="auto"/>
        <w:ind w:firstLine="424" w:firstLineChars="177"/>
        <w:rPr>
          <w:rFonts w:ascii="宋体" w:hAnsi="宋体" w:cs="宋体"/>
          <w:sz w:val="24"/>
          <w:szCs w:val="24"/>
          <w:highlight w:val="none"/>
          <w:u w:val="single"/>
        </w:rPr>
      </w:pPr>
      <w:bookmarkStart w:id="141" w:name="_Hlk129011142"/>
      <w:r>
        <w:rPr>
          <w:rFonts w:hint="eastAsia" w:ascii="宋体" w:hAnsi="宋体" w:cs="宋体"/>
          <w:sz w:val="24"/>
          <w:szCs w:val="24"/>
          <w:highlight w:val="none"/>
          <w:u w:val="single"/>
        </w:rPr>
        <w:t>（1）</w:t>
      </w:r>
      <w:r>
        <w:rPr>
          <w:rFonts w:hint="eastAsia" w:ascii="宋体" w:hAnsi="宋体" w:cs="宋体"/>
          <w:sz w:val="24"/>
          <w:szCs w:val="24"/>
          <w:highlight w:val="none"/>
          <w:u w:val="single"/>
          <w:lang w:eastAsia="zh-CN"/>
        </w:rPr>
        <w:t>黄埔区刘村消防站建设工程</w:t>
      </w:r>
      <w:r>
        <w:rPr>
          <w:rFonts w:hint="eastAsia" w:ascii="宋体" w:hAnsi="宋体" w:eastAsia="宋体" w:cs="宋体"/>
          <w:sz w:val="24"/>
          <w:szCs w:val="24"/>
          <w:highlight w:val="none"/>
          <w:u w:val="single"/>
        </w:rPr>
        <w:t>：</w:t>
      </w:r>
      <w:r>
        <w:rPr>
          <w:rFonts w:hint="eastAsia" w:ascii="宋体" w:hAnsi="宋体" w:cs="宋体"/>
          <w:sz w:val="24"/>
          <w:szCs w:val="24"/>
          <w:highlight w:val="none"/>
          <w:u w:val="single"/>
        </w:rPr>
        <w:t>工程概算总投资核定为4156.68万元，其中建安工程投资3621.24万元，工程建设其他费用414.37万元，预备费121.07万元。</w:t>
      </w:r>
    </w:p>
    <w:bookmarkEnd w:id="141"/>
    <w:p w14:paraId="668E4C93">
      <w:pPr>
        <w:tabs>
          <w:tab w:val="left" w:pos="7513"/>
        </w:tabs>
        <w:spacing w:line="360" w:lineRule="auto"/>
        <w:ind w:firstLine="424" w:firstLineChars="177"/>
        <w:rPr>
          <w:rFonts w:hint="eastAsia" w:ascii="宋体" w:hAnsi="宋体" w:cs="宋体"/>
          <w:sz w:val="24"/>
          <w:szCs w:val="24"/>
          <w:highlight w:val="none"/>
          <w:u w:val="single"/>
        </w:rPr>
      </w:pPr>
      <w:r>
        <w:rPr>
          <w:rFonts w:hint="eastAsia" w:ascii="宋体" w:hAnsi="宋体" w:cs="宋体"/>
          <w:sz w:val="24"/>
          <w:szCs w:val="24"/>
          <w:highlight w:val="none"/>
          <w:u w:val="single"/>
        </w:rPr>
        <w:t>（2）</w:t>
      </w:r>
      <w:r>
        <w:rPr>
          <w:rFonts w:hint="eastAsia" w:ascii="宋体" w:hAnsi="宋体" w:eastAsia="宋体" w:cs="宋体"/>
          <w:color w:val="auto"/>
          <w:sz w:val="24"/>
          <w:szCs w:val="24"/>
          <w:highlight w:val="none"/>
          <w:u w:val="single"/>
        </w:rPr>
        <w:t>黄埔区深井消防站建设工程</w:t>
      </w:r>
      <w:r>
        <w:rPr>
          <w:rFonts w:hint="eastAsia" w:ascii="宋体" w:hAnsi="宋体" w:cs="宋体"/>
          <w:sz w:val="24"/>
          <w:szCs w:val="24"/>
          <w:highlight w:val="none"/>
          <w:u w:val="single"/>
        </w:rPr>
        <w:t>：工程概算总投资核定为</w:t>
      </w:r>
      <w:r>
        <w:rPr>
          <w:rFonts w:hint="eastAsia" w:ascii="宋体" w:hAnsi="宋体" w:cs="宋体"/>
          <w:sz w:val="24"/>
          <w:szCs w:val="24"/>
          <w:highlight w:val="none"/>
          <w:u w:val="single"/>
          <w:lang w:val="en-US" w:eastAsia="zh-CN"/>
        </w:rPr>
        <w:t>2161.18</w:t>
      </w:r>
      <w:r>
        <w:rPr>
          <w:rFonts w:hint="eastAsia" w:ascii="宋体" w:hAnsi="宋体" w:cs="宋体"/>
          <w:sz w:val="24"/>
          <w:szCs w:val="24"/>
          <w:highlight w:val="none"/>
          <w:u w:val="single"/>
        </w:rPr>
        <w:t>万元，其中建安工程投资</w:t>
      </w:r>
      <w:r>
        <w:rPr>
          <w:rFonts w:hint="eastAsia" w:ascii="宋体" w:hAnsi="宋体" w:cs="宋体"/>
          <w:sz w:val="24"/>
          <w:szCs w:val="24"/>
          <w:highlight w:val="none"/>
          <w:u w:val="single"/>
          <w:lang w:val="en-US" w:eastAsia="zh-CN"/>
        </w:rPr>
        <w:t>1848.66</w:t>
      </w:r>
      <w:r>
        <w:rPr>
          <w:rFonts w:hint="eastAsia" w:ascii="宋体" w:hAnsi="宋体" w:cs="宋体"/>
          <w:sz w:val="24"/>
          <w:szCs w:val="24"/>
          <w:highlight w:val="none"/>
          <w:u w:val="single"/>
        </w:rPr>
        <w:t>万元，工程建设其他费用</w:t>
      </w:r>
      <w:r>
        <w:rPr>
          <w:rFonts w:hint="eastAsia" w:ascii="宋体" w:hAnsi="宋体" w:cs="宋体"/>
          <w:sz w:val="24"/>
          <w:szCs w:val="24"/>
          <w:highlight w:val="none"/>
          <w:u w:val="single"/>
          <w:lang w:val="en-US" w:eastAsia="zh-CN"/>
        </w:rPr>
        <w:t>249.57</w:t>
      </w:r>
      <w:r>
        <w:rPr>
          <w:rFonts w:hint="eastAsia" w:ascii="宋体" w:hAnsi="宋体" w:cs="宋体"/>
          <w:sz w:val="24"/>
          <w:szCs w:val="24"/>
          <w:highlight w:val="none"/>
          <w:u w:val="single"/>
        </w:rPr>
        <w:t>万元，预备费</w:t>
      </w:r>
      <w:r>
        <w:rPr>
          <w:rFonts w:hint="eastAsia" w:ascii="宋体" w:hAnsi="宋体" w:cs="宋体"/>
          <w:sz w:val="24"/>
          <w:szCs w:val="24"/>
          <w:highlight w:val="none"/>
          <w:u w:val="single"/>
          <w:lang w:val="en-US" w:eastAsia="zh-CN"/>
        </w:rPr>
        <w:t>62.95</w:t>
      </w:r>
      <w:r>
        <w:rPr>
          <w:rFonts w:hint="eastAsia" w:ascii="宋体" w:hAnsi="宋体" w:cs="宋体"/>
          <w:sz w:val="24"/>
          <w:szCs w:val="24"/>
          <w:highlight w:val="none"/>
          <w:u w:val="single"/>
        </w:rPr>
        <w:t>万元。</w:t>
      </w:r>
    </w:p>
    <w:p w14:paraId="6AFDE557">
      <w:pPr>
        <w:tabs>
          <w:tab w:val="left" w:pos="7513"/>
        </w:tabs>
        <w:spacing w:line="360" w:lineRule="auto"/>
        <w:ind w:firstLine="424" w:firstLineChars="177"/>
        <w:rPr>
          <w:rFonts w:ascii="宋体" w:hAnsi="宋体" w:cs="宋体"/>
          <w:sz w:val="24"/>
          <w:szCs w:val="24"/>
          <w:highlight w:val="none"/>
          <w:u w:val="single"/>
        </w:rPr>
      </w:pPr>
      <w:r>
        <w:rPr>
          <w:rFonts w:hint="eastAsia" w:ascii="宋体" w:hAnsi="宋体" w:cs="宋体"/>
          <w:sz w:val="24"/>
          <w:szCs w:val="24"/>
          <w:highlight w:val="none"/>
          <w:u w:val="single"/>
        </w:rPr>
        <w:t>（3）</w:t>
      </w:r>
      <w:r>
        <w:rPr>
          <w:rFonts w:hint="eastAsia" w:ascii="宋体" w:hAnsi="宋体" w:eastAsia="宋体" w:cs="宋体"/>
          <w:color w:val="auto"/>
          <w:spacing w:val="-2"/>
          <w:sz w:val="24"/>
          <w:szCs w:val="24"/>
          <w:highlight w:val="none"/>
          <w:u w:val="single"/>
          <w:lang w:eastAsia="zh-CN"/>
        </w:rPr>
        <w:t>萝岗区天鹿湖消防站</w:t>
      </w:r>
      <w:r>
        <w:rPr>
          <w:rFonts w:hint="eastAsia" w:ascii="宋体" w:hAnsi="宋体" w:cs="宋体"/>
          <w:sz w:val="24"/>
          <w:szCs w:val="24"/>
          <w:highlight w:val="none"/>
          <w:u w:val="single"/>
        </w:rPr>
        <w:t>：项目估算总投资</w:t>
      </w:r>
      <w:r>
        <w:rPr>
          <w:rFonts w:hint="eastAsia" w:ascii="宋体" w:hAnsi="宋体" w:cs="宋体"/>
          <w:sz w:val="24"/>
          <w:szCs w:val="24"/>
          <w:highlight w:val="none"/>
          <w:u w:val="single"/>
          <w:lang w:val="en-US" w:eastAsia="zh-CN"/>
        </w:rPr>
        <w:t>2368.23</w:t>
      </w:r>
      <w:r>
        <w:rPr>
          <w:rFonts w:hint="eastAsia" w:ascii="宋体" w:hAnsi="宋体" w:cs="宋体"/>
          <w:sz w:val="24"/>
          <w:szCs w:val="24"/>
          <w:highlight w:val="none"/>
          <w:u w:val="single"/>
        </w:rPr>
        <w:t>万元，其中：建安工程费</w:t>
      </w:r>
      <w:r>
        <w:rPr>
          <w:rFonts w:hint="eastAsia" w:ascii="宋体" w:hAnsi="宋体" w:cs="宋体"/>
          <w:sz w:val="24"/>
          <w:szCs w:val="24"/>
          <w:highlight w:val="none"/>
          <w:u w:val="single"/>
          <w:lang w:val="en-US" w:eastAsia="zh-CN"/>
        </w:rPr>
        <w:t>2066.29</w:t>
      </w:r>
      <w:r>
        <w:rPr>
          <w:rFonts w:hint="eastAsia" w:ascii="宋体" w:hAnsi="宋体" w:cs="宋体"/>
          <w:sz w:val="24"/>
          <w:szCs w:val="24"/>
          <w:highlight w:val="none"/>
          <w:u w:val="single"/>
        </w:rPr>
        <w:t>万元，工程建设其他费用</w:t>
      </w:r>
      <w:r>
        <w:rPr>
          <w:rFonts w:hint="eastAsia" w:ascii="宋体" w:hAnsi="宋体" w:cs="宋体"/>
          <w:sz w:val="24"/>
          <w:szCs w:val="24"/>
          <w:highlight w:val="none"/>
          <w:u w:val="single"/>
          <w:lang w:val="en-US" w:eastAsia="zh-CN"/>
        </w:rPr>
        <w:t>232.97</w:t>
      </w:r>
      <w:r>
        <w:rPr>
          <w:rFonts w:hint="eastAsia" w:ascii="宋体" w:hAnsi="宋体" w:cs="宋体"/>
          <w:sz w:val="24"/>
          <w:szCs w:val="24"/>
          <w:highlight w:val="none"/>
          <w:u w:val="single"/>
        </w:rPr>
        <w:t>万元，预备费</w:t>
      </w:r>
      <w:r>
        <w:rPr>
          <w:rFonts w:hint="eastAsia" w:ascii="宋体" w:hAnsi="宋体" w:cs="宋体"/>
          <w:sz w:val="24"/>
          <w:szCs w:val="24"/>
          <w:highlight w:val="none"/>
          <w:u w:val="single"/>
          <w:lang w:val="en-US" w:eastAsia="zh-CN"/>
        </w:rPr>
        <w:t>68.97</w:t>
      </w:r>
      <w:r>
        <w:rPr>
          <w:rFonts w:hint="eastAsia" w:ascii="宋体" w:hAnsi="宋体" w:cs="宋体"/>
          <w:sz w:val="24"/>
          <w:szCs w:val="24"/>
          <w:highlight w:val="none"/>
          <w:u w:val="single"/>
        </w:rPr>
        <w:t>万元。</w:t>
      </w:r>
    </w:p>
    <w:p w14:paraId="5FB5D168">
      <w:pPr>
        <w:spacing w:line="360" w:lineRule="auto"/>
        <w:ind w:firstLine="424" w:firstLineChars="177"/>
        <w:rPr>
          <w:rFonts w:ascii="宋体" w:hAnsi="宋体"/>
          <w:sz w:val="24"/>
          <w:szCs w:val="24"/>
          <w:highlight w:val="none"/>
        </w:rPr>
      </w:pPr>
      <w:r>
        <w:rPr>
          <w:rFonts w:hint="eastAsia" w:ascii="宋体" w:hAnsi="宋体"/>
          <w:sz w:val="24"/>
          <w:szCs w:val="24"/>
          <w:highlight w:val="none"/>
        </w:rPr>
        <w:t>1.5本次招标服务期：</w:t>
      </w:r>
    </w:p>
    <w:p w14:paraId="6A2EC670">
      <w:pPr>
        <w:spacing w:line="360" w:lineRule="auto"/>
        <w:ind w:firstLine="424" w:firstLineChars="177"/>
        <w:rPr>
          <w:rFonts w:hint="eastAsia" w:ascii="宋体" w:hAnsi="宋体" w:cs="宋体"/>
          <w:sz w:val="24"/>
          <w:szCs w:val="24"/>
          <w:highlight w:val="none"/>
          <w:u w:val="single"/>
        </w:rPr>
      </w:pPr>
      <w:r>
        <w:rPr>
          <w:rFonts w:hint="eastAsia" w:ascii="宋体" w:hAnsi="宋体" w:cs="宋体"/>
          <w:sz w:val="24"/>
          <w:szCs w:val="24"/>
          <w:highlight w:val="none"/>
          <w:u w:val="single"/>
        </w:rPr>
        <w:t>从中标单位进场至所有服务项目完成，服务周期必须满足实际施工及竣工验收要求。进场日期以发包人通知时间为准。</w:t>
      </w:r>
    </w:p>
    <w:p w14:paraId="51940D61">
      <w:pPr>
        <w:spacing w:line="360" w:lineRule="auto"/>
        <w:ind w:firstLine="424" w:firstLineChars="177"/>
        <w:rPr>
          <w:rFonts w:ascii="宋体" w:hAnsi="宋体"/>
          <w:sz w:val="24"/>
          <w:szCs w:val="24"/>
          <w:highlight w:val="none"/>
        </w:rPr>
      </w:pPr>
      <w:r>
        <w:rPr>
          <w:rFonts w:hint="eastAsia" w:ascii="宋体" w:hAnsi="宋体"/>
          <w:sz w:val="24"/>
          <w:szCs w:val="24"/>
          <w:highlight w:val="none"/>
        </w:rPr>
        <w:t>1.6工程质量标准：</w:t>
      </w:r>
      <w:r>
        <w:rPr>
          <w:rFonts w:hint="eastAsia" w:ascii="宋体" w:hAnsi="宋体"/>
          <w:sz w:val="24"/>
          <w:szCs w:val="24"/>
          <w:highlight w:val="none"/>
          <w:u w:val="single"/>
        </w:rPr>
        <w:t>合格。</w:t>
      </w:r>
    </w:p>
    <w:p w14:paraId="464820BC">
      <w:pPr>
        <w:spacing w:line="360" w:lineRule="auto"/>
        <w:ind w:firstLine="426" w:firstLineChars="177"/>
        <w:rPr>
          <w:rFonts w:ascii="宋体" w:hAnsi="宋体"/>
          <w:b/>
          <w:sz w:val="24"/>
          <w:szCs w:val="24"/>
          <w:highlight w:val="none"/>
        </w:rPr>
      </w:pPr>
      <w:r>
        <w:rPr>
          <w:rFonts w:hint="eastAsia" w:ascii="宋体" w:hAnsi="宋体"/>
          <w:b/>
          <w:sz w:val="24"/>
          <w:szCs w:val="24"/>
          <w:highlight w:val="none"/>
        </w:rPr>
        <w:t>2.检测范围及内容：</w:t>
      </w:r>
    </w:p>
    <w:p w14:paraId="186E77A8">
      <w:pPr>
        <w:spacing w:line="360" w:lineRule="auto"/>
        <w:ind w:firstLine="424" w:firstLineChars="177"/>
        <w:rPr>
          <w:rFonts w:ascii="宋体" w:hAnsi="宋体"/>
          <w:sz w:val="24"/>
          <w:szCs w:val="24"/>
          <w:highlight w:val="none"/>
          <w:u w:val="single"/>
        </w:rPr>
      </w:pPr>
      <w:r>
        <w:rPr>
          <w:rFonts w:hint="eastAsia" w:ascii="宋体" w:hAnsi="宋体"/>
          <w:sz w:val="24"/>
          <w:szCs w:val="24"/>
          <w:highlight w:val="none"/>
          <w:u w:val="single"/>
        </w:rPr>
        <w:t>依据施工图及相关规范要求，开展工程第三方检测工作，具体以施工图纸、检测规范及主管部门要求为准。施工及验收阶段相关的第三方检测包括但不限于地基基础工程检测、主体结构工程现场检测、钢结构工程检测、见证取样检测、道路检测、节能检测、环境检测、智能化检测等按规范和验收要求必须检测的项目。具体根据图纸、工程量清单及项目现场实际情况确定。服务范围除以上工作外，还包括但不限于以下内容：</w:t>
      </w:r>
    </w:p>
    <w:p w14:paraId="4D766E03">
      <w:pPr>
        <w:spacing w:line="360" w:lineRule="auto"/>
        <w:ind w:firstLine="424" w:firstLineChars="177"/>
        <w:rPr>
          <w:rFonts w:ascii="宋体" w:hAnsi="宋体"/>
          <w:bCs/>
          <w:sz w:val="24"/>
          <w:szCs w:val="24"/>
          <w:highlight w:val="none"/>
          <w:u w:val="single"/>
        </w:rPr>
      </w:pPr>
      <w:r>
        <w:rPr>
          <w:rFonts w:hint="eastAsia" w:ascii="宋体" w:hAnsi="宋体"/>
          <w:bCs/>
          <w:sz w:val="24"/>
          <w:szCs w:val="24"/>
          <w:highlight w:val="none"/>
          <w:u w:val="single"/>
        </w:rPr>
        <w:t>（1）与工程所在行政区域的相关建设行政主管部门和监督部门所进行的协调工作，且合同价中已经综合考虑了该项协调工作的费用。如申报检测技术成果的审批，保证技术成果能够通过相关部门认可，确保不因检测工作影响本工程项目的建设进度和竣工验收。</w:t>
      </w:r>
    </w:p>
    <w:p w14:paraId="7712D73C">
      <w:pPr>
        <w:spacing w:line="360" w:lineRule="auto"/>
        <w:ind w:firstLine="424" w:firstLineChars="177"/>
        <w:rPr>
          <w:rFonts w:ascii="宋体" w:hAnsi="宋体"/>
          <w:bCs/>
          <w:sz w:val="24"/>
          <w:szCs w:val="24"/>
          <w:highlight w:val="none"/>
          <w:u w:val="single"/>
        </w:rPr>
      </w:pPr>
      <w:r>
        <w:rPr>
          <w:rFonts w:hint="eastAsia" w:ascii="宋体" w:hAnsi="宋体"/>
          <w:bCs/>
          <w:sz w:val="24"/>
          <w:szCs w:val="24"/>
          <w:highlight w:val="none"/>
          <w:u w:val="single"/>
        </w:rPr>
        <w:t>（2）在进行检测任务的过程中与该工程相关的施工单位、监理单位、设计单位、业主、建设管理单位、建设主管部门等相关单位的协调工作，且合同价中已经综合考虑了该项协调工作的费用。</w:t>
      </w:r>
    </w:p>
    <w:p w14:paraId="2B39CD22">
      <w:pPr>
        <w:spacing w:line="360" w:lineRule="auto"/>
        <w:ind w:firstLine="424" w:firstLineChars="177"/>
        <w:rPr>
          <w:rFonts w:ascii="宋体" w:hAnsi="宋体"/>
          <w:bCs/>
          <w:sz w:val="24"/>
          <w:szCs w:val="24"/>
          <w:highlight w:val="none"/>
          <w:u w:val="single"/>
        </w:rPr>
      </w:pPr>
      <w:r>
        <w:rPr>
          <w:rFonts w:hint="eastAsia" w:ascii="宋体" w:hAnsi="宋体"/>
          <w:bCs/>
          <w:sz w:val="24"/>
          <w:szCs w:val="24"/>
          <w:highlight w:val="none"/>
          <w:u w:val="single"/>
        </w:rPr>
        <w:t>（3）因按相关规定须与行业、行政监督部门传输报送检测数据信息的工作，且合同价中已经综合考虑了该项协调工作的费用。</w:t>
      </w:r>
    </w:p>
    <w:p w14:paraId="737E48A9">
      <w:pPr>
        <w:spacing w:line="360" w:lineRule="auto"/>
        <w:ind w:firstLine="424" w:firstLineChars="177"/>
        <w:rPr>
          <w:rFonts w:ascii="宋体" w:hAnsi="宋体"/>
          <w:bCs/>
          <w:sz w:val="24"/>
          <w:szCs w:val="24"/>
          <w:highlight w:val="none"/>
          <w:u w:val="single"/>
        </w:rPr>
      </w:pPr>
      <w:r>
        <w:rPr>
          <w:rFonts w:hint="eastAsia" w:ascii="宋体" w:hAnsi="宋体"/>
          <w:bCs/>
          <w:sz w:val="24"/>
          <w:szCs w:val="24"/>
          <w:highlight w:val="none"/>
          <w:u w:val="single"/>
        </w:rPr>
        <w:t>（4）根据相关规范和标准、主管部门文件的规定以及设计图纸的有关要求，结合工程实际情况编制相关项目的《检测方案》，并报质监部门备案（如需要）。</w:t>
      </w:r>
    </w:p>
    <w:p w14:paraId="744AFCFF">
      <w:pPr>
        <w:spacing w:line="360" w:lineRule="auto"/>
        <w:ind w:firstLine="424" w:firstLineChars="177"/>
        <w:rPr>
          <w:rFonts w:ascii="宋体" w:hAnsi="宋体"/>
          <w:bCs/>
          <w:sz w:val="24"/>
          <w:szCs w:val="24"/>
          <w:highlight w:val="none"/>
          <w:u w:val="single"/>
        </w:rPr>
      </w:pPr>
      <w:r>
        <w:rPr>
          <w:rFonts w:hint="eastAsia" w:ascii="宋体" w:hAnsi="宋体"/>
          <w:bCs/>
          <w:sz w:val="24"/>
          <w:szCs w:val="24"/>
          <w:highlight w:val="none"/>
          <w:u w:val="single"/>
        </w:rPr>
        <w:t>（5）负责检测的工程质量需符合《建设工程质量管理条例》等国家相关管理要求。</w:t>
      </w:r>
    </w:p>
    <w:p w14:paraId="6E82CBAB">
      <w:pPr>
        <w:spacing w:line="360" w:lineRule="auto"/>
        <w:ind w:firstLine="424" w:firstLineChars="177"/>
        <w:rPr>
          <w:rFonts w:ascii="宋体" w:hAnsi="宋体"/>
          <w:bCs/>
          <w:sz w:val="24"/>
          <w:szCs w:val="24"/>
          <w:highlight w:val="none"/>
        </w:rPr>
      </w:pPr>
      <w:r>
        <w:rPr>
          <w:rFonts w:hint="eastAsia" w:ascii="宋体" w:hAnsi="宋体"/>
          <w:bCs/>
          <w:sz w:val="24"/>
          <w:szCs w:val="24"/>
          <w:highlight w:val="none"/>
          <w:u w:val="single"/>
        </w:rPr>
        <w:t>（具体以招标文件、施工图纸、检测方案为准）。</w:t>
      </w:r>
    </w:p>
    <w:p w14:paraId="2AB3AB06">
      <w:pPr>
        <w:spacing w:line="360" w:lineRule="auto"/>
        <w:ind w:firstLine="426" w:firstLineChars="177"/>
        <w:rPr>
          <w:rFonts w:ascii="宋体" w:hAnsi="宋体"/>
          <w:b/>
          <w:sz w:val="24"/>
          <w:szCs w:val="24"/>
          <w:highlight w:val="none"/>
        </w:rPr>
      </w:pPr>
      <w:r>
        <w:rPr>
          <w:rFonts w:hint="eastAsia" w:ascii="宋体" w:hAnsi="宋体"/>
          <w:b/>
          <w:sz w:val="24"/>
          <w:szCs w:val="24"/>
          <w:highlight w:val="none"/>
        </w:rPr>
        <w:t>3.检测标准：</w:t>
      </w:r>
    </w:p>
    <w:p w14:paraId="67B428CB">
      <w:pPr>
        <w:tabs>
          <w:tab w:val="left" w:pos="1155"/>
        </w:tabs>
        <w:spacing w:line="500" w:lineRule="exact"/>
        <w:ind w:firstLine="360" w:firstLineChars="150"/>
        <w:rPr>
          <w:rFonts w:ascii="宋体" w:hAnsi="宋体"/>
          <w:sz w:val="24"/>
          <w:szCs w:val="24"/>
          <w:highlight w:val="none"/>
        </w:rPr>
      </w:pPr>
      <w:r>
        <w:rPr>
          <w:rFonts w:ascii="宋体" w:hAnsi="宋体"/>
          <w:sz w:val="24"/>
          <w:szCs w:val="24"/>
          <w:highlight w:val="none"/>
        </w:rPr>
        <w:t>1、《建筑工程施工质量验收统一标准》（GB 50300-2013）；</w:t>
      </w:r>
    </w:p>
    <w:p w14:paraId="152483D7">
      <w:pPr>
        <w:tabs>
          <w:tab w:val="left" w:pos="1155"/>
        </w:tabs>
        <w:spacing w:line="500" w:lineRule="exact"/>
        <w:ind w:firstLine="360" w:firstLineChars="150"/>
        <w:rPr>
          <w:rFonts w:ascii="宋体" w:hAnsi="宋体"/>
          <w:sz w:val="24"/>
          <w:szCs w:val="24"/>
          <w:highlight w:val="none"/>
        </w:rPr>
      </w:pPr>
      <w:r>
        <w:rPr>
          <w:rFonts w:ascii="宋体" w:hAnsi="宋体"/>
          <w:sz w:val="24"/>
          <w:szCs w:val="24"/>
          <w:highlight w:val="none"/>
        </w:rPr>
        <w:t>2、《混凝土结构工程施工质量验收规范》（GB 50204-2015）；</w:t>
      </w:r>
    </w:p>
    <w:p w14:paraId="6806D045">
      <w:pPr>
        <w:tabs>
          <w:tab w:val="left" w:pos="1155"/>
        </w:tabs>
        <w:spacing w:line="500" w:lineRule="exact"/>
        <w:ind w:firstLine="360" w:firstLineChars="150"/>
        <w:rPr>
          <w:rFonts w:ascii="宋体" w:hAnsi="宋体"/>
          <w:sz w:val="24"/>
          <w:szCs w:val="24"/>
          <w:highlight w:val="none"/>
        </w:rPr>
      </w:pPr>
      <w:r>
        <w:rPr>
          <w:rFonts w:ascii="宋体" w:hAnsi="宋体"/>
          <w:sz w:val="24"/>
          <w:szCs w:val="24"/>
          <w:highlight w:val="none"/>
        </w:rPr>
        <w:t>3、《砌体结构工程施工质量验收规范》（GB 50203-2011）；</w:t>
      </w:r>
    </w:p>
    <w:p w14:paraId="66331FE1">
      <w:pPr>
        <w:tabs>
          <w:tab w:val="left" w:pos="1155"/>
        </w:tabs>
        <w:spacing w:line="500" w:lineRule="exact"/>
        <w:ind w:firstLine="360" w:firstLineChars="150"/>
        <w:rPr>
          <w:rFonts w:ascii="宋体" w:hAnsi="宋体"/>
          <w:sz w:val="24"/>
          <w:szCs w:val="24"/>
          <w:highlight w:val="none"/>
        </w:rPr>
      </w:pPr>
      <w:r>
        <w:rPr>
          <w:rFonts w:ascii="宋体" w:hAnsi="宋体"/>
          <w:sz w:val="24"/>
          <w:szCs w:val="24"/>
          <w:highlight w:val="none"/>
        </w:rPr>
        <w:t>4、《屋面工程质量验收规范》（GB 50207-2012）；</w:t>
      </w:r>
    </w:p>
    <w:p w14:paraId="06BC4150">
      <w:pPr>
        <w:tabs>
          <w:tab w:val="left" w:pos="1155"/>
        </w:tabs>
        <w:spacing w:line="500" w:lineRule="exact"/>
        <w:ind w:firstLine="360" w:firstLineChars="150"/>
        <w:rPr>
          <w:rFonts w:ascii="宋体" w:hAnsi="宋体"/>
          <w:sz w:val="24"/>
          <w:szCs w:val="24"/>
          <w:highlight w:val="none"/>
        </w:rPr>
      </w:pPr>
      <w:r>
        <w:rPr>
          <w:rFonts w:ascii="宋体" w:hAnsi="宋体"/>
          <w:sz w:val="24"/>
          <w:szCs w:val="24"/>
          <w:highlight w:val="none"/>
        </w:rPr>
        <w:t>5、《给水排水管道工程施工及验收规范》（GB 50268-2008）；</w:t>
      </w:r>
    </w:p>
    <w:p w14:paraId="1993FCF9">
      <w:pPr>
        <w:tabs>
          <w:tab w:val="left" w:pos="1155"/>
        </w:tabs>
        <w:spacing w:line="500" w:lineRule="exact"/>
        <w:ind w:firstLine="360" w:firstLineChars="150"/>
        <w:rPr>
          <w:rFonts w:ascii="宋体" w:hAnsi="宋体"/>
          <w:sz w:val="24"/>
          <w:szCs w:val="24"/>
          <w:highlight w:val="none"/>
        </w:rPr>
      </w:pPr>
      <w:r>
        <w:rPr>
          <w:rFonts w:ascii="宋体" w:hAnsi="宋体"/>
          <w:sz w:val="24"/>
          <w:szCs w:val="24"/>
          <w:highlight w:val="none"/>
        </w:rPr>
        <w:t>6、《建筑地面工程施工质量验收规范》（GB 50209-2010）；</w:t>
      </w:r>
    </w:p>
    <w:p w14:paraId="4790E936">
      <w:pPr>
        <w:tabs>
          <w:tab w:val="left" w:pos="1155"/>
        </w:tabs>
        <w:spacing w:line="500" w:lineRule="exact"/>
        <w:ind w:firstLine="360" w:firstLineChars="150"/>
        <w:rPr>
          <w:rFonts w:ascii="宋体" w:hAnsi="宋体"/>
          <w:sz w:val="24"/>
          <w:szCs w:val="24"/>
          <w:highlight w:val="none"/>
        </w:rPr>
      </w:pPr>
      <w:r>
        <w:rPr>
          <w:rFonts w:ascii="宋体" w:hAnsi="宋体"/>
          <w:sz w:val="24"/>
          <w:szCs w:val="24"/>
          <w:highlight w:val="none"/>
        </w:rPr>
        <w:t>7、《建筑装饰装修工程质量验收标准》（GB 50210-2018）；</w:t>
      </w:r>
    </w:p>
    <w:p w14:paraId="538C7C72">
      <w:pPr>
        <w:tabs>
          <w:tab w:val="left" w:pos="1155"/>
        </w:tabs>
        <w:spacing w:line="500" w:lineRule="exact"/>
        <w:ind w:firstLine="360" w:firstLineChars="150"/>
        <w:rPr>
          <w:rFonts w:ascii="宋体" w:hAnsi="宋体"/>
          <w:sz w:val="24"/>
          <w:szCs w:val="24"/>
          <w:highlight w:val="none"/>
        </w:rPr>
      </w:pPr>
      <w:r>
        <w:rPr>
          <w:rFonts w:ascii="宋体" w:hAnsi="宋体"/>
          <w:sz w:val="24"/>
          <w:szCs w:val="24"/>
          <w:highlight w:val="none"/>
        </w:rPr>
        <w:t>8、《建筑节能工程施工质量验收规范》（GB 50411-2019）；</w:t>
      </w:r>
    </w:p>
    <w:p w14:paraId="7C38AA3B">
      <w:pPr>
        <w:tabs>
          <w:tab w:val="left" w:pos="1155"/>
        </w:tabs>
        <w:spacing w:line="500" w:lineRule="exact"/>
        <w:ind w:firstLine="360" w:firstLineChars="150"/>
        <w:rPr>
          <w:rFonts w:ascii="宋体" w:hAnsi="宋体"/>
          <w:sz w:val="24"/>
          <w:szCs w:val="24"/>
          <w:highlight w:val="none"/>
        </w:rPr>
      </w:pPr>
      <w:r>
        <w:rPr>
          <w:rFonts w:ascii="宋体" w:hAnsi="宋体"/>
          <w:sz w:val="24"/>
          <w:szCs w:val="24"/>
          <w:highlight w:val="none"/>
        </w:rPr>
        <w:t>9、《民用建筑工程室内环境污染控制规范》（GB 50325-2020）；</w:t>
      </w:r>
    </w:p>
    <w:p w14:paraId="3BDB846E">
      <w:pPr>
        <w:tabs>
          <w:tab w:val="left" w:pos="1155"/>
        </w:tabs>
        <w:spacing w:line="500" w:lineRule="exact"/>
        <w:ind w:firstLine="360" w:firstLineChars="150"/>
        <w:rPr>
          <w:rFonts w:ascii="宋体" w:hAnsi="宋体"/>
          <w:sz w:val="24"/>
          <w:szCs w:val="24"/>
          <w:highlight w:val="none"/>
        </w:rPr>
      </w:pPr>
      <w:r>
        <w:rPr>
          <w:rFonts w:ascii="宋体" w:hAnsi="宋体"/>
          <w:sz w:val="24"/>
          <w:szCs w:val="24"/>
          <w:highlight w:val="none"/>
        </w:rPr>
        <w:t>10、《通风与空调工程施工质量验收规范》（GB 50243-2016）；</w:t>
      </w:r>
    </w:p>
    <w:p w14:paraId="2B6EFED1">
      <w:pPr>
        <w:tabs>
          <w:tab w:val="left" w:pos="1155"/>
        </w:tabs>
        <w:spacing w:line="500" w:lineRule="exact"/>
        <w:ind w:firstLine="360" w:firstLineChars="150"/>
        <w:rPr>
          <w:rFonts w:ascii="宋体" w:hAnsi="宋体"/>
          <w:sz w:val="24"/>
          <w:szCs w:val="24"/>
          <w:highlight w:val="none"/>
        </w:rPr>
      </w:pPr>
      <w:r>
        <w:rPr>
          <w:rFonts w:ascii="宋体" w:hAnsi="宋体"/>
          <w:sz w:val="24"/>
          <w:szCs w:val="24"/>
          <w:highlight w:val="none"/>
        </w:rPr>
        <w:t>11、《建筑电气工程施工质量验收规范》（GB 50303-2015）；</w:t>
      </w:r>
    </w:p>
    <w:p w14:paraId="7B930A64">
      <w:pPr>
        <w:tabs>
          <w:tab w:val="left" w:pos="1155"/>
        </w:tabs>
        <w:spacing w:line="500" w:lineRule="exact"/>
        <w:ind w:firstLine="360" w:firstLineChars="150"/>
        <w:rPr>
          <w:rFonts w:ascii="宋体" w:hAnsi="宋体"/>
          <w:sz w:val="24"/>
          <w:szCs w:val="24"/>
          <w:highlight w:val="none"/>
        </w:rPr>
      </w:pPr>
      <w:r>
        <w:rPr>
          <w:rFonts w:ascii="宋体" w:hAnsi="宋体"/>
          <w:sz w:val="24"/>
          <w:szCs w:val="24"/>
          <w:highlight w:val="none"/>
        </w:rPr>
        <w:t>12、《公共建筑节能检测标准》（JGJ/T 177-2009）；</w:t>
      </w:r>
    </w:p>
    <w:p w14:paraId="1CB6041D">
      <w:pPr>
        <w:tabs>
          <w:tab w:val="left" w:pos="1155"/>
        </w:tabs>
        <w:spacing w:line="500" w:lineRule="exact"/>
        <w:ind w:firstLine="360" w:firstLineChars="150"/>
        <w:rPr>
          <w:rFonts w:ascii="宋体" w:hAnsi="宋体"/>
          <w:sz w:val="24"/>
          <w:szCs w:val="24"/>
          <w:highlight w:val="none"/>
        </w:rPr>
      </w:pPr>
      <w:r>
        <w:rPr>
          <w:rFonts w:ascii="宋体" w:hAnsi="宋体"/>
          <w:sz w:val="24"/>
          <w:szCs w:val="24"/>
          <w:highlight w:val="none"/>
        </w:rPr>
        <w:t>13、《居住建筑节能检测标准》（JGJ/T 132-2009）；</w:t>
      </w:r>
    </w:p>
    <w:p w14:paraId="00EB0BF4">
      <w:pPr>
        <w:tabs>
          <w:tab w:val="left" w:pos="1155"/>
        </w:tabs>
        <w:spacing w:line="500" w:lineRule="exact"/>
        <w:ind w:firstLine="360" w:firstLineChars="150"/>
        <w:rPr>
          <w:rFonts w:ascii="宋体" w:hAnsi="宋体"/>
          <w:sz w:val="24"/>
          <w:szCs w:val="24"/>
          <w:highlight w:val="none"/>
        </w:rPr>
      </w:pPr>
      <w:r>
        <w:rPr>
          <w:rFonts w:ascii="宋体" w:hAnsi="宋体"/>
          <w:sz w:val="24"/>
          <w:szCs w:val="24"/>
          <w:highlight w:val="none"/>
        </w:rPr>
        <w:t>14、《照明测量方法》（GB/T 5700-2008）；</w:t>
      </w:r>
    </w:p>
    <w:p w14:paraId="32CBDA9A">
      <w:pPr>
        <w:tabs>
          <w:tab w:val="left" w:pos="1155"/>
        </w:tabs>
        <w:spacing w:line="500" w:lineRule="exact"/>
        <w:ind w:firstLine="360" w:firstLineChars="150"/>
        <w:rPr>
          <w:rFonts w:ascii="宋体" w:hAnsi="宋体"/>
          <w:sz w:val="24"/>
          <w:szCs w:val="24"/>
          <w:highlight w:val="none"/>
        </w:rPr>
      </w:pPr>
      <w:r>
        <w:rPr>
          <w:rFonts w:ascii="宋体" w:hAnsi="宋体"/>
          <w:sz w:val="24"/>
          <w:szCs w:val="24"/>
          <w:highlight w:val="none"/>
        </w:rPr>
        <w:t>15、《风机盘管机组》（GB/T 19232-2019）；</w:t>
      </w:r>
    </w:p>
    <w:p w14:paraId="489B228B">
      <w:pPr>
        <w:tabs>
          <w:tab w:val="left" w:pos="1155"/>
        </w:tabs>
        <w:spacing w:line="500" w:lineRule="exact"/>
        <w:ind w:firstLine="360" w:firstLineChars="150"/>
        <w:rPr>
          <w:rFonts w:ascii="宋体" w:hAnsi="宋体"/>
          <w:sz w:val="24"/>
          <w:szCs w:val="24"/>
          <w:highlight w:val="none"/>
        </w:rPr>
      </w:pPr>
      <w:r>
        <w:rPr>
          <w:rFonts w:ascii="宋体" w:hAnsi="宋体"/>
          <w:sz w:val="24"/>
          <w:szCs w:val="24"/>
          <w:highlight w:val="none"/>
        </w:rPr>
        <w:t>16、《建筑设计防火规范》（GB 50016-2014）</w:t>
      </w:r>
    </w:p>
    <w:p w14:paraId="1699DE68">
      <w:pPr>
        <w:tabs>
          <w:tab w:val="left" w:pos="1155"/>
        </w:tabs>
        <w:spacing w:line="500" w:lineRule="exact"/>
        <w:ind w:firstLine="360" w:firstLineChars="150"/>
        <w:rPr>
          <w:rFonts w:ascii="宋体" w:hAnsi="宋体"/>
          <w:sz w:val="24"/>
          <w:szCs w:val="24"/>
          <w:highlight w:val="none"/>
        </w:rPr>
      </w:pPr>
      <w:r>
        <w:rPr>
          <w:rFonts w:ascii="宋体" w:hAnsi="宋体"/>
          <w:sz w:val="24"/>
          <w:szCs w:val="24"/>
          <w:highlight w:val="none"/>
        </w:rPr>
        <w:t>17、《自动喷水灭火系统设计规范》（GB 50084-2017）；</w:t>
      </w:r>
    </w:p>
    <w:p w14:paraId="4AD7555F">
      <w:pPr>
        <w:tabs>
          <w:tab w:val="left" w:pos="1155"/>
        </w:tabs>
        <w:spacing w:line="500" w:lineRule="exact"/>
        <w:ind w:firstLine="360" w:firstLineChars="150"/>
        <w:rPr>
          <w:rFonts w:ascii="宋体" w:hAnsi="宋体"/>
          <w:sz w:val="24"/>
          <w:szCs w:val="24"/>
          <w:highlight w:val="none"/>
        </w:rPr>
      </w:pPr>
      <w:r>
        <w:rPr>
          <w:rFonts w:ascii="宋体" w:hAnsi="宋体"/>
          <w:sz w:val="24"/>
          <w:szCs w:val="24"/>
          <w:highlight w:val="none"/>
        </w:rPr>
        <w:t>18、《自动喷水灭火系统施工及验收规范》（GB 50261-2017）；</w:t>
      </w:r>
    </w:p>
    <w:p w14:paraId="44D7C659">
      <w:pPr>
        <w:tabs>
          <w:tab w:val="left" w:pos="1155"/>
        </w:tabs>
        <w:spacing w:line="500" w:lineRule="exact"/>
        <w:ind w:firstLine="360" w:firstLineChars="150"/>
        <w:rPr>
          <w:rFonts w:ascii="宋体" w:hAnsi="宋体"/>
          <w:sz w:val="24"/>
          <w:szCs w:val="24"/>
          <w:highlight w:val="none"/>
        </w:rPr>
      </w:pPr>
      <w:r>
        <w:rPr>
          <w:rFonts w:ascii="宋体" w:hAnsi="宋体"/>
          <w:sz w:val="24"/>
          <w:szCs w:val="24"/>
          <w:highlight w:val="none"/>
        </w:rPr>
        <w:t>19、《火灾自动报警系统施工及验收标准》（GB 50166-2019）；</w:t>
      </w:r>
    </w:p>
    <w:p w14:paraId="31A3635B">
      <w:pPr>
        <w:tabs>
          <w:tab w:val="left" w:pos="1155"/>
        </w:tabs>
        <w:spacing w:line="500" w:lineRule="exact"/>
        <w:ind w:firstLine="360" w:firstLineChars="150"/>
        <w:rPr>
          <w:rFonts w:ascii="宋体" w:hAnsi="宋体"/>
          <w:sz w:val="24"/>
          <w:szCs w:val="24"/>
          <w:highlight w:val="none"/>
        </w:rPr>
      </w:pPr>
      <w:r>
        <w:rPr>
          <w:rFonts w:ascii="宋体" w:hAnsi="宋体"/>
          <w:sz w:val="24"/>
          <w:szCs w:val="24"/>
          <w:highlight w:val="none"/>
        </w:rPr>
        <w:t>20、《火灾自动报警系统设计规范》（GB 50116-2013）；</w:t>
      </w:r>
    </w:p>
    <w:p w14:paraId="2EB5D2E0">
      <w:pPr>
        <w:tabs>
          <w:tab w:val="left" w:pos="1155"/>
        </w:tabs>
        <w:spacing w:line="500" w:lineRule="exact"/>
        <w:ind w:firstLine="360" w:firstLineChars="150"/>
        <w:rPr>
          <w:rFonts w:ascii="宋体" w:hAnsi="宋体"/>
          <w:sz w:val="24"/>
          <w:szCs w:val="24"/>
          <w:highlight w:val="none"/>
        </w:rPr>
      </w:pPr>
      <w:r>
        <w:rPr>
          <w:rFonts w:ascii="宋体" w:hAnsi="宋体"/>
          <w:sz w:val="24"/>
          <w:szCs w:val="24"/>
          <w:highlight w:val="none"/>
        </w:rPr>
        <w:t>21、《消防应急照明和疏散指示系统》（GB 17945-2010）；</w:t>
      </w:r>
    </w:p>
    <w:p w14:paraId="0D0B29A7">
      <w:pPr>
        <w:tabs>
          <w:tab w:val="left" w:pos="1155"/>
        </w:tabs>
        <w:spacing w:line="500" w:lineRule="exact"/>
        <w:ind w:firstLine="360" w:firstLineChars="150"/>
        <w:rPr>
          <w:rFonts w:ascii="宋体" w:hAnsi="宋体"/>
          <w:sz w:val="24"/>
          <w:szCs w:val="24"/>
          <w:highlight w:val="none"/>
        </w:rPr>
      </w:pPr>
      <w:r>
        <w:rPr>
          <w:rFonts w:ascii="宋体" w:hAnsi="宋体"/>
          <w:sz w:val="24"/>
          <w:szCs w:val="24"/>
          <w:highlight w:val="none"/>
        </w:rPr>
        <w:t>22、《综合布线系统工程验收规范》（GB/T 50312-2016）；</w:t>
      </w:r>
    </w:p>
    <w:p w14:paraId="63DF2795">
      <w:pPr>
        <w:tabs>
          <w:tab w:val="left" w:pos="1155"/>
        </w:tabs>
        <w:spacing w:line="500" w:lineRule="exact"/>
        <w:ind w:firstLine="360" w:firstLineChars="150"/>
        <w:rPr>
          <w:rFonts w:ascii="宋体" w:hAnsi="宋体"/>
          <w:sz w:val="24"/>
          <w:szCs w:val="24"/>
          <w:highlight w:val="none"/>
        </w:rPr>
      </w:pPr>
      <w:r>
        <w:rPr>
          <w:rFonts w:ascii="宋体" w:hAnsi="宋体"/>
          <w:sz w:val="24"/>
          <w:szCs w:val="24"/>
          <w:highlight w:val="none"/>
        </w:rPr>
        <w:t>23、《智能建筑工程检测规程》（CECS 182-2005）；</w:t>
      </w:r>
    </w:p>
    <w:p w14:paraId="0532F090">
      <w:pPr>
        <w:tabs>
          <w:tab w:val="left" w:pos="1155"/>
        </w:tabs>
        <w:spacing w:line="500" w:lineRule="exact"/>
        <w:ind w:firstLine="360" w:firstLineChars="150"/>
        <w:rPr>
          <w:rFonts w:ascii="宋体" w:hAnsi="宋体"/>
          <w:sz w:val="24"/>
          <w:szCs w:val="24"/>
          <w:highlight w:val="none"/>
        </w:rPr>
      </w:pPr>
      <w:r>
        <w:rPr>
          <w:rFonts w:ascii="宋体" w:hAnsi="宋体"/>
          <w:sz w:val="24"/>
          <w:szCs w:val="24"/>
          <w:highlight w:val="none"/>
        </w:rPr>
        <w:t>24、《安全防范工程技术标准》（GB 50348-2018）；</w:t>
      </w:r>
    </w:p>
    <w:p w14:paraId="6E8DA73A">
      <w:pPr>
        <w:tabs>
          <w:tab w:val="left" w:pos="1155"/>
        </w:tabs>
        <w:spacing w:line="500" w:lineRule="exact"/>
        <w:ind w:firstLine="360" w:firstLineChars="150"/>
        <w:rPr>
          <w:rFonts w:ascii="宋体" w:hAnsi="宋体"/>
          <w:sz w:val="24"/>
          <w:szCs w:val="24"/>
          <w:highlight w:val="none"/>
        </w:rPr>
      </w:pPr>
      <w:r>
        <w:rPr>
          <w:rFonts w:ascii="宋体" w:hAnsi="宋体"/>
          <w:sz w:val="24"/>
          <w:szCs w:val="24"/>
          <w:highlight w:val="none"/>
        </w:rPr>
        <w:t>25、《民用闭路监视电视系统工程技术规范》（GB 50198-2011）；</w:t>
      </w:r>
    </w:p>
    <w:p w14:paraId="33666752">
      <w:pPr>
        <w:tabs>
          <w:tab w:val="left" w:pos="1155"/>
        </w:tabs>
        <w:spacing w:line="500" w:lineRule="exact"/>
        <w:ind w:firstLine="360" w:firstLineChars="150"/>
        <w:rPr>
          <w:rFonts w:ascii="宋体" w:hAnsi="宋体"/>
          <w:sz w:val="24"/>
          <w:szCs w:val="24"/>
          <w:highlight w:val="none"/>
        </w:rPr>
      </w:pPr>
      <w:r>
        <w:rPr>
          <w:rFonts w:ascii="宋体" w:hAnsi="宋体"/>
          <w:sz w:val="24"/>
          <w:szCs w:val="24"/>
          <w:highlight w:val="none"/>
        </w:rPr>
        <w:t>26、《电子巡查系统技术要求》（GA/T 644-2006）；</w:t>
      </w:r>
    </w:p>
    <w:p w14:paraId="5FB37BB6">
      <w:pPr>
        <w:tabs>
          <w:tab w:val="left" w:pos="1155"/>
        </w:tabs>
        <w:spacing w:line="500" w:lineRule="exact"/>
        <w:ind w:firstLine="360" w:firstLineChars="150"/>
        <w:rPr>
          <w:rFonts w:ascii="宋体" w:hAnsi="宋体"/>
          <w:sz w:val="24"/>
          <w:szCs w:val="24"/>
          <w:highlight w:val="none"/>
        </w:rPr>
      </w:pPr>
      <w:r>
        <w:rPr>
          <w:rFonts w:ascii="宋体" w:hAnsi="宋体"/>
          <w:sz w:val="24"/>
          <w:szCs w:val="24"/>
          <w:highlight w:val="none"/>
        </w:rPr>
        <w:t>27、《基于以太网技术的局域网（LAN）系统验收测试方法》（GB/T 21671-2018）；</w:t>
      </w:r>
    </w:p>
    <w:p w14:paraId="6562B9B5">
      <w:pPr>
        <w:tabs>
          <w:tab w:val="left" w:pos="1155"/>
        </w:tabs>
        <w:spacing w:line="500" w:lineRule="exact"/>
        <w:ind w:firstLine="360" w:firstLineChars="150"/>
        <w:rPr>
          <w:rFonts w:ascii="宋体" w:hAnsi="宋体"/>
          <w:sz w:val="24"/>
          <w:szCs w:val="24"/>
          <w:highlight w:val="none"/>
        </w:rPr>
      </w:pPr>
      <w:r>
        <w:rPr>
          <w:rFonts w:ascii="宋体" w:hAnsi="宋体"/>
          <w:sz w:val="24"/>
          <w:szCs w:val="24"/>
          <w:highlight w:val="none"/>
        </w:rPr>
        <w:t>28、《出入口控制系统技术要求》（GA/T 394-2002）；</w:t>
      </w:r>
    </w:p>
    <w:p w14:paraId="0ACB50BE">
      <w:pPr>
        <w:tabs>
          <w:tab w:val="left" w:pos="1155"/>
        </w:tabs>
        <w:spacing w:line="500" w:lineRule="exact"/>
        <w:ind w:firstLine="360" w:firstLineChars="150"/>
        <w:rPr>
          <w:rFonts w:ascii="宋体" w:hAnsi="宋体"/>
          <w:sz w:val="24"/>
          <w:szCs w:val="24"/>
          <w:highlight w:val="none"/>
        </w:rPr>
      </w:pPr>
      <w:r>
        <w:rPr>
          <w:rFonts w:ascii="宋体" w:hAnsi="宋体"/>
          <w:sz w:val="24"/>
          <w:szCs w:val="24"/>
          <w:highlight w:val="none"/>
        </w:rPr>
        <w:t>29、《厅堂扩声特性测量方法》（GB/T 4959-2011）；</w:t>
      </w:r>
    </w:p>
    <w:p w14:paraId="369839AE">
      <w:pPr>
        <w:tabs>
          <w:tab w:val="left" w:pos="1155"/>
        </w:tabs>
        <w:spacing w:line="500" w:lineRule="exact"/>
        <w:ind w:firstLine="360" w:firstLineChars="150"/>
        <w:rPr>
          <w:rFonts w:ascii="宋体" w:hAnsi="宋体"/>
          <w:sz w:val="24"/>
          <w:szCs w:val="24"/>
          <w:highlight w:val="none"/>
        </w:rPr>
      </w:pPr>
      <w:r>
        <w:rPr>
          <w:rFonts w:ascii="宋体" w:hAnsi="宋体"/>
          <w:sz w:val="24"/>
          <w:szCs w:val="24"/>
          <w:highlight w:val="none"/>
        </w:rPr>
        <w:t>30、《视频显示系统工程测量规范》（GB/T 50525-2010）；</w:t>
      </w:r>
    </w:p>
    <w:p w14:paraId="13E9366B">
      <w:pPr>
        <w:tabs>
          <w:tab w:val="left" w:pos="1155"/>
        </w:tabs>
        <w:spacing w:line="500" w:lineRule="exact"/>
        <w:ind w:firstLine="360" w:firstLineChars="150"/>
        <w:rPr>
          <w:rFonts w:ascii="宋体" w:hAnsi="宋体"/>
          <w:sz w:val="24"/>
          <w:szCs w:val="24"/>
          <w:highlight w:val="none"/>
        </w:rPr>
      </w:pPr>
      <w:r>
        <w:rPr>
          <w:rFonts w:ascii="宋体" w:hAnsi="宋体"/>
          <w:sz w:val="24"/>
          <w:szCs w:val="24"/>
          <w:highlight w:val="none"/>
        </w:rPr>
        <w:t>31、《发光二极管（LED）显示屏测试方法》（SJ/T 11281-2017）；</w:t>
      </w:r>
    </w:p>
    <w:p w14:paraId="7162E6D1">
      <w:pPr>
        <w:tabs>
          <w:tab w:val="left" w:pos="1155"/>
        </w:tabs>
        <w:spacing w:line="500" w:lineRule="exact"/>
        <w:ind w:firstLine="360" w:firstLineChars="150"/>
        <w:rPr>
          <w:rFonts w:ascii="宋体" w:hAnsi="宋体"/>
          <w:sz w:val="24"/>
          <w:szCs w:val="24"/>
          <w:highlight w:val="none"/>
        </w:rPr>
      </w:pPr>
      <w:r>
        <w:rPr>
          <w:rFonts w:ascii="宋体" w:hAnsi="宋体"/>
          <w:sz w:val="24"/>
          <w:szCs w:val="24"/>
          <w:highlight w:val="none"/>
        </w:rPr>
        <w:t>32、《计算机场地通用规范》（GB/T 2887-2011）；</w:t>
      </w:r>
    </w:p>
    <w:p w14:paraId="4D4AC8D0">
      <w:pPr>
        <w:tabs>
          <w:tab w:val="left" w:pos="1155"/>
        </w:tabs>
        <w:spacing w:line="500" w:lineRule="exact"/>
        <w:ind w:firstLine="360" w:firstLineChars="150"/>
        <w:rPr>
          <w:rFonts w:ascii="宋体" w:hAnsi="宋体"/>
          <w:sz w:val="24"/>
          <w:szCs w:val="24"/>
          <w:highlight w:val="none"/>
        </w:rPr>
      </w:pPr>
      <w:r>
        <w:rPr>
          <w:rFonts w:ascii="宋体" w:hAnsi="宋体"/>
          <w:sz w:val="24"/>
          <w:szCs w:val="24"/>
          <w:highlight w:val="none"/>
        </w:rPr>
        <w:t>33、《数据中心基础设施施工及验收规范》（GB 50462-2015）；</w:t>
      </w:r>
    </w:p>
    <w:p w14:paraId="796B362C">
      <w:pPr>
        <w:tabs>
          <w:tab w:val="left" w:pos="1155"/>
        </w:tabs>
        <w:spacing w:line="500" w:lineRule="exact"/>
        <w:ind w:firstLine="360" w:firstLineChars="150"/>
        <w:rPr>
          <w:rFonts w:ascii="宋体" w:hAnsi="宋体"/>
          <w:sz w:val="24"/>
          <w:szCs w:val="24"/>
          <w:highlight w:val="none"/>
        </w:rPr>
      </w:pPr>
      <w:r>
        <w:rPr>
          <w:rFonts w:ascii="宋体" w:hAnsi="宋体"/>
          <w:sz w:val="24"/>
          <w:szCs w:val="24"/>
          <w:highlight w:val="none"/>
        </w:rPr>
        <w:t>34、《数据中心设计规范》（GB 50174-2017）；</w:t>
      </w:r>
    </w:p>
    <w:p w14:paraId="1C271EB1">
      <w:pPr>
        <w:tabs>
          <w:tab w:val="left" w:pos="1155"/>
        </w:tabs>
        <w:spacing w:line="500" w:lineRule="exact"/>
        <w:ind w:firstLine="360" w:firstLineChars="150"/>
        <w:rPr>
          <w:rFonts w:ascii="宋体" w:hAnsi="宋体"/>
          <w:sz w:val="24"/>
          <w:szCs w:val="24"/>
          <w:highlight w:val="none"/>
        </w:rPr>
      </w:pPr>
      <w:r>
        <w:rPr>
          <w:rFonts w:ascii="宋体" w:hAnsi="宋体"/>
          <w:sz w:val="24"/>
          <w:szCs w:val="24"/>
          <w:highlight w:val="none"/>
        </w:rPr>
        <w:t>35、《住宅区和住宅建筑内光纤到户通信设施工程施工及验收规范》（GB50847-2012）；</w:t>
      </w:r>
    </w:p>
    <w:p w14:paraId="200C13C5">
      <w:pPr>
        <w:tabs>
          <w:tab w:val="left" w:pos="1155"/>
        </w:tabs>
        <w:spacing w:line="500" w:lineRule="exact"/>
        <w:ind w:firstLine="360" w:firstLineChars="150"/>
        <w:rPr>
          <w:rFonts w:ascii="宋体" w:hAnsi="宋体"/>
          <w:sz w:val="24"/>
          <w:szCs w:val="24"/>
          <w:highlight w:val="none"/>
        </w:rPr>
      </w:pPr>
      <w:r>
        <w:rPr>
          <w:rFonts w:ascii="宋体" w:hAnsi="宋体"/>
          <w:sz w:val="24"/>
          <w:szCs w:val="24"/>
          <w:highlight w:val="none"/>
        </w:rPr>
        <w:t xml:space="preserve">36、《光纤试验方法规范 </w:t>
      </w:r>
      <w:r>
        <w:rPr>
          <w:rFonts w:hint="eastAsia" w:ascii="宋体" w:hAnsi="宋体"/>
          <w:sz w:val="24"/>
          <w:szCs w:val="24"/>
          <w:highlight w:val="none"/>
        </w:rPr>
        <w:t>第</w:t>
      </w:r>
      <w:r>
        <w:rPr>
          <w:rFonts w:ascii="宋体" w:hAnsi="宋体"/>
          <w:sz w:val="24"/>
          <w:szCs w:val="24"/>
          <w:highlight w:val="none"/>
        </w:rPr>
        <w:t xml:space="preserve">22部分：尺寸参数的测量方法和试验程序 </w:t>
      </w:r>
      <w:r>
        <w:rPr>
          <w:rFonts w:hint="eastAsia" w:ascii="宋体" w:hAnsi="宋体"/>
          <w:sz w:val="24"/>
          <w:szCs w:val="24"/>
          <w:highlight w:val="none"/>
        </w:rPr>
        <w:t>长度》（</w:t>
      </w:r>
      <w:r>
        <w:rPr>
          <w:rFonts w:ascii="宋体" w:hAnsi="宋体"/>
          <w:sz w:val="24"/>
          <w:szCs w:val="24"/>
          <w:highlight w:val="none"/>
        </w:rPr>
        <w:t>GB/T 15972.22-2008）；</w:t>
      </w:r>
    </w:p>
    <w:p w14:paraId="4ECF4FF2">
      <w:pPr>
        <w:tabs>
          <w:tab w:val="left" w:pos="1155"/>
        </w:tabs>
        <w:spacing w:line="500" w:lineRule="exact"/>
        <w:ind w:firstLine="360" w:firstLineChars="150"/>
        <w:rPr>
          <w:rFonts w:ascii="宋体" w:hAnsi="宋体"/>
          <w:sz w:val="24"/>
          <w:szCs w:val="24"/>
          <w:highlight w:val="none"/>
        </w:rPr>
      </w:pPr>
      <w:r>
        <w:rPr>
          <w:rFonts w:ascii="宋体" w:hAnsi="宋体"/>
          <w:sz w:val="24"/>
          <w:szCs w:val="24"/>
          <w:highlight w:val="none"/>
        </w:rPr>
        <w:t xml:space="preserve">37、《光纤试验方法规范 </w:t>
      </w:r>
      <w:r>
        <w:rPr>
          <w:rFonts w:hint="eastAsia" w:ascii="宋体" w:hAnsi="宋体"/>
          <w:sz w:val="24"/>
          <w:szCs w:val="24"/>
          <w:highlight w:val="none"/>
        </w:rPr>
        <w:t>第</w:t>
      </w:r>
      <w:r>
        <w:rPr>
          <w:rFonts w:ascii="宋体" w:hAnsi="宋体"/>
          <w:sz w:val="24"/>
          <w:szCs w:val="24"/>
          <w:highlight w:val="none"/>
        </w:rPr>
        <w:t xml:space="preserve">40部分：传输特性和光学特性的测量方法和试验程序 </w:t>
      </w:r>
      <w:r>
        <w:rPr>
          <w:rFonts w:hint="eastAsia" w:ascii="宋体" w:hAnsi="宋体"/>
          <w:sz w:val="24"/>
          <w:szCs w:val="24"/>
          <w:highlight w:val="none"/>
        </w:rPr>
        <w:t>衰减》（</w:t>
      </w:r>
      <w:r>
        <w:rPr>
          <w:rFonts w:ascii="宋体" w:hAnsi="宋体"/>
          <w:sz w:val="24"/>
          <w:szCs w:val="24"/>
          <w:highlight w:val="none"/>
        </w:rPr>
        <w:t>GB/T 15972.40-2008）；</w:t>
      </w:r>
    </w:p>
    <w:p w14:paraId="22868C65">
      <w:pPr>
        <w:tabs>
          <w:tab w:val="left" w:pos="1155"/>
        </w:tabs>
        <w:spacing w:line="500" w:lineRule="exact"/>
        <w:ind w:firstLine="360" w:firstLineChars="150"/>
        <w:rPr>
          <w:rFonts w:ascii="宋体" w:hAnsi="宋体"/>
          <w:sz w:val="24"/>
          <w:szCs w:val="24"/>
          <w:highlight w:val="none"/>
        </w:rPr>
      </w:pPr>
      <w:r>
        <w:rPr>
          <w:rFonts w:ascii="宋体" w:hAnsi="宋体"/>
          <w:sz w:val="24"/>
          <w:szCs w:val="24"/>
          <w:highlight w:val="none"/>
        </w:rPr>
        <w:t>38、《住宅区和住宅建筑内光纤到户通信设施工程设计规范》（GB 50846-2012）；</w:t>
      </w:r>
    </w:p>
    <w:p w14:paraId="177055DB">
      <w:pPr>
        <w:tabs>
          <w:tab w:val="left" w:pos="1155"/>
        </w:tabs>
        <w:spacing w:line="500" w:lineRule="exact"/>
        <w:ind w:firstLine="360" w:firstLineChars="150"/>
        <w:rPr>
          <w:rFonts w:ascii="宋体" w:hAnsi="宋体"/>
          <w:sz w:val="24"/>
          <w:szCs w:val="24"/>
          <w:highlight w:val="none"/>
        </w:rPr>
      </w:pPr>
      <w:r>
        <w:rPr>
          <w:rFonts w:ascii="宋体" w:hAnsi="宋体"/>
          <w:sz w:val="24"/>
          <w:szCs w:val="24"/>
          <w:highlight w:val="none"/>
        </w:rPr>
        <w:t>39、《民用建筑隔声设计规范》（GB 50118-2010）；</w:t>
      </w:r>
    </w:p>
    <w:p w14:paraId="00840A3B">
      <w:pPr>
        <w:tabs>
          <w:tab w:val="left" w:pos="1155"/>
        </w:tabs>
        <w:spacing w:line="500" w:lineRule="exact"/>
        <w:ind w:firstLine="360" w:firstLineChars="150"/>
        <w:rPr>
          <w:rFonts w:ascii="宋体" w:hAnsi="宋体"/>
          <w:sz w:val="24"/>
          <w:szCs w:val="24"/>
          <w:highlight w:val="none"/>
        </w:rPr>
      </w:pPr>
      <w:r>
        <w:rPr>
          <w:rFonts w:ascii="宋体" w:hAnsi="宋体"/>
          <w:sz w:val="24"/>
          <w:szCs w:val="24"/>
          <w:highlight w:val="none"/>
        </w:rPr>
        <w:t>40、《声环境质量标准》（GB 3096-2008）；</w:t>
      </w:r>
    </w:p>
    <w:p w14:paraId="5F3E6C15">
      <w:pPr>
        <w:tabs>
          <w:tab w:val="left" w:pos="1155"/>
        </w:tabs>
        <w:spacing w:line="500" w:lineRule="exact"/>
        <w:ind w:firstLine="360" w:firstLineChars="150"/>
        <w:rPr>
          <w:rFonts w:ascii="宋体" w:hAnsi="宋体"/>
          <w:sz w:val="24"/>
          <w:szCs w:val="24"/>
          <w:highlight w:val="none"/>
        </w:rPr>
      </w:pPr>
      <w:r>
        <w:rPr>
          <w:rFonts w:ascii="宋体" w:hAnsi="宋体"/>
          <w:sz w:val="24"/>
          <w:szCs w:val="24"/>
          <w:highlight w:val="none"/>
        </w:rPr>
        <w:t>41、《建筑环境通用规范》（GB 55016-2021）；</w:t>
      </w:r>
    </w:p>
    <w:p w14:paraId="1CEF9A73">
      <w:pPr>
        <w:tabs>
          <w:tab w:val="left" w:pos="1155"/>
        </w:tabs>
        <w:spacing w:line="500" w:lineRule="exact"/>
        <w:ind w:firstLine="360" w:firstLineChars="150"/>
        <w:rPr>
          <w:rFonts w:ascii="宋体" w:hAnsi="宋体"/>
          <w:sz w:val="24"/>
          <w:szCs w:val="24"/>
          <w:highlight w:val="none"/>
        </w:rPr>
      </w:pPr>
      <w:r>
        <w:rPr>
          <w:rFonts w:ascii="宋体" w:hAnsi="宋体"/>
          <w:sz w:val="24"/>
          <w:szCs w:val="24"/>
          <w:highlight w:val="none"/>
        </w:rPr>
        <w:t>42、《园林绿化木本苗》（CJ/T 24-2018）；</w:t>
      </w:r>
    </w:p>
    <w:p w14:paraId="2D0C28F7">
      <w:pPr>
        <w:tabs>
          <w:tab w:val="left" w:pos="1155"/>
        </w:tabs>
        <w:spacing w:line="500" w:lineRule="exact"/>
        <w:ind w:firstLine="360" w:firstLineChars="150"/>
        <w:rPr>
          <w:rFonts w:ascii="宋体" w:hAnsi="宋体"/>
          <w:sz w:val="24"/>
          <w:szCs w:val="24"/>
          <w:highlight w:val="none"/>
        </w:rPr>
      </w:pPr>
      <w:r>
        <w:rPr>
          <w:rFonts w:ascii="宋体" w:hAnsi="宋体"/>
          <w:sz w:val="24"/>
          <w:szCs w:val="24"/>
          <w:highlight w:val="none"/>
        </w:rPr>
        <w:t>43、《园林绿化工程施工及验收规范》（CJJ 82-2012）；</w:t>
      </w:r>
    </w:p>
    <w:p w14:paraId="31C97E50">
      <w:pPr>
        <w:tabs>
          <w:tab w:val="left" w:pos="1155"/>
        </w:tabs>
        <w:spacing w:line="500" w:lineRule="exact"/>
        <w:ind w:firstLine="360" w:firstLineChars="150"/>
        <w:rPr>
          <w:rFonts w:ascii="宋体" w:hAnsi="宋体"/>
          <w:sz w:val="24"/>
          <w:szCs w:val="24"/>
          <w:highlight w:val="none"/>
        </w:rPr>
      </w:pPr>
      <w:r>
        <w:rPr>
          <w:rFonts w:ascii="宋体" w:hAnsi="宋体"/>
          <w:sz w:val="24"/>
          <w:szCs w:val="24"/>
          <w:highlight w:val="none"/>
        </w:rPr>
        <w:t>44、《有机肥料》（NY/T 525-2021）；</w:t>
      </w:r>
    </w:p>
    <w:p w14:paraId="2ECE7C01">
      <w:pPr>
        <w:tabs>
          <w:tab w:val="left" w:pos="1155"/>
        </w:tabs>
        <w:spacing w:line="500" w:lineRule="exact"/>
        <w:ind w:firstLine="360" w:firstLineChars="150"/>
        <w:rPr>
          <w:rFonts w:ascii="宋体" w:hAnsi="宋体"/>
          <w:sz w:val="24"/>
          <w:szCs w:val="24"/>
          <w:highlight w:val="none"/>
        </w:rPr>
      </w:pPr>
      <w:r>
        <w:rPr>
          <w:rFonts w:ascii="宋体" w:hAnsi="宋体"/>
          <w:sz w:val="24"/>
          <w:szCs w:val="24"/>
          <w:highlight w:val="none"/>
        </w:rPr>
        <w:t>45、广东标准《建筑防火及消防设施检测技术规程》（DBJ/T15-110-2015）；</w:t>
      </w:r>
    </w:p>
    <w:p w14:paraId="4772A6E7">
      <w:pPr>
        <w:tabs>
          <w:tab w:val="left" w:pos="1155"/>
        </w:tabs>
        <w:spacing w:line="500" w:lineRule="exact"/>
        <w:ind w:firstLine="360" w:firstLineChars="150"/>
        <w:rPr>
          <w:rFonts w:ascii="宋体" w:hAnsi="宋体"/>
          <w:sz w:val="24"/>
          <w:szCs w:val="24"/>
          <w:highlight w:val="none"/>
        </w:rPr>
      </w:pPr>
      <w:r>
        <w:rPr>
          <w:rFonts w:ascii="宋体" w:hAnsi="宋体"/>
          <w:sz w:val="24"/>
          <w:szCs w:val="24"/>
          <w:highlight w:val="none"/>
        </w:rPr>
        <w:t>46、广东标准《广东省建筑节能与绿色建筑工程施工质量验收规范》（DBJ15-65-2021）；</w:t>
      </w:r>
    </w:p>
    <w:p w14:paraId="20D08303">
      <w:pPr>
        <w:tabs>
          <w:tab w:val="left" w:pos="1155"/>
        </w:tabs>
        <w:spacing w:line="500" w:lineRule="exact"/>
        <w:ind w:firstLine="360" w:firstLineChars="150"/>
        <w:rPr>
          <w:rFonts w:ascii="宋体" w:hAnsi="宋体"/>
          <w:sz w:val="24"/>
          <w:szCs w:val="24"/>
          <w:highlight w:val="none"/>
        </w:rPr>
      </w:pPr>
      <w:r>
        <w:rPr>
          <w:rFonts w:ascii="宋体" w:hAnsi="宋体"/>
          <w:sz w:val="24"/>
          <w:szCs w:val="24"/>
          <w:highlight w:val="none"/>
        </w:rPr>
        <w:t>47、广州市标准《园林绿化植物材料》（DB4401/T 37-2019）；</w:t>
      </w:r>
    </w:p>
    <w:p w14:paraId="73E2F71C">
      <w:pPr>
        <w:tabs>
          <w:tab w:val="left" w:pos="1155"/>
        </w:tabs>
        <w:spacing w:line="500" w:lineRule="exact"/>
        <w:ind w:firstLine="360" w:firstLineChars="150"/>
        <w:rPr>
          <w:rFonts w:ascii="宋体" w:hAnsi="宋体"/>
          <w:sz w:val="24"/>
          <w:szCs w:val="24"/>
          <w:highlight w:val="none"/>
        </w:rPr>
      </w:pPr>
      <w:r>
        <w:rPr>
          <w:rFonts w:ascii="宋体" w:hAnsi="宋体"/>
          <w:sz w:val="24"/>
          <w:szCs w:val="24"/>
          <w:highlight w:val="none"/>
        </w:rPr>
        <w:t>48、广州市标准《城市绿化工程施工和验收规范》（DB440100/T114-2007）；</w:t>
      </w:r>
    </w:p>
    <w:p w14:paraId="1B9FC6BD">
      <w:pPr>
        <w:spacing w:line="360" w:lineRule="auto"/>
        <w:ind w:firstLine="480" w:firstLineChars="200"/>
        <w:rPr>
          <w:rFonts w:ascii="宋体" w:hAnsi="宋体"/>
          <w:sz w:val="24"/>
          <w:szCs w:val="24"/>
          <w:highlight w:val="none"/>
        </w:rPr>
      </w:pPr>
      <w:r>
        <w:rPr>
          <w:rFonts w:ascii="宋体" w:hAnsi="宋体"/>
          <w:sz w:val="24"/>
          <w:szCs w:val="24"/>
          <w:highlight w:val="none"/>
        </w:rPr>
        <w:t>49、国家和广东省、广州市、黄埔区、开发区其他有关检测的法律、法规、规章、规范及标准。实际检测依据以实施检测时国家及地方发布的最新规范、标准及规定为准。</w:t>
      </w:r>
    </w:p>
    <w:p w14:paraId="56AB636D">
      <w:pPr>
        <w:spacing w:line="360" w:lineRule="auto"/>
        <w:ind w:firstLine="426" w:firstLineChars="177"/>
        <w:rPr>
          <w:rFonts w:ascii="宋体" w:hAnsi="宋体"/>
          <w:sz w:val="24"/>
          <w:szCs w:val="24"/>
          <w:highlight w:val="none"/>
        </w:rPr>
      </w:pPr>
      <w:r>
        <w:rPr>
          <w:rFonts w:hint="eastAsia" w:ascii="宋体" w:hAnsi="宋体"/>
          <w:b/>
          <w:sz w:val="24"/>
          <w:szCs w:val="24"/>
          <w:highlight w:val="none"/>
        </w:rPr>
        <w:t>4.服务要求：</w:t>
      </w:r>
    </w:p>
    <w:p w14:paraId="40A45A64">
      <w:pPr>
        <w:spacing w:line="360" w:lineRule="auto"/>
        <w:ind w:firstLine="424" w:firstLineChars="177"/>
        <w:rPr>
          <w:rFonts w:ascii="宋体" w:hAnsi="宋体"/>
          <w:sz w:val="24"/>
          <w:szCs w:val="24"/>
          <w:highlight w:val="none"/>
        </w:rPr>
      </w:pPr>
      <w:r>
        <w:rPr>
          <w:rFonts w:hint="eastAsia" w:ascii="宋体" w:hAnsi="宋体"/>
          <w:sz w:val="24"/>
          <w:szCs w:val="24"/>
          <w:highlight w:val="none"/>
        </w:rPr>
        <w:t>（1）符合法律、行政法规及部门规章；</w:t>
      </w:r>
    </w:p>
    <w:p w14:paraId="25EC50D5">
      <w:pPr>
        <w:spacing w:line="360" w:lineRule="auto"/>
        <w:ind w:firstLine="424" w:firstLineChars="177"/>
        <w:rPr>
          <w:rFonts w:ascii="宋体" w:hAnsi="宋体"/>
          <w:sz w:val="24"/>
          <w:szCs w:val="24"/>
          <w:highlight w:val="none"/>
        </w:rPr>
      </w:pPr>
      <w:r>
        <w:rPr>
          <w:rFonts w:hint="eastAsia" w:ascii="宋体" w:hAnsi="宋体"/>
          <w:sz w:val="24"/>
          <w:szCs w:val="24"/>
          <w:highlight w:val="none"/>
        </w:rPr>
        <w:t>（2）符合本工程有关的规范、标准、规程。</w:t>
      </w:r>
    </w:p>
    <w:p w14:paraId="0582221A">
      <w:pPr>
        <w:spacing w:line="360" w:lineRule="auto"/>
        <w:ind w:firstLine="424" w:firstLineChars="177"/>
        <w:rPr>
          <w:rFonts w:ascii="宋体" w:hAnsi="宋体"/>
          <w:sz w:val="24"/>
          <w:szCs w:val="24"/>
          <w:highlight w:val="none"/>
        </w:rPr>
      </w:pPr>
      <w:r>
        <w:rPr>
          <w:rFonts w:hint="eastAsia" w:ascii="宋体" w:hAnsi="宋体"/>
          <w:sz w:val="24"/>
          <w:szCs w:val="24"/>
          <w:highlight w:val="none"/>
        </w:rPr>
        <w:t>（3）按照《中华人民共和国建筑法》、《建设工程质量检测管理办法》中华人民共和国行业标准及其它相关等规范进行检测和判定，出具完整检测报告。检测报告应经检测人员签字、检测机构法定代表人或者其授权的签字人签署，并加盖检测机构公章或者检测专用章。</w:t>
      </w:r>
    </w:p>
    <w:p w14:paraId="797E2B1B">
      <w:pPr>
        <w:spacing w:line="360" w:lineRule="auto"/>
        <w:ind w:firstLine="426" w:firstLineChars="177"/>
        <w:rPr>
          <w:rFonts w:ascii="宋体" w:hAnsi="宋体"/>
          <w:b/>
          <w:sz w:val="24"/>
          <w:szCs w:val="24"/>
          <w:highlight w:val="none"/>
        </w:rPr>
      </w:pPr>
      <w:bookmarkStart w:id="142" w:name="_Toc511557119"/>
      <w:bookmarkStart w:id="143" w:name="_Toc9843"/>
      <w:bookmarkStart w:id="144" w:name="_Toc24882"/>
      <w:r>
        <w:rPr>
          <w:rFonts w:hint="eastAsia" w:ascii="宋体" w:hAnsi="宋体"/>
          <w:b/>
          <w:sz w:val="24"/>
          <w:szCs w:val="24"/>
          <w:highlight w:val="none"/>
        </w:rPr>
        <w:t>5.委托人的其他要求</w:t>
      </w:r>
      <w:bookmarkEnd w:id="142"/>
      <w:bookmarkEnd w:id="143"/>
      <w:bookmarkEnd w:id="144"/>
      <w:r>
        <w:rPr>
          <w:rFonts w:hint="eastAsia" w:ascii="宋体" w:hAnsi="宋体"/>
          <w:b/>
          <w:sz w:val="24"/>
          <w:szCs w:val="24"/>
          <w:highlight w:val="none"/>
        </w:rPr>
        <w:t>：</w:t>
      </w:r>
    </w:p>
    <w:p w14:paraId="02242282">
      <w:pPr>
        <w:pStyle w:val="26"/>
        <w:spacing w:line="360" w:lineRule="auto"/>
        <w:ind w:firstLine="480"/>
        <w:rPr>
          <w:rFonts w:ascii="宋体" w:hAnsi="宋体"/>
          <w:sz w:val="24"/>
          <w:highlight w:val="none"/>
        </w:rPr>
      </w:pPr>
      <w:r>
        <w:rPr>
          <w:rFonts w:hint="eastAsia" w:ascii="宋体" w:hAnsi="宋体"/>
          <w:sz w:val="24"/>
          <w:highlight w:val="none"/>
        </w:rPr>
        <w:t>1.本项目实施期间，如果因本项目施工质量抽查监督及验收需要，按规范和经批准的检测方案，经招标人确认需增加检测项目，且投标人也具备相应资质，则投标人不得以任何原因拒绝为招标人提供检测，并按要求出具符合验收要求的检测报告。投标人检测资质不能涵盖的项目报招标人批准后，由投标人委托具有相应资质的第三方实施，投标人应对该第三方出具的结果负责，并取得相应管理部门的确认。</w:t>
      </w:r>
    </w:p>
    <w:p w14:paraId="70B8B49B">
      <w:pPr>
        <w:pStyle w:val="26"/>
        <w:spacing w:line="360" w:lineRule="auto"/>
        <w:ind w:firstLine="480"/>
        <w:rPr>
          <w:rFonts w:ascii="宋体" w:hAnsi="宋体"/>
          <w:sz w:val="24"/>
          <w:highlight w:val="none"/>
        </w:rPr>
      </w:pPr>
      <w:r>
        <w:rPr>
          <w:rFonts w:hint="eastAsia" w:ascii="宋体" w:hAnsi="宋体"/>
          <w:sz w:val="24"/>
          <w:highlight w:val="none"/>
        </w:rPr>
        <w:t>2.检测方案及工作量：在施工过程中，检测服务单位依据施工图及相关检测验收规范，编制检测方案和工程量清单，以满足施工质量抽查监督、各单项竣工验收、竣工验收备案及区质检站等政府职能部门要求为前提，合理编制，不可擅自虚增检测项目和工作量，否则不予结算。检测方案需报施工单位、监理单位、设计单位、勘察单位、代建单位（如有）和建设业主审核确认后方可实施，检测项目及工作量按实结算。</w:t>
      </w:r>
    </w:p>
    <w:p w14:paraId="676EE757">
      <w:pPr>
        <w:pStyle w:val="26"/>
        <w:spacing w:line="360" w:lineRule="auto"/>
        <w:ind w:firstLine="480"/>
        <w:rPr>
          <w:rFonts w:ascii="宋体" w:hAnsi="宋体"/>
          <w:sz w:val="24"/>
          <w:highlight w:val="none"/>
        </w:rPr>
      </w:pPr>
      <w:r>
        <w:rPr>
          <w:rFonts w:hint="eastAsia" w:ascii="宋体" w:hAnsi="宋体"/>
          <w:sz w:val="24"/>
          <w:highlight w:val="none"/>
        </w:rPr>
        <w:t>3.其他详见本招标文件的第一章投标人须知和本工程委托检测合同的相关约定。</w:t>
      </w:r>
    </w:p>
    <w:p w14:paraId="2F010A26">
      <w:pPr>
        <w:pStyle w:val="3"/>
        <w:rPr>
          <w:highlight w:val="none"/>
        </w:rPr>
      </w:pPr>
      <w:r>
        <w:rPr>
          <w:highlight w:val="none"/>
        </w:rPr>
        <w:br w:type="page"/>
      </w:r>
      <w:bookmarkStart w:id="145" w:name="_Toc103592034"/>
      <w:r>
        <w:rPr>
          <w:rFonts w:hint="eastAsia"/>
          <w:highlight w:val="none"/>
        </w:rPr>
        <w:t>第三卷</w:t>
      </w:r>
      <w:bookmarkEnd w:id="138"/>
      <w:bookmarkEnd w:id="145"/>
    </w:p>
    <w:p w14:paraId="1F3F949A">
      <w:pPr>
        <w:pStyle w:val="3"/>
        <w:rPr>
          <w:highlight w:val="none"/>
        </w:rPr>
      </w:pPr>
      <w:bookmarkStart w:id="146" w:name="_Toc103592035"/>
      <w:bookmarkStart w:id="147" w:name="_Toc533357327"/>
      <w:r>
        <w:rPr>
          <w:rFonts w:hint="eastAsia"/>
          <w:highlight w:val="none"/>
        </w:rPr>
        <w:t>第六章  投标文件格式</w:t>
      </w:r>
      <w:bookmarkEnd w:id="146"/>
      <w:bookmarkEnd w:id="147"/>
    </w:p>
    <w:p w14:paraId="4885FC22">
      <w:pPr>
        <w:rPr>
          <w:highlight w:val="none"/>
        </w:rPr>
      </w:pPr>
    </w:p>
    <w:p w14:paraId="290D2625">
      <w:pPr>
        <w:pStyle w:val="26"/>
        <w:rPr>
          <w:rFonts w:ascii="Calibri" w:hAnsi="Calibri"/>
          <w:highlight w:val="none"/>
        </w:rPr>
      </w:pPr>
    </w:p>
    <w:p w14:paraId="4252D550">
      <w:pPr>
        <w:jc w:val="center"/>
        <w:rPr>
          <w:rFonts w:ascii="宋体" w:hAnsi="宋体"/>
          <w:b/>
          <w:sz w:val="28"/>
          <w:szCs w:val="28"/>
          <w:highlight w:val="none"/>
        </w:rPr>
      </w:pPr>
      <w:r>
        <w:rPr>
          <w:rFonts w:hint="eastAsia" w:ascii="宋体" w:hAnsi="宋体"/>
          <w:b/>
          <w:sz w:val="28"/>
          <w:szCs w:val="28"/>
          <w:highlight w:val="none"/>
        </w:rPr>
        <w:t>目  录</w:t>
      </w:r>
    </w:p>
    <w:p w14:paraId="31E282BD">
      <w:pPr>
        <w:pStyle w:val="25"/>
        <w:tabs>
          <w:tab w:val="left" w:pos="960"/>
        </w:tabs>
        <w:spacing w:line="440" w:lineRule="exact"/>
        <w:ind w:left="960"/>
        <w:rPr>
          <w:rFonts w:ascii="宋体" w:hAnsi="宋体"/>
          <w:sz w:val="24"/>
          <w:highlight w:val="none"/>
        </w:rPr>
      </w:pPr>
      <w:bookmarkStart w:id="148" w:name="_Toc390704763"/>
      <w:bookmarkStart w:id="149" w:name="_Toc266373528"/>
      <w:r>
        <w:rPr>
          <w:rFonts w:hint="eastAsia" w:ascii="宋体" w:hAnsi="宋体"/>
          <w:sz w:val="24"/>
          <w:highlight w:val="none"/>
        </w:rPr>
        <w:t>一、投标函及其附表</w:t>
      </w:r>
    </w:p>
    <w:p w14:paraId="7EBDEFB3">
      <w:pPr>
        <w:pStyle w:val="25"/>
        <w:tabs>
          <w:tab w:val="left" w:pos="960"/>
        </w:tabs>
        <w:spacing w:line="440" w:lineRule="exact"/>
        <w:ind w:left="960"/>
        <w:rPr>
          <w:rFonts w:ascii="宋体" w:hAnsi="宋体"/>
          <w:sz w:val="24"/>
          <w:highlight w:val="none"/>
        </w:rPr>
      </w:pPr>
      <w:r>
        <w:rPr>
          <w:rFonts w:hint="eastAsia" w:ascii="宋体" w:hAnsi="宋体"/>
          <w:sz w:val="24"/>
          <w:highlight w:val="none"/>
        </w:rPr>
        <w:t>二、法定代表人证明书及授权委托书</w:t>
      </w:r>
    </w:p>
    <w:p w14:paraId="7DF854BC">
      <w:pPr>
        <w:pStyle w:val="25"/>
        <w:tabs>
          <w:tab w:val="left" w:pos="960"/>
        </w:tabs>
        <w:spacing w:line="440" w:lineRule="exact"/>
        <w:ind w:left="960"/>
        <w:rPr>
          <w:rFonts w:ascii="宋体" w:hAnsi="宋体"/>
          <w:strike/>
          <w:dstrike w:val="0"/>
          <w:sz w:val="24"/>
          <w:highlight w:val="none"/>
        </w:rPr>
      </w:pPr>
      <w:r>
        <w:rPr>
          <w:rFonts w:hint="eastAsia" w:ascii="宋体" w:hAnsi="宋体"/>
          <w:strike/>
          <w:dstrike w:val="0"/>
          <w:sz w:val="24"/>
          <w:highlight w:val="none"/>
        </w:rPr>
        <w:t>三、投标保证金</w:t>
      </w:r>
    </w:p>
    <w:p w14:paraId="4268C865">
      <w:pPr>
        <w:pStyle w:val="25"/>
        <w:tabs>
          <w:tab w:val="left" w:pos="960"/>
        </w:tabs>
        <w:spacing w:line="440" w:lineRule="exact"/>
        <w:ind w:left="960"/>
        <w:rPr>
          <w:rFonts w:ascii="宋体" w:hAnsi="宋体"/>
          <w:sz w:val="24"/>
          <w:highlight w:val="none"/>
        </w:rPr>
      </w:pPr>
      <w:r>
        <w:rPr>
          <w:rFonts w:hint="eastAsia" w:ascii="宋体" w:hAnsi="宋体"/>
          <w:sz w:val="24"/>
          <w:highlight w:val="none"/>
        </w:rPr>
        <w:t>四、投标报价书</w:t>
      </w:r>
    </w:p>
    <w:p w14:paraId="7AB6D20B">
      <w:pPr>
        <w:pStyle w:val="25"/>
        <w:tabs>
          <w:tab w:val="left" w:pos="960"/>
        </w:tabs>
        <w:spacing w:line="440" w:lineRule="exact"/>
        <w:ind w:left="960"/>
        <w:rPr>
          <w:rFonts w:ascii="宋体" w:hAnsi="宋体"/>
          <w:sz w:val="24"/>
          <w:highlight w:val="none"/>
        </w:rPr>
      </w:pPr>
      <w:r>
        <w:rPr>
          <w:rFonts w:hint="eastAsia" w:ascii="宋体" w:hAnsi="宋体"/>
          <w:sz w:val="24"/>
          <w:highlight w:val="none"/>
        </w:rPr>
        <w:t>五、资格审查资料</w:t>
      </w:r>
    </w:p>
    <w:p w14:paraId="4DD43B83">
      <w:pPr>
        <w:pStyle w:val="25"/>
        <w:tabs>
          <w:tab w:val="left" w:pos="960"/>
        </w:tabs>
        <w:spacing w:line="440" w:lineRule="exact"/>
        <w:ind w:left="960"/>
        <w:rPr>
          <w:rFonts w:ascii="宋体" w:hAnsi="宋体"/>
          <w:sz w:val="24"/>
          <w:highlight w:val="none"/>
        </w:rPr>
      </w:pPr>
      <w:r>
        <w:rPr>
          <w:rFonts w:hint="eastAsia" w:ascii="宋体" w:hAnsi="宋体"/>
          <w:sz w:val="24"/>
          <w:highlight w:val="none"/>
        </w:rPr>
        <w:t>六、类似项目情况表</w:t>
      </w:r>
    </w:p>
    <w:p w14:paraId="75759B01">
      <w:pPr>
        <w:pStyle w:val="25"/>
        <w:tabs>
          <w:tab w:val="left" w:pos="960"/>
        </w:tabs>
        <w:spacing w:line="440" w:lineRule="exact"/>
        <w:ind w:left="960"/>
        <w:rPr>
          <w:rFonts w:ascii="宋体" w:hAnsi="宋体"/>
          <w:sz w:val="24"/>
          <w:highlight w:val="none"/>
        </w:rPr>
      </w:pPr>
      <w:r>
        <w:rPr>
          <w:rFonts w:hint="eastAsia" w:ascii="宋体" w:hAnsi="宋体"/>
          <w:sz w:val="24"/>
          <w:highlight w:val="none"/>
        </w:rPr>
        <w:t>七、拟投入本项目的检测人员一览表</w:t>
      </w:r>
    </w:p>
    <w:p w14:paraId="1C9DFA53">
      <w:pPr>
        <w:pStyle w:val="25"/>
        <w:tabs>
          <w:tab w:val="left" w:pos="960"/>
        </w:tabs>
        <w:spacing w:line="440" w:lineRule="exact"/>
        <w:ind w:left="960"/>
        <w:rPr>
          <w:rFonts w:ascii="宋体" w:hAnsi="宋体"/>
          <w:sz w:val="24"/>
          <w:highlight w:val="none"/>
        </w:rPr>
      </w:pPr>
      <w:r>
        <w:rPr>
          <w:rFonts w:hint="eastAsia" w:ascii="宋体" w:hAnsi="宋体"/>
          <w:sz w:val="24"/>
          <w:highlight w:val="none"/>
        </w:rPr>
        <w:t>八、拟投入本项目的检测人员简历表</w:t>
      </w:r>
    </w:p>
    <w:p w14:paraId="458C7B86">
      <w:pPr>
        <w:pStyle w:val="25"/>
        <w:tabs>
          <w:tab w:val="left" w:pos="960"/>
        </w:tabs>
        <w:spacing w:line="440" w:lineRule="exact"/>
        <w:ind w:left="960"/>
        <w:rPr>
          <w:rFonts w:ascii="宋体" w:hAnsi="宋体"/>
          <w:sz w:val="24"/>
          <w:highlight w:val="none"/>
        </w:rPr>
      </w:pPr>
      <w:r>
        <w:rPr>
          <w:rFonts w:hint="eastAsia" w:ascii="宋体" w:hAnsi="宋体"/>
          <w:sz w:val="24"/>
          <w:highlight w:val="none"/>
        </w:rPr>
        <w:t>九、拟投入本项目的主要仪器设备一览表</w:t>
      </w:r>
    </w:p>
    <w:p w14:paraId="4A4D7E78">
      <w:pPr>
        <w:pStyle w:val="25"/>
        <w:tabs>
          <w:tab w:val="left" w:pos="960"/>
        </w:tabs>
        <w:spacing w:line="440" w:lineRule="exact"/>
        <w:ind w:left="960"/>
        <w:rPr>
          <w:rFonts w:ascii="宋体" w:hAnsi="宋体"/>
          <w:sz w:val="24"/>
          <w:highlight w:val="none"/>
        </w:rPr>
      </w:pPr>
      <w:r>
        <w:rPr>
          <w:rFonts w:hint="eastAsia" w:ascii="宋体" w:hAnsi="宋体"/>
          <w:sz w:val="24"/>
          <w:highlight w:val="none"/>
        </w:rPr>
        <w:t>十、检测方案</w:t>
      </w:r>
    </w:p>
    <w:p w14:paraId="1CE3503B">
      <w:pPr>
        <w:pStyle w:val="25"/>
        <w:tabs>
          <w:tab w:val="left" w:pos="960"/>
        </w:tabs>
        <w:spacing w:line="440" w:lineRule="exact"/>
        <w:ind w:left="960"/>
        <w:rPr>
          <w:rFonts w:ascii="宋体" w:hAnsi="宋体"/>
          <w:kern w:val="0"/>
          <w:sz w:val="18"/>
          <w:highlight w:val="none"/>
        </w:rPr>
      </w:pPr>
      <w:r>
        <w:rPr>
          <w:rFonts w:hint="eastAsia" w:ascii="宋体" w:hAnsi="宋体"/>
          <w:sz w:val="24"/>
          <w:highlight w:val="none"/>
        </w:rPr>
        <w:t>十一、其他资料</w:t>
      </w:r>
      <w:r>
        <w:rPr>
          <w:rFonts w:ascii="宋体" w:hAnsi="宋体"/>
          <w:sz w:val="24"/>
          <w:highlight w:val="none"/>
        </w:rPr>
        <w:br w:type="page"/>
      </w:r>
      <w:bookmarkEnd w:id="148"/>
    </w:p>
    <w:p w14:paraId="606843CA">
      <w:pPr>
        <w:pStyle w:val="5"/>
        <w:ind w:firstLine="3534"/>
        <w:rPr>
          <w:highlight w:val="none"/>
        </w:rPr>
      </w:pPr>
      <w:bookmarkStart w:id="150" w:name="_Toc533334219"/>
      <w:bookmarkStart w:id="151" w:name="_Toc103592036"/>
      <w:bookmarkStart w:id="152" w:name="_Toc533357328"/>
      <w:bookmarkStart w:id="153" w:name="_Toc390704764"/>
      <w:bookmarkStart w:id="154" w:name="_Toc11434"/>
      <w:r>
        <w:rPr>
          <w:rFonts w:hint="eastAsia"/>
          <w:highlight w:val="none"/>
        </w:rPr>
        <w:t>一、</w:t>
      </w:r>
      <w:bookmarkStart w:id="155" w:name="_Toc369531692"/>
      <w:bookmarkStart w:id="156" w:name="_Toc352691656"/>
      <w:bookmarkStart w:id="157" w:name="_Toc6931"/>
      <w:r>
        <w:rPr>
          <w:rFonts w:hint="eastAsia"/>
          <w:highlight w:val="none"/>
        </w:rPr>
        <w:t>投标函及其附表</w:t>
      </w:r>
      <w:bookmarkEnd w:id="150"/>
      <w:bookmarkEnd w:id="151"/>
    </w:p>
    <w:bookmarkEnd w:id="155"/>
    <w:bookmarkEnd w:id="156"/>
    <w:bookmarkEnd w:id="157"/>
    <w:p w14:paraId="744084ED">
      <w:pPr>
        <w:spacing w:line="360" w:lineRule="auto"/>
        <w:ind w:firstLine="480" w:firstLineChars="200"/>
        <w:rPr>
          <w:rFonts w:ascii="宋体" w:hAnsi="宋体"/>
          <w:sz w:val="24"/>
          <w:szCs w:val="24"/>
          <w:highlight w:val="none"/>
        </w:rPr>
      </w:pPr>
    </w:p>
    <w:p w14:paraId="2F31A2F5">
      <w:pPr>
        <w:spacing w:line="360" w:lineRule="auto"/>
        <w:ind w:firstLine="480" w:firstLineChars="200"/>
        <w:rPr>
          <w:rFonts w:ascii="宋体" w:hAnsi="宋体"/>
          <w:sz w:val="24"/>
          <w:szCs w:val="24"/>
          <w:highlight w:val="none"/>
        </w:rPr>
      </w:pPr>
      <w:r>
        <w:rPr>
          <w:rFonts w:hint="eastAsia" w:ascii="宋体" w:hAnsi="宋体"/>
          <w:sz w:val="24"/>
          <w:szCs w:val="24"/>
          <w:highlight w:val="none"/>
        </w:rPr>
        <w:t>致：</w:t>
      </w:r>
      <w:r>
        <w:rPr>
          <w:rFonts w:ascii="宋体" w:hAnsi="宋体"/>
          <w:sz w:val="24"/>
          <w:szCs w:val="24"/>
          <w:highlight w:val="none"/>
        </w:rPr>
        <w:t xml:space="preserve">  </w:t>
      </w:r>
      <w:r>
        <w:rPr>
          <w:rFonts w:ascii="宋体" w:hAnsi="宋体"/>
          <w:sz w:val="24"/>
          <w:szCs w:val="24"/>
          <w:highlight w:val="none"/>
          <w:u w:val="single"/>
        </w:rPr>
        <w:t xml:space="preserve">       </w:t>
      </w:r>
      <w:r>
        <w:rPr>
          <w:rFonts w:ascii="宋体" w:hAnsi="宋体"/>
          <w:b/>
          <w:bCs/>
          <w:sz w:val="24"/>
          <w:szCs w:val="24"/>
          <w:highlight w:val="none"/>
          <w:u w:val="single"/>
        </w:rPr>
        <w:t xml:space="preserve"> </w:t>
      </w:r>
      <w:r>
        <w:rPr>
          <w:rFonts w:hint="eastAsia" w:ascii="宋体" w:hAnsi="宋体"/>
          <w:sz w:val="24"/>
          <w:szCs w:val="24"/>
          <w:highlight w:val="none"/>
          <w:u w:val="single"/>
        </w:rPr>
        <w:t>（招标人）</w:t>
      </w:r>
      <w:r>
        <w:rPr>
          <w:rFonts w:ascii="宋体" w:hAnsi="宋体"/>
          <w:sz w:val="24"/>
          <w:szCs w:val="24"/>
          <w:highlight w:val="none"/>
          <w:u w:val="single"/>
        </w:rPr>
        <w:t xml:space="preserve">          </w:t>
      </w:r>
    </w:p>
    <w:p w14:paraId="452BB7EF">
      <w:pPr>
        <w:pStyle w:val="13"/>
        <w:spacing w:line="360" w:lineRule="auto"/>
        <w:ind w:firstLine="480" w:firstLineChars="200"/>
        <w:rPr>
          <w:rFonts w:ascii="宋体" w:hAnsi="宋体"/>
          <w:sz w:val="24"/>
          <w:szCs w:val="24"/>
          <w:highlight w:val="none"/>
        </w:rPr>
      </w:pPr>
      <w:r>
        <w:rPr>
          <w:rFonts w:ascii="宋体" w:hAnsi="宋体"/>
          <w:sz w:val="24"/>
          <w:szCs w:val="24"/>
          <w:highlight w:val="none"/>
        </w:rPr>
        <w:t xml:space="preserve">1. </w:t>
      </w:r>
      <w:r>
        <w:rPr>
          <w:rFonts w:hint="eastAsia" w:ascii="宋体" w:hAnsi="宋体"/>
          <w:sz w:val="24"/>
          <w:szCs w:val="24"/>
          <w:highlight w:val="none"/>
        </w:rPr>
        <w:t>在仔细分析研究了贵单位提供的</w:t>
      </w:r>
      <w:r>
        <w:rPr>
          <w:rFonts w:hint="eastAsia" w:ascii="宋体" w:hAnsi="宋体"/>
          <w:sz w:val="24"/>
          <w:szCs w:val="24"/>
          <w:highlight w:val="none"/>
          <w:u w:val="single"/>
        </w:rPr>
        <w:t>（项目名称）</w:t>
      </w:r>
      <w:r>
        <w:rPr>
          <w:rFonts w:hint="eastAsia" w:ascii="宋体" w:hAnsi="宋体"/>
          <w:sz w:val="24"/>
          <w:szCs w:val="24"/>
          <w:highlight w:val="none"/>
        </w:rPr>
        <w:t>招标文件后，我方愿意以总价为人民币（大写）</w:t>
      </w:r>
      <w:r>
        <w:rPr>
          <w:rFonts w:ascii="宋体" w:hAnsi="宋体"/>
          <w:sz w:val="24"/>
          <w:szCs w:val="24"/>
          <w:highlight w:val="none"/>
          <w:u w:val="single"/>
        </w:rPr>
        <w:t xml:space="preserve">                      </w:t>
      </w:r>
      <w:r>
        <w:rPr>
          <w:rFonts w:hint="eastAsia" w:ascii="宋体" w:hAnsi="宋体"/>
          <w:sz w:val="24"/>
          <w:szCs w:val="24"/>
          <w:highlight w:val="none"/>
        </w:rPr>
        <w:t>（小写</w:t>
      </w:r>
      <w:r>
        <w:rPr>
          <w:rFonts w:hint="eastAsia" w:ascii="宋体" w:hAnsi="宋体"/>
          <w:sz w:val="24"/>
          <w:szCs w:val="24"/>
          <w:highlight w:val="none"/>
          <w:u w:val="single"/>
        </w:rPr>
        <w:t>　　　　　</w:t>
      </w:r>
      <w:r>
        <w:rPr>
          <w:rFonts w:hint="eastAsia" w:ascii="宋体" w:hAnsi="宋体"/>
          <w:sz w:val="24"/>
          <w:szCs w:val="24"/>
          <w:highlight w:val="none"/>
        </w:rPr>
        <w:t>）作为</w:t>
      </w:r>
      <w:r>
        <w:rPr>
          <w:rFonts w:hint="eastAsia" w:ascii="宋体" w:hAnsi="宋体"/>
          <w:sz w:val="24"/>
          <w:szCs w:val="24"/>
          <w:highlight w:val="none"/>
          <w:u w:val="single"/>
        </w:rPr>
        <w:t>（项目名称）</w:t>
      </w:r>
      <w:r>
        <w:rPr>
          <w:rFonts w:hint="eastAsia" w:ascii="宋体" w:hAnsi="宋体"/>
          <w:sz w:val="24"/>
          <w:szCs w:val="24"/>
          <w:highlight w:val="none"/>
        </w:rPr>
        <w:t>服务费的总价，并遵照招标文件的有关规定要求，承担全部服务任务工作。</w:t>
      </w:r>
    </w:p>
    <w:p w14:paraId="21B418C8">
      <w:pPr>
        <w:spacing w:line="360" w:lineRule="auto"/>
        <w:ind w:firstLine="480" w:firstLineChars="200"/>
        <w:rPr>
          <w:rFonts w:ascii="宋体" w:hAnsi="宋体"/>
          <w:sz w:val="24"/>
          <w:szCs w:val="24"/>
          <w:highlight w:val="none"/>
        </w:rPr>
      </w:pPr>
      <w:r>
        <w:rPr>
          <w:rFonts w:ascii="宋体" w:hAnsi="宋体"/>
          <w:sz w:val="24"/>
          <w:szCs w:val="24"/>
          <w:highlight w:val="none"/>
        </w:rPr>
        <w:t>2.</w:t>
      </w:r>
      <w:r>
        <w:rPr>
          <w:rFonts w:hint="eastAsia" w:ascii="宋体" w:hAnsi="宋体"/>
          <w:sz w:val="24"/>
          <w:szCs w:val="24"/>
          <w:highlight w:val="none"/>
        </w:rPr>
        <w:t>我方确认的</w:t>
      </w:r>
      <w:r>
        <w:rPr>
          <w:rFonts w:hint="eastAsia" w:ascii="宋体" w:hAnsi="宋体"/>
          <w:b/>
          <w:bCs/>
          <w:sz w:val="24"/>
          <w:szCs w:val="24"/>
          <w:highlight w:val="none"/>
        </w:rPr>
        <w:t>投标函</w:t>
      </w:r>
      <w:r>
        <w:rPr>
          <w:rFonts w:hint="eastAsia" w:ascii="宋体" w:hAnsi="宋体"/>
          <w:sz w:val="24"/>
          <w:szCs w:val="24"/>
          <w:highlight w:val="none"/>
        </w:rPr>
        <w:t>是我单位投标文件的组成部分。</w:t>
      </w:r>
    </w:p>
    <w:p w14:paraId="238998D3">
      <w:pPr>
        <w:spacing w:line="360" w:lineRule="auto"/>
        <w:ind w:firstLine="480" w:firstLineChars="200"/>
        <w:rPr>
          <w:rFonts w:ascii="宋体" w:hAnsi="宋体"/>
          <w:sz w:val="24"/>
          <w:szCs w:val="24"/>
          <w:highlight w:val="none"/>
        </w:rPr>
      </w:pPr>
      <w:r>
        <w:rPr>
          <w:rFonts w:ascii="宋体" w:hAnsi="宋体"/>
          <w:sz w:val="24"/>
          <w:szCs w:val="24"/>
          <w:highlight w:val="none"/>
        </w:rPr>
        <w:t>3.</w:t>
      </w:r>
      <w:r>
        <w:rPr>
          <w:rFonts w:hint="eastAsia" w:ascii="宋体" w:hAnsi="宋体"/>
          <w:sz w:val="24"/>
          <w:szCs w:val="24"/>
          <w:highlight w:val="none"/>
        </w:rPr>
        <w:t>如果贵单位接受我方的投标，我方保证按合同规定的期限内开始本工程的检测工作并按投标书中规定的期限内完成合同规定的全部任务。</w:t>
      </w:r>
    </w:p>
    <w:p w14:paraId="24E6A59D">
      <w:pPr>
        <w:spacing w:line="360" w:lineRule="auto"/>
        <w:ind w:firstLine="480" w:firstLineChars="200"/>
        <w:rPr>
          <w:rFonts w:ascii="宋体" w:hAnsi="宋体"/>
          <w:sz w:val="24"/>
          <w:szCs w:val="24"/>
          <w:highlight w:val="none"/>
        </w:rPr>
      </w:pPr>
      <w:r>
        <w:rPr>
          <w:rFonts w:ascii="宋体" w:hAnsi="宋体"/>
          <w:sz w:val="24"/>
          <w:szCs w:val="24"/>
          <w:highlight w:val="none"/>
        </w:rPr>
        <w:t>4.</w:t>
      </w:r>
      <w:r>
        <w:rPr>
          <w:rFonts w:hint="eastAsia" w:ascii="宋体" w:hAnsi="宋体"/>
          <w:sz w:val="24"/>
          <w:szCs w:val="24"/>
          <w:highlight w:val="none"/>
        </w:rPr>
        <w:t>我方同意在从规定的</w:t>
      </w:r>
      <w:r>
        <w:rPr>
          <w:rFonts w:hint="eastAsia" w:ascii="宋体" w:hAnsi="宋体"/>
          <w:b/>
          <w:bCs/>
          <w:sz w:val="24"/>
          <w:szCs w:val="24"/>
          <w:highlight w:val="none"/>
        </w:rPr>
        <w:t>递交投标文件截止之日起</w:t>
      </w:r>
      <w:r>
        <w:rPr>
          <w:rFonts w:ascii="宋体" w:hAnsi="宋体"/>
          <w:b/>
          <w:bCs/>
          <w:sz w:val="24"/>
          <w:szCs w:val="24"/>
          <w:highlight w:val="none"/>
        </w:rPr>
        <w:t>90</w:t>
      </w:r>
      <w:r>
        <w:rPr>
          <w:rFonts w:hint="eastAsia" w:ascii="宋体" w:hAnsi="宋体"/>
          <w:b/>
          <w:bCs/>
          <w:sz w:val="24"/>
          <w:szCs w:val="24"/>
          <w:highlight w:val="none"/>
        </w:rPr>
        <w:t>天</w:t>
      </w:r>
      <w:r>
        <w:rPr>
          <w:rFonts w:hint="eastAsia" w:ascii="宋体" w:hAnsi="宋体"/>
          <w:sz w:val="24"/>
          <w:szCs w:val="24"/>
          <w:highlight w:val="none"/>
        </w:rPr>
        <w:t>内遵守本投标文件。在此期限届满之前，本投标文件始终将对我们具有约束力并随时接受中标。</w:t>
      </w:r>
    </w:p>
    <w:p w14:paraId="1FA2737E">
      <w:pPr>
        <w:spacing w:line="360" w:lineRule="auto"/>
        <w:ind w:firstLine="480" w:firstLineChars="200"/>
        <w:rPr>
          <w:rFonts w:ascii="宋体" w:hAnsi="宋体"/>
          <w:sz w:val="24"/>
          <w:szCs w:val="24"/>
          <w:highlight w:val="none"/>
        </w:rPr>
      </w:pPr>
      <w:r>
        <w:rPr>
          <w:rFonts w:ascii="宋体" w:hAnsi="宋体"/>
          <w:sz w:val="24"/>
          <w:szCs w:val="24"/>
          <w:highlight w:val="none"/>
        </w:rPr>
        <w:t>5.</w:t>
      </w:r>
      <w:r>
        <w:rPr>
          <w:rFonts w:hint="eastAsia" w:ascii="宋体" w:hAnsi="宋体"/>
          <w:sz w:val="24"/>
          <w:szCs w:val="24"/>
          <w:highlight w:val="none"/>
        </w:rPr>
        <w:t>在合同协议制定和签署之前，本投标书连同贵单位的中标通知书、双方签认的补充、修正或澄清文件及其他文件和附件应成为约束贵、我双方的合同文件。</w:t>
      </w:r>
    </w:p>
    <w:p w14:paraId="431ACD21">
      <w:pPr>
        <w:spacing w:line="360" w:lineRule="auto"/>
        <w:ind w:firstLine="480" w:firstLineChars="200"/>
        <w:rPr>
          <w:rFonts w:ascii="宋体" w:hAnsi="宋体"/>
          <w:sz w:val="24"/>
          <w:szCs w:val="24"/>
          <w:highlight w:val="none"/>
        </w:rPr>
      </w:pPr>
      <w:r>
        <w:rPr>
          <w:rFonts w:ascii="宋体" w:hAnsi="宋体"/>
          <w:sz w:val="24"/>
          <w:szCs w:val="24"/>
          <w:highlight w:val="none"/>
        </w:rPr>
        <w:t>6.</w:t>
      </w:r>
      <w:r>
        <w:rPr>
          <w:rFonts w:hint="eastAsia" w:ascii="宋体" w:hAnsi="宋体"/>
          <w:sz w:val="24"/>
          <w:szCs w:val="24"/>
          <w:highlight w:val="none"/>
        </w:rPr>
        <w:t>我们理解，贵单位不一定接受最低标价的投标文件或可能接受其他任何投标文件，同时也理解，贵单位不负担我们的任何投标费用。</w:t>
      </w:r>
    </w:p>
    <w:p w14:paraId="6E5C25BF">
      <w:pPr>
        <w:rPr>
          <w:rFonts w:ascii="宋体" w:hAnsi="宋体"/>
          <w:highlight w:val="none"/>
        </w:rPr>
      </w:pPr>
    </w:p>
    <w:p w14:paraId="5F0B681A">
      <w:pPr>
        <w:spacing w:line="440" w:lineRule="exact"/>
        <w:ind w:firstLine="2520" w:firstLineChars="1200"/>
        <w:jc w:val="left"/>
        <w:rPr>
          <w:rFonts w:ascii="宋体" w:hAnsi="宋体"/>
          <w:szCs w:val="21"/>
          <w:highlight w:val="none"/>
        </w:rPr>
      </w:pPr>
    </w:p>
    <w:p w14:paraId="6D24603F">
      <w:pPr>
        <w:pStyle w:val="13"/>
        <w:tabs>
          <w:tab w:val="left" w:pos="7321"/>
        </w:tabs>
        <w:spacing w:before="36"/>
        <w:ind w:left="2701"/>
        <w:rPr>
          <w:rFonts w:ascii="宋体" w:hAnsi="宋体"/>
          <w:highlight w:val="none"/>
        </w:rPr>
      </w:pPr>
      <w:r>
        <w:rPr>
          <w:rFonts w:hint="eastAsia" w:ascii="宋体" w:hAnsi="宋体"/>
          <w:highlight w:val="none"/>
        </w:rPr>
        <w:t>投标人：</w:t>
      </w:r>
      <w:r>
        <w:rPr>
          <w:rFonts w:ascii="宋体" w:hAnsi="宋体"/>
          <w:highlight w:val="none"/>
          <w:u w:val="single" w:color="000000"/>
        </w:rPr>
        <w:tab/>
      </w:r>
      <w:r>
        <w:rPr>
          <w:rFonts w:hint="eastAsia" w:ascii="宋体" w:hAnsi="宋体"/>
          <w:highlight w:val="none"/>
        </w:rPr>
        <w:t>（盖单位章）</w:t>
      </w:r>
    </w:p>
    <w:p w14:paraId="14351E68">
      <w:pPr>
        <w:spacing w:before="13"/>
        <w:rPr>
          <w:rFonts w:ascii="宋体" w:hAnsi="宋体" w:cs="宋体"/>
          <w:sz w:val="9"/>
          <w:szCs w:val="9"/>
          <w:highlight w:val="none"/>
        </w:rPr>
      </w:pPr>
    </w:p>
    <w:p w14:paraId="4B1D8BEF">
      <w:pPr>
        <w:pStyle w:val="13"/>
        <w:tabs>
          <w:tab w:val="left" w:pos="6481"/>
        </w:tabs>
        <w:spacing w:before="36"/>
        <w:ind w:left="2701"/>
        <w:rPr>
          <w:rFonts w:ascii="宋体" w:hAnsi="宋体"/>
          <w:highlight w:val="none"/>
        </w:rPr>
      </w:pPr>
      <w:r>
        <w:rPr>
          <w:rFonts w:hint="eastAsia" w:ascii="宋体" w:hAnsi="宋体"/>
          <w:spacing w:val="-2"/>
          <w:highlight w:val="none"/>
        </w:rPr>
        <w:t>法定代表人或其委托代理人：</w:t>
      </w:r>
      <w:r>
        <w:rPr>
          <w:rFonts w:ascii="宋体" w:hAnsi="宋体"/>
          <w:spacing w:val="-2"/>
          <w:highlight w:val="none"/>
          <w:u w:val="single" w:color="000000"/>
        </w:rPr>
        <w:tab/>
      </w:r>
      <w:r>
        <w:rPr>
          <w:rFonts w:hint="eastAsia" w:ascii="宋体" w:hAnsi="宋体"/>
          <w:spacing w:val="-1"/>
          <w:highlight w:val="none"/>
        </w:rPr>
        <w:t>（签字）</w:t>
      </w:r>
    </w:p>
    <w:p w14:paraId="1AD6AA19">
      <w:pPr>
        <w:spacing w:before="10"/>
        <w:rPr>
          <w:rFonts w:ascii="宋体" w:hAnsi="宋体" w:cs="宋体"/>
          <w:sz w:val="9"/>
          <w:szCs w:val="9"/>
          <w:highlight w:val="none"/>
        </w:rPr>
      </w:pPr>
    </w:p>
    <w:p w14:paraId="225027B4">
      <w:pPr>
        <w:spacing w:line="440" w:lineRule="exact"/>
        <w:ind w:firstLine="4725" w:firstLineChars="2250"/>
        <w:jc w:val="right"/>
        <w:rPr>
          <w:rFonts w:ascii="宋体" w:hAnsi="宋体"/>
          <w:szCs w:val="21"/>
          <w:highlight w:val="none"/>
        </w:rPr>
      </w:pPr>
      <w:r>
        <w:rPr>
          <w:rFonts w:ascii="宋体" w:hAnsi="宋体"/>
          <w:highlight w:val="none"/>
          <w:u w:val="single" w:color="000000"/>
        </w:rPr>
        <w:tab/>
      </w:r>
      <w:r>
        <w:rPr>
          <w:rFonts w:hint="eastAsia" w:ascii="宋体" w:hAnsi="宋体"/>
          <w:highlight w:val="none"/>
        </w:rPr>
        <w:t>年</w:t>
      </w:r>
      <w:r>
        <w:rPr>
          <w:rFonts w:ascii="宋体" w:hAnsi="宋体"/>
          <w:highlight w:val="none"/>
          <w:u w:val="single" w:color="000000"/>
        </w:rPr>
        <w:tab/>
      </w:r>
      <w:r>
        <w:rPr>
          <w:rFonts w:ascii="宋体" w:hAnsi="宋体"/>
          <w:highlight w:val="none"/>
          <w:u w:val="single" w:color="000000"/>
        </w:rPr>
        <w:t xml:space="preserve"> </w:t>
      </w:r>
      <w:r>
        <w:rPr>
          <w:rFonts w:hint="eastAsia" w:ascii="宋体" w:hAnsi="宋体"/>
          <w:highlight w:val="none"/>
        </w:rPr>
        <w:t>月</w:t>
      </w:r>
      <w:r>
        <w:rPr>
          <w:rFonts w:ascii="宋体" w:hAnsi="宋体"/>
          <w:highlight w:val="none"/>
          <w:u w:val="single" w:color="000000"/>
        </w:rPr>
        <w:tab/>
      </w:r>
      <w:r>
        <w:rPr>
          <w:rFonts w:ascii="宋体" w:hAnsi="宋体"/>
          <w:highlight w:val="none"/>
          <w:u w:val="single" w:color="000000"/>
        </w:rPr>
        <w:t xml:space="preserve">  </w:t>
      </w:r>
      <w:r>
        <w:rPr>
          <w:rFonts w:hint="eastAsia" w:ascii="宋体" w:hAnsi="宋体"/>
          <w:highlight w:val="none"/>
        </w:rPr>
        <w:t>日</w:t>
      </w:r>
    </w:p>
    <w:p w14:paraId="55266CBE">
      <w:pPr>
        <w:spacing w:line="360" w:lineRule="auto"/>
        <w:ind w:firstLine="422" w:firstLineChars="200"/>
        <w:jc w:val="center"/>
        <w:rPr>
          <w:rFonts w:ascii="宋体" w:hAnsi="宋体"/>
          <w:b/>
          <w:bCs/>
          <w:sz w:val="24"/>
          <w:szCs w:val="24"/>
          <w:highlight w:val="none"/>
        </w:rPr>
      </w:pPr>
      <w:bookmarkStart w:id="158" w:name="_Toc528170356"/>
      <w:bookmarkStart w:id="159" w:name="_Toc385943066"/>
      <w:bookmarkStart w:id="160" w:name="_Toc391394112"/>
      <w:bookmarkStart w:id="161" w:name="_Toc482188652"/>
      <w:bookmarkStart w:id="162" w:name="_Toc533334220"/>
      <w:bookmarkStart w:id="163" w:name="_Toc532390635"/>
      <w:bookmarkStart w:id="164" w:name="_Toc359594236"/>
      <w:bookmarkStart w:id="165" w:name="_Toc370676427"/>
      <w:bookmarkStart w:id="166" w:name="_Toc13516"/>
      <w:r>
        <w:rPr>
          <w:rFonts w:ascii="宋体" w:hAnsi="宋体"/>
          <w:b/>
          <w:szCs w:val="21"/>
          <w:highlight w:val="none"/>
        </w:rPr>
        <w:br w:type="page"/>
      </w:r>
      <w:r>
        <w:rPr>
          <w:rFonts w:hint="eastAsia" w:ascii="宋体" w:hAnsi="宋体"/>
          <w:b/>
          <w:bCs/>
          <w:sz w:val="24"/>
          <w:szCs w:val="24"/>
          <w:highlight w:val="none"/>
        </w:rPr>
        <w:t>（二）投标函附</w:t>
      </w:r>
      <w:bookmarkEnd w:id="158"/>
      <w:bookmarkEnd w:id="159"/>
      <w:bookmarkEnd w:id="160"/>
      <w:bookmarkEnd w:id="161"/>
      <w:bookmarkEnd w:id="162"/>
      <w:bookmarkEnd w:id="163"/>
      <w:bookmarkEnd w:id="164"/>
      <w:bookmarkEnd w:id="165"/>
      <w:bookmarkEnd w:id="166"/>
      <w:r>
        <w:rPr>
          <w:rFonts w:hint="eastAsia" w:ascii="宋体" w:hAnsi="宋体"/>
          <w:b/>
          <w:bCs/>
          <w:sz w:val="24"/>
          <w:szCs w:val="24"/>
          <w:highlight w:val="none"/>
        </w:rPr>
        <w:t>表</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5"/>
        <w:gridCol w:w="2150"/>
        <w:gridCol w:w="4696"/>
        <w:gridCol w:w="1882"/>
      </w:tblGrid>
      <w:tr w14:paraId="62EA9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875" w:type="dxa"/>
            <w:tcBorders>
              <w:top w:val="single" w:color="auto" w:sz="4" w:space="0"/>
              <w:left w:val="single" w:color="auto" w:sz="4" w:space="0"/>
              <w:bottom w:val="single" w:color="auto" w:sz="4" w:space="0"/>
              <w:right w:val="single" w:color="auto" w:sz="4" w:space="0"/>
            </w:tcBorders>
            <w:vAlign w:val="center"/>
          </w:tcPr>
          <w:p w14:paraId="3CBA4F79">
            <w:pPr>
              <w:spacing w:line="276" w:lineRule="auto"/>
              <w:jc w:val="center"/>
              <w:rPr>
                <w:rFonts w:ascii="宋体" w:hAnsi="宋体"/>
                <w:b/>
                <w:sz w:val="24"/>
                <w:szCs w:val="28"/>
                <w:highlight w:val="none"/>
              </w:rPr>
            </w:pPr>
            <w:r>
              <w:rPr>
                <w:rFonts w:hint="eastAsia" w:ascii="宋体" w:hAnsi="宋体"/>
                <w:b/>
                <w:sz w:val="24"/>
                <w:szCs w:val="28"/>
                <w:highlight w:val="none"/>
              </w:rPr>
              <w:t>序号</w:t>
            </w:r>
          </w:p>
        </w:tc>
        <w:tc>
          <w:tcPr>
            <w:tcW w:w="2150" w:type="dxa"/>
            <w:tcBorders>
              <w:top w:val="single" w:color="auto" w:sz="4" w:space="0"/>
              <w:left w:val="single" w:color="auto" w:sz="4" w:space="0"/>
              <w:bottom w:val="single" w:color="auto" w:sz="4" w:space="0"/>
              <w:right w:val="single" w:color="auto" w:sz="4" w:space="0"/>
            </w:tcBorders>
            <w:vAlign w:val="center"/>
          </w:tcPr>
          <w:p w14:paraId="618133C4">
            <w:pPr>
              <w:spacing w:line="276" w:lineRule="auto"/>
              <w:jc w:val="center"/>
              <w:rPr>
                <w:rFonts w:ascii="宋体" w:hAnsi="宋体"/>
                <w:b/>
                <w:sz w:val="24"/>
                <w:szCs w:val="28"/>
                <w:highlight w:val="none"/>
              </w:rPr>
            </w:pPr>
            <w:r>
              <w:rPr>
                <w:rFonts w:hint="eastAsia" w:ascii="宋体" w:hAnsi="宋体"/>
                <w:b/>
                <w:sz w:val="24"/>
                <w:szCs w:val="28"/>
                <w:highlight w:val="none"/>
              </w:rPr>
              <w:t>条款名称</w:t>
            </w:r>
          </w:p>
        </w:tc>
        <w:tc>
          <w:tcPr>
            <w:tcW w:w="4696" w:type="dxa"/>
            <w:tcBorders>
              <w:top w:val="single" w:color="auto" w:sz="4" w:space="0"/>
              <w:left w:val="single" w:color="auto" w:sz="4" w:space="0"/>
              <w:bottom w:val="single" w:color="auto" w:sz="4" w:space="0"/>
              <w:right w:val="single" w:color="auto" w:sz="4" w:space="0"/>
            </w:tcBorders>
            <w:vAlign w:val="center"/>
          </w:tcPr>
          <w:p w14:paraId="66201896">
            <w:pPr>
              <w:spacing w:line="276" w:lineRule="auto"/>
              <w:jc w:val="center"/>
              <w:rPr>
                <w:rFonts w:ascii="宋体" w:hAnsi="宋体"/>
                <w:b/>
                <w:sz w:val="24"/>
                <w:szCs w:val="28"/>
                <w:highlight w:val="none"/>
              </w:rPr>
            </w:pPr>
            <w:r>
              <w:rPr>
                <w:rFonts w:hint="eastAsia" w:ascii="宋体" w:hAnsi="宋体"/>
                <w:b/>
                <w:sz w:val="24"/>
                <w:szCs w:val="28"/>
                <w:highlight w:val="none"/>
              </w:rPr>
              <w:t>约定内容</w:t>
            </w:r>
          </w:p>
        </w:tc>
        <w:tc>
          <w:tcPr>
            <w:tcW w:w="1882" w:type="dxa"/>
            <w:tcBorders>
              <w:top w:val="single" w:color="auto" w:sz="4" w:space="0"/>
              <w:left w:val="single" w:color="auto" w:sz="4" w:space="0"/>
              <w:bottom w:val="single" w:color="auto" w:sz="4" w:space="0"/>
              <w:right w:val="single" w:color="auto" w:sz="4" w:space="0"/>
            </w:tcBorders>
            <w:vAlign w:val="center"/>
          </w:tcPr>
          <w:p w14:paraId="5BA50F2A">
            <w:pPr>
              <w:spacing w:line="276" w:lineRule="auto"/>
              <w:jc w:val="center"/>
              <w:rPr>
                <w:rFonts w:ascii="宋体" w:hAnsi="宋体"/>
                <w:b/>
                <w:sz w:val="24"/>
                <w:szCs w:val="28"/>
                <w:highlight w:val="none"/>
              </w:rPr>
            </w:pPr>
            <w:r>
              <w:rPr>
                <w:rFonts w:hint="eastAsia" w:ascii="宋体" w:hAnsi="宋体"/>
                <w:b/>
                <w:sz w:val="24"/>
                <w:szCs w:val="28"/>
                <w:highlight w:val="none"/>
              </w:rPr>
              <w:t>备注</w:t>
            </w:r>
          </w:p>
        </w:tc>
      </w:tr>
      <w:tr w14:paraId="5CF37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jc w:val="center"/>
        </w:trPr>
        <w:tc>
          <w:tcPr>
            <w:tcW w:w="875" w:type="dxa"/>
            <w:tcBorders>
              <w:top w:val="single" w:color="auto" w:sz="4" w:space="0"/>
              <w:left w:val="single" w:color="auto" w:sz="4" w:space="0"/>
              <w:bottom w:val="single" w:color="auto" w:sz="4" w:space="0"/>
              <w:right w:val="single" w:color="auto" w:sz="4" w:space="0"/>
            </w:tcBorders>
            <w:vAlign w:val="center"/>
          </w:tcPr>
          <w:p w14:paraId="5D759507">
            <w:pPr>
              <w:spacing w:line="276" w:lineRule="auto"/>
              <w:jc w:val="center"/>
              <w:rPr>
                <w:rFonts w:ascii="宋体" w:hAnsi="宋体" w:cs="宋体"/>
                <w:sz w:val="24"/>
                <w:szCs w:val="24"/>
                <w:highlight w:val="none"/>
              </w:rPr>
            </w:pPr>
            <w:r>
              <w:rPr>
                <w:rFonts w:hint="eastAsia" w:ascii="宋体" w:hAnsi="宋体" w:cs="宋体"/>
                <w:sz w:val="24"/>
                <w:szCs w:val="24"/>
                <w:highlight w:val="none"/>
              </w:rPr>
              <w:t>1</w:t>
            </w:r>
          </w:p>
        </w:tc>
        <w:tc>
          <w:tcPr>
            <w:tcW w:w="2150" w:type="dxa"/>
            <w:tcBorders>
              <w:top w:val="single" w:color="auto" w:sz="4" w:space="0"/>
              <w:left w:val="single" w:color="auto" w:sz="4" w:space="0"/>
              <w:bottom w:val="single" w:color="auto" w:sz="4" w:space="0"/>
              <w:right w:val="single" w:color="auto" w:sz="4" w:space="0"/>
            </w:tcBorders>
            <w:vAlign w:val="center"/>
          </w:tcPr>
          <w:p w14:paraId="24F2AC97">
            <w:pPr>
              <w:spacing w:line="276" w:lineRule="auto"/>
              <w:jc w:val="center"/>
              <w:rPr>
                <w:rFonts w:ascii="宋体" w:hAnsi="宋体" w:cs="宋体"/>
                <w:sz w:val="24"/>
                <w:szCs w:val="24"/>
                <w:highlight w:val="none"/>
              </w:rPr>
            </w:pPr>
            <w:r>
              <w:rPr>
                <w:rFonts w:hint="eastAsia" w:ascii="宋体" w:hAnsi="宋体" w:cs="宋体"/>
                <w:sz w:val="24"/>
                <w:szCs w:val="24"/>
                <w:highlight w:val="none"/>
              </w:rPr>
              <w:t>项目负责人</w:t>
            </w:r>
          </w:p>
        </w:tc>
        <w:tc>
          <w:tcPr>
            <w:tcW w:w="4696" w:type="dxa"/>
            <w:tcBorders>
              <w:top w:val="single" w:color="auto" w:sz="4" w:space="0"/>
              <w:left w:val="single" w:color="auto" w:sz="4" w:space="0"/>
              <w:bottom w:val="single" w:color="auto" w:sz="4" w:space="0"/>
              <w:right w:val="single" w:color="auto" w:sz="4" w:space="0"/>
            </w:tcBorders>
            <w:vAlign w:val="center"/>
          </w:tcPr>
          <w:p w14:paraId="16F1E7D5">
            <w:pPr>
              <w:spacing w:line="276" w:lineRule="auto"/>
              <w:jc w:val="left"/>
              <w:rPr>
                <w:rFonts w:ascii="宋体" w:hAnsi="宋体" w:cs="宋体"/>
                <w:bCs/>
                <w:sz w:val="24"/>
                <w:szCs w:val="24"/>
                <w:highlight w:val="none"/>
                <w:u w:val="single"/>
              </w:rPr>
            </w:pPr>
            <w:r>
              <w:rPr>
                <w:rFonts w:hint="eastAsia" w:ascii="宋体" w:hAnsi="宋体" w:cs="宋体"/>
                <w:bCs/>
                <w:sz w:val="24"/>
                <w:szCs w:val="24"/>
                <w:highlight w:val="none"/>
              </w:rPr>
              <w:t>姓    名：</w:t>
            </w:r>
            <w:r>
              <w:rPr>
                <w:rFonts w:hint="eastAsia" w:ascii="宋体" w:hAnsi="宋体" w:cs="宋体"/>
                <w:bCs/>
                <w:sz w:val="24"/>
                <w:szCs w:val="24"/>
                <w:highlight w:val="none"/>
                <w:u w:val="single"/>
              </w:rPr>
              <w:t xml:space="preserve">           </w:t>
            </w:r>
          </w:p>
          <w:p w14:paraId="4382E877">
            <w:pPr>
              <w:spacing w:line="276" w:lineRule="auto"/>
              <w:jc w:val="left"/>
              <w:rPr>
                <w:rFonts w:ascii="宋体" w:hAnsi="宋体" w:cs="宋体"/>
                <w:bCs/>
                <w:sz w:val="24"/>
                <w:szCs w:val="24"/>
                <w:highlight w:val="none"/>
              </w:rPr>
            </w:pPr>
            <w:r>
              <w:rPr>
                <w:rFonts w:hint="eastAsia" w:ascii="宋体" w:hAnsi="宋体" w:cs="宋体"/>
                <w:bCs/>
                <w:sz w:val="24"/>
                <w:szCs w:val="24"/>
                <w:highlight w:val="none"/>
              </w:rPr>
              <w:t>技术职称：</w:t>
            </w:r>
            <w:r>
              <w:rPr>
                <w:rFonts w:hint="eastAsia" w:ascii="宋体" w:hAnsi="宋体" w:cs="宋体"/>
                <w:bCs/>
                <w:sz w:val="24"/>
                <w:szCs w:val="24"/>
                <w:highlight w:val="none"/>
                <w:u w:val="single"/>
              </w:rPr>
              <w:t xml:space="preserve">           </w:t>
            </w:r>
          </w:p>
          <w:p w14:paraId="1385C4E9">
            <w:pPr>
              <w:spacing w:line="276" w:lineRule="auto"/>
              <w:jc w:val="left"/>
              <w:rPr>
                <w:rFonts w:ascii="宋体" w:hAnsi="宋体" w:cs="宋体"/>
                <w:bCs/>
                <w:sz w:val="24"/>
                <w:szCs w:val="24"/>
                <w:highlight w:val="none"/>
              </w:rPr>
            </w:pPr>
            <w:r>
              <w:rPr>
                <w:rFonts w:hint="eastAsia" w:ascii="宋体" w:hAnsi="宋体" w:cs="宋体"/>
                <w:bCs/>
                <w:sz w:val="24"/>
                <w:szCs w:val="24"/>
                <w:highlight w:val="none"/>
              </w:rPr>
              <w:t>专    业：</w:t>
            </w:r>
            <w:r>
              <w:rPr>
                <w:rFonts w:hint="eastAsia" w:ascii="宋体" w:hAnsi="宋体" w:cs="宋体"/>
                <w:bCs/>
                <w:sz w:val="24"/>
                <w:szCs w:val="24"/>
                <w:highlight w:val="none"/>
                <w:u w:val="single"/>
              </w:rPr>
              <w:t xml:space="preserve">           </w:t>
            </w:r>
          </w:p>
        </w:tc>
        <w:tc>
          <w:tcPr>
            <w:tcW w:w="1882" w:type="dxa"/>
            <w:tcBorders>
              <w:top w:val="single" w:color="auto" w:sz="4" w:space="0"/>
              <w:left w:val="single" w:color="auto" w:sz="4" w:space="0"/>
              <w:bottom w:val="single" w:color="auto" w:sz="4" w:space="0"/>
              <w:right w:val="single" w:color="auto" w:sz="4" w:space="0"/>
            </w:tcBorders>
            <w:vAlign w:val="center"/>
          </w:tcPr>
          <w:p w14:paraId="34E92E77">
            <w:pPr>
              <w:spacing w:line="276" w:lineRule="auto"/>
              <w:jc w:val="center"/>
              <w:rPr>
                <w:rFonts w:ascii="宋体" w:hAnsi="宋体"/>
                <w:b/>
                <w:szCs w:val="21"/>
                <w:highlight w:val="none"/>
              </w:rPr>
            </w:pPr>
          </w:p>
        </w:tc>
      </w:tr>
      <w:tr w14:paraId="160DD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875" w:type="dxa"/>
            <w:tcBorders>
              <w:top w:val="single" w:color="auto" w:sz="4" w:space="0"/>
              <w:left w:val="single" w:color="auto" w:sz="4" w:space="0"/>
              <w:bottom w:val="single" w:color="auto" w:sz="4" w:space="0"/>
              <w:right w:val="single" w:color="auto" w:sz="4" w:space="0"/>
            </w:tcBorders>
            <w:vAlign w:val="center"/>
          </w:tcPr>
          <w:p w14:paraId="4969C161">
            <w:pPr>
              <w:spacing w:line="276" w:lineRule="auto"/>
              <w:jc w:val="center"/>
              <w:rPr>
                <w:rFonts w:ascii="宋体" w:hAnsi="宋体" w:cs="宋体"/>
                <w:sz w:val="24"/>
                <w:szCs w:val="24"/>
                <w:highlight w:val="none"/>
              </w:rPr>
            </w:pPr>
            <w:r>
              <w:rPr>
                <w:rFonts w:hint="eastAsia" w:ascii="宋体" w:hAnsi="宋体" w:cs="宋体"/>
                <w:sz w:val="24"/>
                <w:szCs w:val="24"/>
                <w:highlight w:val="none"/>
              </w:rPr>
              <w:t>2</w:t>
            </w:r>
          </w:p>
        </w:tc>
        <w:tc>
          <w:tcPr>
            <w:tcW w:w="2150" w:type="dxa"/>
            <w:tcBorders>
              <w:top w:val="single" w:color="auto" w:sz="4" w:space="0"/>
              <w:left w:val="single" w:color="auto" w:sz="4" w:space="0"/>
              <w:bottom w:val="single" w:color="auto" w:sz="4" w:space="0"/>
              <w:right w:val="single" w:color="auto" w:sz="4" w:space="0"/>
            </w:tcBorders>
            <w:vAlign w:val="center"/>
          </w:tcPr>
          <w:p w14:paraId="3FCEE44C">
            <w:pPr>
              <w:spacing w:line="276" w:lineRule="auto"/>
              <w:jc w:val="center"/>
              <w:rPr>
                <w:rFonts w:ascii="宋体" w:hAnsi="宋体" w:cs="宋体"/>
                <w:sz w:val="24"/>
                <w:szCs w:val="24"/>
                <w:highlight w:val="none"/>
              </w:rPr>
            </w:pPr>
            <w:r>
              <w:rPr>
                <w:rFonts w:hint="eastAsia" w:ascii="宋体" w:hAnsi="宋体" w:cs="宋体"/>
                <w:sz w:val="24"/>
                <w:szCs w:val="24"/>
                <w:highlight w:val="none"/>
              </w:rPr>
              <w:t>服务期限</w:t>
            </w:r>
          </w:p>
        </w:tc>
        <w:tc>
          <w:tcPr>
            <w:tcW w:w="4696" w:type="dxa"/>
            <w:tcBorders>
              <w:top w:val="single" w:color="auto" w:sz="4" w:space="0"/>
              <w:left w:val="single" w:color="auto" w:sz="4" w:space="0"/>
              <w:bottom w:val="single" w:color="auto" w:sz="4" w:space="0"/>
              <w:right w:val="single" w:color="auto" w:sz="4" w:space="0"/>
            </w:tcBorders>
            <w:vAlign w:val="center"/>
          </w:tcPr>
          <w:p w14:paraId="7095123D">
            <w:pPr>
              <w:spacing w:line="276" w:lineRule="auto"/>
              <w:jc w:val="left"/>
              <w:rPr>
                <w:rFonts w:ascii="宋体" w:hAnsi="宋体" w:cs="宋体"/>
                <w:bCs/>
                <w:sz w:val="24"/>
                <w:szCs w:val="24"/>
                <w:highlight w:val="none"/>
              </w:rPr>
            </w:pPr>
            <w:r>
              <w:rPr>
                <w:rFonts w:hint="eastAsia" w:ascii="宋体" w:hAnsi="宋体" w:cs="宋体"/>
                <w:bCs/>
                <w:sz w:val="24"/>
                <w:szCs w:val="24"/>
                <w:highlight w:val="none"/>
              </w:rPr>
              <w:t>按招标文件要求</w:t>
            </w:r>
          </w:p>
        </w:tc>
        <w:tc>
          <w:tcPr>
            <w:tcW w:w="1882" w:type="dxa"/>
            <w:tcBorders>
              <w:top w:val="single" w:color="auto" w:sz="4" w:space="0"/>
              <w:left w:val="single" w:color="auto" w:sz="4" w:space="0"/>
              <w:bottom w:val="single" w:color="auto" w:sz="4" w:space="0"/>
              <w:right w:val="single" w:color="auto" w:sz="4" w:space="0"/>
            </w:tcBorders>
            <w:vAlign w:val="center"/>
          </w:tcPr>
          <w:p w14:paraId="7EFBE99E">
            <w:pPr>
              <w:spacing w:line="276" w:lineRule="auto"/>
              <w:jc w:val="center"/>
              <w:rPr>
                <w:rFonts w:ascii="宋体" w:hAnsi="宋体"/>
                <w:b/>
                <w:szCs w:val="21"/>
                <w:highlight w:val="none"/>
              </w:rPr>
            </w:pPr>
          </w:p>
        </w:tc>
      </w:tr>
      <w:tr w14:paraId="1DC23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875" w:type="dxa"/>
            <w:tcBorders>
              <w:top w:val="single" w:color="auto" w:sz="4" w:space="0"/>
              <w:left w:val="single" w:color="auto" w:sz="4" w:space="0"/>
              <w:bottom w:val="single" w:color="auto" w:sz="4" w:space="0"/>
              <w:right w:val="single" w:color="auto" w:sz="4" w:space="0"/>
            </w:tcBorders>
            <w:vAlign w:val="center"/>
          </w:tcPr>
          <w:p w14:paraId="1CF60A9C">
            <w:pPr>
              <w:spacing w:line="276" w:lineRule="auto"/>
              <w:jc w:val="center"/>
              <w:rPr>
                <w:rFonts w:ascii="宋体" w:hAnsi="宋体" w:cs="宋体"/>
                <w:sz w:val="24"/>
                <w:szCs w:val="24"/>
                <w:highlight w:val="none"/>
              </w:rPr>
            </w:pPr>
            <w:r>
              <w:rPr>
                <w:rFonts w:hint="eastAsia" w:ascii="宋体" w:hAnsi="宋体" w:cs="宋体"/>
                <w:sz w:val="24"/>
                <w:szCs w:val="24"/>
                <w:highlight w:val="none"/>
              </w:rPr>
              <w:t>3</w:t>
            </w:r>
          </w:p>
        </w:tc>
        <w:tc>
          <w:tcPr>
            <w:tcW w:w="2150" w:type="dxa"/>
            <w:tcBorders>
              <w:top w:val="single" w:color="auto" w:sz="4" w:space="0"/>
              <w:left w:val="single" w:color="auto" w:sz="4" w:space="0"/>
              <w:bottom w:val="single" w:color="auto" w:sz="4" w:space="0"/>
              <w:right w:val="single" w:color="auto" w:sz="4" w:space="0"/>
            </w:tcBorders>
            <w:vAlign w:val="center"/>
          </w:tcPr>
          <w:p w14:paraId="7BDECA02">
            <w:pPr>
              <w:spacing w:line="276" w:lineRule="auto"/>
              <w:jc w:val="center"/>
              <w:rPr>
                <w:rFonts w:ascii="宋体" w:hAnsi="宋体" w:cs="宋体"/>
                <w:sz w:val="24"/>
                <w:szCs w:val="24"/>
                <w:highlight w:val="none"/>
              </w:rPr>
            </w:pPr>
            <w:r>
              <w:rPr>
                <w:rFonts w:hint="eastAsia" w:ascii="宋体" w:hAnsi="宋体" w:cs="宋体"/>
                <w:sz w:val="24"/>
                <w:szCs w:val="24"/>
                <w:highlight w:val="none"/>
              </w:rPr>
              <w:t>合同价款</w:t>
            </w:r>
          </w:p>
          <w:p w14:paraId="1354CEB5">
            <w:pPr>
              <w:spacing w:line="276" w:lineRule="auto"/>
              <w:jc w:val="center"/>
              <w:rPr>
                <w:rFonts w:ascii="宋体" w:hAnsi="宋体" w:cs="宋体"/>
                <w:sz w:val="24"/>
                <w:szCs w:val="24"/>
                <w:highlight w:val="none"/>
              </w:rPr>
            </w:pPr>
            <w:r>
              <w:rPr>
                <w:rFonts w:hint="eastAsia" w:ascii="宋体" w:hAnsi="宋体" w:cs="宋体"/>
                <w:sz w:val="24"/>
                <w:szCs w:val="24"/>
                <w:highlight w:val="none"/>
              </w:rPr>
              <w:t>确定方式</w:t>
            </w:r>
          </w:p>
        </w:tc>
        <w:tc>
          <w:tcPr>
            <w:tcW w:w="4696" w:type="dxa"/>
            <w:tcBorders>
              <w:top w:val="single" w:color="auto" w:sz="4" w:space="0"/>
              <w:left w:val="single" w:color="auto" w:sz="4" w:space="0"/>
              <w:bottom w:val="single" w:color="auto" w:sz="4" w:space="0"/>
              <w:right w:val="single" w:color="auto" w:sz="4" w:space="0"/>
            </w:tcBorders>
            <w:vAlign w:val="center"/>
          </w:tcPr>
          <w:p w14:paraId="6B778E35">
            <w:pPr>
              <w:spacing w:line="276" w:lineRule="auto"/>
              <w:jc w:val="left"/>
              <w:rPr>
                <w:rFonts w:ascii="宋体" w:hAnsi="宋体" w:cs="宋体"/>
                <w:bCs/>
                <w:sz w:val="24"/>
                <w:szCs w:val="24"/>
                <w:highlight w:val="none"/>
              </w:rPr>
            </w:pPr>
            <w:r>
              <w:rPr>
                <w:rFonts w:hint="eastAsia" w:ascii="宋体" w:hAnsi="宋体" w:cs="宋体"/>
                <w:bCs/>
                <w:sz w:val="24"/>
                <w:szCs w:val="24"/>
                <w:highlight w:val="none"/>
              </w:rPr>
              <w:t>按招标文件要求</w:t>
            </w:r>
          </w:p>
        </w:tc>
        <w:tc>
          <w:tcPr>
            <w:tcW w:w="1882" w:type="dxa"/>
            <w:tcBorders>
              <w:top w:val="single" w:color="auto" w:sz="4" w:space="0"/>
              <w:left w:val="single" w:color="auto" w:sz="4" w:space="0"/>
              <w:bottom w:val="single" w:color="auto" w:sz="4" w:space="0"/>
              <w:right w:val="single" w:color="auto" w:sz="4" w:space="0"/>
            </w:tcBorders>
            <w:vAlign w:val="center"/>
          </w:tcPr>
          <w:p w14:paraId="62A0579B">
            <w:pPr>
              <w:spacing w:line="276" w:lineRule="auto"/>
              <w:jc w:val="center"/>
              <w:rPr>
                <w:rFonts w:ascii="宋体" w:hAnsi="宋体"/>
                <w:b/>
                <w:szCs w:val="21"/>
                <w:highlight w:val="none"/>
              </w:rPr>
            </w:pPr>
          </w:p>
        </w:tc>
      </w:tr>
      <w:tr w14:paraId="35C02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875" w:type="dxa"/>
            <w:tcBorders>
              <w:top w:val="single" w:color="auto" w:sz="4" w:space="0"/>
              <w:left w:val="single" w:color="auto" w:sz="4" w:space="0"/>
              <w:bottom w:val="single" w:color="auto" w:sz="4" w:space="0"/>
              <w:right w:val="single" w:color="auto" w:sz="4" w:space="0"/>
            </w:tcBorders>
            <w:vAlign w:val="center"/>
          </w:tcPr>
          <w:p w14:paraId="13A2ECB1">
            <w:pPr>
              <w:spacing w:line="276" w:lineRule="auto"/>
              <w:jc w:val="center"/>
              <w:rPr>
                <w:rFonts w:ascii="宋体" w:hAnsi="宋体" w:cs="宋体"/>
                <w:sz w:val="24"/>
                <w:szCs w:val="24"/>
                <w:highlight w:val="none"/>
              </w:rPr>
            </w:pPr>
            <w:r>
              <w:rPr>
                <w:rFonts w:hint="eastAsia" w:ascii="宋体" w:hAnsi="宋体" w:cs="宋体"/>
                <w:sz w:val="24"/>
                <w:szCs w:val="24"/>
                <w:highlight w:val="none"/>
              </w:rPr>
              <w:t>4</w:t>
            </w:r>
          </w:p>
        </w:tc>
        <w:tc>
          <w:tcPr>
            <w:tcW w:w="2150" w:type="dxa"/>
            <w:tcBorders>
              <w:top w:val="single" w:color="auto" w:sz="4" w:space="0"/>
              <w:left w:val="single" w:color="auto" w:sz="4" w:space="0"/>
              <w:bottom w:val="single" w:color="auto" w:sz="4" w:space="0"/>
              <w:right w:val="single" w:color="auto" w:sz="4" w:space="0"/>
            </w:tcBorders>
            <w:vAlign w:val="center"/>
          </w:tcPr>
          <w:p w14:paraId="2AF351F8">
            <w:pPr>
              <w:spacing w:line="276" w:lineRule="auto"/>
              <w:jc w:val="center"/>
              <w:rPr>
                <w:rFonts w:ascii="宋体" w:hAnsi="宋体" w:cs="宋体"/>
                <w:sz w:val="24"/>
                <w:szCs w:val="24"/>
                <w:highlight w:val="none"/>
              </w:rPr>
            </w:pPr>
            <w:r>
              <w:rPr>
                <w:rFonts w:hint="eastAsia" w:ascii="宋体" w:hAnsi="宋体" w:cs="宋体"/>
                <w:sz w:val="24"/>
                <w:szCs w:val="24"/>
                <w:highlight w:val="none"/>
              </w:rPr>
              <w:t>质量标准</w:t>
            </w:r>
          </w:p>
        </w:tc>
        <w:tc>
          <w:tcPr>
            <w:tcW w:w="4696" w:type="dxa"/>
            <w:tcBorders>
              <w:top w:val="single" w:color="auto" w:sz="4" w:space="0"/>
              <w:left w:val="single" w:color="auto" w:sz="4" w:space="0"/>
              <w:bottom w:val="single" w:color="auto" w:sz="4" w:space="0"/>
              <w:right w:val="single" w:color="auto" w:sz="4" w:space="0"/>
            </w:tcBorders>
            <w:vAlign w:val="center"/>
          </w:tcPr>
          <w:p w14:paraId="37003A04">
            <w:pPr>
              <w:spacing w:line="276" w:lineRule="auto"/>
              <w:jc w:val="left"/>
              <w:rPr>
                <w:rFonts w:ascii="宋体" w:hAnsi="宋体" w:cs="宋体"/>
                <w:bCs/>
                <w:sz w:val="24"/>
                <w:szCs w:val="24"/>
                <w:highlight w:val="none"/>
              </w:rPr>
            </w:pPr>
            <w:r>
              <w:rPr>
                <w:rFonts w:hint="eastAsia" w:ascii="宋体" w:hAnsi="宋体" w:cs="宋体"/>
                <w:bCs/>
                <w:sz w:val="24"/>
                <w:szCs w:val="24"/>
                <w:highlight w:val="none"/>
              </w:rPr>
              <w:t>合格</w:t>
            </w:r>
          </w:p>
        </w:tc>
        <w:tc>
          <w:tcPr>
            <w:tcW w:w="1882" w:type="dxa"/>
            <w:tcBorders>
              <w:top w:val="single" w:color="auto" w:sz="4" w:space="0"/>
              <w:left w:val="single" w:color="auto" w:sz="4" w:space="0"/>
              <w:bottom w:val="single" w:color="auto" w:sz="4" w:space="0"/>
              <w:right w:val="single" w:color="auto" w:sz="4" w:space="0"/>
            </w:tcBorders>
            <w:vAlign w:val="center"/>
          </w:tcPr>
          <w:p w14:paraId="5A081167">
            <w:pPr>
              <w:spacing w:line="276" w:lineRule="auto"/>
              <w:jc w:val="center"/>
              <w:rPr>
                <w:rFonts w:ascii="宋体" w:hAnsi="宋体"/>
                <w:b/>
                <w:szCs w:val="21"/>
                <w:highlight w:val="none"/>
              </w:rPr>
            </w:pPr>
          </w:p>
        </w:tc>
      </w:tr>
      <w:tr w14:paraId="7A580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875" w:type="dxa"/>
            <w:vMerge w:val="restart"/>
            <w:tcBorders>
              <w:top w:val="single" w:color="auto" w:sz="4" w:space="0"/>
              <w:left w:val="single" w:color="auto" w:sz="4" w:space="0"/>
              <w:bottom w:val="single" w:color="auto" w:sz="4" w:space="0"/>
              <w:right w:val="single" w:color="auto" w:sz="4" w:space="0"/>
            </w:tcBorders>
            <w:vAlign w:val="center"/>
          </w:tcPr>
          <w:p w14:paraId="52615E8A">
            <w:pPr>
              <w:spacing w:line="276" w:lineRule="auto"/>
              <w:jc w:val="center"/>
              <w:rPr>
                <w:rFonts w:ascii="宋体" w:hAnsi="宋体" w:cs="宋体"/>
                <w:sz w:val="24"/>
                <w:szCs w:val="24"/>
                <w:highlight w:val="none"/>
              </w:rPr>
            </w:pPr>
            <w:r>
              <w:rPr>
                <w:rFonts w:hint="eastAsia" w:ascii="宋体" w:hAnsi="宋体" w:cs="宋体"/>
                <w:sz w:val="24"/>
                <w:szCs w:val="24"/>
                <w:highlight w:val="none"/>
              </w:rPr>
              <w:t>5</w:t>
            </w:r>
          </w:p>
        </w:tc>
        <w:tc>
          <w:tcPr>
            <w:tcW w:w="2150" w:type="dxa"/>
            <w:vMerge w:val="restart"/>
            <w:tcBorders>
              <w:top w:val="single" w:color="auto" w:sz="4" w:space="0"/>
              <w:left w:val="single" w:color="auto" w:sz="4" w:space="0"/>
              <w:bottom w:val="single" w:color="auto" w:sz="4" w:space="0"/>
              <w:right w:val="single" w:color="auto" w:sz="4" w:space="0"/>
            </w:tcBorders>
            <w:vAlign w:val="center"/>
          </w:tcPr>
          <w:p w14:paraId="17588656">
            <w:pPr>
              <w:spacing w:line="276" w:lineRule="auto"/>
              <w:jc w:val="center"/>
              <w:rPr>
                <w:rFonts w:ascii="宋体" w:hAnsi="宋体" w:cs="宋体"/>
                <w:sz w:val="24"/>
                <w:szCs w:val="24"/>
                <w:highlight w:val="none"/>
              </w:rPr>
            </w:pPr>
            <w:r>
              <w:rPr>
                <w:rFonts w:hint="eastAsia" w:ascii="宋体" w:hAnsi="宋体" w:cs="宋体"/>
                <w:sz w:val="24"/>
                <w:szCs w:val="24"/>
                <w:highlight w:val="none"/>
              </w:rPr>
              <w:t>投标报价</w:t>
            </w:r>
          </w:p>
        </w:tc>
        <w:tc>
          <w:tcPr>
            <w:tcW w:w="4696" w:type="dxa"/>
            <w:tcBorders>
              <w:top w:val="single" w:color="auto" w:sz="4" w:space="0"/>
              <w:left w:val="single" w:color="auto" w:sz="4" w:space="0"/>
              <w:bottom w:val="single" w:color="auto" w:sz="4" w:space="0"/>
              <w:right w:val="single" w:color="auto" w:sz="4" w:space="0"/>
            </w:tcBorders>
            <w:vAlign w:val="center"/>
          </w:tcPr>
          <w:p w14:paraId="3A138766">
            <w:pPr>
              <w:spacing w:line="276" w:lineRule="auto"/>
              <w:jc w:val="left"/>
              <w:rPr>
                <w:rFonts w:ascii="宋体" w:hAnsi="宋体" w:cs="宋体"/>
                <w:bCs/>
                <w:sz w:val="24"/>
                <w:szCs w:val="24"/>
                <w:highlight w:val="none"/>
                <w:u w:val="single"/>
              </w:rPr>
            </w:pPr>
            <w:r>
              <w:rPr>
                <w:rFonts w:hint="eastAsia" w:ascii="宋体" w:hAnsi="宋体" w:cs="宋体"/>
                <w:bCs/>
                <w:sz w:val="24"/>
                <w:szCs w:val="24"/>
                <w:highlight w:val="none"/>
              </w:rPr>
              <w:t xml:space="preserve">大写： </w:t>
            </w:r>
            <w:r>
              <w:rPr>
                <w:rFonts w:hint="eastAsia" w:ascii="宋体" w:hAnsi="宋体" w:cs="宋体"/>
                <w:bCs/>
                <w:sz w:val="24"/>
                <w:szCs w:val="24"/>
                <w:highlight w:val="none"/>
                <w:u w:val="single"/>
              </w:rPr>
              <w:t xml:space="preserve">        </w:t>
            </w:r>
          </w:p>
          <w:p w14:paraId="2DF39445">
            <w:pPr>
              <w:spacing w:line="276" w:lineRule="auto"/>
              <w:jc w:val="left"/>
              <w:rPr>
                <w:rFonts w:ascii="宋体" w:hAnsi="宋体" w:cs="宋体"/>
                <w:bCs/>
                <w:sz w:val="24"/>
                <w:szCs w:val="24"/>
                <w:highlight w:val="none"/>
              </w:rPr>
            </w:pPr>
            <w:r>
              <w:rPr>
                <w:rFonts w:hint="eastAsia" w:ascii="宋体" w:hAnsi="宋体" w:cs="宋体"/>
                <w:bCs/>
                <w:sz w:val="24"/>
                <w:szCs w:val="24"/>
                <w:highlight w:val="none"/>
              </w:rPr>
              <w:t xml:space="preserve">小写： </w:t>
            </w:r>
            <w:r>
              <w:rPr>
                <w:rFonts w:hint="eastAsia" w:ascii="宋体" w:hAnsi="宋体" w:cs="宋体"/>
                <w:bCs/>
                <w:sz w:val="24"/>
                <w:szCs w:val="24"/>
                <w:highlight w:val="none"/>
                <w:u w:val="single"/>
              </w:rPr>
              <w:t xml:space="preserve">        </w:t>
            </w:r>
          </w:p>
        </w:tc>
        <w:tc>
          <w:tcPr>
            <w:tcW w:w="1882" w:type="dxa"/>
            <w:vMerge w:val="restart"/>
            <w:tcBorders>
              <w:top w:val="single" w:color="auto" w:sz="4" w:space="0"/>
              <w:left w:val="single" w:color="auto" w:sz="4" w:space="0"/>
              <w:right w:val="single" w:color="auto" w:sz="4" w:space="0"/>
            </w:tcBorders>
            <w:vAlign w:val="center"/>
          </w:tcPr>
          <w:p w14:paraId="6788014E">
            <w:pPr>
              <w:spacing w:line="276" w:lineRule="auto"/>
              <w:jc w:val="center"/>
              <w:rPr>
                <w:rFonts w:ascii="宋体" w:hAnsi="宋体"/>
                <w:b/>
                <w:szCs w:val="21"/>
                <w:highlight w:val="none"/>
              </w:rPr>
            </w:pPr>
            <w:r>
              <w:rPr>
                <w:rFonts w:hint="eastAsia" w:ascii="宋体" w:hAnsi="宋体"/>
                <w:b/>
                <w:szCs w:val="21"/>
                <w:highlight w:val="none"/>
              </w:rPr>
              <w:t>以“元”为单位，精确到小数点后2位。</w:t>
            </w:r>
          </w:p>
        </w:tc>
      </w:tr>
      <w:tr w14:paraId="7CF20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jc w:val="center"/>
        </w:trPr>
        <w:tc>
          <w:tcPr>
            <w:tcW w:w="875" w:type="dxa"/>
            <w:vMerge w:val="continue"/>
            <w:tcBorders>
              <w:left w:val="single" w:color="auto" w:sz="4" w:space="0"/>
              <w:right w:val="single" w:color="auto" w:sz="4" w:space="0"/>
            </w:tcBorders>
            <w:vAlign w:val="center"/>
          </w:tcPr>
          <w:p w14:paraId="65022E0D">
            <w:pPr>
              <w:spacing w:line="276" w:lineRule="auto"/>
              <w:jc w:val="center"/>
              <w:rPr>
                <w:rFonts w:ascii="宋体" w:hAnsi="宋体" w:cs="宋体"/>
                <w:sz w:val="24"/>
                <w:szCs w:val="24"/>
                <w:highlight w:val="none"/>
              </w:rPr>
            </w:pPr>
          </w:p>
        </w:tc>
        <w:tc>
          <w:tcPr>
            <w:tcW w:w="2150" w:type="dxa"/>
            <w:vMerge w:val="continue"/>
            <w:tcBorders>
              <w:left w:val="single" w:color="auto" w:sz="4" w:space="0"/>
              <w:right w:val="single" w:color="auto" w:sz="4" w:space="0"/>
            </w:tcBorders>
            <w:vAlign w:val="center"/>
          </w:tcPr>
          <w:p w14:paraId="012C430A">
            <w:pPr>
              <w:spacing w:line="276" w:lineRule="auto"/>
              <w:jc w:val="center"/>
              <w:rPr>
                <w:rFonts w:ascii="宋体" w:hAnsi="宋体" w:cs="宋体"/>
                <w:sz w:val="24"/>
                <w:szCs w:val="24"/>
                <w:highlight w:val="none"/>
              </w:rPr>
            </w:pPr>
          </w:p>
        </w:tc>
        <w:tc>
          <w:tcPr>
            <w:tcW w:w="4696" w:type="dxa"/>
            <w:tcBorders>
              <w:top w:val="single" w:color="auto" w:sz="4" w:space="0"/>
              <w:left w:val="single" w:color="auto" w:sz="4" w:space="0"/>
              <w:bottom w:val="single" w:color="auto" w:sz="4" w:space="0"/>
              <w:right w:val="single" w:color="auto" w:sz="4" w:space="0"/>
            </w:tcBorders>
            <w:vAlign w:val="center"/>
          </w:tcPr>
          <w:p w14:paraId="178A6084">
            <w:pPr>
              <w:spacing w:line="276" w:lineRule="auto"/>
              <w:jc w:val="left"/>
              <w:rPr>
                <w:rFonts w:ascii="宋体" w:hAnsi="宋体" w:cs="宋体"/>
                <w:bCs/>
                <w:sz w:val="24"/>
                <w:szCs w:val="24"/>
                <w:highlight w:val="none"/>
              </w:rPr>
            </w:pPr>
            <w:r>
              <w:rPr>
                <w:rFonts w:hint="eastAsia" w:ascii="宋体" w:hAnsi="宋体" w:cs="宋体"/>
                <w:bCs/>
                <w:sz w:val="24"/>
                <w:highlight w:val="none"/>
              </w:rPr>
              <w:t>其中：黄埔区刘村消防站建设工程</w:t>
            </w:r>
            <w:r>
              <w:rPr>
                <w:rFonts w:hint="eastAsia" w:ascii="宋体" w:hAnsi="宋体" w:cs="华文楷体"/>
                <w:bCs/>
                <w:kern w:val="0"/>
                <w:sz w:val="24"/>
                <w:szCs w:val="24"/>
                <w:highlight w:val="none"/>
                <w:lang w:bidi="ar"/>
              </w:rPr>
              <w:t>第三方检测</w:t>
            </w:r>
            <w:r>
              <w:rPr>
                <w:rFonts w:hint="eastAsia" w:ascii="宋体" w:hAnsi="宋体" w:cs="宋体"/>
                <w:sz w:val="24"/>
                <w:highlight w:val="none"/>
              </w:rPr>
              <w:t>投标报价为：  元；</w:t>
            </w:r>
          </w:p>
        </w:tc>
        <w:tc>
          <w:tcPr>
            <w:tcW w:w="1882" w:type="dxa"/>
            <w:vMerge w:val="continue"/>
            <w:tcBorders>
              <w:left w:val="single" w:color="auto" w:sz="4" w:space="0"/>
              <w:right w:val="single" w:color="auto" w:sz="4" w:space="0"/>
            </w:tcBorders>
            <w:vAlign w:val="center"/>
          </w:tcPr>
          <w:p w14:paraId="5B7A1948">
            <w:pPr>
              <w:spacing w:line="276" w:lineRule="auto"/>
              <w:jc w:val="center"/>
              <w:rPr>
                <w:rFonts w:ascii="宋体" w:hAnsi="宋体"/>
                <w:b/>
                <w:szCs w:val="21"/>
                <w:highlight w:val="none"/>
              </w:rPr>
            </w:pPr>
          </w:p>
        </w:tc>
      </w:tr>
      <w:tr w14:paraId="11610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jc w:val="center"/>
        </w:trPr>
        <w:tc>
          <w:tcPr>
            <w:tcW w:w="875" w:type="dxa"/>
            <w:vMerge w:val="continue"/>
            <w:tcBorders>
              <w:left w:val="single" w:color="auto" w:sz="4" w:space="0"/>
              <w:right w:val="single" w:color="auto" w:sz="4" w:space="0"/>
            </w:tcBorders>
            <w:vAlign w:val="center"/>
          </w:tcPr>
          <w:p w14:paraId="6A415E7B">
            <w:pPr>
              <w:spacing w:line="276" w:lineRule="auto"/>
              <w:jc w:val="center"/>
              <w:rPr>
                <w:rFonts w:ascii="宋体" w:hAnsi="宋体" w:cs="宋体"/>
                <w:sz w:val="24"/>
                <w:szCs w:val="24"/>
                <w:highlight w:val="none"/>
              </w:rPr>
            </w:pPr>
          </w:p>
        </w:tc>
        <w:tc>
          <w:tcPr>
            <w:tcW w:w="2150" w:type="dxa"/>
            <w:vMerge w:val="continue"/>
            <w:tcBorders>
              <w:left w:val="single" w:color="auto" w:sz="4" w:space="0"/>
              <w:right w:val="single" w:color="auto" w:sz="4" w:space="0"/>
            </w:tcBorders>
            <w:vAlign w:val="center"/>
          </w:tcPr>
          <w:p w14:paraId="0A84F1E9">
            <w:pPr>
              <w:spacing w:line="276" w:lineRule="auto"/>
              <w:jc w:val="center"/>
              <w:rPr>
                <w:rFonts w:ascii="宋体" w:hAnsi="宋体" w:cs="宋体"/>
                <w:sz w:val="24"/>
                <w:szCs w:val="24"/>
                <w:highlight w:val="none"/>
              </w:rPr>
            </w:pPr>
          </w:p>
        </w:tc>
        <w:tc>
          <w:tcPr>
            <w:tcW w:w="4696" w:type="dxa"/>
            <w:tcBorders>
              <w:top w:val="single" w:color="auto" w:sz="4" w:space="0"/>
              <w:left w:val="single" w:color="auto" w:sz="4" w:space="0"/>
              <w:bottom w:val="single" w:color="auto" w:sz="4" w:space="0"/>
              <w:right w:val="single" w:color="auto" w:sz="4" w:space="0"/>
            </w:tcBorders>
            <w:vAlign w:val="center"/>
          </w:tcPr>
          <w:p w14:paraId="5837222B">
            <w:pPr>
              <w:spacing w:line="276" w:lineRule="auto"/>
              <w:jc w:val="left"/>
              <w:rPr>
                <w:rFonts w:ascii="宋体" w:hAnsi="宋体" w:cs="宋体"/>
                <w:bCs/>
                <w:sz w:val="24"/>
                <w:highlight w:val="none"/>
              </w:rPr>
            </w:pPr>
            <w:r>
              <w:rPr>
                <w:rFonts w:hint="eastAsia" w:ascii="宋体" w:hAnsi="宋体" w:cs="宋体"/>
                <w:bCs/>
                <w:sz w:val="24"/>
                <w:highlight w:val="none"/>
              </w:rPr>
              <w:t>其中：黄埔区深井消防站建设工程</w:t>
            </w:r>
            <w:r>
              <w:rPr>
                <w:rFonts w:hint="eastAsia" w:ascii="宋体" w:hAnsi="宋体" w:cs="华文楷体"/>
                <w:bCs/>
                <w:kern w:val="0"/>
                <w:sz w:val="24"/>
                <w:szCs w:val="24"/>
                <w:highlight w:val="none"/>
                <w:lang w:bidi="ar"/>
              </w:rPr>
              <w:t>第三方检测</w:t>
            </w:r>
            <w:r>
              <w:rPr>
                <w:rFonts w:hint="eastAsia" w:ascii="宋体" w:hAnsi="宋体" w:cs="宋体"/>
                <w:sz w:val="24"/>
                <w:highlight w:val="none"/>
              </w:rPr>
              <w:t>投标报价为：  元；</w:t>
            </w:r>
          </w:p>
        </w:tc>
        <w:tc>
          <w:tcPr>
            <w:tcW w:w="1882" w:type="dxa"/>
            <w:vMerge w:val="continue"/>
            <w:tcBorders>
              <w:left w:val="single" w:color="auto" w:sz="4" w:space="0"/>
              <w:right w:val="single" w:color="auto" w:sz="4" w:space="0"/>
            </w:tcBorders>
            <w:vAlign w:val="center"/>
          </w:tcPr>
          <w:p w14:paraId="6235C919">
            <w:pPr>
              <w:spacing w:line="276" w:lineRule="auto"/>
              <w:jc w:val="center"/>
              <w:rPr>
                <w:rFonts w:ascii="宋体" w:hAnsi="宋体"/>
                <w:b/>
                <w:szCs w:val="21"/>
                <w:highlight w:val="none"/>
              </w:rPr>
            </w:pPr>
          </w:p>
        </w:tc>
      </w:tr>
      <w:tr w14:paraId="0836B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875" w:type="dxa"/>
            <w:vMerge w:val="continue"/>
            <w:tcBorders>
              <w:left w:val="single" w:color="auto" w:sz="4" w:space="0"/>
              <w:right w:val="single" w:color="auto" w:sz="4" w:space="0"/>
            </w:tcBorders>
            <w:vAlign w:val="center"/>
          </w:tcPr>
          <w:p w14:paraId="692F0E29">
            <w:pPr>
              <w:spacing w:line="276" w:lineRule="auto"/>
              <w:jc w:val="center"/>
              <w:rPr>
                <w:rFonts w:ascii="宋体" w:hAnsi="宋体" w:cs="宋体"/>
                <w:sz w:val="24"/>
                <w:szCs w:val="24"/>
                <w:highlight w:val="none"/>
              </w:rPr>
            </w:pPr>
          </w:p>
        </w:tc>
        <w:tc>
          <w:tcPr>
            <w:tcW w:w="2150" w:type="dxa"/>
            <w:vMerge w:val="continue"/>
            <w:tcBorders>
              <w:left w:val="single" w:color="auto" w:sz="4" w:space="0"/>
              <w:right w:val="single" w:color="auto" w:sz="4" w:space="0"/>
            </w:tcBorders>
            <w:vAlign w:val="center"/>
          </w:tcPr>
          <w:p w14:paraId="27DCB022">
            <w:pPr>
              <w:spacing w:line="276" w:lineRule="auto"/>
              <w:jc w:val="center"/>
              <w:rPr>
                <w:rFonts w:ascii="宋体" w:hAnsi="宋体" w:cs="宋体"/>
                <w:sz w:val="24"/>
                <w:szCs w:val="24"/>
                <w:highlight w:val="none"/>
              </w:rPr>
            </w:pPr>
          </w:p>
        </w:tc>
        <w:tc>
          <w:tcPr>
            <w:tcW w:w="4696" w:type="dxa"/>
            <w:tcBorders>
              <w:top w:val="single" w:color="auto" w:sz="4" w:space="0"/>
              <w:left w:val="single" w:color="auto" w:sz="4" w:space="0"/>
              <w:bottom w:val="single" w:color="auto" w:sz="4" w:space="0"/>
              <w:right w:val="single" w:color="auto" w:sz="4" w:space="0"/>
            </w:tcBorders>
            <w:vAlign w:val="center"/>
          </w:tcPr>
          <w:p w14:paraId="2A6799AB">
            <w:pPr>
              <w:spacing w:line="276" w:lineRule="auto"/>
              <w:jc w:val="left"/>
              <w:rPr>
                <w:rFonts w:ascii="宋体" w:hAnsi="宋体" w:cs="宋体"/>
                <w:bCs/>
                <w:sz w:val="24"/>
                <w:szCs w:val="24"/>
                <w:highlight w:val="none"/>
              </w:rPr>
            </w:pPr>
            <w:r>
              <w:rPr>
                <w:rFonts w:hint="eastAsia" w:ascii="宋体" w:hAnsi="宋体" w:cs="宋体"/>
                <w:bCs/>
                <w:sz w:val="24"/>
                <w:highlight w:val="none"/>
              </w:rPr>
              <w:t>其中：萝岗区天鹿湖消防站</w:t>
            </w:r>
            <w:r>
              <w:rPr>
                <w:rFonts w:hint="eastAsia" w:ascii="宋体" w:hAnsi="宋体" w:cs="华文楷体"/>
                <w:bCs/>
                <w:kern w:val="0"/>
                <w:sz w:val="24"/>
                <w:szCs w:val="24"/>
                <w:highlight w:val="none"/>
                <w:lang w:bidi="ar"/>
              </w:rPr>
              <w:t>第三方检测</w:t>
            </w:r>
            <w:r>
              <w:rPr>
                <w:rFonts w:hint="eastAsia" w:ascii="宋体" w:hAnsi="宋体" w:cs="宋体"/>
                <w:sz w:val="24"/>
                <w:highlight w:val="none"/>
              </w:rPr>
              <w:t>投标报价为：  元；</w:t>
            </w:r>
          </w:p>
        </w:tc>
        <w:tc>
          <w:tcPr>
            <w:tcW w:w="1882" w:type="dxa"/>
            <w:vMerge w:val="continue"/>
            <w:tcBorders>
              <w:left w:val="single" w:color="auto" w:sz="4" w:space="0"/>
              <w:right w:val="single" w:color="auto" w:sz="4" w:space="0"/>
            </w:tcBorders>
            <w:vAlign w:val="center"/>
          </w:tcPr>
          <w:p w14:paraId="670089A5">
            <w:pPr>
              <w:spacing w:line="276" w:lineRule="auto"/>
              <w:jc w:val="center"/>
              <w:rPr>
                <w:rFonts w:ascii="宋体" w:hAnsi="宋体"/>
                <w:b/>
                <w:szCs w:val="21"/>
                <w:highlight w:val="none"/>
              </w:rPr>
            </w:pPr>
          </w:p>
        </w:tc>
      </w:tr>
      <w:tr w14:paraId="75700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jc w:val="center"/>
        </w:trPr>
        <w:tc>
          <w:tcPr>
            <w:tcW w:w="875" w:type="dxa"/>
            <w:vMerge w:val="continue"/>
            <w:tcBorders>
              <w:top w:val="single" w:color="auto" w:sz="4" w:space="0"/>
              <w:left w:val="single" w:color="auto" w:sz="4" w:space="0"/>
              <w:bottom w:val="single" w:color="auto" w:sz="4" w:space="0"/>
              <w:right w:val="single" w:color="auto" w:sz="4" w:space="0"/>
            </w:tcBorders>
            <w:vAlign w:val="center"/>
          </w:tcPr>
          <w:p w14:paraId="39B9118A">
            <w:pPr>
              <w:widowControl/>
              <w:spacing w:line="276" w:lineRule="auto"/>
              <w:jc w:val="left"/>
              <w:rPr>
                <w:rFonts w:ascii="宋体" w:hAnsi="宋体" w:cs="宋体"/>
                <w:sz w:val="24"/>
                <w:szCs w:val="24"/>
                <w:highlight w:val="none"/>
              </w:rPr>
            </w:pPr>
          </w:p>
        </w:tc>
        <w:tc>
          <w:tcPr>
            <w:tcW w:w="2150" w:type="dxa"/>
            <w:vMerge w:val="continue"/>
            <w:tcBorders>
              <w:top w:val="single" w:color="auto" w:sz="4" w:space="0"/>
              <w:left w:val="single" w:color="auto" w:sz="4" w:space="0"/>
              <w:bottom w:val="single" w:color="auto" w:sz="4" w:space="0"/>
              <w:right w:val="single" w:color="auto" w:sz="4" w:space="0"/>
            </w:tcBorders>
            <w:vAlign w:val="center"/>
          </w:tcPr>
          <w:p w14:paraId="64814F87">
            <w:pPr>
              <w:widowControl/>
              <w:spacing w:line="276" w:lineRule="auto"/>
              <w:jc w:val="left"/>
              <w:rPr>
                <w:rFonts w:ascii="宋体" w:hAnsi="宋体" w:cs="宋体"/>
                <w:sz w:val="24"/>
                <w:szCs w:val="24"/>
                <w:highlight w:val="none"/>
              </w:rPr>
            </w:pPr>
          </w:p>
        </w:tc>
        <w:tc>
          <w:tcPr>
            <w:tcW w:w="4696" w:type="dxa"/>
            <w:tcBorders>
              <w:top w:val="single" w:color="auto" w:sz="4" w:space="0"/>
              <w:left w:val="single" w:color="auto" w:sz="4" w:space="0"/>
              <w:bottom w:val="single" w:color="auto" w:sz="4" w:space="0"/>
              <w:right w:val="single" w:color="auto" w:sz="4" w:space="0"/>
            </w:tcBorders>
            <w:vAlign w:val="center"/>
          </w:tcPr>
          <w:p w14:paraId="0BE4DBA2">
            <w:pPr>
              <w:spacing w:line="276" w:lineRule="auto"/>
              <w:jc w:val="left"/>
              <w:rPr>
                <w:rFonts w:ascii="宋体" w:hAnsi="宋体" w:cs="宋体"/>
                <w:bCs/>
                <w:sz w:val="24"/>
                <w:szCs w:val="24"/>
                <w:highlight w:val="none"/>
              </w:rPr>
            </w:pPr>
            <w:r>
              <w:rPr>
                <w:rFonts w:hint="eastAsia" w:ascii="宋体" w:hAnsi="宋体" w:cs="宋体"/>
                <w:bCs/>
                <w:sz w:val="24"/>
                <w:szCs w:val="24"/>
                <w:highlight w:val="none"/>
              </w:rPr>
              <w:t>投标下浮率：</w:t>
            </w:r>
            <w:r>
              <w:rPr>
                <w:rFonts w:hint="eastAsia" w:ascii="宋体" w:hAnsi="宋体" w:cs="宋体"/>
                <w:bCs/>
                <w:sz w:val="24"/>
                <w:szCs w:val="24"/>
                <w:highlight w:val="none"/>
                <w:u w:val="single"/>
              </w:rPr>
              <w:t xml:space="preserve">           </w:t>
            </w:r>
          </w:p>
        </w:tc>
        <w:tc>
          <w:tcPr>
            <w:tcW w:w="1882" w:type="dxa"/>
            <w:tcBorders>
              <w:top w:val="single" w:color="auto" w:sz="4" w:space="0"/>
              <w:left w:val="single" w:color="auto" w:sz="4" w:space="0"/>
              <w:bottom w:val="single" w:color="auto" w:sz="4" w:space="0"/>
              <w:right w:val="single" w:color="auto" w:sz="4" w:space="0"/>
            </w:tcBorders>
            <w:vAlign w:val="center"/>
          </w:tcPr>
          <w:p w14:paraId="1CB61C59">
            <w:pPr>
              <w:spacing w:line="276" w:lineRule="auto"/>
              <w:jc w:val="center"/>
              <w:rPr>
                <w:rFonts w:ascii="宋体" w:hAnsi="宋体"/>
                <w:b/>
                <w:szCs w:val="21"/>
                <w:highlight w:val="none"/>
              </w:rPr>
            </w:pPr>
            <w:r>
              <w:rPr>
                <w:rFonts w:hint="eastAsia" w:ascii="宋体" w:hAnsi="宋体"/>
                <w:b/>
                <w:szCs w:val="21"/>
                <w:highlight w:val="none"/>
              </w:rPr>
              <w:t>（1-投标报价/</w:t>
            </w:r>
            <w:r>
              <w:rPr>
                <w:rFonts w:hint="eastAsia" w:ascii="宋体" w:hAnsi="宋体" w:cs="宋体"/>
                <w:b/>
                <w:szCs w:val="21"/>
                <w:highlight w:val="none"/>
                <w:u w:val="single"/>
              </w:rPr>
              <w:t>暂定金额</w:t>
            </w:r>
            <w:r>
              <w:rPr>
                <w:rFonts w:hint="eastAsia" w:ascii="宋体" w:hAnsi="宋体"/>
                <w:b/>
                <w:szCs w:val="21"/>
                <w:highlight w:val="none"/>
              </w:rPr>
              <w:t>）*100%</w:t>
            </w:r>
          </w:p>
        </w:tc>
      </w:tr>
      <w:tr w14:paraId="7E004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875" w:type="dxa"/>
            <w:tcBorders>
              <w:top w:val="single" w:color="auto" w:sz="4" w:space="0"/>
              <w:left w:val="single" w:color="auto" w:sz="4" w:space="0"/>
              <w:bottom w:val="single" w:color="auto" w:sz="4" w:space="0"/>
              <w:right w:val="single" w:color="auto" w:sz="4" w:space="0"/>
            </w:tcBorders>
            <w:vAlign w:val="center"/>
          </w:tcPr>
          <w:p w14:paraId="4E8E87A7">
            <w:pPr>
              <w:spacing w:line="276" w:lineRule="auto"/>
              <w:jc w:val="center"/>
              <w:rPr>
                <w:rFonts w:ascii="宋体" w:hAnsi="宋体" w:cs="宋体"/>
                <w:sz w:val="24"/>
                <w:szCs w:val="24"/>
                <w:highlight w:val="none"/>
              </w:rPr>
            </w:pPr>
            <w:r>
              <w:rPr>
                <w:rFonts w:hint="eastAsia" w:ascii="宋体" w:hAnsi="宋体" w:cs="宋体"/>
                <w:sz w:val="24"/>
                <w:szCs w:val="24"/>
                <w:highlight w:val="none"/>
              </w:rPr>
              <w:t>6</w:t>
            </w:r>
          </w:p>
        </w:tc>
        <w:tc>
          <w:tcPr>
            <w:tcW w:w="2150" w:type="dxa"/>
            <w:tcBorders>
              <w:top w:val="single" w:color="auto" w:sz="4" w:space="0"/>
              <w:left w:val="single" w:color="auto" w:sz="4" w:space="0"/>
              <w:bottom w:val="single" w:color="auto" w:sz="4" w:space="0"/>
              <w:right w:val="single" w:color="auto" w:sz="4" w:space="0"/>
            </w:tcBorders>
            <w:vAlign w:val="center"/>
          </w:tcPr>
          <w:p w14:paraId="56CD547A">
            <w:pPr>
              <w:spacing w:line="276" w:lineRule="auto"/>
              <w:jc w:val="center"/>
              <w:rPr>
                <w:rFonts w:ascii="宋体" w:hAnsi="宋体" w:cs="宋体"/>
                <w:sz w:val="24"/>
                <w:szCs w:val="24"/>
                <w:highlight w:val="none"/>
              </w:rPr>
            </w:pPr>
            <w:r>
              <w:rPr>
                <w:rFonts w:hint="eastAsia" w:ascii="宋体" w:hAnsi="宋体" w:cs="宋体"/>
                <w:sz w:val="24"/>
                <w:szCs w:val="24"/>
                <w:highlight w:val="none"/>
              </w:rPr>
              <w:t>投标有效期</w:t>
            </w:r>
          </w:p>
        </w:tc>
        <w:tc>
          <w:tcPr>
            <w:tcW w:w="4696" w:type="dxa"/>
            <w:tcBorders>
              <w:top w:val="single" w:color="auto" w:sz="4" w:space="0"/>
              <w:left w:val="single" w:color="auto" w:sz="4" w:space="0"/>
              <w:bottom w:val="single" w:color="auto" w:sz="4" w:space="0"/>
              <w:right w:val="single" w:color="auto" w:sz="4" w:space="0"/>
            </w:tcBorders>
            <w:vAlign w:val="center"/>
          </w:tcPr>
          <w:p w14:paraId="6656FDBA">
            <w:pPr>
              <w:spacing w:line="276" w:lineRule="auto"/>
              <w:jc w:val="left"/>
              <w:rPr>
                <w:rFonts w:ascii="宋体" w:hAnsi="宋体" w:cs="宋体"/>
                <w:bCs/>
                <w:sz w:val="24"/>
                <w:szCs w:val="24"/>
                <w:highlight w:val="none"/>
              </w:rPr>
            </w:pPr>
            <w:r>
              <w:rPr>
                <w:rFonts w:hint="eastAsia" w:ascii="宋体" w:hAnsi="宋体" w:cs="宋体"/>
                <w:bCs/>
                <w:sz w:val="24"/>
                <w:highlight w:val="none"/>
              </w:rPr>
              <w:t xml:space="preserve"> 按招标文件要求</w:t>
            </w:r>
          </w:p>
        </w:tc>
        <w:tc>
          <w:tcPr>
            <w:tcW w:w="1882" w:type="dxa"/>
            <w:tcBorders>
              <w:top w:val="single" w:color="auto" w:sz="4" w:space="0"/>
              <w:left w:val="single" w:color="auto" w:sz="4" w:space="0"/>
              <w:bottom w:val="single" w:color="auto" w:sz="4" w:space="0"/>
              <w:right w:val="single" w:color="auto" w:sz="4" w:space="0"/>
            </w:tcBorders>
            <w:vAlign w:val="center"/>
          </w:tcPr>
          <w:p w14:paraId="2CC7BA9A">
            <w:pPr>
              <w:spacing w:line="276" w:lineRule="auto"/>
              <w:jc w:val="center"/>
              <w:rPr>
                <w:rFonts w:ascii="宋体" w:hAnsi="宋体"/>
                <w:b/>
                <w:szCs w:val="21"/>
                <w:highlight w:val="none"/>
              </w:rPr>
            </w:pPr>
          </w:p>
        </w:tc>
      </w:tr>
    </w:tbl>
    <w:p w14:paraId="0F81DAD1">
      <w:pPr>
        <w:spacing w:line="440" w:lineRule="exact"/>
        <w:ind w:firstLine="2520" w:firstLineChars="1200"/>
        <w:jc w:val="left"/>
        <w:rPr>
          <w:rFonts w:ascii="宋体" w:hAnsi="宋体"/>
          <w:szCs w:val="21"/>
          <w:highlight w:val="none"/>
        </w:rPr>
      </w:pPr>
    </w:p>
    <w:p w14:paraId="307738C7">
      <w:pPr>
        <w:pStyle w:val="13"/>
        <w:tabs>
          <w:tab w:val="left" w:pos="7321"/>
        </w:tabs>
        <w:spacing w:before="36"/>
        <w:ind w:left="2701"/>
        <w:rPr>
          <w:rFonts w:ascii="宋体" w:hAnsi="宋体"/>
          <w:highlight w:val="none"/>
        </w:rPr>
      </w:pPr>
      <w:r>
        <w:rPr>
          <w:rFonts w:hint="eastAsia" w:ascii="宋体" w:hAnsi="宋体"/>
          <w:highlight w:val="none"/>
        </w:rPr>
        <w:t>投标人：</w:t>
      </w:r>
      <w:r>
        <w:rPr>
          <w:rFonts w:ascii="宋体" w:hAnsi="宋体"/>
          <w:highlight w:val="none"/>
          <w:u w:val="single" w:color="000000"/>
        </w:rPr>
        <w:tab/>
      </w:r>
      <w:r>
        <w:rPr>
          <w:rFonts w:hint="eastAsia" w:ascii="宋体" w:hAnsi="宋体"/>
          <w:highlight w:val="none"/>
        </w:rPr>
        <w:t>（盖单位章）</w:t>
      </w:r>
    </w:p>
    <w:p w14:paraId="7529DF75">
      <w:pPr>
        <w:spacing w:before="13"/>
        <w:rPr>
          <w:rFonts w:ascii="宋体" w:hAnsi="宋体" w:cs="宋体"/>
          <w:sz w:val="9"/>
          <w:szCs w:val="9"/>
          <w:highlight w:val="none"/>
        </w:rPr>
      </w:pPr>
    </w:p>
    <w:p w14:paraId="4362F53C">
      <w:pPr>
        <w:pStyle w:val="13"/>
        <w:tabs>
          <w:tab w:val="left" w:pos="6481"/>
        </w:tabs>
        <w:spacing w:before="36"/>
        <w:ind w:left="2701"/>
        <w:rPr>
          <w:rFonts w:ascii="宋体" w:hAnsi="宋体"/>
          <w:highlight w:val="none"/>
        </w:rPr>
      </w:pPr>
      <w:r>
        <w:rPr>
          <w:rFonts w:hint="eastAsia" w:ascii="宋体" w:hAnsi="宋体"/>
          <w:spacing w:val="-2"/>
          <w:highlight w:val="none"/>
        </w:rPr>
        <w:t>法定代表人或其委托代理人：</w:t>
      </w:r>
      <w:r>
        <w:rPr>
          <w:rFonts w:ascii="宋体" w:hAnsi="宋体"/>
          <w:spacing w:val="-2"/>
          <w:highlight w:val="none"/>
          <w:u w:val="single" w:color="000000"/>
        </w:rPr>
        <w:tab/>
      </w:r>
      <w:r>
        <w:rPr>
          <w:rFonts w:hint="eastAsia" w:ascii="宋体" w:hAnsi="宋体"/>
          <w:spacing w:val="-1"/>
          <w:highlight w:val="none"/>
        </w:rPr>
        <w:t>（签字或盖章）</w:t>
      </w:r>
    </w:p>
    <w:p w14:paraId="2B75A336">
      <w:pPr>
        <w:spacing w:before="10"/>
        <w:rPr>
          <w:rFonts w:ascii="宋体" w:hAnsi="宋体" w:cs="宋体"/>
          <w:sz w:val="9"/>
          <w:szCs w:val="9"/>
          <w:highlight w:val="none"/>
        </w:rPr>
      </w:pPr>
    </w:p>
    <w:p w14:paraId="4A9485CE">
      <w:pPr>
        <w:spacing w:line="440" w:lineRule="exact"/>
        <w:ind w:firstLine="4620" w:firstLineChars="2200"/>
        <w:rPr>
          <w:rFonts w:ascii="宋体" w:hAnsi="宋体"/>
          <w:highlight w:val="none"/>
        </w:rPr>
      </w:pPr>
      <w:r>
        <w:rPr>
          <w:rFonts w:ascii="宋体" w:hAnsi="宋体"/>
          <w:highlight w:val="none"/>
          <w:u w:val="single" w:color="000000"/>
        </w:rPr>
        <w:tab/>
      </w:r>
      <w:r>
        <w:rPr>
          <w:rFonts w:hint="eastAsia" w:ascii="宋体" w:hAnsi="宋体"/>
          <w:highlight w:val="none"/>
        </w:rPr>
        <w:t>年</w:t>
      </w:r>
      <w:r>
        <w:rPr>
          <w:rFonts w:ascii="宋体" w:hAnsi="宋体"/>
          <w:highlight w:val="none"/>
          <w:u w:val="single" w:color="000000"/>
        </w:rPr>
        <w:tab/>
      </w:r>
      <w:r>
        <w:rPr>
          <w:rFonts w:ascii="宋体" w:hAnsi="宋体"/>
          <w:highlight w:val="none"/>
          <w:u w:val="single" w:color="000000"/>
        </w:rPr>
        <w:t xml:space="preserve"> </w:t>
      </w:r>
      <w:r>
        <w:rPr>
          <w:rFonts w:hint="eastAsia" w:ascii="宋体" w:hAnsi="宋体"/>
          <w:highlight w:val="none"/>
        </w:rPr>
        <w:t>月</w:t>
      </w:r>
      <w:r>
        <w:rPr>
          <w:rFonts w:ascii="宋体" w:hAnsi="宋体"/>
          <w:highlight w:val="none"/>
          <w:u w:val="single" w:color="000000"/>
        </w:rPr>
        <w:tab/>
      </w:r>
      <w:r>
        <w:rPr>
          <w:rFonts w:ascii="宋体" w:hAnsi="宋体"/>
          <w:highlight w:val="none"/>
          <w:u w:val="single" w:color="000000"/>
        </w:rPr>
        <w:t xml:space="preserve">  </w:t>
      </w:r>
      <w:r>
        <w:rPr>
          <w:rFonts w:hint="eastAsia" w:ascii="宋体" w:hAnsi="宋体"/>
          <w:highlight w:val="none"/>
        </w:rPr>
        <w:t>日</w:t>
      </w:r>
    </w:p>
    <w:p w14:paraId="2237A864">
      <w:pPr>
        <w:spacing w:line="440" w:lineRule="exact"/>
        <w:ind w:firstLine="4620" w:firstLineChars="2200"/>
        <w:rPr>
          <w:rFonts w:ascii="宋体" w:hAnsi="宋体"/>
          <w:sz w:val="24"/>
          <w:highlight w:val="none"/>
        </w:rPr>
      </w:pPr>
      <w:r>
        <w:rPr>
          <w:rFonts w:ascii="宋体" w:hAnsi="宋体"/>
          <w:highlight w:val="none"/>
        </w:rPr>
        <w:br w:type="page"/>
      </w:r>
      <w:bookmarkEnd w:id="152"/>
      <w:bookmarkEnd w:id="153"/>
      <w:bookmarkEnd w:id="154"/>
      <w:bookmarkStart w:id="167" w:name="_Toc21863"/>
      <w:bookmarkStart w:id="168" w:name="_Toc390704765"/>
      <w:bookmarkStart w:id="169" w:name="_Toc333829918"/>
      <w:bookmarkStart w:id="170" w:name="_Toc533357330"/>
      <w:bookmarkStart w:id="171" w:name="_Toc374536213"/>
    </w:p>
    <w:bookmarkEnd w:id="149"/>
    <w:bookmarkEnd w:id="167"/>
    <w:bookmarkEnd w:id="168"/>
    <w:bookmarkEnd w:id="169"/>
    <w:bookmarkEnd w:id="170"/>
    <w:bookmarkEnd w:id="171"/>
    <w:p w14:paraId="7DC907C0">
      <w:pPr>
        <w:pStyle w:val="5"/>
        <w:rPr>
          <w:highlight w:val="none"/>
        </w:rPr>
      </w:pPr>
      <w:bookmarkStart w:id="172" w:name="_Toc103592037"/>
      <w:r>
        <w:rPr>
          <w:rFonts w:hint="eastAsia"/>
          <w:highlight w:val="none"/>
        </w:rPr>
        <w:t>二、法定代表人证明书及授权委托书</w:t>
      </w:r>
      <w:bookmarkEnd w:id="172"/>
    </w:p>
    <w:p w14:paraId="0392DBC1">
      <w:pPr>
        <w:spacing w:before="156" w:beforeLines="50"/>
        <w:ind w:firstLine="482" w:firstLineChars="200"/>
        <w:jc w:val="center"/>
        <w:rPr>
          <w:rFonts w:ascii="宋体" w:hAnsi="宋体" w:cs="宋体"/>
          <w:b/>
          <w:sz w:val="24"/>
          <w:szCs w:val="24"/>
          <w:highlight w:val="none"/>
        </w:rPr>
      </w:pPr>
      <w:r>
        <w:rPr>
          <w:rFonts w:hint="eastAsia" w:ascii="宋体" w:hAnsi="宋体" w:cs="宋体"/>
          <w:b/>
          <w:sz w:val="24"/>
          <w:szCs w:val="24"/>
          <w:highlight w:val="none"/>
        </w:rPr>
        <w:t>法定代表人证明书</w:t>
      </w:r>
    </w:p>
    <w:p w14:paraId="6DD1B008">
      <w:pPr>
        <w:spacing w:line="360" w:lineRule="auto"/>
        <w:jc w:val="center"/>
        <w:rPr>
          <w:rFonts w:ascii="宋体" w:hAnsi="宋体"/>
          <w:sz w:val="30"/>
          <w:szCs w:val="30"/>
          <w:highlight w:val="none"/>
        </w:rPr>
      </w:pPr>
      <w:r>
        <w:rPr>
          <w:rFonts w:ascii="宋体" w:hAnsi="宋体"/>
          <w:sz w:val="30"/>
          <w:szCs w:val="30"/>
          <w:highlight w:val="none"/>
        </w:rPr>
        <mc:AlternateContent>
          <mc:Choice Requires="wpg">
            <w:drawing>
              <wp:inline distT="0" distB="0" distL="0" distR="0">
                <wp:extent cx="5800725" cy="2639060"/>
                <wp:effectExtent l="12700" t="11430" r="6350" b="6985"/>
                <wp:docPr id="3" name="组合 3"/>
                <wp:cNvGraphicFramePr/>
                <a:graphic xmlns:a="http://schemas.openxmlformats.org/drawingml/2006/main">
                  <a:graphicData uri="http://schemas.microsoft.com/office/word/2010/wordprocessingGroup">
                    <wpg:wgp>
                      <wpg:cNvGrpSpPr/>
                      <wpg:grpSpPr>
                        <a:xfrm>
                          <a:off x="0" y="0"/>
                          <a:ext cx="5800725" cy="2639060"/>
                          <a:chOff x="0" y="0"/>
                          <a:chExt cx="7140" cy="3468"/>
                        </a:xfrm>
                      </wpg:grpSpPr>
                      <wps:wsp>
                        <wps:cNvPr id="4" name="图片 4"/>
                        <wps:cNvSpPr>
                          <a:spLocks noChangeAspect="1" noChangeArrowheads="1" noTextEdit="1"/>
                        </wps:cNvSpPr>
                        <wps:spPr bwMode="auto">
                          <a:xfrm>
                            <a:off x="0" y="0"/>
                            <a:ext cx="7140" cy="3468"/>
                          </a:xfrm>
                          <a:prstGeom prst="rect">
                            <a:avLst/>
                          </a:prstGeom>
                          <a:noFill/>
                          <a:ln>
                            <a:noFill/>
                          </a:ln>
                        </wps:spPr>
                        <wps:bodyPr rot="0" vert="horz" wrap="square" lIns="91440" tIns="45720" rIns="91440" bIns="45720" anchor="t" anchorCtr="0" upright="1">
                          <a:noAutofit/>
                        </wps:bodyPr>
                      </wps:wsp>
                      <wps:wsp>
                        <wps:cNvPr id="5" name="文本框 5"/>
                        <wps:cNvSpPr txBox="1">
                          <a:spLocks noChangeArrowheads="1"/>
                        </wps:cNvSpPr>
                        <wps:spPr bwMode="auto">
                          <a:xfrm>
                            <a:off x="0" y="0"/>
                            <a:ext cx="7140" cy="3468"/>
                          </a:xfrm>
                          <a:prstGeom prst="rect">
                            <a:avLst/>
                          </a:prstGeom>
                          <a:solidFill>
                            <a:srgbClr val="FFFFFF"/>
                          </a:solidFill>
                          <a:ln w="9525" cmpd="sng">
                            <a:solidFill>
                              <a:srgbClr val="000000"/>
                            </a:solidFill>
                            <a:miter lim="800000"/>
                          </a:ln>
                        </wps:spPr>
                        <wps:txbx>
                          <w:txbxContent>
                            <w:p w14:paraId="3662E356">
                              <w:pPr>
                                <w:spacing w:before="156" w:beforeLines="50"/>
                                <w:rPr>
                                  <w:sz w:val="24"/>
                                  <w:szCs w:val="24"/>
                                </w:rPr>
                              </w:pPr>
                              <w:r>
                                <w:rPr>
                                  <w:rFonts w:hint="eastAsia" w:cs="宋体"/>
                                  <w:sz w:val="28"/>
                                  <w:szCs w:val="28"/>
                                </w:rPr>
                                <w:t>　</w:t>
                              </w:r>
                              <w:r>
                                <w:rPr>
                                  <w:rFonts w:hint="eastAsia" w:cs="宋体"/>
                                  <w:sz w:val="24"/>
                                  <w:szCs w:val="24"/>
                                </w:rPr>
                                <w:t>　</w:t>
                              </w:r>
                              <w:r>
                                <w:rPr>
                                  <w:rFonts w:hint="eastAsia" w:cs="宋体"/>
                                  <w:sz w:val="24"/>
                                  <w:szCs w:val="24"/>
                                  <w:u w:val="single"/>
                                </w:rPr>
                                <w:t>　　　　　　</w:t>
                              </w:r>
                              <w:r>
                                <w:rPr>
                                  <w:rFonts w:hint="eastAsia" w:cs="宋体"/>
                                  <w:sz w:val="24"/>
                                  <w:szCs w:val="24"/>
                                </w:rPr>
                                <w:t>现任我单位</w:t>
                              </w:r>
                              <w:r>
                                <w:rPr>
                                  <w:rFonts w:hint="eastAsia" w:cs="宋体"/>
                                  <w:sz w:val="24"/>
                                  <w:szCs w:val="24"/>
                                  <w:u w:val="single"/>
                                </w:rPr>
                                <w:t>　　　　　</w:t>
                              </w:r>
                              <w:r>
                                <w:rPr>
                                  <w:rFonts w:hint="eastAsia" w:cs="宋体"/>
                                  <w:sz w:val="24"/>
                                  <w:szCs w:val="24"/>
                                </w:rPr>
                                <w:t>职务，为法定代表人（负责人），</w:t>
                              </w:r>
                            </w:p>
                            <w:p w14:paraId="3F7504D0">
                              <w:pPr>
                                <w:snapToGrid w:val="0"/>
                                <w:spacing w:line="480" w:lineRule="atLeast"/>
                                <w:rPr>
                                  <w:sz w:val="24"/>
                                  <w:szCs w:val="24"/>
                                </w:rPr>
                              </w:pPr>
                              <w:r>
                                <w:rPr>
                                  <w:rFonts w:hint="eastAsia" w:cs="宋体"/>
                                  <w:sz w:val="24"/>
                                  <w:szCs w:val="24"/>
                                </w:rPr>
                                <w:t>特此证明。</w:t>
                              </w:r>
                            </w:p>
                            <w:p w14:paraId="2F123ADD">
                              <w:pPr>
                                <w:snapToGrid w:val="0"/>
                                <w:spacing w:line="480" w:lineRule="atLeast"/>
                                <w:rPr>
                                  <w:sz w:val="24"/>
                                  <w:szCs w:val="24"/>
                                  <w:u w:val="single"/>
                                </w:rPr>
                              </w:pPr>
                              <w:r>
                                <w:rPr>
                                  <w:rFonts w:hint="eastAsia" w:cs="宋体"/>
                                  <w:sz w:val="24"/>
                                  <w:szCs w:val="24"/>
                                </w:rPr>
                                <w:t>有效期限：</w:t>
                              </w:r>
                              <w:r>
                                <w:rPr>
                                  <w:sz w:val="24"/>
                                  <w:szCs w:val="24"/>
                                  <w:u w:val="single"/>
                                </w:rPr>
                                <w:t xml:space="preserve">                                </w:t>
                              </w:r>
                              <w:r>
                                <w:rPr>
                                  <w:sz w:val="24"/>
                                  <w:szCs w:val="24"/>
                                </w:rPr>
                                <w:t xml:space="preserve">  </w:t>
                              </w:r>
                            </w:p>
                            <w:p w14:paraId="29CFB640">
                              <w:pPr>
                                <w:snapToGrid w:val="0"/>
                                <w:spacing w:line="480" w:lineRule="atLeast"/>
                                <w:rPr>
                                  <w:sz w:val="24"/>
                                  <w:szCs w:val="24"/>
                                  <w:u w:val="single"/>
                                </w:rPr>
                              </w:pPr>
                              <w:r>
                                <w:rPr>
                                  <w:rFonts w:hint="eastAsia" w:cs="宋体"/>
                                  <w:sz w:val="24"/>
                                  <w:szCs w:val="24"/>
                                </w:rPr>
                                <w:t>附：法定代表人（负责人）性别：</w:t>
                              </w:r>
                              <w:r>
                                <w:rPr>
                                  <w:rFonts w:hint="eastAsia" w:cs="宋体"/>
                                  <w:sz w:val="24"/>
                                  <w:szCs w:val="24"/>
                                  <w:u w:val="single"/>
                                </w:rPr>
                                <w:t>　　</w:t>
                              </w:r>
                              <w:r>
                                <w:rPr>
                                  <w:rFonts w:hint="eastAsia" w:cs="宋体"/>
                                  <w:sz w:val="24"/>
                                  <w:szCs w:val="24"/>
                                </w:rPr>
                                <w:t>年龄：</w:t>
                              </w:r>
                              <w:r>
                                <w:rPr>
                                  <w:rFonts w:hint="eastAsia" w:cs="宋体"/>
                                  <w:sz w:val="24"/>
                                  <w:szCs w:val="24"/>
                                  <w:u w:val="single"/>
                                </w:rPr>
                                <w:t>　　</w:t>
                              </w:r>
                              <w:r>
                                <w:rPr>
                                  <w:rFonts w:hint="eastAsia" w:cs="宋体"/>
                                  <w:sz w:val="24"/>
                                  <w:szCs w:val="24"/>
                                </w:rPr>
                                <w:t>身份证号码：</w:t>
                              </w:r>
                              <w:r>
                                <w:rPr>
                                  <w:sz w:val="24"/>
                                  <w:szCs w:val="24"/>
                                  <w:u w:val="single"/>
                                </w:rPr>
                                <w:t xml:space="preserve">                  </w:t>
                              </w:r>
                            </w:p>
                            <w:p w14:paraId="4EDFE525">
                              <w:pPr>
                                <w:snapToGrid w:val="0"/>
                                <w:spacing w:line="480" w:lineRule="atLeast"/>
                                <w:ind w:firstLine="570"/>
                                <w:rPr>
                                  <w:sz w:val="24"/>
                                  <w:szCs w:val="24"/>
                                  <w:u w:val="single"/>
                                </w:rPr>
                              </w:pPr>
                              <w:r>
                                <w:rPr>
                                  <w:rFonts w:hint="eastAsia" w:cs="宋体"/>
                                  <w:sz w:val="24"/>
                                  <w:szCs w:val="24"/>
                                </w:rPr>
                                <w:t>注册号码：</w:t>
                              </w:r>
                              <w:r>
                                <w:rPr>
                                  <w:rFonts w:hint="eastAsia" w:cs="宋体"/>
                                  <w:sz w:val="24"/>
                                  <w:szCs w:val="24"/>
                                  <w:u w:val="single"/>
                                </w:rPr>
                                <w:t>　　　　　　　　　　</w:t>
                              </w:r>
                              <w:r>
                                <w:rPr>
                                  <w:rFonts w:hint="eastAsia" w:cs="宋体"/>
                                  <w:sz w:val="24"/>
                                  <w:szCs w:val="24"/>
                                </w:rPr>
                                <w:t>企业类型：</w:t>
                              </w:r>
                              <w:r>
                                <w:rPr>
                                  <w:sz w:val="24"/>
                                  <w:szCs w:val="24"/>
                                  <w:u w:val="single"/>
                                </w:rPr>
                                <w:t xml:space="preserve">                             </w:t>
                              </w:r>
                            </w:p>
                            <w:p w14:paraId="4A69ECDC">
                              <w:pPr>
                                <w:snapToGrid w:val="0"/>
                                <w:spacing w:line="480" w:lineRule="atLeast"/>
                                <w:ind w:firstLine="570"/>
                                <w:rPr>
                                  <w:sz w:val="24"/>
                                  <w:szCs w:val="24"/>
                                  <w:u w:val="single"/>
                                </w:rPr>
                              </w:pPr>
                              <w:r>
                                <w:rPr>
                                  <w:rFonts w:hint="eastAsia" w:cs="宋体"/>
                                  <w:sz w:val="24"/>
                                  <w:szCs w:val="24"/>
                                </w:rPr>
                                <w:t>经营范围：</w:t>
                              </w:r>
                              <w:r>
                                <w:rPr>
                                  <w:sz w:val="24"/>
                                  <w:szCs w:val="24"/>
                                  <w:u w:val="single"/>
                                </w:rPr>
                                <w:t xml:space="preserve">                                                           </w:t>
                              </w:r>
                            </w:p>
                            <w:p w14:paraId="42C32FD3">
                              <w:pPr>
                                <w:snapToGrid w:val="0"/>
                                <w:spacing w:line="480" w:lineRule="atLeast"/>
                                <w:ind w:firstLine="570"/>
                                <w:rPr>
                                  <w:sz w:val="24"/>
                                  <w:szCs w:val="24"/>
                                </w:rPr>
                              </w:pPr>
                              <w:r>
                                <w:rPr>
                                  <w:rFonts w:hint="eastAsia" w:cs="宋体"/>
                                  <w:sz w:val="24"/>
                                  <w:szCs w:val="24"/>
                                  <w:u w:val="single"/>
                                </w:rPr>
                                <w:t>　　　　　　　　　　　　　　　　</w:t>
                              </w:r>
                              <w:r>
                                <w:rPr>
                                  <w:sz w:val="24"/>
                                  <w:szCs w:val="24"/>
                                </w:rPr>
                                <w:t xml:space="preserve">      </w:t>
                              </w:r>
                              <w:r>
                                <w:rPr>
                                  <w:rFonts w:hint="eastAsia" w:cs="宋体"/>
                                  <w:sz w:val="24"/>
                                  <w:szCs w:val="24"/>
                                </w:rPr>
                                <w:t>单位：　　　（盖章）</w:t>
                              </w:r>
                            </w:p>
                            <w:p w14:paraId="12E9A973">
                              <w:pPr>
                                <w:snapToGrid w:val="0"/>
                                <w:spacing w:after="100" w:afterAutospacing="1" w:line="480" w:lineRule="atLeast"/>
                                <w:ind w:firstLine="4528" w:firstLineChars="1887"/>
                                <w:rPr>
                                  <w:sz w:val="24"/>
                                  <w:szCs w:val="24"/>
                                </w:rPr>
                              </w:pPr>
                              <w:r>
                                <w:rPr>
                                  <w:rFonts w:hint="eastAsia" w:cs="宋体"/>
                                  <w:sz w:val="24"/>
                                  <w:szCs w:val="24"/>
                                </w:rPr>
                                <w:t>　　　　　</w:t>
                              </w:r>
                              <w:r>
                                <w:rPr>
                                  <w:sz w:val="24"/>
                                  <w:szCs w:val="24"/>
                                </w:rPr>
                                <w:t xml:space="preserve">    </w:t>
                              </w:r>
                              <w:r>
                                <w:rPr>
                                  <w:rFonts w:hint="eastAsia" w:cs="宋体"/>
                                  <w:sz w:val="24"/>
                                  <w:szCs w:val="24"/>
                                </w:rPr>
                                <w:t>年　月　　日</w:t>
                              </w:r>
                            </w:p>
                          </w:txbxContent>
                        </wps:txbx>
                        <wps:bodyPr rot="0" vert="horz" wrap="square" lIns="91440" tIns="45720" rIns="91440" bIns="45720" anchor="t" anchorCtr="0" upright="1">
                          <a:noAutofit/>
                        </wps:bodyPr>
                      </wps:wsp>
                    </wpg:wgp>
                  </a:graphicData>
                </a:graphic>
              </wp:inline>
            </w:drawing>
          </mc:Choice>
          <mc:Fallback>
            <w:pict>
              <v:group id="_x0000_s1026" o:spid="_x0000_s1026" o:spt="203" style="height:207.8pt;width:456.75pt;" coordsize="7140,3468" o:gfxdata="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">
                <o:lock v:ext="edit" aspectratio="f"/>
                <v:rect id="图片 4" o:spid="_x0000_s1026" o:spt="1" style="position:absolute;left:0;top:0;height:3468;width:7140;" filled="f" stroked="f" coordsize="21600,21600" o:gfxdata="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cT4rVvQAA&#10;ANoAAAAPAAAAAAAAAAEAIAAAACIAAABkcnMvZG93bnJldi54bWxQSwECFAAUAAAACACHTuJAMy8F&#10;njsAAAA5AAAAEAAAAAAAAAABACAAAAAMAQAAZHJzL3NoYXBleG1sLnhtbFBLBQYAAAAABgAGAFsB&#10;AAC2AwAAAAA=&#10;">
                  <v:fill on="f" focussize="0,0"/>
                  <v:stroke on="f"/>
                  <v:imagedata o:title=""/>
                  <o:lock v:ext="edit" text="t" aspectratio="t"/>
                </v:rect>
                <v:shape id="_x0000_s1026" o:spid="_x0000_s1026" o:spt="202" type="#_x0000_t202" style="position:absolute;left:0;top:0;height:3468;width:7140;" fillcolor="#FFFFFF" filled="t" stroked="t" coordsize="21600,21600" o:gfxdata="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A7HQ5vQAA&#10;ANo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w:txbxContent>
                      <w:p w14:paraId="3662E356">
                        <w:pPr>
                          <w:spacing w:before="156" w:beforeLines="50"/>
                          <w:rPr>
                            <w:sz w:val="24"/>
                            <w:szCs w:val="24"/>
                          </w:rPr>
                        </w:pPr>
                        <w:r>
                          <w:rPr>
                            <w:rFonts w:hint="eastAsia" w:cs="宋体"/>
                            <w:sz w:val="28"/>
                            <w:szCs w:val="28"/>
                          </w:rPr>
                          <w:t>　</w:t>
                        </w:r>
                        <w:r>
                          <w:rPr>
                            <w:rFonts w:hint="eastAsia" w:cs="宋体"/>
                            <w:sz w:val="24"/>
                            <w:szCs w:val="24"/>
                          </w:rPr>
                          <w:t>　</w:t>
                        </w:r>
                        <w:r>
                          <w:rPr>
                            <w:rFonts w:hint="eastAsia" w:cs="宋体"/>
                            <w:sz w:val="24"/>
                            <w:szCs w:val="24"/>
                            <w:u w:val="single"/>
                          </w:rPr>
                          <w:t>　　　　　　</w:t>
                        </w:r>
                        <w:r>
                          <w:rPr>
                            <w:rFonts w:hint="eastAsia" w:cs="宋体"/>
                            <w:sz w:val="24"/>
                            <w:szCs w:val="24"/>
                          </w:rPr>
                          <w:t>现任我单位</w:t>
                        </w:r>
                        <w:r>
                          <w:rPr>
                            <w:rFonts w:hint="eastAsia" w:cs="宋体"/>
                            <w:sz w:val="24"/>
                            <w:szCs w:val="24"/>
                            <w:u w:val="single"/>
                          </w:rPr>
                          <w:t>　　　　　</w:t>
                        </w:r>
                        <w:r>
                          <w:rPr>
                            <w:rFonts w:hint="eastAsia" w:cs="宋体"/>
                            <w:sz w:val="24"/>
                            <w:szCs w:val="24"/>
                          </w:rPr>
                          <w:t>职务，为法定代表人（负责人），</w:t>
                        </w:r>
                      </w:p>
                      <w:p w14:paraId="3F7504D0">
                        <w:pPr>
                          <w:snapToGrid w:val="0"/>
                          <w:spacing w:line="480" w:lineRule="atLeast"/>
                          <w:rPr>
                            <w:sz w:val="24"/>
                            <w:szCs w:val="24"/>
                          </w:rPr>
                        </w:pPr>
                        <w:r>
                          <w:rPr>
                            <w:rFonts w:hint="eastAsia" w:cs="宋体"/>
                            <w:sz w:val="24"/>
                            <w:szCs w:val="24"/>
                          </w:rPr>
                          <w:t>特此证明。</w:t>
                        </w:r>
                      </w:p>
                      <w:p w14:paraId="2F123ADD">
                        <w:pPr>
                          <w:snapToGrid w:val="0"/>
                          <w:spacing w:line="480" w:lineRule="atLeast"/>
                          <w:rPr>
                            <w:sz w:val="24"/>
                            <w:szCs w:val="24"/>
                            <w:u w:val="single"/>
                          </w:rPr>
                        </w:pPr>
                        <w:r>
                          <w:rPr>
                            <w:rFonts w:hint="eastAsia" w:cs="宋体"/>
                            <w:sz w:val="24"/>
                            <w:szCs w:val="24"/>
                          </w:rPr>
                          <w:t>有效期限：</w:t>
                        </w:r>
                        <w:r>
                          <w:rPr>
                            <w:sz w:val="24"/>
                            <w:szCs w:val="24"/>
                            <w:u w:val="single"/>
                          </w:rPr>
                          <w:t xml:space="preserve">                                </w:t>
                        </w:r>
                        <w:r>
                          <w:rPr>
                            <w:sz w:val="24"/>
                            <w:szCs w:val="24"/>
                          </w:rPr>
                          <w:t xml:space="preserve">  </w:t>
                        </w:r>
                      </w:p>
                      <w:p w14:paraId="29CFB640">
                        <w:pPr>
                          <w:snapToGrid w:val="0"/>
                          <w:spacing w:line="480" w:lineRule="atLeast"/>
                          <w:rPr>
                            <w:sz w:val="24"/>
                            <w:szCs w:val="24"/>
                            <w:u w:val="single"/>
                          </w:rPr>
                        </w:pPr>
                        <w:r>
                          <w:rPr>
                            <w:rFonts w:hint="eastAsia" w:cs="宋体"/>
                            <w:sz w:val="24"/>
                            <w:szCs w:val="24"/>
                          </w:rPr>
                          <w:t>附：法定代表人（负责人）性别：</w:t>
                        </w:r>
                        <w:r>
                          <w:rPr>
                            <w:rFonts w:hint="eastAsia" w:cs="宋体"/>
                            <w:sz w:val="24"/>
                            <w:szCs w:val="24"/>
                            <w:u w:val="single"/>
                          </w:rPr>
                          <w:t>　　</w:t>
                        </w:r>
                        <w:r>
                          <w:rPr>
                            <w:rFonts w:hint="eastAsia" w:cs="宋体"/>
                            <w:sz w:val="24"/>
                            <w:szCs w:val="24"/>
                          </w:rPr>
                          <w:t>年龄：</w:t>
                        </w:r>
                        <w:r>
                          <w:rPr>
                            <w:rFonts w:hint="eastAsia" w:cs="宋体"/>
                            <w:sz w:val="24"/>
                            <w:szCs w:val="24"/>
                            <w:u w:val="single"/>
                          </w:rPr>
                          <w:t>　　</w:t>
                        </w:r>
                        <w:r>
                          <w:rPr>
                            <w:rFonts w:hint="eastAsia" w:cs="宋体"/>
                            <w:sz w:val="24"/>
                            <w:szCs w:val="24"/>
                          </w:rPr>
                          <w:t>身份证号码：</w:t>
                        </w:r>
                        <w:r>
                          <w:rPr>
                            <w:sz w:val="24"/>
                            <w:szCs w:val="24"/>
                            <w:u w:val="single"/>
                          </w:rPr>
                          <w:t xml:space="preserve">                  </w:t>
                        </w:r>
                      </w:p>
                      <w:p w14:paraId="4EDFE525">
                        <w:pPr>
                          <w:snapToGrid w:val="0"/>
                          <w:spacing w:line="480" w:lineRule="atLeast"/>
                          <w:ind w:firstLine="570"/>
                          <w:rPr>
                            <w:sz w:val="24"/>
                            <w:szCs w:val="24"/>
                            <w:u w:val="single"/>
                          </w:rPr>
                        </w:pPr>
                        <w:r>
                          <w:rPr>
                            <w:rFonts w:hint="eastAsia" w:cs="宋体"/>
                            <w:sz w:val="24"/>
                            <w:szCs w:val="24"/>
                          </w:rPr>
                          <w:t>注册号码：</w:t>
                        </w:r>
                        <w:r>
                          <w:rPr>
                            <w:rFonts w:hint="eastAsia" w:cs="宋体"/>
                            <w:sz w:val="24"/>
                            <w:szCs w:val="24"/>
                            <w:u w:val="single"/>
                          </w:rPr>
                          <w:t>　　　　　　　　　　</w:t>
                        </w:r>
                        <w:r>
                          <w:rPr>
                            <w:rFonts w:hint="eastAsia" w:cs="宋体"/>
                            <w:sz w:val="24"/>
                            <w:szCs w:val="24"/>
                          </w:rPr>
                          <w:t>企业类型：</w:t>
                        </w:r>
                        <w:r>
                          <w:rPr>
                            <w:sz w:val="24"/>
                            <w:szCs w:val="24"/>
                            <w:u w:val="single"/>
                          </w:rPr>
                          <w:t xml:space="preserve">                             </w:t>
                        </w:r>
                      </w:p>
                      <w:p w14:paraId="4A69ECDC">
                        <w:pPr>
                          <w:snapToGrid w:val="0"/>
                          <w:spacing w:line="480" w:lineRule="atLeast"/>
                          <w:ind w:firstLine="570"/>
                          <w:rPr>
                            <w:sz w:val="24"/>
                            <w:szCs w:val="24"/>
                            <w:u w:val="single"/>
                          </w:rPr>
                        </w:pPr>
                        <w:r>
                          <w:rPr>
                            <w:rFonts w:hint="eastAsia" w:cs="宋体"/>
                            <w:sz w:val="24"/>
                            <w:szCs w:val="24"/>
                          </w:rPr>
                          <w:t>经营范围：</w:t>
                        </w:r>
                        <w:r>
                          <w:rPr>
                            <w:sz w:val="24"/>
                            <w:szCs w:val="24"/>
                            <w:u w:val="single"/>
                          </w:rPr>
                          <w:t xml:space="preserve">                                                           </w:t>
                        </w:r>
                      </w:p>
                      <w:p w14:paraId="42C32FD3">
                        <w:pPr>
                          <w:snapToGrid w:val="0"/>
                          <w:spacing w:line="480" w:lineRule="atLeast"/>
                          <w:ind w:firstLine="570"/>
                          <w:rPr>
                            <w:sz w:val="24"/>
                            <w:szCs w:val="24"/>
                          </w:rPr>
                        </w:pPr>
                        <w:r>
                          <w:rPr>
                            <w:rFonts w:hint="eastAsia" w:cs="宋体"/>
                            <w:sz w:val="24"/>
                            <w:szCs w:val="24"/>
                            <w:u w:val="single"/>
                          </w:rPr>
                          <w:t>　　　　　　　　　　　　　　　　</w:t>
                        </w:r>
                        <w:r>
                          <w:rPr>
                            <w:sz w:val="24"/>
                            <w:szCs w:val="24"/>
                          </w:rPr>
                          <w:t xml:space="preserve">      </w:t>
                        </w:r>
                        <w:r>
                          <w:rPr>
                            <w:rFonts w:hint="eastAsia" w:cs="宋体"/>
                            <w:sz w:val="24"/>
                            <w:szCs w:val="24"/>
                          </w:rPr>
                          <w:t>单位：　　　（盖章）</w:t>
                        </w:r>
                      </w:p>
                      <w:p w14:paraId="12E9A973">
                        <w:pPr>
                          <w:snapToGrid w:val="0"/>
                          <w:spacing w:after="100" w:afterAutospacing="1" w:line="480" w:lineRule="atLeast"/>
                          <w:ind w:firstLine="4528" w:firstLineChars="1887"/>
                          <w:rPr>
                            <w:sz w:val="24"/>
                            <w:szCs w:val="24"/>
                          </w:rPr>
                        </w:pPr>
                        <w:r>
                          <w:rPr>
                            <w:rFonts w:hint="eastAsia" w:cs="宋体"/>
                            <w:sz w:val="24"/>
                            <w:szCs w:val="24"/>
                          </w:rPr>
                          <w:t>　　　　　</w:t>
                        </w:r>
                        <w:r>
                          <w:rPr>
                            <w:sz w:val="24"/>
                            <w:szCs w:val="24"/>
                          </w:rPr>
                          <w:t xml:space="preserve">    </w:t>
                        </w:r>
                        <w:r>
                          <w:rPr>
                            <w:rFonts w:hint="eastAsia" w:cs="宋体"/>
                            <w:sz w:val="24"/>
                            <w:szCs w:val="24"/>
                          </w:rPr>
                          <w:t>年　月　　日</w:t>
                        </w:r>
                      </w:p>
                    </w:txbxContent>
                  </v:textbox>
                </v:shape>
                <w10:wrap type="none"/>
                <w10:anchorlock/>
              </v:group>
            </w:pict>
          </mc:Fallback>
        </mc:AlternateContent>
      </w:r>
    </w:p>
    <w:p w14:paraId="7952CF2F">
      <w:pPr>
        <w:spacing w:line="360" w:lineRule="auto"/>
        <w:ind w:firstLine="484" w:firstLineChars="202"/>
        <w:rPr>
          <w:rFonts w:ascii="宋体" w:hAnsi="宋体" w:cs="宋体"/>
          <w:sz w:val="24"/>
          <w:szCs w:val="24"/>
          <w:highlight w:val="none"/>
        </w:rPr>
      </w:pPr>
      <w:r>
        <w:rPr>
          <w:rFonts w:hint="eastAsia" w:ascii="宋体" w:hAnsi="宋体" w:cs="宋体"/>
          <w:sz w:val="24"/>
          <w:szCs w:val="24"/>
          <w:highlight w:val="none"/>
        </w:rPr>
        <w:t>注：按提供的该表格格式填写，或使用工商管理部门的格式填写。联合体投标的，本证明书由联合体牵头方出具。</w:t>
      </w:r>
    </w:p>
    <w:p w14:paraId="0ABB9916">
      <w:pPr>
        <w:spacing w:line="360" w:lineRule="auto"/>
        <w:rPr>
          <w:rFonts w:ascii="宋体" w:hAnsi="宋体" w:cs="宋体"/>
          <w:sz w:val="24"/>
          <w:szCs w:val="24"/>
          <w:highlight w:val="none"/>
        </w:rPr>
      </w:pPr>
    </w:p>
    <w:p w14:paraId="3C385E46">
      <w:pPr>
        <w:spacing w:before="156" w:beforeLines="50"/>
        <w:ind w:firstLine="482" w:firstLineChars="200"/>
        <w:jc w:val="center"/>
        <w:rPr>
          <w:rFonts w:ascii="宋体" w:hAnsi="宋体" w:cs="宋体"/>
          <w:b/>
          <w:sz w:val="24"/>
          <w:szCs w:val="24"/>
          <w:highlight w:val="none"/>
        </w:rPr>
      </w:pPr>
    </w:p>
    <w:p w14:paraId="738803BD">
      <w:pPr>
        <w:spacing w:before="156" w:beforeLines="50"/>
        <w:ind w:firstLine="482" w:firstLineChars="200"/>
        <w:jc w:val="center"/>
        <w:rPr>
          <w:rFonts w:ascii="宋体" w:hAnsi="宋体" w:cs="宋体"/>
          <w:b/>
          <w:sz w:val="24"/>
          <w:szCs w:val="24"/>
          <w:highlight w:val="none"/>
        </w:rPr>
      </w:pPr>
      <w:r>
        <w:rPr>
          <w:rFonts w:hint="eastAsia" w:ascii="宋体" w:hAnsi="宋体" w:cs="宋体"/>
          <w:b/>
          <w:sz w:val="24"/>
          <w:szCs w:val="24"/>
          <w:highlight w:val="none"/>
        </w:rPr>
        <w:t>授权委托书</w:t>
      </w:r>
      <w:bookmarkEnd w:id="0"/>
      <w:bookmarkEnd w:id="1"/>
      <w:bookmarkEnd w:id="2"/>
    </w:p>
    <w:p w14:paraId="66DE23C4">
      <w:pPr>
        <w:widowControl/>
        <w:spacing w:before="260" w:after="260"/>
        <w:ind w:right="1542"/>
        <w:jc w:val="center"/>
        <w:rPr>
          <w:rFonts w:ascii="宋体" w:hAnsi="宋体" w:cs="宋体"/>
          <w:b/>
          <w:bCs/>
          <w:kern w:val="0"/>
          <w:sz w:val="32"/>
          <w:szCs w:val="32"/>
          <w:highlight w:val="none"/>
        </w:rPr>
      </w:pPr>
      <w:r>
        <w:rPr>
          <w:rFonts w:ascii="宋体" w:hAnsi="宋体" w:cs="宋体"/>
          <w:b/>
          <w:bCs/>
          <w:kern w:val="0"/>
          <w:sz w:val="32"/>
          <w:szCs w:val="32"/>
          <w:highlight w:val="none"/>
        </w:rPr>
        <mc:AlternateContent>
          <mc:Choice Requires="wps">
            <w:drawing>
              <wp:inline distT="0" distB="0" distL="0" distR="0">
                <wp:extent cx="6129020" cy="2946400"/>
                <wp:effectExtent l="9525" t="6985" r="5080" b="8890"/>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6129020" cy="2946400"/>
                        </a:xfrm>
                        <a:prstGeom prst="rect">
                          <a:avLst/>
                        </a:prstGeom>
                        <a:solidFill>
                          <a:srgbClr val="FFFFFF"/>
                        </a:solidFill>
                        <a:ln w="9525" cmpd="sng">
                          <a:solidFill>
                            <a:srgbClr val="000000"/>
                          </a:solidFill>
                          <a:miter lim="800000"/>
                        </a:ln>
                      </wps:spPr>
                      <wps:txbx>
                        <w:txbxContent>
                          <w:p w14:paraId="23B6ED23">
                            <w:pPr>
                              <w:spacing w:before="156" w:beforeLines="50"/>
                              <w:ind w:firstLine="480" w:firstLineChars="200"/>
                              <w:rPr>
                                <w:sz w:val="24"/>
                                <w:szCs w:val="24"/>
                              </w:rPr>
                            </w:pPr>
                            <w:r>
                              <w:rPr>
                                <w:rFonts w:hint="eastAsia" w:cs="宋体"/>
                                <w:sz w:val="24"/>
                                <w:szCs w:val="24"/>
                              </w:rPr>
                              <w:t>兹授权</w:t>
                            </w:r>
                            <w:r>
                              <w:rPr>
                                <w:rFonts w:hint="eastAsia" w:cs="宋体"/>
                                <w:sz w:val="24"/>
                                <w:szCs w:val="24"/>
                                <w:u w:val="single"/>
                              </w:rPr>
                              <w:t>　　　　　</w:t>
                            </w:r>
                            <w:r>
                              <w:rPr>
                                <w:rFonts w:hint="eastAsia" w:cs="宋体"/>
                                <w:sz w:val="24"/>
                                <w:szCs w:val="24"/>
                              </w:rPr>
                              <w:t>为我方委托代理人，其权限是：</w:t>
                            </w:r>
                            <w:r>
                              <w:rPr>
                                <w:sz w:val="24"/>
                                <w:szCs w:val="24"/>
                                <w:u w:val="single"/>
                              </w:rPr>
                              <w:t xml:space="preserve">                        </w:t>
                            </w:r>
                          </w:p>
                          <w:p w14:paraId="2AAD2C37">
                            <w:pPr>
                              <w:snapToGrid w:val="0"/>
                              <w:spacing w:line="480" w:lineRule="atLeast"/>
                              <w:rPr>
                                <w:sz w:val="24"/>
                                <w:szCs w:val="24"/>
                                <w:u w:val="single"/>
                              </w:rPr>
                            </w:pPr>
                            <w:r>
                              <w:rPr>
                                <w:sz w:val="24"/>
                                <w:szCs w:val="24"/>
                                <w:u w:val="single"/>
                              </w:rPr>
                              <w:t xml:space="preserve">                                                                        </w:t>
                            </w:r>
                          </w:p>
                          <w:p w14:paraId="3F142620">
                            <w:pPr>
                              <w:snapToGrid w:val="0"/>
                              <w:spacing w:line="480" w:lineRule="atLeast"/>
                              <w:rPr>
                                <w:sz w:val="24"/>
                                <w:szCs w:val="24"/>
                                <w:u w:val="single"/>
                              </w:rPr>
                            </w:pPr>
                            <w:r>
                              <w:rPr>
                                <w:rFonts w:hint="eastAsia" w:cs="宋体"/>
                                <w:sz w:val="24"/>
                                <w:szCs w:val="24"/>
                              </w:rPr>
                              <w:t>有效期限：</w:t>
                            </w:r>
                            <w:r>
                              <w:rPr>
                                <w:sz w:val="24"/>
                                <w:szCs w:val="24"/>
                                <w:u w:val="single"/>
                              </w:rPr>
                              <w:t xml:space="preserve">                                                              </w:t>
                            </w:r>
                          </w:p>
                          <w:p w14:paraId="16949448">
                            <w:pPr>
                              <w:snapToGrid w:val="0"/>
                              <w:spacing w:line="480" w:lineRule="atLeast"/>
                              <w:rPr>
                                <w:sz w:val="24"/>
                                <w:szCs w:val="24"/>
                              </w:rPr>
                            </w:pPr>
                            <w:r>
                              <w:rPr>
                                <w:rFonts w:hint="eastAsia" w:cs="宋体"/>
                                <w:sz w:val="24"/>
                                <w:szCs w:val="24"/>
                              </w:rPr>
                              <w:t>附：代理人性别：</w:t>
                            </w:r>
                            <w:r>
                              <w:rPr>
                                <w:rFonts w:hint="eastAsia" w:cs="宋体"/>
                                <w:sz w:val="24"/>
                                <w:szCs w:val="24"/>
                                <w:u w:val="single"/>
                              </w:rPr>
                              <w:t>　　</w:t>
                            </w:r>
                            <w:r>
                              <w:rPr>
                                <w:rFonts w:hint="eastAsia" w:cs="宋体"/>
                                <w:sz w:val="24"/>
                                <w:szCs w:val="24"/>
                              </w:rPr>
                              <w:t>年龄：</w:t>
                            </w:r>
                            <w:r>
                              <w:rPr>
                                <w:rFonts w:hint="eastAsia" w:cs="宋体"/>
                                <w:sz w:val="24"/>
                                <w:szCs w:val="24"/>
                                <w:u w:val="single"/>
                              </w:rPr>
                              <w:t>　　　</w:t>
                            </w:r>
                            <w:r>
                              <w:rPr>
                                <w:rFonts w:hint="eastAsia" w:cs="宋体"/>
                                <w:sz w:val="24"/>
                                <w:szCs w:val="24"/>
                              </w:rPr>
                              <w:t>身份证号码：</w:t>
                            </w:r>
                            <w:r>
                              <w:rPr>
                                <w:sz w:val="24"/>
                                <w:szCs w:val="24"/>
                                <w:u w:val="single"/>
                              </w:rPr>
                              <w:t xml:space="preserve">                            </w:t>
                            </w:r>
                          </w:p>
                          <w:p w14:paraId="07E2B70F">
                            <w:pPr>
                              <w:snapToGrid w:val="0"/>
                              <w:spacing w:line="480" w:lineRule="atLeast"/>
                              <w:ind w:hanging="105"/>
                              <w:rPr>
                                <w:sz w:val="24"/>
                                <w:szCs w:val="24"/>
                                <w:u w:val="single"/>
                              </w:rPr>
                            </w:pPr>
                            <w:r>
                              <w:rPr>
                                <w:rFonts w:hint="eastAsia" w:cs="宋体"/>
                                <w:sz w:val="24"/>
                                <w:szCs w:val="24"/>
                              </w:rPr>
                              <w:t>　　注册号码：</w:t>
                            </w:r>
                            <w:r>
                              <w:rPr>
                                <w:rFonts w:hint="eastAsia" w:cs="宋体"/>
                                <w:sz w:val="24"/>
                                <w:szCs w:val="24"/>
                                <w:u w:val="single"/>
                              </w:rPr>
                              <w:t>　　　　　　　　　</w:t>
                            </w:r>
                            <w:r>
                              <w:rPr>
                                <w:rFonts w:hint="eastAsia" w:cs="宋体"/>
                                <w:sz w:val="24"/>
                                <w:szCs w:val="24"/>
                              </w:rPr>
                              <w:t>企业类型：</w:t>
                            </w:r>
                            <w:r>
                              <w:rPr>
                                <w:sz w:val="24"/>
                                <w:szCs w:val="24"/>
                                <w:u w:val="single"/>
                              </w:rPr>
                              <w:t xml:space="preserve">                               </w:t>
                            </w:r>
                          </w:p>
                          <w:p w14:paraId="0AD1E3FA">
                            <w:pPr>
                              <w:snapToGrid w:val="0"/>
                              <w:spacing w:line="480" w:lineRule="atLeast"/>
                              <w:ind w:hanging="105"/>
                              <w:rPr>
                                <w:sz w:val="24"/>
                                <w:szCs w:val="24"/>
                                <w:u w:val="single"/>
                              </w:rPr>
                            </w:pPr>
                            <w:r>
                              <w:rPr>
                                <w:rFonts w:hint="eastAsia" w:cs="宋体"/>
                                <w:sz w:val="24"/>
                                <w:szCs w:val="24"/>
                              </w:rPr>
                              <w:t>　　经营范围：</w:t>
                            </w:r>
                            <w:r>
                              <w:rPr>
                                <w:sz w:val="24"/>
                                <w:szCs w:val="24"/>
                                <w:u w:val="single"/>
                              </w:rPr>
                              <w:t xml:space="preserve">                                                           </w:t>
                            </w:r>
                          </w:p>
                          <w:p w14:paraId="1FA6F708">
                            <w:pPr>
                              <w:snapToGrid w:val="0"/>
                              <w:spacing w:line="480" w:lineRule="atLeast"/>
                              <w:ind w:hanging="105"/>
                              <w:rPr>
                                <w:sz w:val="24"/>
                                <w:szCs w:val="24"/>
                              </w:rPr>
                            </w:pPr>
                            <w:r>
                              <w:rPr>
                                <w:rFonts w:hint="eastAsia" w:cs="宋体"/>
                                <w:sz w:val="24"/>
                                <w:szCs w:val="24"/>
                              </w:rPr>
                              <w:t>　　法定代表人（负责人）：</w:t>
                            </w:r>
                            <w:r>
                              <w:rPr>
                                <w:rFonts w:hint="eastAsia" w:cs="宋体"/>
                                <w:sz w:val="24"/>
                                <w:szCs w:val="24"/>
                                <w:u w:val="single"/>
                              </w:rPr>
                              <w:t>　　　</w:t>
                            </w:r>
                            <w:r>
                              <w:rPr>
                                <w:sz w:val="24"/>
                                <w:szCs w:val="24"/>
                                <w:u w:val="single"/>
                              </w:rPr>
                              <w:t xml:space="preserve">          </w:t>
                            </w:r>
                            <w:r>
                              <w:rPr>
                                <w:rFonts w:hint="eastAsia" w:cs="宋体"/>
                                <w:sz w:val="24"/>
                                <w:szCs w:val="24"/>
                              </w:rPr>
                              <w:t>（签名）</w:t>
                            </w:r>
                          </w:p>
                          <w:p w14:paraId="49E8D41C">
                            <w:pPr>
                              <w:snapToGrid w:val="0"/>
                              <w:spacing w:line="480" w:lineRule="atLeast"/>
                              <w:ind w:hanging="105"/>
                              <w:rPr>
                                <w:sz w:val="24"/>
                                <w:szCs w:val="24"/>
                              </w:rPr>
                            </w:pPr>
                            <w:r>
                              <w:rPr>
                                <w:rFonts w:hint="eastAsia" w:cs="宋体"/>
                                <w:sz w:val="24"/>
                                <w:szCs w:val="24"/>
                              </w:rPr>
                              <w:t>　　授权单位：（盖章）</w:t>
                            </w:r>
                            <w:r>
                              <w:rPr>
                                <w:sz w:val="24"/>
                                <w:szCs w:val="24"/>
                                <w:u w:val="single"/>
                              </w:rPr>
                              <w:t xml:space="preserve">                     </w:t>
                            </w:r>
                            <w:r>
                              <w:rPr>
                                <w:rFonts w:hint="eastAsia" w:cs="宋体"/>
                                <w:sz w:val="24"/>
                                <w:szCs w:val="24"/>
                              </w:rPr>
                              <w:t>　　　</w:t>
                            </w:r>
                          </w:p>
                          <w:p w14:paraId="06224B19">
                            <w:pPr>
                              <w:snapToGrid w:val="0"/>
                              <w:spacing w:line="480" w:lineRule="atLeast"/>
                              <w:ind w:firstLine="570"/>
                              <w:rPr>
                                <w:sz w:val="24"/>
                                <w:szCs w:val="24"/>
                              </w:rPr>
                            </w:pPr>
                            <w:r>
                              <w:rPr>
                                <w:rFonts w:hint="eastAsia" w:cs="宋体"/>
                                <w:sz w:val="24"/>
                                <w:szCs w:val="24"/>
                              </w:rPr>
                              <w:t>　　　　　　　　　　　　　　　　　　　　　</w:t>
                            </w:r>
                            <w:r>
                              <w:rPr>
                                <w:sz w:val="24"/>
                                <w:szCs w:val="24"/>
                              </w:rPr>
                              <w:t xml:space="preserve">      </w:t>
                            </w:r>
                            <w:r>
                              <w:rPr>
                                <w:rFonts w:hint="eastAsia" w:cs="宋体"/>
                                <w:sz w:val="24"/>
                                <w:szCs w:val="24"/>
                              </w:rPr>
                              <w:t>年　</w:t>
                            </w:r>
                            <w:r>
                              <w:rPr>
                                <w:sz w:val="24"/>
                                <w:szCs w:val="24"/>
                              </w:rPr>
                              <w:t xml:space="preserve"> </w:t>
                            </w:r>
                            <w:r>
                              <w:rPr>
                                <w:rFonts w:hint="eastAsia" w:cs="宋体"/>
                                <w:sz w:val="24"/>
                                <w:szCs w:val="24"/>
                              </w:rPr>
                              <w:t>月　</w:t>
                            </w:r>
                            <w:r>
                              <w:rPr>
                                <w:sz w:val="24"/>
                                <w:szCs w:val="24"/>
                              </w:rPr>
                              <w:t xml:space="preserve"> </w:t>
                            </w:r>
                            <w:r>
                              <w:rPr>
                                <w:rFonts w:hint="eastAsia" w:cs="宋体"/>
                                <w:sz w:val="24"/>
                                <w:szCs w:val="24"/>
                              </w:rPr>
                              <w:t>日</w:t>
                            </w:r>
                          </w:p>
                        </w:txbxContent>
                      </wps:txbx>
                      <wps:bodyPr rot="0" vert="horz" wrap="square" lIns="91440" tIns="45720" rIns="91440" bIns="45720" anchor="t" anchorCtr="0" upright="1">
                        <a:noAutofit/>
                      </wps:bodyPr>
                    </wps:wsp>
                  </a:graphicData>
                </a:graphic>
              </wp:inline>
            </w:drawing>
          </mc:Choice>
          <mc:Fallback>
            <w:pict>
              <v:shape id="_x0000_s1026" o:spid="_x0000_s1026" o:spt="202" type="#_x0000_t202" style="height:232pt;width:482.6pt;" fillcolor="#FFFFFF" filled="t" stroked="t" coordsize="21600,21600" o:gfxdata="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4fRdcAAAAFAQAADwAAAAAAAAABACAA&#10;AAAiAAAAZHJzL2Rvd25yZXYueG1sUEsBAhQAFAAAAAgAh07iQIvSZaRHAgAAkwQAAA4AAAAAAAAA&#10;AQAgAAAAJgEAAGRycy9lMm9Eb2MueG1sUEsFBgAAAAAGAAYAWQEAAN8FAAAAAA==&#10;">
                <v:fill on="t" focussize="0,0"/>
                <v:stroke color="#000000" miterlimit="8" joinstyle="miter"/>
                <v:imagedata o:title=""/>
                <o:lock v:ext="edit" aspectratio="f"/>
                <v:textbox>
                  <w:txbxContent>
                    <w:p w14:paraId="23B6ED23">
                      <w:pPr>
                        <w:spacing w:before="156" w:beforeLines="50"/>
                        <w:ind w:firstLine="480" w:firstLineChars="200"/>
                        <w:rPr>
                          <w:sz w:val="24"/>
                          <w:szCs w:val="24"/>
                        </w:rPr>
                      </w:pPr>
                      <w:r>
                        <w:rPr>
                          <w:rFonts w:hint="eastAsia" w:cs="宋体"/>
                          <w:sz w:val="24"/>
                          <w:szCs w:val="24"/>
                        </w:rPr>
                        <w:t>兹授权</w:t>
                      </w:r>
                      <w:r>
                        <w:rPr>
                          <w:rFonts w:hint="eastAsia" w:cs="宋体"/>
                          <w:sz w:val="24"/>
                          <w:szCs w:val="24"/>
                          <w:u w:val="single"/>
                        </w:rPr>
                        <w:t>　　　　　</w:t>
                      </w:r>
                      <w:r>
                        <w:rPr>
                          <w:rFonts w:hint="eastAsia" w:cs="宋体"/>
                          <w:sz w:val="24"/>
                          <w:szCs w:val="24"/>
                        </w:rPr>
                        <w:t>为我方委托代理人，其权限是：</w:t>
                      </w:r>
                      <w:r>
                        <w:rPr>
                          <w:sz w:val="24"/>
                          <w:szCs w:val="24"/>
                          <w:u w:val="single"/>
                        </w:rPr>
                        <w:t xml:space="preserve">                        </w:t>
                      </w:r>
                    </w:p>
                    <w:p w14:paraId="2AAD2C37">
                      <w:pPr>
                        <w:snapToGrid w:val="0"/>
                        <w:spacing w:line="480" w:lineRule="atLeast"/>
                        <w:rPr>
                          <w:sz w:val="24"/>
                          <w:szCs w:val="24"/>
                          <w:u w:val="single"/>
                        </w:rPr>
                      </w:pPr>
                      <w:r>
                        <w:rPr>
                          <w:sz w:val="24"/>
                          <w:szCs w:val="24"/>
                          <w:u w:val="single"/>
                        </w:rPr>
                        <w:t xml:space="preserve">                                                                        </w:t>
                      </w:r>
                    </w:p>
                    <w:p w14:paraId="3F142620">
                      <w:pPr>
                        <w:snapToGrid w:val="0"/>
                        <w:spacing w:line="480" w:lineRule="atLeast"/>
                        <w:rPr>
                          <w:sz w:val="24"/>
                          <w:szCs w:val="24"/>
                          <w:u w:val="single"/>
                        </w:rPr>
                      </w:pPr>
                      <w:r>
                        <w:rPr>
                          <w:rFonts w:hint="eastAsia" w:cs="宋体"/>
                          <w:sz w:val="24"/>
                          <w:szCs w:val="24"/>
                        </w:rPr>
                        <w:t>有效期限：</w:t>
                      </w:r>
                      <w:r>
                        <w:rPr>
                          <w:sz w:val="24"/>
                          <w:szCs w:val="24"/>
                          <w:u w:val="single"/>
                        </w:rPr>
                        <w:t xml:space="preserve">                                                              </w:t>
                      </w:r>
                    </w:p>
                    <w:p w14:paraId="16949448">
                      <w:pPr>
                        <w:snapToGrid w:val="0"/>
                        <w:spacing w:line="480" w:lineRule="atLeast"/>
                        <w:rPr>
                          <w:sz w:val="24"/>
                          <w:szCs w:val="24"/>
                        </w:rPr>
                      </w:pPr>
                      <w:r>
                        <w:rPr>
                          <w:rFonts w:hint="eastAsia" w:cs="宋体"/>
                          <w:sz w:val="24"/>
                          <w:szCs w:val="24"/>
                        </w:rPr>
                        <w:t>附：代理人性别：</w:t>
                      </w:r>
                      <w:r>
                        <w:rPr>
                          <w:rFonts w:hint="eastAsia" w:cs="宋体"/>
                          <w:sz w:val="24"/>
                          <w:szCs w:val="24"/>
                          <w:u w:val="single"/>
                        </w:rPr>
                        <w:t>　　</w:t>
                      </w:r>
                      <w:r>
                        <w:rPr>
                          <w:rFonts w:hint="eastAsia" w:cs="宋体"/>
                          <w:sz w:val="24"/>
                          <w:szCs w:val="24"/>
                        </w:rPr>
                        <w:t>年龄：</w:t>
                      </w:r>
                      <w:r>
                        <w:rPr>
                          <w:rFonts w:hint="eastAsia" w:cs="宋体"/>
                          <w:sz w:val="24"/>
                          <w:szCs w:val="24"/>
                          <w:u w:val="single"/>
                        </w:rPr>
                        <w:t>　　　</w:t>
                      </w:r>
                      <w:r>
                        <w:rPr>
                          <w:rFonts w:hint="eastAsia" w:cs="宋体"/>
                          <w:sz w:val="24"/>
                          <w:szCs w:val="24"/>
                        </w:rPr>
                        <w:t>身份证号码：</w:t>
                      </w:r>
                      <w:r>
                        <w:rPr>
                          <w:sz w:val="24"/>
                          <w:szCs w:val="24"/>
                          <w:u w:val="single"/>
                        </w:rPr>
                        <w:t xml:space="preserve">                            </w:t>
                      </w:r>
                    </w:p>
                    <w:p w14:paraId="07E2B70F">
                      <w:pPr>
                        <w:snapToGrid w:val="0"/>
                        <w:spacing w:line="480" w:lineRule="atLeast"/>
                        <w:ind w:hanging="105"/>
                        <w:rPr>
                          <w:sz w:val="24"/>
                          <w:szCs w:val="24"/>
                          <w:u w:val="single"/>
                        </w:rPr>
                      </w:pPr>
                      <w:r>
                        <w:rPr>
                          <w:rFonts w:hint="eastAsia" w:cs="宋体"/>
                          <w:sz w:val="24"/>
                          <w:szCs w:val="24"/>
                        </w:rPr>
                        <w:t>　　注册号码：</w:t>
                      </w:r>
                      <w:r>
                        <w:rPr>
                          <w:rFonts w:hint="eastAsia" w:cs="宋体"/>
                          <w:sz w:val="24"/>
                          <w:szCs w:val="24"/>
                          <w:u w:val="single"/>
                        </w:rPr>
                        <w:t>　　　　　　　　　</w:t>
                      </w:r>
                      <w:r>
                        <w:rPr>
                          <w:rFonts w:hint="eastAsia" w:cs="宋体"/>
                          <w:sz w:val="24"/>
                          <w:szCs w:val="24"/>
                        </w:rPr>
                        <w:t>企业类型：</w:t>
                      </w:r>
                      <w:r>
                        <w:rPr>
                          <w:sz w:val="24"/>
                          <w:szCs w:val="24"/>
                          <w:u w:val="single"/>
                        </w:rPr>
                        <w:t xml:space="preserve">                               </w:t>
                      </w:r>
                    </w:p>
                    <w:p w14:paraId="0AD1E3FA">
                      <w:pPr>
                        <w:snapToGrid w:val="0"/>
                        <w:spacing w:line="480" w:lineRule="atLeast"/>
                        <w:ind w:hanging="105"/>
                        <w:rPr>
                          <w:sz w:val="24"/>
                          <w:szCs w:val="24"/>
                          <w:u w:val="single"/>
                        </w:rPr>
                      </w:pPr>
                      <w:r>
                        <w:rPr>
                          <w:rFonts w:hint="eastAsia" w:cs="宋体"/>
                          <w:sz w:val="24"/>
                          <w:szCs w:val="24"/>
                        </w:rPr>
                        <w:t>　　经营范围：</w:t>
                      </w:r>
                      <w:r>
                        <w:rPr>
                          <w:sz w:val="24"/>
                          <w:szCs w:val="24"/>
                          <w:u w:val="single"/>
                        </w:rPr>
                        <w:t xml:space="preserve">                                                           </w:t>
                      </w:r>
                    </w:p>
                    <w:p w14:paraId="1FA6F708">
                      <w:pPr>
                        <w:snapToGrid w:val="0"/>
                        <w:spacing w:line="480" w:lineRule="atLeast"/>
                        <w:ind w:hanging="105"/>
                        <w:rPr>
                          <w:sz w:val="24"/>
                          <w:szCs w:val="24"/>
                        </w:rPr>
                      </w:pPr>
                      <w:r>
                        <w:rPr>
                          <w:rFonts w:hint="eastAsia" w:cs="宋体"/>
                          <w:sz w:val="24"/>
                          <w:szCs w:val="24"/>
                        </w:rPr>
                        <w:t>　　法定代表人（负责人）：</w:t>
                      </w:r>
                      <w:r>
                        <w:rPr>
                          <w:rFonts w:hint="eastAsia" w:cs="宋体"/>
                          <w:sz w:val="24"/>
                          <w:szCs w:val="24"/>
                          <w:u w:val="single"/>
                        </w:rPr>
                        <w:t>　　　</w:t>
                      </w:r>
                      <w:r>
                        <w:rPr>
                          <w:sz w:val="24"/>
                          <w:szCs w:val="24"/>
                          <w:u w:val="single"/>
                        </w:rPr>
                        <w:t xml:space="preserve">          </w:t>
                      </w:r>
                      <w:r>
                        <w:rPr>
                          <w:rFonts w:hint="eastAsia" w:cs="宋体"/>
                          <w:sz w:val="24"/>
                          <w:szCs w:val="24"/>
                        </w:rPr>
                        <w:t>（签名）</w:t>
                      </w:r>
                    </w:p>
                    <w:p w14:paraId="49E8D41C">
                      <w:pPr>
                        <w:snapToGrid w:val="0"/>
                        <w:spacing w:line="480" w:lineRule="atLeast"/>
                        <w:ind w:hanging="105"/>
                        <w:rPr>
                          <w:sz w:val="24"/>
                          <w:szCs w:val="24"/>
                        </w:rPr>
                      </w:pPr>
                      <w:r>
                        <w:rPr>
                          <w:rFonts w:hint="eastAsia" w:cs="宋体"/>
                          <w:sz w:val="24"/>
                          <w:szCs w:val="24"/>
                        </w:rPr>
                        <w:t>　　授权单位：（盖章）</w:t>
                      </w:r>
                      <w:r>
                        <w:rPr>
                          <w:sz w:val="24"/>
                          <w:szCs w:val="24"/>
                          <w:u w:val="single"/>
                        </w:rPr>
                        <w:t xml:space="preserve">                     </w:t>
                      </w:r>
                      <w:r>
                        <w:rPr>
                          <w:rFonts w:hint="eastAsia" w:cs="宋体"/>
                          <w:sz w:val="24"/>
                          <w:szCs w:val="24"/>
                        </w:rPr>
                        <w:t>　　　</w:t>
                      </w:r>
                    </w:p>
                    <w:p w14:paraId="06224B19">
                      <w:pPr>
                        <w:snapToGrid w:val="0"/>
                        <w:spacing w:line="480" w:lineRule="atLeast"/>
                        <w:ind w:firstLine="570"/>
                        <w:rPr>
                          <w:sz w:val="24"/>
                          <w:szCs w:val="24"/>
                        </w:rPr>
                      </w:pPr>
                      <w:r>
                        <w:rPr>
                          <w:rFonts w:hint="eastAsia" w:cs="宋体"/>
                          <w:sz w:val="24"/>
                          <w:szCs w:val="24"/>
                        </w:rPr>
                        <w:t>　　　　　　　　　　　　　　　　　　　　　</w:t>
                      </w:r>
                      <w:r>
                        <w:rPr>
                          <w:sz w:val="24"/>
                          <w:szCs w:val="24"/>
                        </w:rPr>
                        <w:t xml:space="preserve">      </w:t>
                      </w:r>
                      <w:r>
                        <w:rPr>
                          <w:rFonts w:hint="eastAsia" w:cs="宋体"/>
                          <w:sz w:val="24"/>
                          <w:szCs w:val="24"/>
                        </w:rPr>
                        <w:t>年　</w:t>
                      </w:r>
                      <w:r>
                        <w:rPr>
                          <w:sz w:val="24"/>
                          <w:szCs w:val="24"/>
                        </w:rPr>
                        <w:t xml:space="preserve"> </w:t>
                      </w:r>
                      <w:r>
                        <w:rPr>
                          <w:rFonts w:hint="eastAsia" w:cs="宋体"/>
                          <w:sz w:val="24"/>
                          <w:szCs w:val="24"/>
                        </w:rPr>
                        <w:t>月　</w:t>
                      </w:r>
                      <w:r>
                        <w:rPr>
                          <w:sz w:val="24"/>
                          <w:szCs w:val="24"/>
                        </w:rPr>
                        <w:t xml:space="preserve"> </w:t>
                      </w:r>
                      <w:r>
                        <w:rPr>
                          <w:rFonts w:hint="eastAsia" w:cs="宋体"/>
                          <w:sz w:val="24"/>
                          <w:szCs w:val="24"/>
                        </w:rPr>
                        <w:t>日</w:t>
                      </w:r>
                    </w:p>
                  </w:txbxContent>
                </v:textbox>
                <w10:wrap type="none"/>
                <w10:anchorlock/>
              </v:shape>
            </w:pict>
          </mc:Fallback>
        </mc:AlternateContent>
      </w:r>
    </w:p>
    <w:p w14:paraId="43C9573C">
      <w:pPr>
        <w:spacing w:line="360" w:lineRule="auto"/>
        <w:rPr>
          <w:rFonts w:ascii="宋体" w:hAnsi="宋体" w:cs="宋体"/>
          <w:sz w:val="24"/>
          <w:szCs w:val="24"/>
          <w:highlight w:val="none"/>
        </w:rPr>
      </w:pPr>
      <w:r>
        <w:rPr>
          <w:rFonts w:hint="eastAsia" w:ascii="宋体" w:hAnsi="宋体" w:cs="宋体"/>
          <w:sz w:val="24"/>
          <w:szCs w:val="24"/>
          <w:highlight w:val="none"/>
        </w:rPr>
        <w:t>注：按提供的该表格格式填写，或使用工商管理部门的格式填写。联合体投标的，本授权书由联合体牵头方出具，并由联合体牵头方签字、盖章即可。</w:t>
      </w:r>
    </w:p>
    <w:p w14:paraId="095F47D1">
      <w:pPr>
        <w:pStyle w:val="5"/>
        <w:rPr>
          <w:strike/>
          <w:dstrike w:val="0"/>
          <w:highlight w:val="none"/>
        </w:rPr>
      </w:pPr>
      <w:r>
        <w:rPr>
          <w:highlight w:val="none"/>
        </w:rPr>
        <w:br w:type="page"/>
      </w:r>
      <w:bookmarkStart w:id="173" w:name="_Toc103592038"/>
      <w:bookmarkStart w:id="174" w:name="_Toc533334223"/>
      <w:r>
        <w:rPr>
          <w:rFonts w:hint="eastAsia"/>
          <w:strike/>
          <w:dstrike w:val="0"/>
          <w:highlight w:val="none"/>
        </w:rPr>
        <w:t>三、</w:t>
      </w:r>
      <w:bookmarkStart w:id="175" w:name="_Toc384308381"/>
      <w:bookmarkStart w:id="176" w:name="_Toc369531702"/>
      <w:bookmarkStart w:id="177" w:name="_Toc13469"/>
      <w:bookmarkStart w:id="178" w:name="_Toc352691666"/>
      <w:bookmarkStart w:id="179" w:name="_Toc152042581"/>
      <w:bookmarkStart w:id="180" w:name="_Toc300835214"/>
      <w:bookmarkStart w:id="181" w:name="_Toc144974861"/>
      <w:bookmarkStart w:id="182" w:name="_Toc247527832"/>
      <w:bookmarkStart w:id="183" w:name="_Toc361508757"/>
      <w:bookmarkStart w:id="184" w:name="_Toc247514284"/>
      <w:bookmarkStart w:id="185" w:name="_Toc152045792"/>
      <w:r>
        <w:rPr>
          <w:rFonts w:hint="eastAsia"/>
          <w:strike/>
          <w:dstrike w:val="0"/>
          <w:highlight w:val="none"/>
        </w:rPr>
        <w:t>投标保证金凭证</w:t>
      </w:r>
      <w:bookmarkEnd w:id="173"/>
    </w:p>
    <w:bookmarkEnd w:id="174"/>
    <w:bookmarkEnd w:id="175"/>
    <w:bookmarkEnd w:id="176"/>
    <w:bookmarkEnd w:id="177"/>
    <w:bookmarkEnd w:id="178"/>
    <w:bookmarkEnd w:id="179"/>
    <w:bookmarkEnd w:id="180"/>
    <w:bookmarkEnd w:id="181"/>
    <w:bookmarkEnd w:id="182"/>
    <w:bookmarkEnd w:id="183"/>
    <w:bookmarkEnd w:id="184"/>
    <w:bookmarkEnd w:id="185"/>
    <w:p w14:paraId="61E98108">
      <w:pPr>
        <w:spacing w:line="360" w:lineRule="auto"/>
        <w:ind w:firstLine="420" w:firstLineChars="200"/>
        <w:rPr>
          <w:rFonts w:ascii="宋体" w:hAnsi="宋体"/>
          <w:strike/>
          <w:dstrike w:val="0"/>
          <w:highlight w:val="none"/>
        </w:rPr>
      </w:pPr>
      <w:r>
        <w:rPr>
          <w:rFonts w:hint="eastAsia" w:ascii="宋体" w:hAnsi="宋体"/>
          <w:strike/>
          <w:dstrike w:val="0"/>
          <w:highlight w:val="none"/>
        </w:rPr>
        <w:t>如采用现金或者支票方式提交的由</w:t>
      </w:r>
      <w:r>
        <w:rPr>
          <w:rFonts w:hint="eastAsia" w:ascii="宋体" w:hAnsi="宋体"/>
          <w:strike/>
          <w:dstrike w:val="0"/>
          <w:highlight w:val="none"/>
          <w:lang w:eastAsia="zh-CN"/>
        </w:rPr>
        <w:t>广州交易集团有限公司（广州公共资源交易中心）</w:t>
      </w:r>
      <w:r>
        <w:rPr>
          <w:rFonts w:hint="eastAsia" w:ascii="宋体" w:hAnsi="宋体"/>
          <w:strike/>
          <w:dstrike w:val="0"/>
          <w:highlight w:val="none"/>
        </w:rPr>
        <w:t>代收的，在此提供经</w:t>
      </w:r>
      <w:r>
        <w:rPr>
          <w:rFonts w:hint="eastAsia" w:ascii="宋体" w:hAnsi="宋体"/>
          <w:strike/>
          <w:dstrike w:val="0"/>
          <w:highlight w:val="none"/>
          <w:lang w:eastAsia="zh-CN"/>
        </w:rPr>
        <w:t>广州交易集团有限公司（广州公共资源交易中心）</w:t>
      </w:r>
      <w:r>
        <w:rPr>
          <w:rFonts w:hint="eastAsia" w:ascii="宋体" w:hAnsi="宋体"/>
          <w:strike/>
          <w:dstrike w:val="0"/>
          <w:highlight w:val="none"/>
        </w:rPr>
        <w:t>确认的投标保证金回执；</w:t>
      </w:r>
    </w:p>
    <w:p w14:paraId="3CDA76FB">
      <w:pPr>
        <w:spacing w:line="360" w:lineRule="auto"/>
        <w:rPr>
          <w:rFonts w:ascii="宋体" w:hAnsi="宋体"/>
          <w:strike/>
          <w:dstrike w:val="0"/>
          <w:highlight w:val="none"/>
        </w:rPr>
      </w:pPr>
      <w:r>
        <w:rPr>
          <w:rFonts w:hint="eastAsia" w:ascii="宋体" w:hAnsi="宋体"/>
          <w:strike/>
          <w:dstrike w:val="0"/>
          <w:highlight w:val="none"/>
        </w:rPr>
        <w:t xml:space="preserve">   如采用投标保函或投标保证保险方式提交的，在此提供投标保函或投标保证保险扫描件。</w:t>
      </w:r>
    </w:p>
    <w:p w14:paraId="0071D17D">
      <w:pPr>
        <w:spacing w:line="360" w:lineRule="auto"/>
        <w:rPr>
          <w:rFonts w:ascii="宋体" w:hAnsi="宋体"/>
          <w:highlight w:val="none"/>
        </w:rPr>
      </w:pPr>
    </w:p>
    <w:p w14:paraId="4FB4B7A8">
      <w:pPr>
        <w:pStyle w:val="5"/>
        <w:rPr>
          <w:highlight w:val="none"/>
        </w:rPr>
      </w:pPr>
      <w:r>
        <w:rPr>
          <w:highlight w:val="none"/>
        </w:rPr>
        <w:br w:type="page"/>
      </w:r>
      <w:bookmarkStart w:id="186" w:name="_Toc390704766"/>
      <w:bookmarkStart w:id="187" w:name="_Toc374536214"/>
      <w:bookmarkStart w:id="188" w:name="_Toc103592039"/>
      <w:bookmarkStart w:id="189" w:name="_Toc533357333"/>
      <w:bookmarkStart w:id="190" w:name="_Toc11199"/>
      <w:r>
        <w:rPr>
          <w:rFonts w:hint="eastAsia"/>
          <w:szCs w:val="32"/>
          <w:highlight w:val="none"/>
        </w:rPr>
        <w:t>四</w:t>
      </w:r>
      <w:bookmarkEnd w:id="186"/>
      <w:bookmarkEnd w:id="187"/>
      <w:r>
        <w:rPr>
          <w:rFonts w:hint="eastAsia"/>
          <w:szCs w:val="32"/>
          <w:highlight w:val="none"/>
        </w:rPr>
        <w:t>、</w:t>
      </w:r>
      <w:r>
        <w:rPr>
          <w:rFonts w:hint="eastAsia"/>
          <w:highlight w:val="none"/>
        </w:rPr>
        <w:t>投</w:t>
      </w:r>
      <w:r>
        <w:rPr>
          <w:rFonts w:hint="eastAsia"/>
          <w:szCs w:val="22"/>
          <w:highlight w:val="none"/>
        </w:rPr>
        <w:t>标</w:t>
      </w:r>
      <w:r>
        <w:rPr>
          <w:rFonts w:hint="eastAsia"/>
          <w:highlight w:val="none"/>
        </w:rPr>
        <w:t>报价书</w:t>
      </w:r>
      <w:bookmarkEnd w:id="188"/>
      <w:bookmarkEnd w:id="189"/>
      <w:bookmarkEnd w:id="190"/>
    </w:p>
    <w:p w14:paraId="0705DF6B">
      <w:pPr>
        <w:spacing w:line="500" w:lineRule="exact"/>
        <w:jc w:val="center"/>
        <w:rPr>
          <w:rFonts w:ascii="宋体" w:hAnsi="宋体"/>
          <w:b/>
          <w:bCs/>
          <w:sz w:val="30"/>
          <w:highlight w:val="none"/>
        </w:rPr>
      </w:pPr>
      <w:r>
        <w:rPr>
          <w:rFonts w:hint="eastAsia" w:ascii="宋体" w:hAnsi="宋体"/>
          <w:b/>
          <w:bCs/>
          <w:sz w:val="30"/>
          <w:highlight w:val="none"/>
        </w:rPr>
        <w:t xml:space="preserve"> </w:t>
      </w:r>
    </w:p>
    <w:p w14:paraId="61B090F4">
      <w:pPr>
        <w:spacing w:line="500" w:lineRule="exact"/>
        <w:jc w:val="center"/>
        <w:rPr>
          <w:rFonts w:ascii="宋体" w:hAnsi="宋体"/>
          <w:b/>
          <w:bCs/>
          <w:sz w:val="52"/>
          <w:highlight w:val="none"/>
        </w:rPr>
      </w:pPr>
      <w:r>
        <w:rPr>
          <w:rFonts w:hint="eastAsia" w:ascii="宋体" w:hAnsi="宋体"/>
          <w:b/>
          <w:bCs/>
          <w:sz w:val="30"/>
          <w:highlight w:val="none"/>
        </w:rPr>
        <w:t xml:space="preserve"> </w:t>
      </w:r>
      <w:r>
        <w:rPr>
          <w:rFonts w:hint="eastAsia" w:ascii="宋体" w:hAnsi="宋体"/>
          <w:b/>
          <w:bCs/>
          <w:sz w:val="30"/>
          <w:highlight w:val="none"/>
          <w:lang w:eastAsia="zh-CN"/>
        </w:rPr>
        <w:t>黄埔区刘村消防站建设工程、黄埔区深井消防站建设工程、萝岗区天鹿湖消防站第三方检测服务</w:t>
      </w:r>
    </w:p>
    <w:p w14:paraId="3671DACD">
      <w:pPr>
        <w:spacing w:line="500" w:lineRule="exact"/>
        <w:jc w:val="center"/>
        <w:rPr>
          <w:rFonts w:ascii="宋体" w:hAnsi="宋体"/>
          <w:b/>
          <w:bCs/>
          <w:sz w:val="30"/>
          <w:highlight w:val="none"/>
        </w:rPr>
      </w:pPr>
    </w:p>
    <w:p w14:paraId="0341CB39">
      <w:pPr>
        <w:spacing w:line="500" w:lineRule="exact"/>
        <w:jc w:val="center"/>
        <w:rPr>
          <w:rFonts w:ascii="宋体" w:hAnsi="宋体"/>
          <w:b/>
          <w:bCs/>
          <w:sz w:val="30"/>
          <w:highlight w:val="none"/>
        </w:rPr>
      </w:pPr>
    </w:p>
    <w:p w14:paraId="3C1AAA0F">
      <w:pPr>
        <w:spacing w:line="500" w:lineRule="exact"/>
        <w:jc w:val="center"/>
        <w:rPr>
          <w:rFonts w:ascii="宋体" w:hAnsi="宋体"/>
          <w:b/>
          <w:bCs/>
          <w:sz w:val="30"/>
          <w:highlight w:val="none"/>
        </w:rPr>
      </w:pPr>
    </w:p>
    <w:p w14:paraId="36F46125">
      <w:pPr>
        <w:spacing w:line="500" w:lineRule="exact"/>
        <w:jc w:val="center"/>
        <w:rPr>
          <w:rFonts w:ascii="宋体" w:hAnsi="宋体"/>
          <w:b/>
          <w:bCs/>
          <w:sz w:val="30"/>
          <w:highlight w:val="none"/>
        </w:rPr>
      </w:pPr>
    </w:p>
    <w:p w14:paraId="3F067ECA">
      <w:pPr>
        <w:spacing w:line="600" w:lineRule="exact"/>
        <w:jc w:val="center"/>
        <w:rPr>
          <w:rFonts w:ascii="宋体" w:hAnsi="宋体"/>
          <w:b/>
          <w:bCs/>
          <w:sz w:val="52"/>
          <w:highlight w:val="none"/>
        </w:rPr>
      </w:pPr>
      <w:r>
        <w:rPr>
          <w:rFonts w:hint="eastAsia" w:ascii="宋体" w:hAnsi="宋体"/>
          <w:b/>
          <w:bCs/>
          <w:sz w:val="52"/>
          <w:highlight w:val="none"/>
        </w:rPr>
        <w:t>报</w:t>
      </w:r>
      <w:r>
        <w:rPr>
          <w:rFonts w:ascii="宋体" w:hAnsi="宋体"/>
          <w:b/>
          <w:bCs/>
          <w:sz w:val="52"/>
          <w:highlight w:val="none"/>
        </w:rPr>
        <w:t xml:space="preserve">  </w:t>
      </w:r>
      <w:r>
        <w:rPr>
          <w:rFonts w:hint="eastAsia" w:ascii="宋体" w:hAnsi="宋体"/>
          <w:b/>
          <w:bCs/>
          <w:sz w:val="52"/>
          <w:highlight w:val="none"/>
        </w:rPr>
        <w:t>价</w:t>
      </w:r>
      <w:r>
        <w:rPr>
          <w:rFonts w:ascii="宋体" w:hAnsi="宋体"/>
          <w:b/>
          <w:bCs/>
          <w:sz w:val="52"/>
          <w:highlight w:val="none"/>
        </w:rPr>
        <w:t xml:space="preserve">  </w:t>
      </w:r>
      <w:r>
        <w:rPr>
          <w:rFonts w:hint="eastAsia" w:ascii="宋体" w:hAnsi="宋体"/>
          <w:b/>
          <w:bCs/>
          <w:sz w:val="52"/>
          <w:highlight w:val="none"/>
        </w:rPr>
        <w:t>书</w:t>
      </w:r>
    </w:p>
    <w:p w14:paraId="765B0799">
      <w:pPr>
        <w:spacing w:line="500" w:lineRule="exact"/>
        <w:jc w:val="center"/>
        <w:rPr>
          <w:rFonts w:ascii="宋体" w:hAnsi="宋体"/>
          <w:b/>
          <w:bCs/>
          <w:sz w:val="30"/>
          <w:highlight w:val="none"/>
        </w:rPr>
      </w:pPr>
    </w:p>
    <w:p w14:paraId="2B509959">
      <w:pPr>
        <w:spacing w:line="500" w:lineRule="exact"/>
        <w:jc w:val="center"/>
        <w:rPr>
          <w:rFonts w:ascii="宋体" w:hAnsi="宋体"/>
          <w:b/>
          <w:bCs/>
          <w:sz w:val="30"/>
          <w:highlight w:val="none"/>
        </w:rPr>
      </w:pPr>
    </w:p>
    <w:p w14:paraId="2556B597">
      <w:pPr>
        <w:spacing w:line="500" w:lineRule="exact"/>
        <w:jc w:val="center"/>
        <w:rPr>
          <w:rFonts w:ascii="宋体" w:hAnsi="宋体"/>
          <w:b/>
          <w:bCs/>
          <w:sz w:val="30"/>
          <w:highlight w:val="none"/>
        </w:rPr>
      </w:pPr>
    </w:p>
    <w:p w14:paraId="45B7DB22">
      <w:pPr>
        <w:spacing w:line="500" w:lineRule="exact"/>
        <w:jc w:val="center"/>
        <w:rPr>
          <w:rFonts w:ascii="宋体" w:hAnsi="宋体"/>
          <w:b/>
          <w:bCs/>
          <w:sz w:val="30"/>
          <w:highlight w:val="none"/>
        </w:rPr>
      </w:pPr>
    </w:p>
    <w:p w14:paraId="18B1BEFA">
      <w:pPr>
        <w:spacing w:line="500" w:lineRule="exact"/>
        <w:jc w:val="center"/>
        <w:rPr>
          <w:rFonts w:ascii="宋体" w:hAnsi="宋体"/>
          <w:b/>
          <w:bCs/>
          <w:sz w:val="30"/>
          <w:highlight w:val="none"/>
        </w:rPr>
      </w:pPr>
    </w:p>
    <w:p w14:paraId="350500B5">
      <w:pPr>
        <w:spacing w:line="500" w:lineRule="exact"/>
        <w:jc w:val="center"/>
        <w:rPr>
          <w:rFonts w:ascii="宋体" w:hAnsi="宋体"/>
          <w:b/>
          <w:bCs/>
          <w:sz w:val="30"/>
          <w:highlight w:val="none"/>
        </w:rPr>
      </w:pPr>
    </w:p>
    <w:p w14:paraId="45F429D5">
      <w:pPr>
        <w:spacing w:line="500" w:lineRule="exact"/>
        <w:rPr>
          <w:rFonts w:ascii="宋体" w:hAnsi="宋体"/>
          <w:b/>
          <w:bCs/>
          <w:sz w:val="30"/>
          <w:highlight w:val="none"/>
        </w:rPr>
      </w:pPr>
    </w:p>
    <w:p w14:paraId="3F715A62">
      <w:pPr>
        <w:spacing w:line="500" w:lineRule="exact"/>
        <w:ind w:firstLine="2125" w:firstLineChars="756"/>
        <w:rPr>
          <w:rFonts w:ascii="宋体" w:hAnsi="宋体"/>
          <w:b/>
          <w:bCs/>
          <w:sz w:val="28"/>
          <w:highlight w:val="none"/>
        </w:rPr>
      </w:pPr>
      <w:r>
        <w:rPr>
          <w:rFonts w:hint="eastAsia" w:ascii="宋体" w:hAnsi="宋体"/>
          <w:b/>
          <w:bCs/>
          <w:sz w:val="28"/>
          <w:highlight w:val="none"/>
        </w:rPr>
        <w:t>投标人：（公章）</w:t>
      </w:r>
      <w:r>
        <w:rPr>
          <w:rFonts w:ascii="宋体" w:hAnsi="宋体"/>
          <w:b/>
          <w:bCs/>
          <w:sz w:val="28"/>
          <w:highlight w:val="none"/>
        </w:rPr>
        <w:t xml:space="preserve"> </w:t>
      </w:r>
    </w:p>
    <w:p w14:paraId="40C31D15">
      <w:pPr>
        <w:spacing w:line="500" w:lineRule="exact"/>
        <w:ind w:firstLine="2125" w:firstLineChars="756"/>
        <w:jc w:val="left"/>
        <w:rPr>
          <w:rFonts w:ascii="宋体" w:hAnsi="宋体"/>
          <w:b/>
          <w:bCs/>
          <w:sz w:val="28"/>
          <w:highlight w:val="none"/>
        </w:rPr>
      </w:pPr>
      <w:r>
        <w:rPr>
          <w:rFonts w:hint="eastAsia" w:ascii="宋体" w:hAnsi="宋体"/>
          <w:b/>
          <w:bCs/>
          <w:sz w:val="28"/>
          <w:highlight w:val="none"/>
        </w:rPr>
        <w:t>法定代表人(签字或盖章)：</w:t>
      </w:r>
    </w:p>
    <w:p w14:paraId="244A1090">
      <w:pPr>
        <w:spacing w:line="500" w:lineRule="exact"/>
        <w:jc w:val="center"/>
        <w:rPr>
          <w:rFonts w:ascii="宋体" w:hAnsi="宋体"/>
          <w:b/>
          <w:bCs/>
          <w:sz w:val="28"/>
          <w:highlight w:val="none"/>
        </w:rPr>
      </w:pPr>
      <w:r>
        <w:rPr>
          <w:rFonts w:hint="eastAsia" w:ascii="宋体" w:hAnsi="宋体"/>
          <w:b/>
          <w:bCs/>
          <w:sz w:val="28"/>
          <w:highlight w:val="none"/>
        </w:rPr>
        <w:t>年</w:t>
      </w:r>
      <w:r>
        <w:rPr>
          <w:rFonts w:ascii="宋体" w:hAnsi="宋体"/>
          <w:b/>
          <w:bCs/>
          <w:sz w:val="28"/>
          <w:highlight w:val="none"/>
        </w:rPr>
        <w:t xml:space="preserve">   </w:t>
      </w:r>
      <w:r>
        <w:rPr>
          <w:rFonts w:hint="eastAsia" w:ascii="宋体" w:hAnsi="宋体"/>
          <w:b/>
          <w:bCs/>
          <w:sz w:val="28"/>
          <w:highlight w:val="none"/>
        </w:rPr>
        <w:t>月</w:t>
      </w:r>
      <w:r>
        <w:rPr>
          <w:rFonts w:ascii="宋体" w:hAnsi="宋体"/>
          <w:b/>
          <w:bCs/>
          <w:sz w:val="28"/>
          <w:highlight w:val="none"/>
        </w:rPr>
        <w:t xml:space="preserve">   </w:t>
      </w:r>
      <w:r>
        <w:rPr>
          <w:rFonts w:hint="eastAsia" w:ascii="宋体" w:hAnsi="宋体"/>
          <w:b/>
          <w:bCs/>
          <w:sz w:val="28"/>
          <w:highlight w:val="none"/>
        </w:rPr>
        <w:t>日</w:t>
      </w:r>
    </w:p>
    <w:p w14:paraId="5A578800">
      <w:pPr>
        <w:spacing w:line="500" w:lineRule="exact"/>
        <w:jc w:val="center"/>
        <w:rPr>
          <w:rFonts w:ascii="宋体" w:hAnsi="宋体"/>
          <w:b/>
          <w:bCs/>
          <w:sz w:val="30"/>
          <w:highlight w:val="none"/>
        </w:rPr>
      </w:pPr>
    </w:p>
    <w:p w14:paraId="1AD9827C">
      <w:pPr>
        <w:spacing w:line="500" w:lineRule="exact"/>
        <w:jc w:val="center"/>
        <w:rPr>
          <w:rFonts w:ascii="宋体" w:hAnsi="宋体"/>
          <w:b/>
          <w:bCs/>
          <w:sz w:val="30"/>
          <w:highlight w:val="none"/>
        </w:rPr>
      </w:pPr>
    </w:p>
    <w:p w14:paraId="40DA6648">
      <w:pPr>
        <w:spacing w:line="500" w:lineRule="exact"/>
        <w:rPr>
          <w:rFonts w:ascii="宋体" w:hAnsi="宋体"/>
          <w:szCs w:val="21"/>
          <w:highlight w:val="none"/>
        </w:rPr>
        <w:sectPr>
          <w:headerReference r:id="rId9" w:type="default"/>
          <w:footerReference r:id="rId10" w:type="default"/>
          <w:pgSz w:w="11906" w:h="16838"/>
          <w:pgMar w:top="1440" w:right="1080" w:bottom="1440" w:left="1080" w:header="851" w:footer="1021" w:gutter="0"/>
          <w:cols w:space="720" w:num="1"/>
          <w:docGrid w:type="lines" w:linePitch="312" w:charSpace="0"/>
        </w:sectPr>
      </w:pPr>
    </w:p>
    <w:p w14:paraId="28BEEC5D">
      <w:pPr>
        <w:tabs>
          <w:tab w:val="left" w:pos="5560"/>
          <w:tab w:val="left" w:pos="6940"/>
        </w:tabs>
        <w:spacing w:line="480" w:lineRule="auto"/>
        <w:ind w:right="85"/>
        <w:jc w:val="center"/>
        <w:rPr>
          <w:rFonts w:ascii="宋体" w:hAnsi="宋体"/>
          <w:b/>
          <w:sz w:val="32"/>
          <w:szCs w:val="28"/>
          <w:highlight w:val="none"/>
        </w:rPr>
      </w:pPr>
      <w:r>
        <w:rPr>
          <w:rFonts w:hint="eastAsia" w:ascii="宋体" w:hAnsi="宋体"/>
          <w:b/>
          <w:sz w:val="32"/>
          <w:szCs w:val="28"/>
          <w:highlight w:val="none"/>
        </w:rPr>
        <w:t>投标报价汇总表</w:t>
      </w:r>
    </w:p>
    <w:p w14:paraId="778A5047">
      <w:pPr>
        <w:pStyle w:val="26"/>
        <w:rPr>
          <w:rFonts w:ascii="Calibri" w:hAnsi="Calibri"/>
          <w:highlight w:val="none"/>
        </w:rPr>
      </w:pP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9"/>
        <w:gridCol w:w="4013"/>
        <w:gridCol w:w="2770"/>
        <w:gridCol w:w="1977"/>
      </w:tblGrid>
      <w:tr w14:paraId="28FB2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4772" w:type="dxa"/>
            <w:gridSpan w:val="2"/>
            <w:vAlign w:val="center"/>
          </w:tcPr>
          <w:p w14:paraId="7A54DF1A">
            <w:pPr>
              <w:jc w:val="center"/>
              <w:rPr>
                <w:rFonts w:ascii="宋体" w:hAnsi="宋体" w:cs="华文楷体"/>
                <w:b/>
                <w:kern w:val="0"/>
                <w:sz w:val="24"/>
                <w:szCs w:val="24"/>
                <w:highlight w:val="none"/>
                <w:lang w:bidi="ar"/>
              </w:rPr>
            </w:pPr>
            <w:r>
              <w:rPr>
                <w:rFonts w:hint="eastAsia" w:ascii="宋体" w:hAnsi="宋体"/>
                <w:bCs/>
                <w:sz w:val="24"/>
                <w:highlight w:val="none"/>
              </w:rPr>
              <w:t>项目名称：</w:t>
            </w:r>
            <w:r>
              <w:rPr>
                <w:rFonts w:hint="eastAsia" w:ascii="宋体" w:hAnsi="宋体" w:cs="宋体"/>
                <w:sz w:val="24"/>
                <w:highlight w:val="none"/>
                <w:u w:val="single"/>
                <w:lang w:eastAsia="zh-CN"/>
              </w:rPr>
              <w:t>黄埔区刘村消防站建设工程、黄埔区深井消防站建设工程、萝岗区天鹿湖消防站第三方检测服务</w:t>
            </w:r>
            <w:r>
              <w:rPr>
                <w:rFonts w:hint="eastAsia" w:ascii="宋体" w:hAnsi="宋体" w:cs="华文楷体"/>
                <w:b/>
                <w:kern w:val="0"/>
                <w:sz w:val="24"/>
                <w:szCs w:val="24"/>
                <w:highlight w:val="none"/>
                <w:lang w:bidi="ar"/>
              </w:rPr>
              <w:t>标段名称</w:t>
            </w:r>
          </w:p>
        </w:tc>
        <w:tc>
          <w:tcPr>
            <w:tcW w:w="2770" w:type="dxa"/>
          </w:tcPr>
          <w:p w14:paraId="7686ABC8">
            <w:pPr>
              <w:jc w:val="center"/>
              <w:rPr>
                <w:rFonts w:ascii="宋体" w:hAnsi="宋体" w:cs="华文楷体"/>
                <w:b/>
                <w:kern w:val="0"/>
                <w:sz w:val="24"/>
                <w:szCs w:val="24"/>
                <w:highlight w:val="none"/>
                <w:lang w:bidi="ar"/>
              </w:rPr>
            </w:pPr>
            <w:r>
              <w:rPr>
                <w:rFonts w:hint="eastAsia" w:ascii="宋体" w:hAnsi="宋体" w:cs="华文楷体"/>
                <w:b/>
                <w:kern w:val="0"/>
                <w:sz w:val="24"/>
                <w:szCs w:val="24"/>
                <w:highlight w:val="none"/>
                <w:lang w:bidi="ar"/>
              </w:rPr>
              <w:t>投标报价</w:t>
            </w:r>
          </w:p>
          <w:p w14:paraId="6BE70FD3">
            <w:pPr>
              <w:jc w:val="center"/>
              <w:rPr>
                <w:rFonts w:ascii="宋体" w:hAnsi="宋体" w:cs="华文楷体"/>
                <w:bCs/>
                <w:kern w:val="0"/>
                <w:sz w:val="24"/>
                <w:szCs w:val="24"/>
                <w:highlight w:val="none"/>
                <w:lang w:bidi="ar"/>
              </w:rPr>
            </w:pPr>
            <w:r>
              <w:rPr>
                <w:rFonts w:hint="eastAsia" w:ascii="宋体" w:hAnsi="宋体" w:cs="华文楷体"/>
                <w:b/>
                <w:kern w:val="0"/>
                <w:sz w:val="24"/>
                <w:szCs w:val="24"/>
                <w:highlight w:val="none"/>
                <w:lang w:bidi="ar"/>
              </w:rPr>
              <w:t>（元）</w:t>
            </w:r>
          </w:p>
        </w:tc>
        <w:tc>
          <w:tcPr>
            <w:tcW w:w="1977" w:type="dxa"/>
            <w:vAlign w:val="center"/>
          </w:tcPr>
          <w:p w14:paraId="370E2E89">
            <w:pPr>
              <w:jc w:val="center"/>
              <w:rPr>
                <w:rFonts w:ascii="宋体" w:hAnsi="宋体" w:cs="华文楷体"/>
                <w:b/>
                <w:kern w:val="0"/>
                <w:sz w:val="24"/>
                <w:szCs w:val="24"/>
                <w:highlight w:val="none"/>
                <w:lang w:bidi="ar"/>
              </w:rPr>
            </w:pPr>
            <w:r>
              <w:rPr>
                <w:rFonts w:hint="eastAsia" w:ascii="宋体" w:hAnsi="宋体" w:cs="华文楷体"/>
                <w:b/>
                <w:kern w:val="0"/>
                <w:sz w:val="24"/>
                <w:szCs w:val="24"/>
                <w:highlight w:val="none"/>
                <w:lang w:bidi="ar"/>
              </w:rPr>
              <w:t>投标下浮率</w:t>
            </w:r>
          </w:p>
          <w:p w14:paraId="0CA22419">
            <w:pPr>
              <w:jc w:val="center"/>
              <w:rPr>
                <w:rFonts w:ascii="宋体" w:hAnsi="宋体" w:cs="华文楷体"/>
                <w:b/>
                <w:kern w:val="0"/>
                <w:sz w:val="24"/>
                <w:szCs w:val="24"/>
                <w:highlight w:val="none"/>
                <w:lang w:bidi="ar"/>
              </w:rPr>
            </w:pPr>
            <w:r>
              <w:rPr>
                <w:rFonts w:hint="eastAsia" w:ascii="宋体" w:hAnsi="宋体" w:cs="华文楷体"/>
                <w:b/>
                <w:kern w:val="0"/>
                <w:sz w:val="24"/>
                <w:szCs w:val="24"/>
                <w:highlight w:val="none"/>
                <w:lang w:bidi="ar"/>
              </w:rPr>
              <w:t>（%）</w:t>
            </w:r>
          </w:p>
        </w:tc>
      </w:tr>
      <w:tr w14:paraId="7CE7A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7" w:hRule="atLeast"/>
          <w:jc w:val="center"/>
        </w:trPr>
        <w:tc>
          <w:tcPr>
            <w:tcW w:w="4772" w:type="dxa"/>
            <w:gridSpan w:val="2"/>
            <w:vAlign w:val="center"/>
          </w:tcPr>
          <w:p w14:paraId="28CBA003">
            <w:pPr>
              <w:jc w:val="center"/>
              <w:rPr>
                <w:rFonts w:hint="eastAsia" w:ascii="宋体" w:hAnsi="宋体" w:eastAsia="宋体" w:cs="华文楷体"/>
                <w:bCs/>
                <w:kern w:val="0"/>
                <w:sz w:val="24"/>
                <w:szCs w:val="24"/>
                <w:highlight w:val="none"/>
                <w:lang w:eastAsia="zh-CN" w:bidi="ar"/>
              </w:rPr>
            </w:pPr>
            <w:r>
              <w:rPr>
                <w:rFonts w:hint="eastAsia" w:ascii="宋体" w:hAnsi="宋体" w:cs="华文楷体"/>
                <w:bCs/>
                <w:kern w:val="0"/>
                <w:sz w:val="24"/>
                <w:szCs w:val="24"/>
                <w:highlight w:val="none"/>
                <w:lang w:eastAsia="zh-CN" w:bidi="ar"/>
              </w:rPr>
              <w:t>黄埔区刘村消防站建设工程、黄埔区深井消防站建设工程、萝岗区天鹿湖消防站第三方检测服务</w:t>
            </w:r>
          </w:p>
        </w:tc>
        <w:tc>
          <w:tcPr>
            <w:tcW w:w="2770" w:type="dxa"/>
            <w:vAlign w:val="center"/>
          </w:tcPr>
          <w:p w14:paraId="33854B86">
            <w:pPr>
              <w:widowControl/>
              <w:jc w:val="center"/>
              <w:textAlignment w:val="center"/>
              <w:rPr>
                <w:rFonts w:ascii="宋体" w:hAnsi="宋体" w:cs="华文楷体"/>
                <w:b/>
                <w:kern w:val="0"/>
                <w:sz w:val="24"/>
                <w:szCs w:val="24"/>
                <w:highlight w:val="none"/>
                <w:lang w:bidi="ar"/>
              </w:rPr>
            </w:pPr>
          </w:p>
        </w:tc>
        <w:tc>
          <w:tcPr>
            <w:tcW w:w="1977" w:type="dxa"/>
            <w:vAlign w:val="center"/>
          </w:tcPr>
          <w:p w14:paraId="0D25B21C">
            <w:pPr>
              <w:jc w:val="center"/>
              <w:rPr>
                <w:rFonts w:ascii="宋体" w:hAnsi="宋体" w:cs="华文楷体"/>
                <w:b/>
                <w:kern w:val="0"/>
                <w:sz w:val="24"/>
                <w:szCs w:val="24"/>
                <w:highlight w:val="none"/>
                <w:lang w:bidi="ar"/>
              </w:rPr>
            </w:pPr>
          </w:p>
        </w:tc>
      </w:tr>
      <w:tr w14:paraId="68298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9519" w:type="dxa"/>
            <w:gridSpan w:val="4"/>
            <w:vAlign w:val="center"/>
          </w:tcPr>
          <w:p w14:paraId="1AC1F930">
            <w:pPr>
              <w:jc w:val="center"/>
              <w:rPr>
                <w:rFonts w:ascii="宋体" w:hAnsi="宋体" w:cs="华文楷体"/>
                <w:b/>
                <w:kern w:val="0"/>
                <w:sz w:val="24"/>
                <w:szCs w:val="24"/>
                <w:highlight w:val="none"/>
                <w:lang w:bidi="ar"/>
              </w:rPr>
            </w:pPr>
            <w:bookmarkStart w:id="191" w:name="_Toc390704770"/>
            <w:bookmarkStart w:id="192" w:name="_Toc374536218"/>
            <w:bookmarkStart w:id="193" w:name="_Toc374610687"/>
            <w:bookmarkStart w:id="194" w:name="_Toc333829923"/>
            <w:bookmarkStart w:id="195" w:name="_Toc31556"/>
            <w:bookmarkStart w:id="196" w:name="_Toc266373531"/>
            <w:r>
              <w:rPr>
                <w:rFonts w:hint="eastAsia" w:ascii="宋体" w:hAnsi="宋体"/>
                <w:b/>
                <w:bCs/>
                <w:sz w:val="24"/>
                <w:szCs w:val="24"/>
                <w:highlight w:val="none"/>
              </w:rPr>
              <w:t>各项明细</w:t>
            </w:r>
          </w:p>
        </w:tc>
      </w:tr>
      <w:tr w14:paraId="547FA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59" w:type="dxa"/>
            <w:vAlign w:val="center"/>
          </w:tcPr>
          <w:p w14:paraId="07F50077">
            <w:pPr>
              <w:jc w:val="center"/>
              <w:rPr>
                <w:rFonts w:ascii="宋体" w:hAnsi="宋体" w:cs="华文楷体"/>
                <w:b/>
                <w:kern w:val="0"/>
                <w:sz w:val="24"/>
                <w:szCs w:val="24"/>
                <w:highlight w:val="none"/>
                <w:lang w:bidi="ar"/>
              </w:rPr>
            </w:pPr>
            <w:r>
              <w:rPr>
                <w:rFonts w:hint="eastAsia" w:ascii="宋体" w:hAnsi="宋体" w:cs="华文楷体"/>
                <w:b/>
                <w:kern w:val="0"/>
                <w:sz w:val="24"/>
                <w:szCs w:val="24"/>
                <w:highlight w:val="none"/>
                <w:lang w:bidi="ar"/>
              </w:rPr>
              <w:t>序号</w:t>
            </w:r>
          </w:p>
        </w:tc>
        <w:tc>
          <w:tcPr>
            <w:tcW w:w="4013" w:type="dxa"/>
            <w:vAlign w:val="center"/>
          </w:tcPr>
          <w:p w14:paraId="5ED1A915">
            <w:pPr>
              <w:jc w:val="center"/>
              <w:rPr>
                <w:rFonts w:ascii="宋体" w:hAnsi="宋体" w:cs="华文楷体"/>
                <w:b/>
                <w:kern w:val="0"/>
                <w:sz w:val="24"/>
                <w:szCs w:val="24"/>
                <w:highlight w:val="none"/>
                <w:lang w:bidi="ar"/>
              </w:rPr>
            </w:pPr>
            <w:r>
              <w:rPr>
                <w:rFonts w:hint="eastAsia" w:ascii="宋体" w:hAnsi="宋体" w:cs="华文楷体"/>
                <w:b/>
                <w:kern w:val="0"/>
                <w:sz w:val="24"/>
                <w:szCs w:val="24"/>
                <w:highlight w:val="none"/>
                <w:lang w:bidi="ar"/>
              </w:rPr>
              <w:t>各项名称</w:t>
            </w:r>
          </w:p>
        </w:tc>
        <w:tc>
          <w:tcPr>
            <w:tcW w:w="4747" w:type="dxa"/>
            <w:gridSpan w:val="2"/>
            <w:vAlign w:val="center"/>
          </w:tcPr>
          <w:p w14:paraId="17E46357">
            <w:pPr>
              <w:jc w:val="center"/>
              <w:rPr>
                <w:rFonts w:ascii="宋体" w:hAnsi="宋体" w:cs="华文楷体"/>
                <w:b/>
                <w:kern w:val="0"/>
                <w:sz w:val="24"/>
                <w:szCs w:val="24"/>
                <w:highlight w:val="none"/>
                <w:lang w:bidi="ar"/>
              </w:rPr>
            </w:pPr>
            <w:r>
              <w:rPr>
                <w:rFonts w:hint="eastAsia" w:ascii="宋体" w:hAnsi="宋体" w:cs="华文楷体"/>
                <w:b/>
                <w:kern w:val="0"/>
                <w:sz w:val="24"/>
                <w:szCs w:val="24"/>
                <w:highlight w:val="none"/>
                <w:lang w:bidi="ar"/>
              </w:rPr>
              <w:t>各项投标报价（元）</w:t>
            </w:r>
          </w:p>
        </w:tc>
      </w:tr>
      <w:tr w14:paraId="76570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jc w:val="center"/>
        </w:trPr>
        <w:tc>
          <w:tcPr>
            <w:tcW w:w="759" w:type="dxa"/>
            <w:vAlign w:val="center"/>
          </w:tcPr>
          <w:p w14:paraId="50267EFC">
            <w:pPr>
              <w:jc w:val="center"/>
              <w:rPr>
                <w:rFonts w:ascii="宋体" w:hAnsi="宋体" w:cs="华文楷体"/>
                <w:bCs/>
                <w:kern w:val="0"/>
                <w:sz w:val="24"/>
                <w:szCs w:val="24"/>
                <w:highlight w:val="none"/>
                <w:lang w:bidi="ar"/>
              </w:rPr>
            </w:pPr>
            <w:r>
              <w:rPr>
                <w:rFonts w:hint="eastAsia" w:ascii="宋体" w:hAnsi="宋体" w:cs="华文楷体"/>
                <w:bCs/>
                <w:kern w:val="0"/>
                <w:sz w:val="24"/>
                <w:szCs w:val="24"/>
                <w:highlight w:val="none"/>
                <w:lang w:bidi="ar"/>
              </w:rPr>
              <w:t>1</w:t>
            </w:r>
          </w:p>
        </w:tc>
        <w:tc>
          <w:tcPr>
            <w:tcW w:w="4013" w:type="dxa"/>
            <w:vAlign w:val="center"/>
          </w:tcPr>
          <w:p w14:paraId="6B1A701B">
            <w:pPr>
              <w:jc w:val="center"/>
              <w:rPr>
                <w:rFonts w:ascii="宋体" w:hAnsi="宋体" w:cs="华文楷体"/>
                <w:bCs/>
                <w:kern w:val="0"/>
                <w:sz w:val="24"/>
                <w:szCs w:val="24"/>
                <w:highlight w:val="none"/>
                <w:lang w:bidi="ar"/>
              </w:rPr>
            </w:pPr>
            <w:r>
              <w:rPr>
                <w:rFonts w:hint="eastAsia" w:ascii="宋体" w:hAnsi="宋体" w:cs="华文楷体"/>
                <w:bCs/>
                <w:kern w:val="0"/>
                <w:sz w:val="24"/>
                <w:szCs w:val="24"/>
                <w:highlight w:val="none"/>
                <w:lang w:bidi="ar"/>
              </w:rPr>
              <w:t>黄埔区刘村消防站建设工程</w:t>
            </w:r>
            <w:r>
              <w:rPr>
                <w:rFonts w:hint="eastAsia" w:ascii="宋体" w:hAnsi="宋体" w:cs="华文楷体"/>
                <w:bCs/>
                <w:kern w:val="0"/>
                <w:sz w:val="24"/>
                <w:szCs w:val="24"/>
                <w:highlight w:val="none"/>
                <w:lang w:eastAsia="zh-CN" w:bidi="ar"/>
              </w:rPr>
              <w:t>第三方</w:t>
            </w:r>
            <w:r>
              <w:rPr>
                <w:rFonts w:hint="eastAsia" w:ascii="宋体" w:hAnsi="宋体" w:cs="华文楷体"/>
                <w:bCs/>
                <w:kern w:val="0"/>
                <w:sz w:val="24"/>
                <w:szCs w:val="24"/>
                <w:highlight w:val="none"/>
                <w:lang w:bidi="ar"/>
              </w:rPr>
              <w:t>检测</w:t>
            </w:r>
          </w:p>
        </w:tc>
        <w:tc>
          <w:tcPr>
            <w:tcW w:w="4747" w:type="dxa"/>
            <w:gridSpan w:val="2"/>
            <w:vAlign w:val="center"/>
          </w:tcPr>
          <w:p w14:paraId="40C6D43B">
            <w:pPr>
              <w:jc w:val="center"/>
              <w:rPr>
                <w:rFonts w:ascii="宋体" w:hAnsi="宋体" w:cs="华文楷体"/>
                <w:b/>
                <w:kern w:val="0"/>
                <w:sz w:val="24"/>
                <w:szCs w:val="24"/>
                <w:highlight w:val="none"/>
                <w:lang w:bidi="ar"/>
              </w:rPr>
            </w:pPr>
          </w:p>
        </w:tc>
      </w:tr>
      <w:tr w14:paraId="2A0BD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jc w:val="center"/>
        </w:trPr>
        <w:tc>
          <w:tcPr>
            <w:tcW w:w="759" w:type="dxa"/>
            <w:vAlign w:val="center"/>
          </w:tcPr>
          <w:p w14:paraId="3FDA2ABE">
            <w:pPr>
              <w:jc w:val="center"/>
              <w:rPr>
                <w:rFonts w:ascii="宋体" w:hAnsi="宋体" w:cs="华文楷体"/>
                <w:bCs/>
                <w:kern w:val="0"/>
                <w:sz w:val="24"/>
                <w:szCs w:val="24"/>
                <w:highlight w:val="none"/>
                <w:lang w:bidi="ar"/>
              </w:rPr>
            </w:pPr>
            <w:r>
              <w:rPr>
                <w:rFonts w:hint="eastAsia" w:ascii="宋体" w:hAnsi="宋体" w:cs="华文楷体"/>
                <w:bCs/>
                <w:kern w:val="0"/>
                <w:sz w:val="24"/>
                <w:szCs w:val="24"/>
                <w:highlight w:val="none"/>
                <w:lang w:bidi="ar"/>
              </w:rPr>
              <w:t>2</w:t>
            </w:r>
          </w:p>
        </w:tc>
        <w:tc>
          <w:tcPr>
            <w:tcW w:w="4013" w:type="dxa"/>
            <w:vAlign w:val="center"/>
          </w:tcPr>
          <w:p w14:paraId="432609E6">
            <w:pPr>
              <w:jc w:val="center"/>
              <w:rPr>
                <w:rFonts w:ascii="宋体" w:hAnsi="宋体" w:cs="华文楷体"/>
                <w:bCs/>
                <w:kern w:val="0"/>
                <w:sz w:val="24"/>
                <w:szCs w:val="24"/>
                <w:highlight w:val="none"/>
                <w:lang w:bidi="ar"/>
              </w:rPr>
            </w:pPr>
            <w:r>
              <w:rPr>
                <w:rFonts w:hint="eastAsia" w:ascii="宋体" w:hAnsi="宋体" w:cs="华文楷体"/>
                <w:bCs/>
                <w:kern w:val="0"/>
                <w:sz w:val="24"/>
                <w:szCs w:val="24"/>
                <w:highlight w:val="none"/>
                <w:lang w:bidi="ar"/>
              </w:rPr>
              <w:t>黄埔区深井消防站建设工程</w:t>
            </w:r>
            <w:r>
              <w:rPr>
                <w:rFonts w:hint="eastAsia" w:ascii="宋体" w:hAnsi="宋体" w:cs="华文楷体"/>
                <w:bCs/>
                <w:kern w:val="0"/>
                <w:sz w:val="24"/>
                <w:szCs w:val="24"/>
                <w:highlight w:val="none"/>
                <w:lang w:eastAsia="zh-CN" w:bidi="ar"/>
              </w:rPr>
              <w:t>第三方</w:t>
            </w:r>
            <w:r>
              <w:rPr>
                <w:rFonts w:hint="eastAsia" w:ascii="宋体" w:hAnsi="宋体" w:cs="华文楷体"/>
                <w:bCs/>
                <w:kern w:val="0"/>
                <w:sz w:val="24"/>
                <w:szCs w:val="24"/>
                <w:highlight w:val="none"/>
                <w:lang w:bidi="ar"/>
              </w:rPr>
              <w:t>检测</w:t>
            </w:r>
          </w:p>
        </w:tc>
        <w:tc>
          <w:tcPr>
            <w:tcW w:w="4747" w:type="dxa"/>
            <w:gridSpan w:val="2"/>
            <w:vAlign w:val="center"/>
          </w:tcPr>
          <w:p w14:paraId="561554EC">
            <w:pPr>
              <w:jc w:val="center"/>
              <w:rPr>
                <w:rFonts w:ascii="宋体" w:hAnsi="宋体" w:cs="华文楷体"/>
                <w:b/>
                <w:kern w:val="0"/>
                <w:sz w:val="24"/>
                <w:szCs w:val="24"/>
                <w:highlight w:val="none"/>
                <w:lang w:bidi="ar"/>
              </w:rPr>
            </w:pPr>
          </w:p>
        </w:tc>
      </w:tr>
      <w:tr w14:paraId="38B38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jc w:val="center"/>
        </w:trPr>
        <w:tc>
          <w:tcPr>
            <w:tcW w:w="759" w:type="dxa"/>
            <w:vAlign w:val="center"/>
          </w:tcPr>
          <w:p w14:paraId="63194344">
            <w:pPr>
              <w:jc w:val="center"/>
              <w:rPr>
                <w:rFonts w:ascii="宋体" w:hAnsi="宋体" w:cs="华文楷体"/>
                <w:bCs/>
                <w:kern w:val="0"/>
                <w:sz w:val="24"/>
                <w:szCs w:val="24"/>
                <w:highlight w:val="none"/>
                <w:lang w:bidi="ar"/>
              </w:rPr>
            </w:pPr>
            <w:r>
              <w:rPr>
                <w:rFonts w:hint="eastAsia" w:ascii="宋体" w:hAnsi="宋体" w:cs="华文楷体"/>
                <w:bCs/>
                <w:kern w:val="0"/>
                <w:sz w:val="24"/>
                <w:szCs w:val="24"/>
                <w:highlight w:val="none"/>
                <w:lang w:bidi="ar"/>
              </w:rPr>
              <w:t>3</w:t>
            </w:r>
          </w:p>
        </w:tc>
        <w:tc>
          <w:tcPr>
            <w:tcW w:w="4013" w:type="dxa"/>
            <w:vAlign w:val="center"/>
          </w:tcPr>
          <w:p w14:paraId="0C8624BB">
            <w:pPr>
              <w:jc w:val="center"/>
              <w:rPr>
                <w:rFonts w:ascii="宋体" w:hAnsi="宋体" w:cs="华文楷体"/>
                <w:bCs/>
                <w:kern w:val="0"/>
                <w:sz w:val="24"/>
                <w:szCs w:val="24"/>
                <w:highlight w:val="none"/>
                <w:lang w:bidi="ar"/>
              </w:rPr>
            </w:pPr>
            <w:r>
              <w:rPr>
                <w:rFonts w:hint="eastAsia" w:ascii="宋体" w:hAnsi="宋体" w:cs="华文楷体"/>
                <w:bCs/>
                <w:kern w:val="0"/>
                <w:sz w:val="24"/>
                <w:szCs w:val="24"/>
                <w:highlight w:val="none"/>
                <w:lang w:bidi="ar"/>
              </w:rPr>
              <w:t>萝岗区天鹿湖消防站</w:t>
            </w:r>
            <w:r>
              <w:rPr>
                <w:rFonts w:hint="eastAsia" w:ascii="宋体" w:hAnsi="宋体" w:cs="华文楷体"/>
                <w:bCs/>
                <w:kern w:val="0"/>
                <w:sz w:val="24"/>
                <w:szCs w:val="24"/>
                <w:highlight w:val="none"/>
                <w:lang w:eastAsia="zh-CN" w:bidi="ar"/>
              </w:rPr>
              <w:t>第三方</w:t>
            </w:r>
            <w:r>
              <w:rPr>
                <w:rFonts w:hint="eastAsia" w:ascii="宋体" w:hAnsi="宋体" w:cs="华文楷体"/>
                <w:bCs/>
                <w:kern w:val="0"/>
                <w:sz w:val="24"/>
                <w:szCs w:val="24"/>
                <w:highlight w:val="none"/>
                <w:lang w:bidi="ar"/>
              </w:rPr>
              <w:t>检测</w:t>
            </w:r>
          </w:p>
        </w:tc>
        <w:tc>
          <w:tcPr>
            <w:tcW w:w="4747" w:type="dxa"/>
            <w:gridSpan w:val="2"/>
            <w:vAlign w:val="center"/>
          </w:tcPr>
          <w:p w14:paraId="425E2ABE">
            <w:pPr>
              <w:jc w:val="center"/>
              <w:rPr>
                <w:rFonts w:ascii="宋体" w:hAnsi="宋体" w:cs="华文楷体"/>
                <w:b/>
                <w:kern w:val="0"/>
                <w:sz w:val="24"/>
                <w:szCs w:val="24"/>
                <w:highlight w:val="none"/>
                <w:lang w:bidi="ar"/>
              </w:rPr>
            </w:pPr>
          </w:p>
        </w:tc>
      </w:tr>
    </w:tbl>
    <w:p w14:paraId="09308A07">
      <w:pPr>
        <w:rPr>
          <w:rFonts w:ascii="宋体" w:hAnsi="宋体"/>
          <w:highlight w:val="none"/>
        </w:rPr>
      </w:pPr>
    </w:p>
    <w:p w14:paraId="1812195E">
      <w:pPr>
        <w:pStyle w:val="26"/>
        <w:ind w:firstLine="422"/>
        <w:rPr>
          <w:rFonts w:ascii="Calibri" w:hAnsi="Calibri"/>
          <w:b/>
          <w:highlight w:val="none"/>
          <w:u w:val="single"/>
        </w:rPr>
      </w:pPr>
      <w:r>
        <w:rPr>
          <w:rFonts w:hint="eastAsia" w:ascii="Calibri" w:hAnsi="Calibri"/>
          <w:b/>
          <w:highlight w:val="none"/>
          <w:u w:val="single"/>
        </w:rPr>
        <w:t>注：</w:t>
      </w:r>
    </w:p>
    <w:p w14:paraId="5D2582DE">
      <w:pPr>
        <w:pStyle w:val="26"/>
        <w:ind w:firstLine="422"/>
        <w:rPr>
          <w:rFonts w:ascii="Calibri" w:hAnsi="Calibri"/>
          <w:b/>
          <w:highlight w:val="none"/>
          <w:u w:val="single"/>
        </w:rPr>
      </w:pPr>
      <w:r>
        <w:rPr>
          <w:rFonts w:hint="eastAsia" w:ascii="Calibri" w:hAnsi="Calibri"/>
          <w:b/>
          <w:highlight w:val="none"/>
          <w:u w:val="single"/>
        </w:rPr>
        <w:t>1、投标下浮率=（1-投标报价/暂定金额）*100%。</w:t>
      </w:r>
    </w:p>
    <w:p w14:paraId="5222A3BA">
      <w:pPr>
        <w:pStyle w:val="26"/>
        <w:ind w:firstLine="422"/>
        <w:rPr>
          <w:rFonts w:ascii="Calibri" w:hAnsi="Calibri"/>
          <w:b/>
          <w:highlight w:val="none"/>
          <w:u w:val="single"/>
        </w:rPr>
      </w:pPr>
      <w:r>
        <w:rPr>
          <w:rFonts w:hint="eastAsia" w:ascii="Calibri" w:hAnsi="Calibri"/>
          <w:b/>
          <w:highlight w:val="none"/>
          <w:u w:val="single"/>
        </w:rPr>
        <w:t>2、精确到小数点后2位。</w:t>
      </w:r>
    </w:p>
    <w:p w14:paraId="2C2339D9">
      <w:pPr>
        <w:pStyle w:val="26"/>
        <w:rPr>
          <w:rFonts w:ascii="Calibri" w:hAnsi="Calibri"/>
          <w:highlight w:val="none"/>
        </w:rPr>
      </w:pPr>
    </w:p>
    <w:p w14:paraId="3552B7F7">
      <w:pPr>
        <w:pStyle w:val="26"/>
        <w:rPr>
          <w:rFonts w:ascii="Calibri" w:hAnsi="Calibri"/>
          <w:highlight w:val="none"/>
        </w:rPr>
      </w:pPr>
    </w:p>
    <w:p w14:paraId="3126BB18">
      <w:pPr>
        <w:pStyle w:val="26"/>
        <w:rPr>
          <w:rFonts w:ascii="Calibri" w:hAnsi="Calibri"/>
          <w:highlight w:val="none"/>
        </w:rPr>
      </w:pPr>
    </w:p>
    <w:p w14:paraId="000BBBDF">
      <w:pPr>
        <w:pStyle w:val="13"/>
        <w:tabs>
          <w:tab w:val="left" w:pos="7321"/>
        </w:tabs>
        <w:spacing w:before="36"/>
        <w:ind w:left="2701"/>
        <w:jc w:val="right"/>
        <w:rPr>
          <w:rFonts w:ascii="宋体" w:hAnsi="宋体"/>
          <w:highlight w:val="none"/>
        </w:rPr>
      </w:pPr>
      <w:r>
        <w:rPr>
          <w:rFonts w:hint="eastAsia" w:ascii="宋体" w:hAnsi="宋体"/>
          <w:highlight w:val="none"/>
        </w:rPr>
        <w:t>投标人：</w:t>
      </w:r>
      <w:r>
        <w:rPr>
          <w:rFonts w:ascii="宋体" w:hAnsi="宋体"/>
          <w:highlight w:val="none"/>
          <w:u w:val="single" w:color="000000"/>
        </w:rPr>
        <w:tab/>
      </w:r>
      <w:r>
        <w:rPr>
          <w:rFonts w:hint="eastAsia" w:ascii="宋体" w:hAnsi="宋体"/>
          <w:highlight w:val="none"/>
        </w:rPr>
        <w:t>（盖单位章）</w:t>
      </w:r>
    </w:p>
    <w:p w14:paraId="5C92408D">
      <w:pPr>
        <w:spacing w:before="13"/>
        <w:jc w:val="right"/>
        <w:rPr>
          <w:rFonts w:ascii="宋体" w:hAnsi="宋体" w:cs="宋体"/>
          <w:sz w:val="9"/>
          <w:szCs w:val="9"/>
          <w:highlight w:val="none"/>
        </w:rPr>
      </w:pPr>
    </w:p>
    <w:p w14:paraId="7286D2E6">
      <w:pPr>
        <w:pStyle w:val="13"/>
        <w:tabs>
          <w:tab w:val="left" w:pos="6481"/>
        </w:tabs>
        <w:spacing w:before="36"/>
        <w:ind w:left="2701"/>
        <w:jc w:val="right"/>
        <w:rPr>
          <w:rFonts w:ascii="宋体" w:hAnsi="宋体"/>
          <w:highlight w:val="none"/>
        </w:rPr>
      </w:pPr>
      <w:r>
        <w:rPr>
          <w:rFonts w:hint="eastAsia" w:ascii="宋体" w:hAnsi="宋体"/>
          <w:spacing w:val="-2"/>
          <w:highlight w:val="none"/>
        </w:rPr>
        <w:t>法定代表人或其委托代理人：</w:t>
      </w:r>
      <w:r>
        <w:rPr>
          <w:rFonts w:ascii="宋体" w:hAnsi="宋体"/>
          <w:spacing w:val="-2"/>
          <w:highlight w:val="none"/>
          <w:u w:val="single" w:color="000000"/>
        </w:rPr>
        <w:tab/>
      </w:r>
      <w:r>
        <w:rPr>
          <w:rFonts w:hint="eastAsia" w:ascii="宋体" w:hAnsi="宋体"/>
          <w:spacing w:val="-1"/>
          <w:highlight w:val="none"/>
        </w:rPr>
        <w:t>（签字或盖章）</w:t>
      </w:r>
    </w:p>
    <w:p w14:paraId="07E1B0AA">
      <w:pPr>
        <w:spacing w:before="10"/>
        <w:jc w:val="right"/>
        <w:rPr>
          <w:rFonts w:ascii="宋体" w:hAnsi="宋体" w:cs="宋体"/>
          <w:sz w:val="9"/>
          <w:szCs w:val="9"/>
          <w:highlight w:val="none"/>
        </w:rPr>
      </w:pPr>
    </w:p>
    <w:p w14:paraId="203FBA4C">
      <w:pPr>
        <w:pStyle w:val="26"/>
        <w:jc w:val="right"/>
        <w:rPr>
          <w:rFonts w:ascii="Calibri" w:hAnsi="Calibri"/>
          <w:highlight w:val="none"/>
        </w:rPr>
      </w:pPr>
      <w:r>
        <w:rPr>
          <w:rFonts w:ascii="宋体" w:hAnsi="宋体"/>
          <w:highlight w:val="none"/>
          <w:u w:val="single" w:color="000000"/>
        </w:rPr>
        <w:tab/>
      </w:r>
      <w:r>
        <w:rPr>
          <w:rFonts w:hint="eastAsia" w:ascii="宋体" w:hAnsi="宋体"/>
          <w:highlight w:val="none"/>
        </w:rPr>
        <w:t>年</w:t>
      </w:r>
      <w:r>
        <w:rPr>
          <w:rFonts w:ascii="宋体" w:hAnsi="宋体"/>
          <w:highlight w:val="none"/>
          <w:u w:val="single" w:color="000000"/>
        </w:rPr>
        <w:tab/>
      </w:r>
      <w:r>
        <w:rPr>
          <w:rFonts w:ascii="宋体" w:hAnsi="宋体"/>
          <w:highlight w:val="none"/>
          <w:u w:val="single" w:color="000000"/>
        </w:rPr>
        <w:t xml:space="preserve"> </w:t>
      </w:r>
      <w:r>
        <w:rPr>
          <w:rFonts w:hint="eastAsia" w:ascii="宋体" w:hAnsi="宋体"/>
          <w:highlight w:val="none"/>
        </w:rPr>
        <w:t>月</w:t>
      </w:r>
      <w:r>
        <w:rPr>
          <w:rFonts w:ascii="宋体" w:hAnsi="宋体"/>
          <w:highlight w:val="none"/>
          <w:u w:val="single" w:color="000000"/>
        </w:rPr>
        <w:tab/>
      </w:r>
      <w:r>
        <w:rPr>
          <w:rFonts w:ascii="宋体" w:hAnsi="宋体"/>
          <w:highlight w:val="none"/>
          <w:u w:val="single" w:color="000000"/>
        </w:rPr>
        <w:t xml:space="preserve">  </w:t>
      </w:r>
      <w:r>
        <w:rPr>
          <w:rFonts w:hint="eastAsia" w:ascii="宋体" w:hAnsi="宋体"/>
          <w:highlight w:val="none"/>
        </w:rPr>
        <w:t>日</w:t>
      </w:r>
    </w:p>
    <w:p w14:paraId="7B30DDBD">
      <w:pPr>
        <w:pStyle w:val="5"/>
        <w:rPr>
          <w:highlight w:val="none"/>
        </w:rPr>
      </w:pPr>
      <w:r>
        <w:rPr>
          <w:highlight w:val="none"/>
        </w:rPr>
        <w:br w:type="page"/>
      </w:r>
      <w:bookmarkEnd w:id="191"/>
      <w:bookmarkEnd w:id="192"/>
      <w:bookmarkEnd w:id="193"/>
      <w:bookmarkEnd w:id="194"/>
      <w:bookmarkEnd w:id="195"/>
      <w:bookmarkEnd w:id="196"/>
      <w:bookmarkStart w:id="197" w:name="_Toc103592040"/>
      <w:r>
        <w:rPr>
          <w:rFonts w:hint="eastAsia"/>
          <w:highlight w:val="none"/>
        </w:rPr>
        <w:t>五、资格审查资料</w:t>
      </w:r>
      <w:bookmarkEnd w:id="197"/>
    </w:p>
    <w:p w14:paraId="5854C47A">
      <w:pPr>
        <w:widowControl/>
        <w:jc w:val="center"/>
        <w:rPr>
          <w:rFonts w:ascii="宋体" w:hAnsi="宋体" w:cs="宋体"/>
          <w:b/>
          <w:bCs/>
          <w:kern w:val="0"/>
          <w:szCs w:val="21"/>
          <w:highlight w:val="none"/>
        </w:rPr>
      </w:pPr>
      <w:r>
        <w:rPr>
          <w:rFonts w:hint="eastAsia" w:ascii="宋体" w:hAnsi="宋体" w:cs="宋体"/>
          <w:b/>
          <w:bCs/>
          <w:kern w:val="0"/>
          <w:szCs w:val="21"/>
          <w:highlight w:val="none"/>
        </w:rPr>
        <w:t>（一）投标人基本情况表</w:t>
      </w:r>
    </w:p>
    <w:tbl>
      <w:tblPr>
        <w:tblStyle w:val="27"/>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46"/>
        <w:gridCol w:w="898"/>
        <w:gridCol w:w="1026"/>
        <w:gridCol w:w="1287"/>
        <w:gridCol w:w="414"/>
        <w:gridCol w:w="873"/>
        <w:gridCol w:w="828"/>
        <w:gridCol w:w="284"/>
        <w:gridCol w:w="1230"/>
      </w:tblGrid>
      <w:tr w14:paraId="5CDA23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bottom w:val="single" w:color="auto" w:sz="4" w:space="0"/>
              <w:right w:val="single" w:color="auto" w:sz="4" w:space="0"/>
            </w:tcBorders>
            <w:vAlign w:val="center"/>
          </w:tcPr>
          <w:p w14:paraId="4221CDC4">
            <w:pPr>
              <w:topLinePunct/>
              <w:spacing w:line="440" w:lineRule="exact"/>
              <w:jc w:val="center"/>
              <w:rPr>
                <w:rFonts w:ascii="宋体" w:hAnsi="宋体"/>
                <w:highlight w:val="none"/>
              </w:rPr>
            </w:pPr>
            <w:r>
              <w:rPr>
                <w:rFonts w:hint="eastAsia" w:ascii="宋体" w:hAnsi="宋体"/>
                <w:highlight w:val="none"/>
              </w:rPr>
              <w:t>投标人名称</w:t>
            </w:r>
          </w:p>
        </w:tc>
        <w:tc>
          <w:tcPr>
            <w:tcW w:w="6840" w:type="dxa"/>
            <w:gridSpan w:val="8"/>
            <w:tcBorders>
              <w:top w:val="single" w:color="auto" w:sz="4" w:space="0"/>
              <w:left w:val="single" w:color="auto" w:sz="4" w:space="0"/>
              <w:bottom w:val="single" w:color="auto" w:sz="4" w:space="0"/>
            </w:tcBorders>
            <w:vAlign w:val="center"/>
          </w:tcPr>
          <w:p w14:paraId="03A6ECEC">
            <w:pPr>
              <w:topLinePunct/>
              <w:spacing w:line="440" w:lineRule="exact"/>
              <w:jc w:val="center"/>
              <w:rPr>
                <w:rFonts w:ascii="宋体" w:hAnsi="宋体"/>
                <w:highlight w:val="none"/>
              </w:rPr>
            </w:pPr>
          </w:p>
        </w:tc>
      </w:tr>
      <w:tr w14:paraId="35028D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bottom w:val="single" w:color="auto" w:sz="4" w:space="0"/>
              <w:right w:val="single" w:color="auto" w:sz="4" w:space="0"/>
            </w:tcBorders>
            <w:vAlign w:val="center"/>
          </w:tcPr>
          <w:p w14:paraId="06B34086">
            <w:pPr>
              <w:topLinePunct/>
              <w:spacing w:line="440" w:lineRule="exact"/>
              <w:jc w:val="center"/>
              <w:rPr>
                <w:rFonts w:ascii="宋体" w:hAnsi="宋体"/>
                <w:highlight w:val="none"/>
              </w:rPr>
            </w:pPr>
            <w:r>
              <w:rPr>
                <w:rFonts w:hint="eastAsia" w:ascii="宋体" w:hAnsi="宋体"/>
                <w:highlight w:val="none"/>
              </w:rPr>
              <w:t>注册地址</w:t>
            </w:r>
          </w:p>
        </w:tc>
        <w:tc>
          <w:tcPr>
            <w:tcW w:w="3211" w:type="dxa"/>
            <w:gridSpan w:val="3"/>
            <w:tcBorders>
              <w:top w:val="single" w:color="auto" w:sz="4" w:space="0"/>
              <w:left w:val="single" w:color="auto" w:sz="4" w:space="0"/>
              <w:bottom w:val="single" w:color="auto" w:sz="4" w:space="0"/>
              <w:right w:val="single" w:color="auto" w:sz="4" w:space="0"/>
            </w:tcBorders>
            <w:vAlign w:val="center"/>
          </w:tcPr>
          <w:p w14:paraId="0A03A098">
            <w:pPr>
              <w:topLinePunct/>
              <w:spacing w:line="440" w:lineRule="exact"/>
              <w:jc w:val="center"/>
              <w:rPr>
                <w:rFonts w:ascii="宋体" w:hAnsi="宋体"/>
                <w:highlight w:val="none"/>
              </w:rPr>
            </w:pPr>
          </w:p>
        </w:tc>
        <w:tc>
          <w:tcPr>
            <w:tcW w:w="1287" w:type="dxa"/>
            <w:gridSpan w:val="2"/>
            <w:tcBorders>
              <w:top w:val="single" w:color="auto" w:sz="4" w:space="0"/>
              <w:left w:val="single" w:color="auto" w:sz="4" w:space="0"/>
              <w:bottom w:val="single" w:color="auto" w:sz="4" w:space="0"/>
              <w:right w:val="single" w:color="auto" w:sz="4" w:space="0"/>
            </w:tcBorders>
            <w:vAlign w:val="center"/>
          </w:tcPr>
          <w:p w14:paraId="677F1219">
            <w:pPr>
              <w:topLinePunct/>
              <w:spacing w:before="100" w:beforeAutospacing="1" w:after="100" w:afterAutospacing="1" w:line="440" w:lineRule="exact"/>
              <w:jc w:val="center"/>
              <w:rPr>
                <w:rFonts w:ascii="宋体" w:hAnsi="宋体"/>
                <w:highlight w:val="none"/>
              </w:rPr>
            </w:pPr>
            <w:r>
              <w:rPr>
                <w:rFonts w:hint="eastAsia" w:ascii="宋体" w:hAnsi="宋体"/>
                <w:highlight w:val="none"/>
              </w:rPr>
              <w:t>邮政编码</w:t>
            </w:r>
          </w:p>
        </w:tc>
        <w:tc>
          <w:tcPr>
            <w:tcW w:w="2342" w:type="dxa"/>
            <w:gridSpan w:val="3"/>
            <w:tcBorders>
              <w:top w:val="single" w:color="auto" w:sz="4" w:space="0"/>
              <w:left w:val="single" w:color="auto" w:sz="4" w:space="0"/>
              <w:bottom w:val="single" w:color="auto" w:sz="4" w:space="0"/>
            </w:tcBorders>
            <w:vAlign w:val="center"/>
          </w:tcPr>
          <w:p w14:paraId="577149E5">
            <w:pPr>
              <w:topLinePunct/>
              <w:spacing w:line="440" w:lineRule="exact"/>
              <w:jc w:val="center"/>
              <w:rPr>
                <w:rFonts w:ascii="宋体" w:hAnsi="宋体"/>
                <w:highlight w:val="none"/>
              </w:rPr>
            </w:pPr>
          </w:p>
        </w:tc>
      </w:tr>
      <w:tr w14:paraId="5ADD2C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vMerge w:val="restart"/>
            <w:tcBorders>
              <w:top w:val="single" w:color="auto" w:sz="4" w:space="0"/>
              <w:bottom w:val="single" w:color="auto" w:sz="4" w:space="0"/>
              <w:right w:val="single" w:color="auto" w:sz="4" w:space="0"/>
            </w:tcBorders>
            <w:vAlign w:val="center"/>
          </w:tcPr>
          <w:p w14:paraId="43A6460B">
            <w:pPr>
              <w:topLinePunct/>
              <w:spacing w:line="440" w:lineRule="exact"/>
              <w:jc w:val="center"/>
              <w:rPr>
                <w:rFonts w:ascii="宋体" w:hAnsi="宋体"/>
                <w:highlight w:val="none"/>
              </w:rPr>
            </w:pPr>
            <w:r>
              <w:rPr>
                <w:rFonts w:hint="eastAsia" w:ascii="宋体" w:hAnsi="宋体"/>
                <w:highlight w:val="none"/>
              </w:rPr>
              <w:t>联系方式</w:t>
            </w:r>
          </w:p>
        </w:tc>
        <w:tc>
          <w:tcPr>
            <w:tcW w:w="898" w:type="dxa"/>
            <w:tcBorders>
              <w:top w:val="single" w:color="auto" w:sz="4" w:space="0"/>
              <w:left w:val="single" w:color="auto" w:sz="4" w:space="0"/>
              <w:bottom w:val="single" w:color="auto" w:sz="4" w:space="0"/>
              <w:right w:val="single" w:color="auto" w:sz="4" w:space="0"/>
            </w:tcBorders>
            <w:vAlign w:val="center"/>
          </w:tcPr>
          <w:p w14:paraId="3800563D">
            <w:pPr>
              <w:topLinePunct/>
              <w:spacing w:before="100" w:beforeAutospacing="1" w:after="100" w:afterAutospacing="1" w:line="440" w:lineRule="exact"/>
              <w:jc w:val="center"/>
              <w:rPr>
                <w:rFonts w:ascii="宋体" w:hAnsi="宋体"/>
                <w:highlight w:val="none"/>
              </w:rPr>
            </w:pPr>
            <w:r>
              <w:rPr>
                <w:rFonts w:hint="eastAsia" w:ascii="宋体" w:hAnsi="宋体"/>
                <w:highlight w:val="none"/>
              </w:rPr>
              <w:t>联系人</w:t>
            </w:r>
          </w:p>
        </w:tc>
        <w:tc>
          <w:tcPr>
            <w:tcW w:w="2313" w:type="dxa"/>
            <w:gridSpan w:val="2"/>
            <w:tcBorders>
              <w:top w:val="single" w:color="auto" w:sz="4" w:space="0"/>
              <w:left w:val="single" w:color="auto" w:sz="4" w:space="0"/>
              <w:bottom w:val="single" w:color="auto" w:sz="4" w:space="0"/>
              <w:right w:val="single" w:color="auto" w:sz="4" w:space="0"/>
            </w:tcBorders>
            <w:vAlign w:val="center"/>
          </w:tcPr>
          <w:p w14:paraId="64E187D6">
            <w:pPr>
              <w:topLinePunct/>
              <w:spacing w:line="440" w:lineRule="exact"/>
              <w:jc w:val="center"/>
              <w:rPr>
                <w:rFonts w:ascii="宋体" w:hAnsi="宋体"/>
                <w:highlight w:val="none"/>
              </w:rPr>
            </w:pPr>
          </w:p>
        </w:tc>
        <w:tc>
          <w:tcPr>
            <w:tcW w:w="1287" w:type="dxa"/>
            <w:gridSpan w:val="2"/>
            <w:tcBorders>
              <w:top w:val="single" w:color="auto" w:sz="4" w:space="0"/>
              <w:left w:val="single" w:color="auto" w:sz="4" w:space="0"/>
              <w:bottom w:val="single" w:color="auto" w:sz="4" w:space="0"/>
              <w:right w:val="single" w:color="auto" w:sz="4" w:space="0"/>
            </w:tcBorders>
            <w:vAlign w:val="center"/>
          </w:tcPr>
          <w:p w14:paraId="1AA79FAC">
            <w:pPr>
              <w:topLinePunct/>
              <w:spacing w:before="100" w:beforeAutospacing="1" w:after="100" w:afterAutospacing="1" w:line="440" w:lineRule="exact"/>
              <w:jc w:val="center"/>
              <w:rPr>
                <w:rFonts w:ascii="宋体" w:hAnsi="宋体"/>
                <w:highlight w:val="none"/>
              </w:rPr>
            </w:pPr>
            <w:r>
              <w:rPr>
                <w:rFonts w:hint="eastAsia" w:ascii="宋体" w:hAnsi="宋体"/>
                <w:highlight w:val="none"/>
              </w:rPr>
              <w:t>电话</w:t>
            </w:r>
          </w:p>
        </w:tc>
        <w:tc>
          <w:tcPr>
            <w:tcW w:w="2342" w:type="dxa"/>
            <w:gridSpan w:val="3"/>
            <w:tcBorders>
              <w:top w:val="single" w:color="auto" w:sz="4" w:space="0"/>
              <w:left w:val="single" w:color="auto" w:sz="4" w:space="0"/>
              <w:bottom w:val="single" w:color="auto" w:sz="4" w:space="0"/>
            </w:tcBorders>
            <w:vAlign w:val="center"/>
          </w:tcPr>
          <w:p w14:paraId="0D24E816">
            <w:pPr>
              <w:topLinePunct/>
              <w:spacing w:line="440" w:lineRule="exact"/>
              <w:jc w:val="center"/>
              <w:rPr>
                <w:rFonts w:ascii="宋体" w:hAnsi="宋体"/>
                <w:highlight w:val="none"/>
              </w:rPr>
            </w:pPr>
          </w:p>
        </w:tc>
      </w:tr>
      <w:tr w14:paraId="3E2BA9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vMerge w:val="continue"/>
            <w:tcBorders>
              <w:top w:val="single" w:color="auto" w:sz="4" w:space="0"/>
              <w:bottom w:val="single" w:color="auto" w:sz="4" w:space="0"/>
              <w:right w:val="single" w:color="auto" w:sz="4" w:space="0"/>
            </w:tcBorders>
            <w:vAlign w:val="center"/>
          </w:tcPr>
          <w:p w14:paraId="57145CC2">
            <w:pPr>
              <w:jc w:val="center"/>
              <w:rPr>
                <w:rFonts w:ascii="宋体" w:hAnsi="宋体"/>
                <w:highlight w:val="none"/>
              </w:rPr>
            </w:pPr>
          </w:p>
        </w:tc>
        <w:tc>
          <w:tcPr>
            <w:tcW w:w="898" w:type="dxa"/>
            <w:tcBorders>
              <w:top w:val="single" w:color="auto" w:sz="4" w:space="0"/>
              <w:left w:val="single" w:color="auto" w:sz="4" w:space="0"/>
              <w:bottom w:val="single" w:color="auto" w:sz="4" w:space="0"/>
              <w:right w:val="single" w:color="auto" w:sz="4" w:space="0"/>
            </w:tcBorders>
            <w:vAlign w:val="center"/>
          </w:tcPr>
          <w:p w14:paraId="766FD010">
            <w:pPr>
              <w:topLinePunct/>
              <w:spacing w:before="100" w:beforeAutospacing="1" w:after="100" w:afterAutospacing="1" w:line="440" w:lineRule="exact"/>
              <w:jc w:val="center"/>
              <w:rPr>
                <w:rFonts w:ascii="宋体" w:hAnsi="宋体"/>
                <w:highlight w:val="none"/>
              </w:rPr>
            </w:pPr>
            <w:r>
              <w:rPr>
                <w:rFonts w:hint="eastAsia" w:ascii="宋体" w:hAnsi="宋体"/>
                <w:highlight w:val="none"/>
              </w:rPr>
              <w:t>传真</w:t>
            </w:r>
          </w:p>
        </w:tc>
        <w:tc>
          <w:tcPr>
            <w:tcW w:w="2313" w:type="dxa"/>
            <w:gridSpan w:val="2"/>
            <w:tcBorders>
              <w:top w:val="single" w:color="auto" w:sz="4" w:space="0"/>
              <w:left w:val="single" w:color="auto" w:sz="4" w:space="0"/>
              <w:bottom w:val="single" w:color="auto" w:sz="4" w:space="0"/>
              <w:right w:val="single" w:color="auto" w:sz="4" w:space="0"/>
            </w:tcBorders>
            <w:vAlign w:val="center"/>
          </w:tcPr>
          <w:p w14:paraId="2F1E2DF3">
            <w:pPr>
              <w:topLinePunct/>
              <w:spacing w:line="440" w:lineRule="exact"/>
              <w:jc w:val="center"/>
              <w:rPr>
                <w:rFonts w:ascii="宋体" w:hAnsi="宋体"/>
                <w:highlight w:val="none"/>
              </w:rPr>
            </w:pPr>
          </w:p>
        </w:tc>
        <w:tc>
          <w:tcPr>
            <w:tcW w:w="1287" w:type="dxa"/>
            <w:gridSpan w:val="2"/>
            <w:tcBorders>
              <w:top w:val="single" w:color="auto" w:sz="4" w:space="0"/>
              <w:left w:val="single" w:color="auto" w:sz="4" w:space="0"/>
              <w:bottom w:val="single" w:color="auto" w:sz="4" w:space="0"/>
              <w:right w:val="single" w:color="auto" w:sz="4" w:space="0"/>
            </w:tcBorders>
            <w:vAlign w:val="center"/>
          </w:tcPr>
          <w:p w14:paraId="682C8363">
            <w:pPr>
              <w:topLinePunct/>
              <w:spacing w:before="100" w:beforeAutospacing="1" w:after="100" w:afterAutospacing="1" w:line="440" w:lineRule="exact"/>
              <w:jc w:val="center"/>
              <w:rPr>
                <w:rFonts w:ascii="宋体" w:hAnsi="宋体"/>
                <w:highlight w:val="none"/>
              </w:rPr>
            </w:pPr>
            <w:r>
              <w:rPr>
                <w:rFonts w:hint="eastAsia" w:ascii="宋体" w:hAnsi="宋体"/>
                <w:highlight w:val="none"/>
              </w:rPr>
              <w:t>网址</w:t>
            </w:r>
          </w:p>
        </w:tc>
        <w:tc>
          <w:tcPr>
            <w:tcW w:w="2342" w:type="dxa"/>
            <w:gridSpan w:val="3"/>
            <w:tcBorders>
              <w:top w:val="single" w:color="auto" w:sz="4" w:space="0"/>
              <w:left w:val="single" w:color="auto" w:sz="4" w:space="0"/>
              <w:bottom w:val="single" w:color="auto" w:sz="4" w:space="0"/>
            </w:tcBorders>
            <w:vAlign w:val="center"/>
          </w:tcPr>
          <w:p w14:paraId="35D5B212">
            <w:pPr>
              <w:topLinePunct/>
              <w:spacing w:line="440" w:lineRule="exact"/>
              <w:jc w:val="center"/>
              <w:rPr>
                <w:rFonts w:ascii="宋体" w:hAnsi="宋体"/>
                <w:highlight w:val="none"/>
              </w:rPr>
            </w:pPr>
          </w:p>
        </w:tc>
      </w:tr>
      <w:tr w14:paraId="1FDBDB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bottom w:val="single" w:color="auto" w:sz="4" w:space="0"/>
              <w:right w:val="single" w:color="auto" w:sz="4" w:space="0"/>
            </w:tcBorders>
            <w:vAlign w:val="center"/>
          </w:tcPr>
          <w:p w14:paraId="058B94EA">
            <w:pPr>
              <w:topLinePunct/>
              <w:spacing w:before="100" w:beforeAutospacing="1" w:after="100" w:afterAutospacing="1" w:line="440" w:lineRule="exact"/>
              <w:jc w:val="center"/>
              <w:rPr>
                <w:rFonts w:ascii="宋体" w:hAnsi="宋体"/>
                <w:highlight w:val="none"/>
              </w:rPr>
            </w:pPr>
            <w:r>
              <w:rPr>
                <w:rFonts w:hint="eastAsia" w:ascii="宋体" w:hAnsi="宋体"/>
                <w:highlight w:val="none"/>
              </w:rPr>
              <w:t>法定代表人</w:t>
            </w:r>
          </w:p>
        </w:tc>
        <w:tc>
          <w:tcPr>
            <w:tcW w:w="898" w:type="dxa"/>
            <w:tcBorders>
              <w:top w:val="single" w:color="auto" w:sz="4" w:space="0"/>
              <w:left w:val="single" w:color="auto" w:sz="4" w:space="0"/>
              <w:bottom w:val="single" w:color="auto" w:sz="4" w:space="0"/>
              <w:right w:val="single" w:color="auto" w:sz="4" w:space="0"/>
            </w:tcBorders>
            <w:vAlign w:val="center"/>
          </w:tcPr>
          <w:p w14:paraId="1959F7E5">
            <w:pPr>
              <w:topLinePunct/>
              <w:spacing w:before="100" w:beforeAutospacing="1" w:after="100" w:afterAutospacing="1" w:line="440" w:lineRule="exact"/>
              <w:jc w:val="center"/>
              <w:rPr>
                <w:rFonts w:ascii="宋体" w:hAnsi="宋体"/>
                <w:highlight w:val="none"/>
              </w:rPr>
            </w:pPr>
            <w:r>
              <w:rPr>
                <w:rFonts w:hint="eastAsia" w:ascii="宋体" w:hAnsi="宋体"/>
                <w:highlight w:val="none"/>
              </w:rPr>
              <w:t>姓名</w:t>
            </w:r>
          </w:p>
        </w:tc>
        <w:tc>
          <w:tcPr>
            <w:tcW w:w="1026" w:type="dxa"/>
            <w:tcBorders>
              <w:top w:val="single" w:color="auto" w:sz="4" w:space="0"/>
              <w:left w:val="single" w:color="auto" w:sz="4" w:space="0"/>
              <w:bottom w:val="single" w:color="auto" w:sz="4" w:space="0"/>
              <w:right w:val="single" w:color="auto" w:sz="4" w:space="0"/>
            </w:tcBorders>
            <w:vAlign w:val="center"/>
          </w:tcPr>
          <w:p w14:paraId="1867FE18">
            <w:pPr>
              <w:topLinePunct/>
              <w:spacing w:line="440" w:lineRule="exact"/>
              <w:jc w:val="center"/>
              <w:rPr>
                <w:rFonts w:ascii="宋体" w:hAnsi="宋体"/>
                <w:highlight w:val="none"/>
              </w:rPr>
            </w:pPr>
          </w:p>
        </w:tc>
        <w:tc>
          <w:tcPr>
            <w:tcW w:w="1287" w:type="dxa"/>
            <w:tcBorders>
              <w:top w:val="single" w:color="auto" w:sz="4" w:space="0"/>
              <w:left w:val="single" w:color="auto" w:sz="4" w:space="0"/>
              <w:bottom w:val="single" w:color="auto" w:sz="4" w:space="0"/>
              <w:right w:val="single" w:color="auto" w:sz="4" w:space="0"/>
            </w:tcBorders>
            <w:vAlign w:val="center"/>
          </w:tcPr>
          <w:p w14:paraId="23253C47">
            <w:pPr>
              <w:topLinePunct/>
              <w:spacing w:before="100" w:beforeAutospacing="1" w:after="100" w:afterAutospacing="1" w:line="440" w:lineRule="exact"/>
              <w:jc w:val="center"/>
              <w:rPr>
                <w:rFonts w:ascii="宋体" w:hAnsi="宋体"/>
                <w:highlight w:val="none"/>
              </w:rPr>
            </w:pPr>
            <w:r>
              <w:rPr>
                <w:rFonts w:hint="eastAsia" w:ascii="宋体" w:hAnsi="宋体"/>
                <w:highlight w:val="none"/>
              </w:rPr>
              <w:t>技术职称</w:t>
            </w:r>
          </w:p>
        </w:tc>
        <w:tc>
          <w:tcPr>
            <w:tcW w:w="1287" w:type="dxa"/>
            <w:gridSpan w:val="2"/>
            <w:tcBorders>
              <w:top w:val="single" w:color="auto" w:sz="4" w:space="0"/>
              <w:left w:val="single" w:color="auto" w:sz="4" w:space="0"/>
              <w:bottom w:val="single" w:color="auto" w:sz="4" w:space="0"/>
              <w:right w:val="single" w:color="auto" w:sz="4" w:space="0"/>
            </w:tcBorders>
            <w:vAlign w:val="center"/>
          </w:tcPr>
          <w:p w14:paraId="7FA33896">
            <w:pPr>
              <w:topLinePunct/>
              <w:spacing w:line="440" w:lineRule="exact"/>
              <w:jc w:val="center"/>
              <w:rPr>
                <w:rFonts w:ascii="宋体" w:hAnsi="宋体"/>
                <w:highlight w:val="none"/>
              </w:rPr>
            </w:pP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1D84B788">
            <w:pPr>
              <w:topLinePunct/>
              <w:spacing w:before="100" w:beforeAutospacing="1" w:after="100" w:afterAutospacing="1" w:line="440" w:lineRule="exact"/>
              <w:jc w:val="center"/>
              <w:rPr>
                <w:rFonts w:ascii="宋体" w:hAnsi="宋体"/>
                <w:highlight w:val="none"/>
              </w:rPr>
            </w:pPr>
            <w:r>
              <w:rPr>
                <w:rFonts w:hint="eastAsia" w:ascii="宋体" w:hAnsi="宋体"/>
                <w:highlight w:val="none"/>
              </w:rPr>
              <w:t>电话</w:t>
            </w:r>
          </w:p>
        </w:tc>
        <w:tc>
          <w:tcPr>
            <w:tcW w:w="1230" w:type="dxa"/>
            <w:tcBorders>
              <w:top w:val="single" w:color="auto" w:sz="4" w:space="0"/>
              <w:left w:val="single" w:color="auto" w:sz="4" w:space="0"/>
              <w:bottom w:val="single" w:color="auto" w:sz="4" w:space="0"/>
            </w:tcBorders>
            <w:vAlign w:val="center"/>
          </w:tcPr>
          <w:p w14:paraId="5DDA68D2">
            <w:pPr>
              <w:topLinePunct/>
              <w:spacing w:line="440" w:lineRule="exact"/>
              <w:jc w:val="center"/>
              <w:rPr>
                <w:rFonts w:ascii="宋体" w:hAnsi="宋体"/>
                <w:highlight w:val="none"/>
              </w:rPr>
            </w:pPr>
          </w:p>
        </w:tc>
      </w:tr>
      <w:tr w14:paraId="376E73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bottom w:val="single" w:color="auto" w:sz="4" w:space="0"/>
              <w:right w:val="single" w:color="auto" w:sz="4" w:space="0"/>
            </w:tcBorders>
            <w:vAlign w:val="center"/>
          </w:tcPr>
          <w:p w14:paraId="31A86135">
            <w:pPr>
              <w:topLinePunct/>
              <w:spacing w:line="440" w:lineRule="exact"/>
              <w:jc w:val="center"/>
              <w:rPr>
                <w:rFonts w:ascii="宋体" w:hAnsi="宋体"/>
                <w:highlight w:val="none"/>
              </w:rPr>
            </w:pPr>
            <w:r>
              <w:rPr>
                <w:rFonts w:hint="eastAsia" w:ascii="宋体" w:hAnsi="宋体"/>
                <w:szCs w:val="21"/>
                <w:highlight w:val="none"/>
              </w:rPr>
              <w:t>技术负责人</w:t>
            </w:r>
          </w:p>
        </w:tc>
        <w:tc>
          <w:tcPr>
            <w:tcW w:w="898" w:type="dxa"/>
            <w:tcBorders>
              <w:top w:val="single" w:color="auto" w:sz="4" w:space="0"/>
              <w:left w:val="single" w:color="auto" w:sz="4" w:space="0"/>
              <w:bottom w:val="single" w:color="auto" w:sz="4" w:space="0"/>
              <w:right w:val="single" w:color="auto" w:sz="4" w:space="0"/>
            </w:tcBorders>
            <w:vAlign w:val="center"/>
          </w:tcPr>
          <w:p w14:paraId="34011AEA">
            <w:pPr>
              <w:topLinePunct/>
              <w:spacing w:before="100" w:beforeAutospacing="1" w:after="100" w:afterAutospacing="1" w:line="440" w:lineRule="exact"/>
              <w:jc w:val="center"/>
              <w:rPr>
                <w:rFonts w:ascii="宋体" w:hAnsi="宋体"/>
                <w:highlight w:val="none"/>
              </w:rPr>
            </w:pPr>
            <w:r>
              <w:rPr>
                <w:rFonts w:hint="eastAsia" w:ascii="宋体" w:hAnsi="宋体"/>
                <w:highlight w:val="none"/>
              </w:rPr>
              <w:t>姓名</w:t>
            </w:r>
          </w:p>
        </w:tc>
        <w:tc>
          <w:tcPr>
            <w:tcW w:w="1026" w:type="dxa"/>
            <w:tcBorders>
              <w:top w:val="single" w:color="auto" w:sz="4" w:space="0"/>
              <w:left w:val="single" w:color="auto" w:sz="4" w:space="0"/>
              <w:bottom w:val="single" w:color="auto" w:sz="4" w:space="0"/>
              <w:right w:val="single" w:color="auto" w:sz="4" w:space="0"/>
            </w:tcBorders>
            <w:vAlign w:val="center"/>
          </w:tcPr>
          <w:p w14:paraId="3C9A7598">
            <w:pPr>
              <w:topLinePunct/>
              <w:spacing w:line="440" w:lineRule="exact"/>
              <w:jc w:val="center"/>
              <w:rPr>
                <w:rFonts w:ascii="宋体" w:hAnsi="宋体"/>
                <w:highlight w:val="none"/>
              </w:rPr>
            </w:pPr>
          </w:p>
        </w:tc>
        <w:tc>
          <w:tcPr>
            <w:tcW w:w="1287" w:type="dxa"/>
            <w:tcBorders>
              <w:top w:val="single" w:color="auto" w:sz="4" w:space="0"/>
              <w:left w:val="single" w:color="auto" w:sz="4" w:space="0"/>
              <w:bottom w:val="single" w:color="auto" w:sz="4" w:space="0"/>
              <w:right w:val="single" w:color="auto" w:sz="4" w:space="0"/>
            </w:tcBorders>
            <w:vAlign w:val="center"/>
          </w:tcPr>
          <w:p w14:paraId="1A753766">
            <w:pPr>
              <w:topLinePunct/>
              <w:spacing w:before="100" w:beforeAutospacing="1" w:after="100" w:afterAutospacing="1" w:line="440" w:lineRule="exact"/>
              <w:jc w:val="center"/>
              <w:rPr>
                <w:rFonts w:ascii="宋体" w:hAnsi="宋体"/>
                <w:highlight w:val="none"/>
              </w:rPr>
            </w:pPr>
            <w:r>
              <w:rPr>
                <w:rFonts w:hint="eastAsia" w:ascii="宋体" w:hAnsi="宋体"/>
                <w:highlight w:val="none"/>
              </w:rPr>
              <w:t>技术职称</w:t>
            </w:r>
          </w:p>
        </w:tc>
        <w:tc>
          <w:tcPr>
            <w:tcW w:w="1287" w:type="dxa"/>
            <w:gridSpan w:val="2"/>
            <w:tcBorders>
              <w:top w:val="single" w:color="auto" w:sz="4" w:space="0"/>
              <w:left w:val="single" w:color="auto" w:sz="4" w:space="0"/>
              <w:bottom w:val="single" w:color="auto" w:sz="4" w:space="0"/>
              <w:right w:val="single" w:color="auto" w:sz="4" w:space="0"/>
            </w:tcBorders>
            <w:vAlign w:val="center"/>
          </w:tcPr>
          <w:p w14:paraId="05B9459C">
            <w:pPr>
              <w:topLinePunct/>
              <w:spacing w:line="440" w:lineRule="exact"/>
              <w:jc w:val="center"/>
              <w:rPr>
                <w:rFonts w:ascii="宋体" w:hAnsi="宋体"/>
                <w:highlight w:val="none"/>
              </w:rPr>
            </w:pP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1CEFF958">
            <w:pPr>
              <w:topLinePunct/>
              <w:spacing w:before="100" w:beforeAutospacing="1" w:after="100" w:afterAutospacing="1" w:line="440" w:lineRule="exact"/>
              <w:jc w:val="center"/>
              <w:rPr>
                <w:rFonts w:ascii="宋体" w:hAnsi="宋体"/>
                <w:highlight w:val="none"/>
              </w:rPr>
            </w:pPr>
            <w:r>
              <w:rPr>
                <w:rFonts w:hint="eastAsia" w:ascii="宋体" w:hAnsi="宋体"/>
                <w:highlight w:val="none"/>
              </w:rPr>
              <w:t>电话</w:t>
            </w:r>
          </w:p>
        </w:tc>
        <w:tc>
          <w:tcPr>
            <w:tcW w:w="1230" w:type="dxa"/>
            <w:tcBorders>
              <w:top w:val="single" w:color="auto" w:sz="4" w:space="0"/>
              <w:left w:val="single" w:color="auto" w:sz="4" w:space="0"/>
              <w:bottom w:val="single" w:color="auto" w:sz="4" w:space="0"/>
            </w:tcBorders>
            <w:vAlign w:val="center"/>
          </w:tcPr>
          <w:p w14:paraId="2731930E">
            <w:pPr>
              <w:topLinePunct/>
              <w:spacing w:line="440" w:lineRule="exact"/>
              <w:jc w:val="center"/>
              <w:rPr>
                <w:rFonts w:ascii="宋体" w:hAnsi="宋体"/>
                <w:highlight w:val="none"/>
              </w:rPr>
            </w:pPr>
          </w:p>
        </w:tc>
      </w:tr>
      <w:tr w14:paraId="3D8211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bottom w:val="single" w:color="auto" w:sz="4" w:space="0"/>
              <w:right w:val="single" w:color="auto" w:sz="4" w:space="0"/>
            </w:tcBorders>
            <w:vAlign w:val="center"/>
          </w:tcPr>
          <w:p w14:paraId="2D99B2B1">
            <w:pPr>
              <w:topLinePunct/>
              <w:spacing w:before="100" w:beforeAutospacing="1" w:after="100" w:afterAutospacing="1" w:line="440" w:lineRule="exact"/>
              <w:jc w:val="center"/>
              <w:rPr>
                <w:rFonts w:ascii="宋体" w:hAnsi="宋体"/>
                <w:highlight w:val="none"/>
              </w:rPr>
            </w:pPr>
            <w:r>
              <w:rPr>
                <w:rFonts w:hint="eastAsia" w:ascii="宋体" w:hAnsi="宋体"/>
                <w:highlight w:val="none"/>
              </w:rPr>
              <w:t>企业资质证书</w:t>
            </w:r>
          </w:p>
        </w:tc>
        <w:tc>
          <w:tcPr>
            <w:tcW w:w="6840" w:type="dxa"/>
            <w:gridSpan w:val="8"/>
            <w:tcBorders>
              <w:top w:val="single" w:color="auto" w:sz="4" w:space="0"/>
              <w:left w:val="single" w:color="auto" w:sz="4" w:space="0"/>
              <w:bottom w:val="single" w:color="auto" w:sz="4" w:space="0"/>
            </w:tcBorders>
            <w:vAlign w:val="center"/>
          </w:tcPr>
          <w:p w14:paraId="75D115C9">
            <w:pPr>
              <w:topLinePunct/>
              <w:spacing w:before="100" w:beforeAutospacing="1" w:after="100" w:afterAutospacing="1" w:line="440" w:lineRule="exact"/>
              <w:ind w:firstLine="105" w:firstLineChars="50"/>
              <w:jc w:val="center"/>
              <w:rPr>
                <w:rFonts w:ascii="宋体" w:hAnsi="宋体"/>
                <w:highlight w:val="none"/>
              </w:rPr>
            </w:pPr>
            <w:r>
              <w:rPr>
                <w:rFonts w:hint="eastAsia" w:ascii="宋体" w:hAnsi="宋体"/>
                <w:highlight w:val="none"/>
              </w:rPr>
              <w:t>类型：等级：证书号：</w:t>
            </w:r>
          </w:p>
        </w:tc>
      </w:tr>
      <w:tr w14:paraId="2E80A7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bottom w:val="single" w:color="auto" w:sz="4" w:space="0"/>
              <w:right w:val="single" w:color="auto" w:sz="4" w:space="0"/>
            </w:tcBorders>
            <w:vAlign w:val="center"/>
          </w:tcPr>
          <w:p w14:paraId="357A076A">
            <w:pPr>
              <w:topLinePunct/>
              <w:spacing w:before="100" w:beforeAutospacing="1" w:after="100" w:afterAutospacing="1" w:line="440" w:lineRule="exact"/>
              <w:jc w:val="center"/>
              <w:rPr>
                <w:rFonts w:ascii="宋体" w:hAnsi="宋体"/>
                <w:highlight w:val="none"/>
              </w:rPr>
            </w:pPr>
            <w:r>
              <w:rPr>
                <w:rFonts w:hint="eastAsia" w:ascii="宋体" w:hAnsi="宋体"/>
                <w:highlight w:val="none"/>
              </w:rPr>
              <w:t>质量管理体系证书（如有）</w:t>
            </w:r>
          </w:p>
        </w:tc>
        <w:tc>
          <w:tcPr>
            <w:tcW w:w="6840" w:type="dxa"/>
            <w:gridSpan w:val="8"/>
            <w:tcBorders>
              <w:top w:val="single" w:color="auto" w:sz="4" w:space="0"/>
              <w:left w:val="single" w:color="auto" w:sz="4" w:space="0"/>
              <w:bottom w:val="single" w:color="auto" w:sz="4" w:space="0"/>
            </w:tcBorders>
            <w:vAlign w:val="center"/>
          </w:tcPr>
          <w:p w14:paraId="744F739E">
            <w:pPr>
              <w:topLinePunct/>
              <w:spacing w:before="100" w:beforeAutospacing="1" w:after="100" w:afterAutospacing="1" w:line="440" w:lineRule="exact"/>
              <w:ind w:firstLine="105" w:firstLineChars="50"/>
              <w:jc w:val="center"/>
              <w:rPr>
                <w:rFonts w:ascii="宋体" w:hAnsi="宋体"/>
                <w:highlight w:val="none"/>
              </w:rPr>
            </w:pPr>
            <w:r>
              <w:rPr>
                <w:rFonts w:hint="eastAsia" w:ascii="宋体" w:hAnsi="宋体"/>
                <w:highlight w:val="none"/>
              </w:rPr>
              <w:t>类型：等级：证书号：</w:t>
            </w:r>
          </w:p>
        </w:tc>
      </w:tr>
      <w:tr w14:paraId="16C777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bottom w:val="single" w:color="auto" w:sz="4" w:space="0"/>
              <w:right w:val="single" w:color="auto" w:sz="4" w:space="0"/>
            </w:tcBorders>
            <w:vAlign w:val="center"/>
          </w:tcPr>
          <w:p w14:paraId="5677BAC5">
            <w:pPr>
              <w:topLinePunct/>
              <w:spacing w:before="100" w:beforeAutospacing="1" w:after="100" w:afterAutospacing="1" w:line="440" w:lineRule="exact"/>
              <w:jc w:val="center"/>
              <w:rPr>
                <w:rFonts w:ascii="宋体" w:hAnsi="宋体"/>
                <w:highlight w:val="none"/>
              </w:rPr>
            </w:pPr>
            <w:r>
              <w:rPr>
                <w:rFonts w:hint="eastAsia" w:ascii="宋体" w:hAnsi="宋体"/>
                <w:highlight w:val="none"/>
              </w:rPr>
              <w:t>营业执照号</w:t>
            </w:r>
          </w:p>
        </w:tc>
        <w:tc>
          <w:tcPr>
            <w:tcW w:w="3211" w:type="dxa"/>
            <w:gridSpan w:val="3"/>
            <w:tcBorders>
              <w:top w:val="single" w:color="auto" w:sz="4" w:space="0"/>
              <w:left w:val="single" w:color="auto" w:sz="4" w:space="0"/>
              <w:bottom w:val="single" w:color="auto" w:sz="4" w:space="0"/>
              <w:right w:val="single" w:color="auto" w:sz="4" w:space="0"/>
            </w:tcBorders>
            <w:vAlign w:val="center"/>
          </w:tcPr>
          <w:p w14:paraId="651BF658">
            <w:pPr>
              <w:topLinePunct/>
              <w:spacing w:line="440" w:lineRule="exact"/>
              <w:jc w:val="center"/>
              <w:rPr>
                <w:rFonts w:ascii="宋体" w:hAnsi="宋体"/>
                <w:highlight w:val="none"/>
              </w:rPr>
            </w:pPr>
          </w:p>
        </w:tc>
        <w:tc>
          <w:tcPr>
            <w:tcW w:w="3629" w:type="dxa"/>
            <w:gridSpan w:val="5"/>
            <w:tcBorders>
              <w:top w:val="single" w:color="auto" w:sz="4" w:space="0"/>
              <w:left w:val="single" w:color="auto" w:sz="4" w:space="0"/>
              <w:bottom w:val="single" w:color="auto" w:sz="4" w:space="0"/>
            </w:tcBorders>
            <w:vAlign w:val="center"/>
          </w:tcPr>
          <w:p w14:paraId="68B55096">
            <w:pPr>
              <w:topLinePunct/>
              <w:spacing w:before="100" w:beforeAutospacing="1" w:after="100" w:afterAutospacing="1" w:line="440" w:lineRule="exact"/>
              <w:jc w:val="center"/>
              <w:rPr>
                <w:rFonts w:ascii="宋体" w:hAnsi="宋体"/>
                <w:highlight w:val="none"/>
              </w:rPr>
            </w:pPr>
            <w:r>
              <w:rPr>
                <w:rFonts w:hint="eastAsia" w:ascii="宋体" w:hAnsi="宋体"/>
                <w:highlight w:val="none"/>
              </w:rPr>
              <w:t>员工总人数：</w:t>
            </w:r>
          </w:p>
        </w:tc>
      </w:tr>
      <w:tr w14:paraId="6FB233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bottom w:val="single" w:color="auto" w:sz="4" w:space="0"/>
              <w:right w:val="single" w:color="auto" w:sz="4" w:space="0"/>
            </w:tcBorders>
            <w:vAlign w:val="center"/>
          </w:tcPr>
          <w:p w14:paraId="72019975">
            <w:pPr>
              <w:topLinePunct/>
              <w:spacing w:before="100" w:beforeAutospacing="1" w:after="100" w:afterAutospacing="1" w:line="440" w:lineRule="exact"/>
              <w:jc w:val="center"/>
              <w:rPr>
                <w:rFonts w:ascii="宋体" w:hAnsi="宋体"/>
                <w:highlight w:val="none"/>
              </w:rPr>
            </w:pPr>
            <w:r>
              <w:rPr>
                <w:rFonts w:hint="eastAsia" w:ascii="宋体" w:hAnsi="宋体"/>
                <w:highlight w:val="none"/>
              </w:rPr>
              <w:t>注册资本</w:t>
            </w:r>
          </w:p>
        </w:tc>
        <w:tc>
          <w:tcPr>
            <w:tcW w:w="3211" w:type="dxa"/>
            <w:gridSpan w:val="3"/>
            <w:tcBorders>
              <w:top w:val="single" w:color="auto" w:sz="4" w:space="0"/>
              <w:left w:val="single" w:color="auto" w:sz="4" w:space="0"/>
              <w:bottom w:val="single" w:color="auto" w:sz="4" w:space="0"/>
              <w:right w:val="single" w:color="auto" w:sz="4" w:space="0"/>
            </w:tcBorders>
            <w:vAlign w:val="center"/>
          </w:tcPr>
          <w:p w14:paraId="0390C3F9">
            <w:pPr>
              <w:topLinePunct/>
              <w:spacing w:line="440" w:lineRule="exact"/>
              <w:jc w:val="center"/>
              <w:rPr>
                <w:rFonts w:ascii="宋体" w:hAnsi="宋体"/>
                <w:highlight w:val="none"/>
              </w:rPr>
            </w:pPr>
          </w:p>
        </w:tc>
        <w:tc>
          <w:tcPr>
            <w:tcW w:w="414" w:type="dxa"/>
            <w:vMerge w:val="restart"/>
            <w:tcBorders>
              <w:top w:val="single" w:color="auto" w:sz="4" w:space="0"/>
              <w:left w:val="single" w:color="auto" w:sz="4" w:space="0"/>
              <w:right w:val="single" w:color="auto" w:sz="4" w:space="0"/>
            </w:tcBorders>
            <w:vAlign w:val="center"/>
          </w:tcPr>
          <w:p w14:paraId="6BA0F925">
            <w:pPr>
              <w:topLinePunct/>
              <w:spacing w:before="100" w:beforeAutospacing="1" w:after="100" w:afterAutospacing="1" w:line="440" w:lineRule="exact"/>
              <w:jc w:val="center"/>
              <w:rPr>
                <w:rFonts w:ascii="宋体" w:hAnsi="宋体"/>
                <w:highlight w:val="none"/>
              </w:rPr>
            </w:pPr>
            <w:r>
              <w:rPr>
                <w:rFonts w:hint="eastAsia" w:ascii="宋体" w:hAnsi="宋体"/>
                <w:highlight w:val="none"/>
              </w:rPr>
              <w:t>其中</w:t>
            </w:r>
          </w:p>
        </w:tc>
        <w:tc>
          <w:tcPr>
            <w:tcW w:w="1701" w:type="dxa"/>
            <w:gridSpan w:val="2"/>
            <w:tcBorders>
              <w:top w:val="single" w:color="auto" w:sz="4" w:space="0"/>
              <w:left w:val="single" w:color="auto" w:sz="4" w:space="0"/>
              <w:bottom w:val="single" w:color="auto" w:sz="4" w:space="0"/>
              <w:right w:val="single" w:color="auto" w:sz="4" w:space="0"/>
            </w:tcBorders>
            <w:vAlign w:val="center"/>
          </w:tcPr>
          <w:p w14:paraId="0FD46C7E">
            <w:pPr>
              <w:topLinePunct/>
              <w:spacing w:before="100" w:beforeAutospacing="1" w:after="100" w:afterAutospacing="1" w:line="440" w:lineRule="exact"/>
              <w:jc w:val="center"/>
              <w:rPr>
                <w:rFonts w:ascii="宋体" w:hAnsi="宋体"/>
                <w:highlight w:val="none"/>
              </w:rPr>
            </w:pPr>
            <w:r>
              <w:rPr>
                <w:rFonts w:hint="eastAsia" w:ascii="宋体" w:hAnsi="宋体"/>
                <w:highlight w:val="none"/>
              </w:rPr>
              <w:t>高级职称人员</w:t>
            </w:r>
          </w:p>
        </w:tc>
        <w:tc>
          <w:tcPr>
            <w:tcW w:w="1514" w:type="dxa"/>
            <w:gridSpan w:val="2"/>
            <w:tcBorders>
              <w:top w:val="single" w:color="auto" w:sz="4" w:space="0"/>
              <w:left w:val="single" w:color="auto" w:sz="4" w:space="0"/>
              <w:bottom w:val="single" w:color="auto" w:sz="4" w:space="0"/>
            </w:tcBorders>
            <w:vAlign w:val="center"/>
          </w:tcPr>
          <w:p w14:paraId="3888CD83">
            <w:pPr>
              <w:topLinePunct/>
              <w:spacing w:line="440" w:lineRule="exact"/>
              <w:jc w:val="center"/>
              <w:rPr>
                <w:rFonts w:ascii="宋体" w:hAnsi="宋体"/>
                <w:highlight w:val="none"/>
              </w:rPr>
            </w:pPr>
          </w:p>
        </w:tc>
      </w:tr>
      <w:tr w14:paraId="63974D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bottom w:val="single" w:color="auto" w:sz="4" w:space="0"/>
              <w:right w:val="single" w:color="auto" w:sz="4" w:space="0"/>
            </w:tcBorders>
            <w:vAlign w:val="center"/>
          </w:tcPr>
          <w:p w14:paraId="3B9F455C">
            <w:pPr>
              <w:topLinePunct/>
              <w:spacing w:before="100" w:beforeAutospacing="1" w:after="100" w:afterAutospacing="1" w:line="440" w:lineRule="exact"/>
              <w:jc w:val="center"/>
              <w:rPr>
                <w:rFonts w:ascii="宋体" w:hAnsi="宋体"/>
                <w:highlight w:val="none"/>
              </w:rPr>
            </w:pPr>
            <w:r>
              <w:rPr>
                <w:rFonts w:hint="eastAsia" w:ascii="宋体" w:hAnsi="宋体"/>
                <w:highlight w:val="none"/>
              </w:rPr>
              <w:t>成立日期</w:t>
            </w:r>
          </w:p>
        </w:tc>
        <w:tc>
          <w:tcPr>
            <w:tcW w:w="3211" w:type="dxa"/>
            <w:gridSpan w:val="3"/>
            <w:tcBorders>
              <w:top w:val="single" w:color="auto" w:sz="4" w:space="0"/>
              <w:left w:val="single" w:color="auto" w:sz="4" w:space="0"/>
              <w:bottom w:val="single" w:color="auto" w:sz="4" w:space="0"/>
              <w:right w:val="single" w:color="auto" w:sz="4" w:space="0"/>
            </w:tcBorders>
            <w:vAlign w:val="center"/>
          </w:tcPr>
          <w:p w14:paraId="668203F0">
            <w:pPr>
              <w:topLinePunct/>
              <w:spacing w:line="440" w:lineRule="exact"/>
              <w:jc w:val="center"/>
              <w:rPr>
                <w:rFonts w:ascii="宋体" w:hAnsi="宋体"/>
                <w:highlight w:val="none"/>
              </w:rPr>
            </w:pPr>
          </w:p>
        </w:tc>
        <w:tc>
          <w:tcPr>
            <w:tcW w:w="414" w:type="dxa"/>
            <w:vMerge w:val="continue"/>
            <w:tcBorders>
              <w:left w:val="single" w:color="auto" w:sz="4" w:space="0"/>
              <w:right w:val="single" w:color="auto" w:sz="4" w:space="0"/>
            </w:tcBorders>
            <w:vAlign w:val="center"/>
          </w:tcPr>
          <w:p w14:paraId="4149885B">
            <w:pPr>
              <w:jc w:val="center"/>
              <w:rPr>
                <w:rFonts w:ascii="宋体" w:hAnsi="宋体"/>
                <w:highlight w:val="none"/>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14:paraId="142DF656">
            <w:pPr>
              <w:topLinePunct/>
              <w:spacing w:before="100" w:beforeAutospacing="1" w:after="100" w:afterAutospacing="1" w:line="440" w:lineRule="exact"/>
              <w:jc w:val="center"/>
              <w:rPr>
                <w:rFonts w:ascii="宋体" w:hAnsi="宋体"/>
                <w:highlight w:val="none"/>
              </w:rPr>
            </w:pPr>
            <w:r>
              <w:rPr>
                <w:rFonts w:hint="eastAsia" w:ascii="宋体" w:hAnsi="宋体"/>
                <w:highlight w:val="none"/>
              </w:rPr>
              <w:t>中级职称人员</w:t>
            </w:r>
          </w:p>
        </w:tc>
        <w:tc>
          <w:tcPr>
            <w:tcW w:w="1514" w:type="dxa"/>
            <w:gridSpan w:val="2"/>
            <w:tcBorders>
              <w:top w:val="single" w:color="auto" w:sz="4" w:space="0"/>
              <w:left w:val="single" w:color="auto" w:sz="4" w:space="0"/>
              <w:bottom w:val="single" w:color="auto" w:sz="4" w:space="0"/>
            </w:tcBorders>
            <w:vAlign w:val="center"/>
          </w:tcPr>
          <w:p w14:paraId="73A57822">
            <w:pPr>
              <w:topLinePunct/>
              <w:spacing w:line="440" w:lineRule="exact"/>
              <w:jc w:val="center"/>
              <w:rPr>
                <w:rFonts w:ascii="宋体" w:hAnsi="宋体"/>
                <w:highlight w:val="none"/>
              </w:rPr>
            </w:pPr>
          </w:p>
        </w:tc>
      </w:tr>
      <w:tr w14:paraId="178F1B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bottom w:val="single" w:color="auto" w:sz="4" w:space="0"/>
              <w:right w:val="single" w:color="auto" w:sz="4" w:space="0"/>
            </w:tcBorders>
            <w:vAlign w:val="center"/>
          </w:tcPr>
          <w:p w14:paraId="5A829F43">
            <w:pPr>
              <w:topLinePunct/>
              <w:spacing w:before="100" w:beforeAutospacing="1" w:after="100" w:afterAutospacing="1" w:line="440" w:lineRule="exact"/>
              <w:jc w:val="center"/>
              <w:rPr>
                <w:rFonts w:ascii="宋体" w:hAnsi="宋体"/>
                <w:highlight w:val="none"/>
              </w:rPr>
            </w:pPr>
            <w:r>
              <w:rPr>
                <w:rFonts w:hint="eastAsia" w:ascii="宋体" w:hAnsi="宋体"/>
                <w:highlight w:val="none"/>
              </w:rPr>
              <w:t>基本账户开户银行</w:t>
            </w:r>
          </w:p>
        </w:tc>
        <w:tc>
          <w:tcPr>
            <w:tcW w:w="3211" w:type="dxa"/>
            <w:gridSpan w:val="3"/>
            <w:tcBorders>
              <w:top w:val="single" w:color="auto" w:sz="4" w:space="0"/>
              <w:left w:val="single" w:color="auto" w:sz="4" w:space="0"/>
              <w:bottom w:val="single" w:color="auto" w:sz="4" w:space="0"/>
              <w:right w:val="single" w:color="auto" w:sz="4" w:space="0"/>
            </w:tcBorders>
            <w:vAlign w:val="center"/>
          </w:tcPr>
          <w:p w14:paraId="1289A37B">
            <w:pPr>
              <w:topLinePunct/>
              <w:spacing w:line="440" w:lineRule="exact"/>
              <w:jc w:val="center"/>
              <w:rPr>
                <w:rFonts w:ascii="宋体" w:hAnsi="宋体"/>
                <w:highlight w:val="none"/>
              </w:rPr>
            </w:pPr>
          </w:p>
        </w:tc>
        <w:tc>
          <w:tcPr>
            <w:tcW w:w="414" w:type="dxa"/>
            <w:vMerge w:val="continue"/>
            <w:tcBorders>
              <w:left w:val="single" w:color="auto" w:sz="4" w:space="0"/>
              <w:right w:val="single" w:color="auto" w:sz="4" w:space="0"/>
            </w:tcBorders>
            <w:vAlign w:val="center"/>
          </w:tcPr>
          <w:p w14:paraId="176A86A6">
            <w:pPr>
              <w:jc w:val="center"/>
              <w:rPr>
                <w:rFonts w:ascii="宋体" w:hAnsi="宋体"/>
                <w:highlight w:val="none"/>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14:paraId="14543FBA">
            <w:pPr>
              <w:topLinePunct/>
              <w:spacing w:before="100" w:beforeAutospacing="1" w:after="100" w:afterAutospacing="1" w:line="440" w:lineRule="exact"/>
              <w:jc w:val="center"/>
              <w:rPr>
                <w:rFonts w:ascii="宋体" w:hAnsi="宋体"/>
                <w:highlight w:val="none"/>
              </w:rPr>
            </w:pPr>
            <w:r>
              <w:rPr>
                <w:rFonts w:hint="eastAsia" w:ascii="宋体" w:hAnsi="宋体"/>
                <w:highlight w:val="none"/>
              </w:rPr>
              <w:t>技术人员数量</w:t>
            </w:r>
          </w:p>
        </w:tc>
        <w:tc>
          <w:tcPr>
            <w:tcW w:w="1514" w:type="dxa"/>
            <w:gridSpan w:val="2"/>
            <w:tcBorders>
              <w:top w:val="single" w:color="auto" w:sz="4" w:space="0"/>
              <w:left w:val="single" w:color="auto" w:sz="4" w:space="0"/>
              <w:bottom w:val="single" w:color="auto" w:sz="4" w:space="0"/>
            </w:tcBorders>
            <w:vAlign w:val="center"/>
          </w:tcPr>
          <w:p w14:paraId="741BA99A">
            <w:pPr>
              <w:topLinePunct/>
              <w:spacing w:line="440" w:lineRule="exact"/>
              <w:jc w:val="center"/>
              <w:rPr>
                <w:rFonts w:ascii="宋体" w:hAnsi="宋体"/>
                <w:highlight w:val="none"/>
              </w:rPr>
            </w:pPr>
          </w:p>
        </w:tc>
      </w:tr>
      <w:tr w14:paraId="6204B2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bottom w:val="single" w:color="auto" w:sz="4" w:space="0"/>
              <w:right w:val="single" w:color="auto" w:sz="4" w:space="0"/>
            </w:tcBorders>
            <w:vAlign w:val="center"/>
          </w:tcPr>
          <w:p w14:paraId="7C3C67B1">
            <w:pPr>
              <w:topLinePunct/>
              <w:spacing w:before="100" w:beforeAutospacing="1" w:after="100" w:afterAutospacing="1" w:line="440" w:lineRule="exact"/>
              <w:jc w:val="center"/>
              <w:rPr>
                <w:rFonts w:ascii="宋体" w:hAnsi="宋体"/>
                <w:highlight w:val="none"/>
              </w:rPr>
            </w:pPr>
            <w:r>
              <w:rPr>
                <w:rFonts w:hint="eastAsia" w:ascii="宋体" w:hAnsi="宋体"/>
                <w:highlight w:val="none"/>
              </w:rPr>
              <w:t>基本账户银行账号</w:t>
            </w:r>
          </w:p>
        </w:tc>
        <w:tc>
          <w:tcPr>
            <w:tcW w:w="3211" w:type="dxa"/>
            <w:gridSpan w:val="3"/>
            <w:tcBorders>
              <w:top w:val="single" w:color="auto" w:sz="4" w:space="0"/>
              <w:left w:val="single" w:color="auto" w:sz="4" w:space="0"/>
              <w:bottom w:val="single" w:color="auto" w:sz="4" w:space="0"/>
              <w:right w:val="single" w:color="auto" w:sz="4" w:space="0"/>
            </w:tcBorders>
            <w:vAlign w:val="center"/>
          </w:tcPr>
          <w:p w14:paraId="520252BC">
            <w:pPr>
              <w:topLinePunct/>
              <w:spacing w:line="440" w:lineRule="exact"/>
              <w:jc w:val="center"/>
              <w:rPr>
                <w:rFonts w:ascii="宋体" w:hAnsi="宋体"/>
                <w:highlight w:val="none"/>
              </w:rPr>
            </w:pPr>
          </w:p>
        </w:tc>
        <w:tc>
          <w:tcPr>
            <w:tcW w:w="414" w:type="dxa"/>
            <w:vMerge w:val="continue"/>
            <w:tcBorders>
              <w:left w:val="single" w:color="auto" w:sz="4" w:space="0"/>
              <w:right w:val="single" w:color="auto" w:sz="4" w:space="0"/>
            </w:tcBorders>
            <w:vAlign w:val="center"/>
          </w:tcPr>
          <w:p w14:paraId="1BF099AC">
            <w:pPr>
              <w:jc w:val="center"/>
              <w:rPr>
                <w:rFonts w:ascii="宋体" w:hAnsi="宋体"/>
                <w:highlight w:val="none"/>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14:paraId="167847A9">
            <w:pPr>
              <w:topLinePunct/>
              <w:spacing w:before="100" w:beforeAutospacing="1" w:after="100" w:afterAutospacing="1" w:line="440" w:lineRule="exact"/>
              <w:jc w:val="center"/>
              <w:rPr>
                <w:rFonts w:ascii="宋体" w:hAnsi="宋体"/>
                <w:highlight w:val="none"/>
              </w:rPr>
            </w:pPr>
            <w:r>
              <w:rPr>
                <w:rFonts w:hint="eastAsia" w:ascii="宋体" w:hAnsi="宋体"/>
                <w:szCs w:val="21"/>
                <w:highlight w:val="none"/>
              </w:rPr>
              <w:t>各类注册人员</w:t>
            </w:r>
          </w:p>
        </w:tc>
        <w:tc>
          <w:tcPr>
            <w:tcW w:w="1514" w:type="dxa"/>
            <w:gridSpan w:val="2"/>
            <w:tcBorders>
              <w:top w:val="single" w:color="auto" w:sz="4" w:space="0"/>
              <w:left w:val="single" w:color="auto" w:sz="4" w:space="0"/>
              <w:bottom w:val="single" w:color="auto" w:sz="4" w:space="0"/>
            </w:tcBorders>
            <w:vAlign w:val="center"/>
          </w:tcPr>
          <w:p w14:paraId="01726E8E">
            <w:pPr>
              <w:topLinePunct/>
              <w:spacing w:line="440" w:lineRule="exact"/>
              <w:jc w:val="center"/>
              <w:rPr>
                <w:rFonts w:ascii="宋体" w:hAnsi="宋体"/>
                <w:highlight w:val="none"/>
              </w:rPr>
            </w:pPr>
          </w:p>
        </w:tc>
      </w:tr>
      <w:tr w14:paraId="6ADFE6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right w:val="single" w:color="auto" w:sz="4" w:space="0"/>
            </w:tcBorders>
            <w:vAlign w:val="center"/>
          </w:tcPr>
          <w:p w14:paraId="736E4DF4">
            <w:pPr>
              <w:topLinePunct/>
              <w:spacing w:before="100" w:beforeAutospacing="1" w:after="100" w:afterAutospacing="1" w:line="440" w:lineRule="exact"/>
              <w:ind w:firstLine="210" w:firstLineChars="100"/>
              <w:jc w:val="center"/>
              <w:rPr>
                <w:rFonts w:ascii="宋体" w:hAnsi="宋体"/>
                <w:highlight w:val="none"/>
              </w:rPr>
            </w:pPr>
            <w:r>
              <w:rPr>
                <w:rFonts w:hint="eastAsia" w:ascii="宋体" w:hAnsi="宋体"/>
                <w:highlight w:val="none"/>
              </w:rPr>
              <w:t>经营范围</w:t>
            </w:r>
          </w:p>
        </w:tc>
        <w:tc>
          <w:tcPr>
            <w:tcW w:w="6840" w:type="dxa"/>
            <w:gridSpan w:val="8"/>
            <w:tcBorders>
              <w:top w:val="single" w:color="auto" w:sz="4" w:space="0"/>
              <w:left w:val="single" w:color="auto" w:sz="4" w:space="0"/>
            </w:tcBorders>
            <w:vAlign w:val="center"/>
          </w:tcPr>
          <w:p w14:paraId="3A0E464E">
            <w:pPr>
              <w:topLinePunct/>
              <w:spacing w:line="440" w:lineRule="exact"/>
              <w:jc w:val="center"/>
              <w:rPr>
                <w:rFonts w:ascii="宋体" w:hAnsi="宋体"/>
                <w:highlight w:val="none"/>
              </w:rPr>
            </w:pPr>
          </w:p>
        </w:tc>
      </w:tr>
      <w:tr w14:paraId="13D141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right w:val="single" w:color="auto" w:sz="4" w:space="0"/>
            </w:tcBorders>
            <w:vAlign w:val="center"/>
          </w:tcPr>
          <w:p w14:paraId="5918654C">
            <w:pPr>
              <w:topLinePunct/>
              <w:spacing w:before="100" w:beforeAutospacing="1" w:after="100" w:afterAutospacing="1" w:line="440" w:lineRule="exact"/>
              <w:jc w:val="center"/>
              <w:rPr>
                <w:rFonts w:ascii="宋体" w:hAnsi="宋体"/>
                <w:highlight w:val="none"/>
              </w:rPr>
            </w:pPr>
            <w:r>
              <w:rPr>
                <w:rFonts w:hint="eastAsia" w:ascii="宋体" w:hAnsi="宋体"/>
                <w:szCs w:val="21"/>
                <w:highlight w:val="none"/>
              </w:rPr>
              <w:t>投标人关联企业情况（包括但不限于与投标人法定代表人为同一人或者存在控股、管理关系的不同单位）</w:t>
            </w:r>
          </w:p>
        </w:tc>
        <w:tc>
          <w:tcPr>
            <w:tcW w:w="6840" w:type="dxa"/>
            <w:gridSpan w:val="8"/>
            <w:tcBorders>
              <w:top w:val="single" w:color="auto" w:sz="4" w:space="0"/>
              <w:left w:val="single" w:color="auto" w:sz="4" w:space="0"/>
            </w:tcBorders>
            <w:vAlign w:val="center"/>
          </w:tcPr>
          <w:p w14:paraId="3B430C47">
            <w:pPr>
              <w:topLinePunct/>
              <w:spacing w:line="440" w:lineRule="exact"/>
              <w:jc w:val="center"/>
              <w:rPr>
                <w:rFonts w:ascii="宋体" w:hAnsi="宋体"/>
                <w:highlight w:val="none"/>
              </w:rPr>
            </w:pPr>
          </w:p>
        </w:tc>
      </w:tr>
      <w:tr w14:paraId="2D39EF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2046" w:type="dxa"/>
            <w:tcBorders>
              <w:top w:val="single" w:color="auto" w:sz="4" w:space="0"/>
              <w:bottom w:val="single" w:color="auto" w:sz="4" w:space="0"/>
              <w:right w:val="single" w:color="auto" w:sz="4" w:space="0"/>
            </w:tcBorders>
            <w:vAlign w:val="center"/>
          </w:tcPr>
          <w:p w14:paraId="2D139C4A">
            <w:pPr>
              <w:topLinePunct/>
              <w:spacing w:before="100" w:beforeAutospacing="1" w:after="100" w:afterAutospacing="1" w:line="440" w:lineRule="exact"/>
              <w:jc w:val="center"/>
              <w:rPr>
                <w:rFonts w:ascii="宋体" w:hAnsi="宋体"/>
                <w:highlight w:val="none"/>
              </w:rPr>
            </w:pPr>
            <w:r>
              <w:rPr>
                <w:rFonts w:hint="eastAsia" w:ascii="宋体" w:hAnsi="宋体"/>
                <w:highlight w:val="none"/>
              </w:rPr>
              <w:t>备注</w:t>
            </w:r>
          </w:p>
        </w:tc>
        <w:tc>
          <w:tcPr>
            <w:tcW w:w="6840" w:type="dxa"/>
            <w:gridSpan w:val="8"/>
            <w:tcBorders>
              <w:top w:val="single" w:color="auto" w:sz="4" w:space="0"/>
              <w:left w:val="single" w:color="auto" w:sz="4" w:space="0"/>
              <w:bottom w:val="single" w:color="auto" w:sz="4" w:space="0"/>
            </w:tcBorders>
            <w:vAlign w:val="center"/>
          </w:tcPr>
          <w:p w14:paraId="0968F211">
            <w:pPr>
              <w:topLinePunct/>
              <w:spacing w:line="440" w:lineRule="exact"/>
              <w:jc w:val="center"/>
              <w:rPr>
                <w:rFonts w:ascii="宋体" w:hAnsi="宋体"/>
                <w:highlight w:val="none"/>
              </w:rPr>
            </w:pPr>
          </w:p>
        </w:tc>
      </w:tr>
    </w:tbl>
    <w:p w14:paraId="5BFC3FF4">
      <w:pPr>
        <w:snapToGrid w:val="0"/>
        <w:rPr>
          <w:rFonts w:ascii="宋体" w:hAnsi="宋体"/>
          <w:spacing w:val="-5"/>
          <w:szCs w:val="21"/>
          <w:highlight w:val="none"/>
        </w:rPr>
      </w:pPr>
    </w:p>
    <w:p w14:paraId="1E7E6A4D">
      <w:pPr>
        <w:snapToGrid w:val="0"/>
        <w:rPr>
          <w:rFonts w:ascii="宋体" w:hAnsi="宋体"/>
          <w:spacing w:val="-5"/>
          <w:szCs w:val="21"/>
          <w:highlight w:val="none"/>
        </w:rPr>
      </w:pPr>
      <w:r>
        <w:rPr>
          <w:rFonts w:hint="eastAsia" w:ascii="宋体" w:hAnsi="宋体"/>
          <w:spacing w:val="-5"/>
          <w:szCs w:val="21"/>
          <w:highlight w:val="none"/>
        </w:rPr>
        <w:t>注：</w:t>
      </w:r>
      <w:r>
        <w:rPr>
          <w:rFonts w:ascii="宋体" w:hAnsi="宋体"/>
          <w:spacing w:val="-5"/>
          <w:szCs w:val="21"/>
          <w:highlight w:val="none"/>
        </w:rPr>
        <w:t>1.</w:t>
      </w:r>
      <w:r>
        <w:rPr>
          <w:rFonts w:hint="eastAsia" w:ascii="宋体" w:hAnsi="宋体"/>
          <w:spacing w:val="-5"/>
          <w:szCs w:val="21"/>
          <w:highlight w:val="none"/>
        </w:rPr>
        <w:t>联系人栏应填写两个人的联系方式以便于联系。</w:t>
      </w:r>
    </w:p>
    <w:p w14:paraId="5A48A075">
      <w:pPr>
        <w:snapToGrid w:val="0"/>
        <w:rPr>
          <w:rFonts w:ascii="宋体" w:hAnsi="宋体"/>
          <w:position w:val="-30"/>
          <w:sz w:val="22"/>
          <w:highlight w:val="none"/>
        </w:rPr>
      </w:pPr>
      <w:r>
        <w:rPr>
          <w:rFonts w:ascii="宋体" w:hAnsi="宋体"/>
          <w:position w:val="-30"/>
          <w:szCs w:val="21"/>
          <w:highlight w:val="none"/>
        </w:rPr>
        <w:t>2</w:t>
      </w:r>
      <w:r>
        <w:rPr>
          <w:rFonts w:hint="eastAsia" w:ascii="宋体" w:hAnsi="宋体"/>
          <w:position w:val="-30"/>
          <w:szCs w:val="21"/>
          <w:highlight w:val="none"/>
        </w:rPr>
        <w:t>、本表后须附检测投标单位的营业执照副本或事业单位法人证书副本、建设行政主管部门颁发的建设工程质量检测机构资质证书、</w:t>
      </w:r>
      <w:r>
        <w:rPr>
          <w:rFonts w:ascii="宋体" w:hAnsi="宋体"/>
          <w:position w:val="-30"/>
          <w:szCs w:val="21"/>
          <w:highlight w:val="none"/>
        </w:rPr>
        <w:t>CMA</w:t>
      </w:r>
      <w:r>
        <w:rPr>
          <w:rFonts w:hint="eastAsia" w:ascii="宋体" w:hAnsi="宋体"/>
          <w:position w:val="-30"/>
          <w:szCs w:val="21"/>
          <w:highlight w:val="none"/>
        </w:rPr>
        <w:t>计量认证合格证书以及其他相关证明材料。</w:t>
      </w:r>
    </w:p>
    <w:p w14:paraId="1E2A5E6F">
      <w:pPr>
        <w:widowControl/>
        <w:jc w:val="center"/>
        <w:rPr>
          <w:rFonts w:ascii="宋体" w:hAnsi="宋体" w:cs="宋体"/>
          <w:b/>
          <w:bCs/>
          <w:kern w:val="0"/>
          <w:sz w:val="28"/>
          <w:szCs w:val="28"/>
          <w:highlight w:val="none"/>
        </w:rPr>
      </w:pPr>
      <w:r>
        <w:rPr>
          <w:rFonts w:ascii="宋体" w:hAnsi="宋体"/>
          <w:position w:val="-30"/>
          <w:sz w:val="22"/>
          <w:highlight w:val="none"/>
        </w:rPr>
        <w:br w:type="page"/>
      </w:r>
      <w:r>
        <w:rPr>
          <w:rFonts w:hint="eastAsia" w:ascii="宋体" w:hAnsi="宋体" w:cs="宋体"/>
          <w:b/>
          <w:bCs/>
          <w:kern w:val="0"/>
          <w:sz w:val="28"/>
          <w:szCs w:val="28"/>
          <w:highlight w:val="none"/>
        </w:rPr>
        <w:t>（二）投标申请人声明</w:t>
      </w:r>
    </w:p>
    <w:p w14:paraId="6D0FD188">
      <w:pPr>
        <w:spacing w:line="360" w:lineRule="auto"/>
        <w:rPr>
          <w:rFonts w:ascii="宋体" w:hAnsi="宋体" w:cs="宋体"/>
          <w:kern w:val="0"/>
          <w:sz w:val="24"/>
          <w:szCs w:val="24"/>
          <w:highlight w:val="none"/>
        </w:rPr>
      </w:pPr>
      <w:r>
        <w:rPr>
          <w:rFonts w:hint="eastAsia" w:ascii="宋体" w:hAnsi="宋体" w:cs="宋体"/>
          <w:kern w:val="0"/>
          <w:sz w:val="24"/>
          <w:szCs w:val="24"/>
          <w:highlight w:val="none"/>
        </w:rPr>
        <w:t>广州市黄埔区住房和城乡建设局、广州开发区建设和交通局、本招标项目招标人及招标监管机构：</w:t>
      </w:r>
    </w:p>
    <w:p w14:paraId="6EF4C22E">
      <w:pPr>
        <w:spacing w:line="360" w:lineRule="auto"/>
        <w:ind w:firstLine="484" w:firstLineChars="202"/>
        <w:rPr>
          <w:rFonts w:ascii="宋体" w:hAnsi="宋体"/>
          <w:sz w:val="24"/>
          <w:szCs w:val="24"/>
          <w:highlight w:val="none"/>
        </w:rPr>
      </w:pPr>
      <w:r>
        <w:rPr>
          <w:rFonts w:hint="eastAsia" w:ascii="宋体" w:hAnsi="宋体"/>
          <w:sz w:val="24"/>
          <w:szCs w:val="24"/>
          <w:highlight w:val="none"/>
        </w:rPr>
        <w:t>本公司就参加</w:t>
      </w:r>
      <w:r>
        <w:rPr>
          <w:rFonts w:hint="eastAsia" w:ascii="宋体" w:hAnsi="宋体"/>
          <w:sz w:val="24"/>
          <w:szCs w:val="24"/>
          <w:highlight w:val="none"/>
          <w:u w:val="single"/>
        </w:rPr>
        <w:t xml:space="preserve">                   </w:t>
      </w:r>
      <w:r>
        <w:rPr>
          <w:rFonts w:hint="eastAsia" w:ascii="宋体" w:hAnsi="宋体"/>
          <w:sz w:val="24"/>
          <w:szCs w:val="24"/>
          <w:highlight w:val="none"/>
        </w:rPr>
        <w:t>投标工作，作出郑重声明：</w:t>
      </w:r>
    </w:p>
    <w:p w14:paraId="193E8F7A">
      <w:pPr>
        <w:spacing w:line="360" w:lineRule="auto"/>
        <w:ind w:firstLine="484" w:firstLineChars="202"/>
        <w:rPr>
          <w:rFonts w:ascii="宋体" w:hAnsi="宋体"/>
          <w:sz w:val="24"/>
          <w:szCs w:val="24"/>
          <w:highlight w:val="none"/>
        </w:rPr>
      </w:pPr>
      <w:r>
        <w:rPr>
          <w:rFonts w:hint="eastAsia" w:ascii="宋体" w:hAnsi="宋体"/>
          <w:sz w:val="24"/>
          <w:szCs w:val="24"/>
          <w:highlight w:val="none"/>
        </w:rPr>
        <w:t>一、本公司保证投标资格审查材料及其后提供的一切材料都是真实的，如我司成为本项目中标候选人，我司同意并授权招标人将我司投标文件商务部分文件的所有内容（包括人员、业绩、奖项等资料）进行公开。</w:t>
      </w:r>
    </w:p>
    <w:p w14:paraId="2A36784E">
      <w:pPr>
        <w:spacing w:line="360" w:lineRule="auto"/>
        <w:ind w:firstLine="484" w:firstLineChars="202"/>
        <w:rPr>
          <w:rFonts w:ascii="宋体" w:hAnsi="宋体"/>
          <w:sz w:val="24"/>
          <w:szCs w:val="24"/>
          <w:highlight w:val="none"/>
        </w:rPr>
      </w:pPr>
      <w:r>
        <w:rPr>
          <w:rFonts w:hint="eastAsia" w:ascii="宋体" w:hAnsi="宋体"/>
          <w:sz w:val="24"/>
          <w:szCs w:val="24"/>
          <w:highlight w:val="none"/>
        </w:rPr>
        <w:t>二、本公司保证在本项目投标中不与其他单位围标、串标，不出让投标资格，不向招标人或评标委员会成员行贿。</w:t>
      </w:r>
    </w:p>
    <w:p w14:paraId="47C3147A">
      <w:pPr>
        <w:spacing w:line="360" w:lineRule="auto"/>
        <w:ind w:firstLine="484" w:firstLineChars="202"/>
        <w:rPr>
          <w:rFonts w:ascii="宋体" w:hAnsi="宋体"/>
          <w:sz w:val="24"/>
          <w:szCs w:val="24"/>
          <w:highlight w:val="none"/>
        </w:rPr>
      </w:pPr>
      <w:r>
        <w:rPr>
          <w:rFonts w:hint="eastAsia" w:ascii="宋体" w:hAnsi="宋体"/>
          <w:sz w:val="24"/>
          <w:szCs w:val="24"/>
          <w:highlight w:val="none"/>
        </w:rPr>
        <w:t>三、本公司没有处于被责令停业的状态；没有处于被建设行政主管部门取消投标资格的处罚期内；没有处于财产被接管、冻结、破产的状态；本公司没有在投标登记截止时间前三年内被人民法院判决犯有行贿罪的记录。投标登记截止日期前三年内，本公司没有弄虚作假骗取中标、围标串标行为（以行政主管部门或法院或检察院书面认定为准），本公司没有被人民法院列入失信被执行人名单。在投标登记截止日期前三年内没有建设行政主管部门已书面认定的重大工程质量问题。本公司未在以往工程中因不诚信行为或不充分履约行为被本项目招标人书面拒绝投标; 本公司未被纳入联合惩戒范围；本公司近二年（从招标公告发布年度起逆推2年的1月1日起至投标截止时间止）未因以往检测工作中存在伪造检测数据、出具虚假检测报告的行为被各级建设行政主管部门或市场监督管理部门行政处罚或通报的。</w:t>
      </w:r>
    </w:p>
    <w:p w14:paraId="39EC9D5B">
      <w:pPr>
        <w:spacing w:line="360" w:lineRule="auto"/>
        <w:ind w:firstLine="484" w:firstLineChars="202"/>
        <w:rPr>
          <w:rFonts w:ascii="宋体" w:hAnsi="宋体"/>
          <w:sz w:val="24"/>
          <w:szCs w:val="24"/>
          <w:highlight w:val="none"/>
        </w:rPr>
      </w:pPr>
      <w:r>
        <w:rPr>
          <w:rFonts w:hint="eastAsia" w:ascii="宋体" w:hAnsi="宋体"/>
          <w:sz w:val="24"/>
          <w:szCs w:val="24"/>
          <w:highlight w:val="none"/>
        </w:rPr>
        <w:t>四、本公司不存在招标文件第二章投标人须知第1.4.3项所规定的任何一种情形。</w:t>
      </w:r>
    </w:p>
    <w:p w14:paraId="0B57FC9C">
      <w:pPr>
        <w:spacing w:line="360" w:lineRule="auto"/>
        <w:ind w:firstLine="484" w:firstLineChars="202"/>
        <w:rPr>
          <w:rFonts w:ascii="宋体" w:hAnsi="宋体"/>
          <w:sz w:val="24"/>
          <w:szCs w:val="24"/>
          <w:highlight w:val="none"/>
        </w:rPr>
      </w:pPr>
      <w:r>
        <w:rPr>
          <w:rFonts w:hint="eastAsia" w:ascii="宋体" w:hAnsi="宋体"/>
          <w:sz w:val="24"/>
          <w:szCs w:val="24"/>
          <w:highlight w:val="none"/>
        </w:rPr>
        <w:t xml:space="preserve">五、本公司不为招标人不具有独立法人资格的附属机构（单位），不存在与招标人存在利害关系且可能影响招标公正性；本公司及其有隶属关系的机构没有参加本项目的设计、前期工作、招标文件编写、监理工作；本公司与承担本招标项目代建单位（适用于有代建单位项目）、施工和监理业务的单位没有隶属关系或其他利害关系；本公司与本次招标的招标代理机构没有隶属关系或其他利害关系；本公司与本工程的承包单位以及建筑材料、建筑构配件和设备供应单位没有隶属关系或其他利害关系。 </w:t>
      </w:r>
    </w:p>
    <w:p w14:paraId="79C8E1E0">
      <w:pPr>
        <w:spacing w:line="360" w:lineRule="auto"/>
        <w:ind w:firstLine="484" w:firstLineChars="202"/>
        <w:rPr>
          <w:rFonts w:ascii="宋体" w:hAnsi="宋体"/>
          <w:sz w:val="24"/>
          <w:szCs w:val="24"/>
          <w:highlight w:val="none"/>
        </w:rPr>
      </w:pPr>
      <w:r>
        <w:rPr>
          <w:rFonts w:hint="eastAsia" w:ascii="宋体" w:hAnsi="宋体"/>
          <w:sz w:val="24"/>
          <w:szCs w:val="24"/>
          <w:highlight w:val="none"/>
        </w:rPr>
        <w:t>六、与本公司单位负责人为同一人或者与本公司存在控股、管理关系的其他单位包括</w:t>
      </w:r>
      <w:r>
        <w:rPr>
          <w:rFonts w:hint="eastAsia" w:ascii="宋体" w:hAnsi="宋体"/>
          <w:sz w:val="24"/>
          <w:szCs w:val="24"/>
          <w:highlight w:val="none"/>
          <w:u w:val="single"/>
        </w:rPr>
        <w:t xml:space="preserve">            </w:t>
      </w:r>
      <w:r>
        <w:rPr>
          <w:rFonts w:hint="eastAsia" w:ascii="宋体" w:hAnsi="宋体"/>
          <w:sz w:val="24"/>
          <w:szCs w:val="24"/>
          <w:highlight w:val="none"/>
        </w:rPr>
        <w:t>。（注：本条由投标人如实填写，如有，应列出全部满足招标公告资质要求的相关单位的名称；如无，则填写“无”。）</w:t>
      </w:r>
    </w:p>
    <w:p w14:paraId="749A14D5">
      <w:pPr>
        <w:spacing w:line="360" w:lineRule="auto"/>
        <w:ind w:firstLine="484" w:firstLineChars="202"/>
        <w:rPr>
          <w:rFonts w:ascii="宋体" w:hAnsi="宋体"/>
          <w:sz w:val="24"/>
          <w:szCs w:val="24"/>
          <w:highlight w:val="none"/>
        </w:rPr>
      </w:pPr>
      <w:r>
        <w:rPr>
          <w:rFonts w:hint="eastAsia" w:ascii="宋体" w:hAnsi="宋体"/>
          <w:sz w:val="24"/>
          <w:szCs w:val="24"/>
          <w:highlight w:val="none"/>
        </w:rPr>
        <w:t>七、本公司承诺，中标后严格执行安全生产相关管理规定。</w:t>
      </w:r>
    </w:p>
    <w:p w14:paraId="50C153E7">
      <w:pPr>
        <w:spacing w:line="360" w:lineRule="auto"/>
        <w:ind w:firstLine="484" w:firstLineChars="202"/>
        <w:rPr>
          <w:rFonts w:ascii="宋体" w:hAnsi="宋体"/>
          <w:sz w:val="24"/>
          <w:szCs w:val="24"/>
          <w:highlight w:val="none"/>
        </w:rPr>
      </w:pPr>
      <w:r>
        <w:rPr>
          <w:rFonts w:hint="eastAsia" w:ascii="宋体" w:hAnsi="宋体"/>
          <w:sz w:val="24"/>
          <w:szCs w:val="24"/>
          <w:highlight w:val="none"/>
        </w:rPr>
        <w:t>八、本公司承诺，中标后严格按照合同和招投标文件规定履行义务，并同意招标人将其履行合同、招投标文件义务的履约情况和不诚信行为（包括但不限于由招标人做出的违约责任处理决定等）在招标人网站和建设项目业主网站及其他媒体上公开披露，由此造成的一切损失和不利后果均由本公司自行承担。</w:t>
      </w:r>
    </w:p>
    <w:p w14:paraId="24E84883">
      <w:pPr>
        <w:spacing w:line="360" w:lineRule="auto"/>
        <w:ind w:firstLine="484" w:firstLineChars="202"/>
        <w:rPr>
          <w:rFonts w:ascii="宋体" w:hAnsi="宋体"/>
          <w:sz w:val="24"/>
          <w:szCs w:val="24"/>
          <w:highlight w:val="none"/>
        </w:rPr>
      </w:pPr>
      <w:r>
        <w:rPr>
          <w:rFonts w:hint="eastAsia" w:ascii="宋体" w:hAnsi="宋体"/>
          <w:sz w:val="24"/>
          <w:szCs w:val="24"/>
          <w:highlight w:val="none"/>
        </w:rPr>
        <w:t>九、（1）本单位及拟派项目负责人近2年未因与工程项目施工相关的车辆运输而被最高人民法院在“信用中国”网站或各级信用信息共享平台中列入失信被执行人名单或被交通运输行政主管部门在“信用交通”网站列入严重违法超限超载运输失信当事人名单或被工商行政管理机关在全国企业信用信息公示系统中列入严重违法失信企业名单或被黄埔区、广州开发区公安、城管、住建、交通、水务、规自等部门列入黑名单、不良行为记录（处罚有效期内）；</w:t>
      </w:r>
    </w:p>
    <w:p w14:paraId="0BA50D1D">
      <w:pPr>
        <w:spacing w:line="360" w:lineRule="auto"/>
        <w:ind w:firstLine="484" w:firstLineChars="202"/>
        <w:rPr>
          <w:rFonts w:ascii="宋体" w:hAnsi="宋体"/>
          <w:sz w:val="24"/>
          <w:szCs w:val="24"/>
          <w:highlight w:val="none"/>
        </w:rPr>
      </w:pPr>
      <w:r>
        <w:rPr>
          <w:rFonts w:hint="eastAsia" w:ascii="宋体" w:hAnsi="宋体"/>
          <w:sz w:val="24"/>
          <w:szCs w:val="24"/>
          <w:highlight w:val="none"/>
        </w:rPr>
        <w:t>（2）本单位中标后不将工程施工过程中产生的土石方、建筑垃圾及施工过程中使用的建筑材料、设备等的运输委托给被最高人民法院在“信用中国”网站或各级信用信息共享平台中列入失信被执行人名单或被交通运输行政主管部门在“信用交通”网站列入严重违法超限超载运输失信当事人名单或被工商行政管理机关在全国企业信用信息公示系统中列入严重违法失信企业名单或被黄埔区、广州开发区公安、城管、住建、交通、水务、规自等部门列入黑名单、不良行为记录（处罚有效期内）的单位或个体经营者运输。</w:t>
      </w:r>
    </w:p>
    <w:p w14:paraId="19B3A5FD">
      <w:pPr>
        <w:spacing w:line="360" w:lineRule="auto"/>
        <w:ind w:firstLine="484" w:firstLineChars="202"/>
        <w:rPr>
          <w:rFonts w:hint="default" w:ascii="宋体" w:hAnsi="宋体" w:eastAsia="宋体"/>
          <w:sz w:val="24"/>
          <w:szCs w:val="24"/>
          <w:highlight w:val="none"/>
          <w:lang w:val="en-US" w:eastAsia="zh-CN"/>
        </w:rPr>
      </w:pPr>
      <w:r>
        <w:rPr>
          <w:rFonts w:hint="eastAsia" w:ascii="宋体" w:hAnsi="宋体"/>
          <w:sz w:val="24"/>
          <w:szCs w:val="24"/>
          <w:highlight w:val="none"/>
          <w:lang w:val="en-US" w:eastAsia="zh-CN"/>
        </w:rPr>
        <w:t>十、</w:t>
      </w:r>
      <w:r>
        <w:rPr>
          <w:rFonts w:hint="eastAsia" w:ascii="宋体" w:hAnsi="宋体"/>
          <w:sz w:val="24"/>
          <w:szCs w:val="24"/>
          <w:highlight w:val="none"/>
        </w:rPr>
        <w:t>本公司承诺遵循公平公正、公开、诚实信用原则，如实提交投标资料，真实反映企业实力，公平竞争，不弄虚作假，不以低于企业成本价竞标而降低质量，不与任何建设单位订立违背企业成本及相关规定的“阴阳合同”进行恶性竞争扰乱市场秩序，不与其他单位串通投标或以行贿手段谋取中标，不出借资质、转包或违法分包。</w:t>
      </w:r>
    </w:p>
    <w:p w14:paraId="00BF8485">
      <w:pPr>
        <w:spacing w:line="360" w:lineRule="auto"/>
        <w:ind w:firstLine="484" w:firstLineChars="202"/>
        <w:rPr>
          <w:rFonts w:ascii="宋体" w:hAnsi="宋体"/>
          <w:sz w:val="24"/>
          <w:szCs w:val="24"/>
          <w:highlight w:val="none"/>
        </w:rPr>
      </w:pPr>
      <w:r>
        <w:rPr>
          <w:rFonts w:hint="eastAsia" w:ascii="宋体" w:hAnsi="宋体"/>
          <w:sz w:val="24"/>
          <w:szCs w:val="24"/>
          <w:highlight w:val="none"/>
        </w:rPr>
        <w:t>本公司违反上述保证，或本声明陈述与事实不符，经查实，本公司愿意接受公开通报，承担由此带来的法律后果，并自愿停止参加广州市行政辖区内的招标投标活动三个月。</w:t>
      </w:r>
    </w:p>
    <w:p w14:paraId="07EB7644">
      <w:pPr>
        <w:spacing w:line="360" w:lineRule="auto"/>
        <w:ind w:firstLine="484" w:firstLineChars="202"/>
        <w:rPr>
          <w:rFonts w:ascii="宋体" w:hAnsi="宋体"/>
          <w:highlight w:val="none"/>
        </w:rPr>
      </w:pPr>
      <w:r>
        <w:rPr>
          <w:rFonts w:hint="eastAsia" w:ascii="宋体" w:hAnsi="宋体"/>
          <w:sz w:val="24"/>
          <w:szCs w:val="24"/>
          <w:highlight w:val="none"/>
        </w:rPr>
        <w:t>特此声明。</w:t>
      </w:r>
    </w:p>
    <w:p w14:paraId="4C174533">
      <w:pPr>
        <w:pStyle w:val="59"/>
        <w:adjustRightInd w:val="0"/>
        <w:snapToGrid w:val="0"/>
        <w:ind w:firstLine="0"/>
        <w:rPr>
          <w:rFonts w:ascii="宋体" w:hAnsi="宋体" w:eastAsia="宋体"/>
          <w:color w:val="auto"/>
          <w:sz w:val="24"/>
          <w:szCs w:val="24"/>
          <w:highlight w:val="none"/>
        </w:rPr>
      </w:pPr>
    </w:p>
    <w:p w14:paraId="6DCA0D1A">
      <w:pPr>
        <w:pStyle w:val="59"/>
        <w:adjustRightInd w:val="0"/>
        <w:snapToGrid w:val="0"/>
        <w:ind w:firstLine="0"/>
        <w:rPr>
          <w:rFonts w:ascii="宋体" w:hAnsi="宋体" w:eastAsia="宋体"/>
          <w:color w:val="auto"/>
          <w:sz w:val="24"/>
          <w:szCs w:val="24"/>
          <w:highlight w:val="none"/>
        </w:rPr>
      </w:pPr>
    </w:p>
    <w:p w14:paraId="591E310B">
      <w:pPr>
        <w:pStyle w:val="59"/>
        <w:adjustRightInd w:val="0"/>
        <w:snapToGrid w:val="0"/>
        <w:ind w:firstLine="0"/>
        <w:rPr>
          <w:rFonts w:ascii="宋体" w:hAnsi="宋体" w:eastAsia="宋体"/>
          <w:color w:val="auto"/>
          <w:sz w:val="24"/>
          <w:szCs w:val="24"/>
          <w:highlight w:val="none"/>
        </w:rPr>
      </w:pPr>
    </w:p>
    <w:p w14:paraId="31E1B1A5">
      <w:pPr>
        <w:pStyle w:val="59"/>
        <w:adjustRightInd w:val="0"/>
        <w:snapToGrid w:val="0"/>
        <w:ind w:right="-35" w:firstLine="4819" w:firstLineChars="2008"/>
        <w:jc w:val="left"/>
        <w:rPr>
          <w:rFonts w:ascii="宋体" w:hAnsi="宋体" w:eastAsia="宋体"/>
          <w:color w:val="auto"/>
          <w:sz w:val="24"/>
          <w:szCs w:val="24"/>
          <w:highlight w:val="none"/>
        </w:rPr>
      </w:pPr>
      <w:r>
        <w:rPr>
          <w:rFonts w:hint="eastAsia" w:ascii="宋体" w:hAnsi="宋体" w:eastAsia="宋体"/>
          <w:color w:val="auto"/>
          <w:sz w:val="24"/>
          <w:szCs w:val="24"/>
          <w:highlight w:val="none"/>
        </w:rPr>
        <w:t>投标单位（盖公章）：</w:t>
      </w:r>
    </w:p>
    <w:p w14:paraId="66BA3530">
      <w:pPr>
        <w:pStyle w:val="59"/>
        <w:adjustRightInd w:val="0"/>
        <w:snapToGrid w:val="0"/>
        <w:ind w:right="-35" w:firstLine="4819" w:firstLineChars="2008"/>
        <w:jc w:val="left"/>
        <w:rPr>
          <w:rFonts w:ascii="宋体" w:hAnsi="宋体" w:eastAsia="宋体"/>
          <w:color w:val="auto"/>
          <w:sz w:val="24"/>
          <w:szCs w:val="24"/>
          <w:highlight w:val="none"/>
        </w:rPr>
      </w:pPr>
      <w:r>
        <w:rPr>
          <w:rFonts w:hint="eastAsia" w:ascii="宋体" w:hAnsi="宋体" w:eastAsia="宋体"/>
          <w:color w:val="auto"/>
          <w:sz w:val="24"/>
          <w:szCs w:val="24"/>
          <w:highlight w:val="none"/>
        </w:rPr>
        <w:t>法定代表人或授权委托人（签字或盖章）：</w:t>
      </w:r>
    </w:p>
    <w:p w14:paraId="306B25EA">
      <w:pPr>
        <w:widowControl/>
        <w:jc w:val="center"/>
        <w:rPr>
          <w:rFonts w:ascii="宋体" w:hAnsi="宋体" w:cs="宋体"/>
          <w:b/>
          <w:bCs/>
          <w:kern w:val="0"/>
          <w:szCs w:val="21"/>
          <w:highlight w:val="none"/>
        </w:rPr>
      </w:pPr>
      <w:r>
        <w:rPr>
          <w:rFonts w:hint="eastAsia" w:ascii="宋体" w:hAnsi="宋体"/>
          <w:sz w:val="24"/>
          <w:szCs w:val="24"/>
          <w:highlight w:val="none"/>
        </w:rPr>
        <w:t xml:space="preserve">                       日  期：    年   月   日</w:t>
      </w:r>
    </w:p>
    <w:p w14:paraId="3B28A582">
      <w:pPr>
        <w:widowControl/>
        <w:jc w:val="center"/>
        <w:rPr>
          <w:rFonts w:ascii="宋体" w:hAnsi="宋体" w:cs="宋体"/>
          <w:b/>
          <w:bCs/>
          <w:kern w:val="0"/>
          <w:szCs w:val="21"/>
          <w:highlight w:val="none"/>
        </w:rPr>
      </w:pPr>
    </w:p>
    <w:p w14:paraId="0558C0B6">
      <w:pPr>
        <w:widowControl/>
        <w:rPr>
          <w:rFonts w:ascii="宋体" w:hAnsi="宋体" w:cs="宋体"/>
          <w:b/>
          <w:bCs/>
          <w:kern w:val="0"/>
          <w:szCs w:val="21"/>
          <w:highlight w:val="none"/>
        </w:rPr>
      </w:pPr>
    </w:p>
    <w:p w14:paraId="08015B59">
      <w:pPr>
        <w:widowControl/>
        <w:jc w:val="center"/>
        <w:rPr>
          <w:rFonts w:ascii="宋体" w:hAnsi="宋体" w:cs="宋体"/>
          <w:b/>
          <w:bCs/>
          <w:kern w:val="0"/>
          <w:sz w:val="28"/>
          <w:szCs w:val="28"/>
          <w:highlight w:val="none"/>
        </w:rPr>
      </w:pPr>
      <w:r>
        <w:rPr>
          <w:highlight w:val="none"/>
        </w:rPr>
        <w:br w:type="page"/>
      </w:r>
      <w:r>
        <w:rPr>
          <w:rFonts w:hint="eastAsia" w:ascii="宋体" w:hAnsi="宋体" w:cs="宋体"/>
          <w:b/>
          <w:bCs/>
          <w:kern w:val="0"/>
          <w:sz w:val="28"/>
          <w:szCs w:val="28"/>
          <w:highlight w:val="none"/>
        </w:rPr>
        <w:t>（三）联合体协议书</w:t>
      </w:r>
    </w:p>
    <w:p w14:paraId="4AA206A9">
      <w:pPr>
        <w:tabs>
          <w:tab w:val="left" w:pos="2200"/>
          <w:tab w:val="left" w:pos="6000"/>
        </w:tabs>
        <w:spacing w:line="360" w:lineRule="auto"/>
        <w:ind w:firstLine="480" w:firstLineChars="200"/>
        <w:jc w:val="left"/>
        <w:rPr>
          <w:rFonts w:ascii="宋体" w:hAnsi="宋体" w:cs="华文楷体"/>
          <w:sz w:val="24"/>
          <w:szCs w:val="24"/>
          <w:highlight w:val="none"/>
        </w:rPr>
      </w:pPr>
      <w:r>
        <w:rPr>
          <w:rFonts w:hint="eastAsia" w:ascii="宋体" w:hAnsi="宋体" w:cs="华文楷体"/>
          <w:position w:val="-4"/>
          <w:sz w:val="24"/>
          <w:szCs w:val="24"/>
          <w:highlight w:val="none"/>
          <w:u w:val="single"/>
        </w:rPr>
        <w:tab/>
      </w:r>
      <w:r>
        <w:rPr>
          <w:rFonts w:hint="eastAsia" w:ascii="宋体" w:hAnsi="宋体" w:cs="华文楷体"/>
          <w:position w:val="-4"/>
          <w:sz w:val="24"/>
          <w:szCs w:val="24"/>
          <w:highlight w:val="none"/>
        </w:rPr>
        <w:t>（所</w:t>
      </w:r>
      <w:r>
        <w:rPr>
          <w:rFonts w:hint="eastAsia" w:ascii="宋体" w:hAnsi="宋体" w:cs="华文楷体"/>
          <w:spacing w:val="-2"/>
          <w:position w:val="-4"/>
          <w:sz w:val="24"/>
          <w:szCs w:val="24"/>
          <w:highlight w:val="none"/>
        </w:rPr>
        <w:t>有</w:t>
      </w:r>
      <w:r>
        <w:rPr>
          <w:rFonts w:hint="eastAsia" w:ascii="宋体" w:hAnsi="宋体" w:cs="华文楷体"/>
          <w:position w:val="-4"/>
          <w:sz w:val="24"/>
          <w:szCs w:val="24"/>
          <w:highlight w:val="none"/>
        </w:rPr>
        <w:t>成员单位名称）自愿组</w:t>
      </w:r>
      <w:r>
        <w:rPr>
          <w:rFonts w:hint="eastAsia" w:ascii="宋体" w:hAnsi="宋体" w:cs="华文楷体"/>
          <w:spacing w:val="1"/>
          <w:position w:val="-4"/>
          <w:sz w:val="24"/>
          <w:szCs w:val="24"/>
          <w:highlight w:val="none"/>
        </w:rPr>
        <w:t>成</w:t>
      </w:r>
      <w:r>
        <w:rPr>
          <w:rFonts w:hint="eastAsia" w:ascii="宋体" w:hAnsi="宋体" w:cs="华文楷体"/>
          <w:position w:val="-4"/>
          <w:sz w:val="24"/>
          <w:szCs w:val="24"/>
          <w:highlight w:val="none"/>
          <w:u w:val="single"/>
        </w:rPr>
        <w:t xml:space="preserve"> </w:t>
      </w:r>
      <w:r>
        <w:rPr>
          <w:rFonts w:hint="eastAsia" w:ascii="宋体" w:hAnsi="宋体" w:cs="华文楷体"/>
          <w:spacing w:val="1"/>
          <w:position w:val="-4"/>
          <w:sz w:val="24"/>
          <w:szCs w:val="24"/>
          <w:highlight w:val="none"/>
          <w:u w:val="single"/>
        </w:rPr>
        <w:t xml:space="preserve"> </w:t>
      </w:r>
      <w:r>
        <w:rPr>
          <w:rFonts w:hint="eastAsia" w:ascii="宋体" w:hAnsi="宋体" w:cs="华文楷体"/>
          <w:position w:val="-4"/>
          <w:sz w:val="24"/>
          <w:szCs w:val="24"/>
          <w:highlight w:val="none"/>
          <w:u w:val="single"/>
        </w:rPr>
        <w:tab/>
      </w:r>
      <w:r>
        <w:rPr>
          <w:rFonts w:hint="eastAsia" w:ascii="宋体" w:hAnsi="宋体" w:cs="华文楷体"/>
          <w:position w:val="-4"/>
          <w:sz w:val="24"/>
          <w:szCs w:val="24"/>
          <w:highlight w:val="none"/>
        </w:rPr>
        <w:t>（联合体名称）联合体，共同</w:t>
      </w:r>
      <w:r>
        <w:rPr>
          <w:rFonts w:hint="eastAsia" w:ascii="宋体" w:hAnsi="宋体" w:cs="华文楷体"/>
          <w:position w:val="-2"/>
          <w:sz w:val="24"/>
          <w:szCs w:val="24"/>
          <w:highlight w:val="none"/>
        </w:rPr>
        <w:t>参加</w:t>
      </w:r>
      <w:r>
        <w:rPr>
          <w:rFonts w:hint="eastAsia" w:ascii="宋体" w:hAnsi="宋体" w:cs="华文楷体"/>
          <w:position w:val="-2"/>
          <w:sz w:val="24"/>
          <w:szCs w:val="24"/>
          <w:highlight w:val="none"/>
          <w:u w:val="single"/>
        </w:rPr>
        <w:t xml:space="preserve"> </w:t>
      </w:r>
      <w:r>
        <w:rPr>
          <w:rFonts w:hint="eastAsia" w:ascii="宋体" w:hAnsi="宋体" w:cs="华文楷体"/>
          <w:spacing w:val="1"/>
          <w:position w:val="-2"/>
          <w:sz w:val="24"/>
          <w:szCs w:val="24"/>
          <w:highlight w:val="none"/>
          <w:u w:val="single"/>
        </w:rPr>
        <w:t xml:space="preserve"> </w:t>
      </w:r>
      <w:r>
        <w:rPr>
          <w:rFonts w:hint="eastAsia" w:ascii="宋体" w:hAnsi="宋体" w:cs="华文楷体"/>
          <w:position w:val="-2"/>
          <w:sz w:val="24"/>
          <w:szCs w:val="24"/>
          <w:highlight w:val="none"/>
          <w:u w:val="single"/>
        </w:rPr>
        <w:tab/>
      </w:r>
      <w:r>
        <w:rPr>
          <w:rFonts w:hint="eastAsia" w:ascii="宋体" w:hAnsi="宋体" w:cs="华文楷体"/>
          <w:spacing w:val="-2"/>
          <w:position w:val="-2"/>
          <w:sz w:val="24"/>
          <w:szCs w:val="24"/>
          <w:highlight w:val="none"/>
        </w:rPr>
        <w:t>（</w:t>
      </w:r>
      <w:r>
        <w:rPr>
          <w:rFonts w:hint="eastAsia" w:ascii="宋体" w:hAnsi="宋体" w:cs="华文楷体"/>
          <w:position w:val="-2"/>
          <w:sz w:val="24"/>
          <w:szCs w:val="24"/>
          <w:highlight w:val="none"/>
        </w:rPr>
        <w:t>项目</w:t>
      </w:r>
      <w:r>
        <w:rPr>
          <w:rFonts w:hint="eastAsia" w:ascii="宋体" w:hAnsi="宋体" w:cs="华文楷体"/>
          <w:spacing w:val="-2"/>
          <w:position w:val="-2"/>
          <w:sz w:val="24"/>
          <w:szCs w:val="24"/>
          <w:highlight w:val="none"/>
        </w:rPr>
        <w:t>名</w:t>
      </w:r>
      <w:r>
        <w:rPr>
          <w:rFonts w:hint="eastAsia" w:ascii="宋体" w:hAnsi="宋体" w:cs="华文楷体"/>
          <w:position w:val="-2"/>
          <w:sz w:val="24"/>
          <w:szCs w:val="24"/>
          <w:highlight w:val="none"/>
        </w:rPr>
        <w:t>称</w:t>
      </w:r>
      <w:r>
        <w:rPr>
          <w:rFonts w:hint="eastAsia" w:ascii="宋体" w:hAnsi="宋体" w:cs="华文楷体"/>
          <w:spacing w:val="-2"/>
          <w:position w:val="-2"/>
          <w:sz w:val="24"/>
          <w:szCs w:val="24"/>
          <w:highlight w:val="none"/>
        </w:rPr>
        <w:t>）</w:t>
      </w:r>
      <w:r>
        <w:rPr>
          <w:rFonts w:hint="eastAsia" w:ascii="宋体" w:hAnsi="宋体" w:cs="华文楷体"/>
          <w:position w:val="-2"/>
          <w:sz w:val="24"/>
          <w:szCs w:val="24"/>
          <w:highlight w:val="none"/>
        </w:rPr>
        <w:t>招</w:t>
      </w:r>
      <w:r>
        <w:rPr>
          <w:rFonts w:hint="eastAsia" w:ascii="宋体" w:hAnsi="宋体" w:cs="华文楷体"/>
          <w:spacing w:val="-2"/>
          <w:position w:val="-2"/>
          <w:sz w:val="24"/>
          <w:szCs w:val="24"/>
          <w:highlight w:val="none"/>
        </w:rPr>
        <w:t>标</w:t>
      </w:r>
      <w:r>
        <w:rPr>
          <w:rFonts w:hint="eastAsia" w:ascii="宋体" w:hAnsi="宋体" w:cs="华文楷体"/>
          <w:position w:val="-2"/>
          <w:sz w:val="24"/>
          <w:szCs w:val="24"/>
          <w:highlight w:val="none"/>
        </w:rPr>
        <w:t>项</w:t>
      </w:r>
      <w:r>
        <w:rPr>
          <w:rFonts w:hint="eastAsia" w:ascii="宋体" w:hAnsi="宋体" w:cs="华文楷体"/>
          <w:spacing w:val="-2"/>
          <w:position w:val="-2"/>
          <w:sz w:val="24"/>
          <w:szCs w:val="24"/>
          <w:highlight w:val="none"/>
        </w:rPr>
        <w:t>目</w:t>
      </w:r>
      <w:r>
        <w:rPr>
          <w:rFonts w:hint="eastAsia" w:ascii="宋体" w:hAnsi="宋体" w:cs="华文楷体"/>
          <w:position w:val="-2"/>
          <w:sz w:val="24"/>
          <w:szCs w:val="24"/>
          <w:highlight w:val="none"/>
        </w:rPr>
        <w:t>投标</w:t>
      </w:r>
      <w:r>
        <w:rPr>
          <w:rFonts w:hint="eastAsia" w:ascii="宋体" w:hAnsi="宋体" w:cs="华文楷体"/>
          <w:spacing w:val="-2"/>
          <w:position w:val="-2"/>
          <w:sz w:val="24"/>
          <w:szCs w:val="24"/>
          <w:highlight w:val="none"/>
        </w:rPr>
        <w:t>。</w:t>
      </w:r>
      <w:r>
        <w:rPr>
          <w:rFonts w:hint="eastAsia" w:ascii="宋体" w:hAnsi="宋体" w:cs="华文楷体"/>
          <w:position w:val="-2"/>
          <w:sz w:val="24"/>
          <w:szCs w:val="24"/>
          <w:highlight w:val="none"/>
        </w:rPr>
        <w:t>现</w:t>
      </w:r>
      <w:r>
        <w:rPr>
          <w:rFonts w:hint="eastAsia" w:ascii="宋体" w:hAnsi="宋体" w:cs="华文楷体"/>
          <w:spacing w:val="-2"/>
          <w:position w:val="-2"/>
          <w:sz w:val="24"/>
          <w:szCs w:val="24"/>
          <w:highlight w:val="none"/>
        </w:rPr>
        <w:t>就</w:t>
      </w:r>
      <w:r>
        <w:rPr>
          <w:rFonts w:hint="eastAsia" w:ascii="宋体" w:hAnsi="宋体" w:cs="华文楷体"/>
          <w:position w:val="-2"/>
          <w:sz w:val="24"/>
          <w:szCs w:val="24"/>
          <w:highlight w:val="none"/>
        </w:rPr>
        <w:t>联</w:t>
      </w:r>
      <w:r>
        <w:rPr>
          <w:rFonts w:hint="eastAsia" w:ascii="宋体" w:hAnsi="宋体" w:cs="华文楷体"/>
          <w:spacing w:val="-2"/>
          <w:position w:val="-2"/>
          <w:sz w:val="24"/>
          <w:szCs w:val="24"/>
          <w:highlight w:val="none"/>
        </w:rPr>
        <w:t>合</w:t>
      </w:r>
      <w:r>
        <w:rPr>
          <w:rFonts w:hint="eastAsia" w:ascii="宋体" w:hAnsi="宋体" w:cs="华文楷体"/>
          <w:spacing w:val="2"/>
          <w:position w:val="-2"/>
          <w:sz w:val="24"/>
          <w:szCs w:val="24"/>
          <w:highlight w:val="none"/>
        </w:rPr>
        <w:t>体</w:t>
      </w:r>
      <w:r>
        <w:rPr>
          <w:rFonts w:hint="eastAsia" w:ascii="宋体" w:hAnsi="宋体" w:cs="华文楷体"/>
          <w:position w:val="-2"/>
          <w:sz w:val="24"/>
          <w:szCs w:val="24"/>
          <w:highlight w:val="none"/>
        </w:rPr>
        <w:t>投</w:t>
      </w:r>
      <w:r>
        <w:rPr>
          <w:rFonts w:hint="eastAsia" w:ascii="宋体" w:hAnsi="宋体" w:cs="华文楷体"/>
          <w:spacing w:val="2"/>
          <w:position w:val="-2"/>
          <w:sz w:val="24"/>
          <w:szCs w:val="24"/>
          <w:highlight w:val="none"/>
        </w:rPr>
        <w:t>标</w:t>
      </w:r>
      <w:r>
        <w:rPr>
          <w:rFonts w:hint="eastAsia" w:ascii="宋体" w:hAnsi="宋体" w:cs="华文楷体"/>
          <w:position w:val="-2"/>
          <w:sz w:val="24"/>
          <w:szCs w:val="24"/>
          <w:highlight w:val="none"/>
        </w:rPr>
        <w:t>事</w:t>
      </w:r>
      <w:r>
        <w:rPr>
          <w:rFonts w:hint="eastAsia" w:ascii="宋体" w:hAnsi="宋体" w:cs="华文楷体"/>
          <w:spacing w:val="2"/>
          <w:position w:val="-2"/>
          <w:sz w:val="24"/>
          <w:szCs w:val="24"/>
          <w:highlight w:val="none"/>
        </w:rPr>
        <w:t>宜订</w:t>
      </w:r>
      <w:r>
        <w:rPr>
          <w:rFonts w:hint="eastAsia" w:ascii="宋体" w:hAnsi="宋体" w:cs="华文楷体"/>
          <w:position w:val="-2"/>
          <w:sz w:val="24"/>
          <w:szCs w:val="24"/>
          <w:highlight w:val="none"/>
        </w:rPr>
        <w:t>立</w:t>
      </w:r>
      <w:r>
        <w:rPr>
          <w:rFonts w:hint="eastAsia" w:ascii="宋体" w:hAnsi="宋体" w:cs="华文楷体"/>
          <w:spacing w:val="2"/>
          <w:position w:val="-2"/>
          <w:sz w:val="24"/>
          <w:szCs w:val="24"/>
          <w:highlight w:val="none"/>
        </w:rPr>
        <w:t>如</w:t>
      </w:r>
      <w:r>
        <w:rPr>
          <w:rFonts w:hint="eastAsia" w:ascii="宋体" w:hAnsi="宋体" w:cs="华文楷体"/>
          <w:position w:val="-2"/>
          <w:sz w:val="24"/>
          <w:szCs w:val="24"/>
          <w:highlight w:val="none"/>
        </w:rPr>
        <w:t>下</w:t>
      </w:r>
      <w:r>
        <w:rPr>
          <w:rFonts w:hint="eastAsia" w:ascii="宋体" w:hAnsi="宋体" w:cs="华文楷体"/>
          <w:spacing w:val="2"/>
          <w:position w:val="-2"/>
          <w:sz w:val="24"/>
          <w:szCs w:val="24"/>
          <w:highlight w:val="none"/>
        </w:rPr>
        <w:t>协</w:t>
      </w:r>
      <w:r>
        <w:rPr>
          <w:rFonts w:hint="eastAsia" w:ascii="宋体" w:hAnsi="宋体" w:cs="华文楷体"/>
          <w:position w:val="-2"/>
          <w:sz w:val="24"/>
          <w:szCs w:val="24"/>
          <w:highlight w:val="none"/>
        </w:rPr>
        <w:t>议。</w:t>
      </w:r>
    </w:p>
    <w:p w14:paraId="1B0EAC89">
      <w:pPr>
        <w:tabs>
          <w:tab w:val="left" w:pos="2660"/>
          <w:tab w:val="left" w:pos="5600"/>
        </w:tabs>
        <w:spacing w:line="360" w:lineRule="auto"/>
        <w:ind w:right="-23" w:firstLine="480" w:firstLineChars="200"/>
        <w:jc w:val="left"/>
        <w:rPr>
          <w:rFonts w:ascii="宋体" w:hAnsi="宋体" w:cs="华文楷体"/>
          <w:sz w:val="24"/>
          <w:szCs w:val="24"/>
          <w:highlight w:val="none"/>
        </w:rPr>
      </w:pPr>
      <w:r>
        <w:rPr>
          <w:rFonts w:hint="eastAsia" w:ascii="宋体" w:hAnsi="宋体" w:cs="华文楷体"/>
          <w:position w:val="-1"/>
          <w:sz w:val="24"/>
          <w:szCs w:val="24"/>
          <w:highlight w:val="none"/>
        </w:rPr>
        <w:t xml:space="preserve">1.  </w:t>
      </w:r>
      <w:r>
        <w:rPr>
          <w:rFonts w:hint="eastAsia" w:ascii="宋体" w:hAnsi="宋体" w:cs="华文楷体"/>
          <w:position w:val="-1"/>
          <w:sz w:val="24"/>
          <w:szCs w:val="24"/>
          <w:highlight w:val="none"/>
          <w:u w:val="single"/>
        </w:rPr>
        <w:t xml:space="preserve"> </w:t>
      </w:r>
      <w:r>
        <w:rPr>
          <w:rFonts w:hint="eastAsia" w:ascii="宋体" w:hAnsi="宋体" w:cs="华文楷体"/>
          <w:position w:val="-1"/>
          <w:sz w:val="24"/>
          <w:szCs w:val="24"/>
          <w:highlight w:val="none"/>
          <w:u w:val="single"/>
        </w:rPr>
        <w:tab/>
      </w:r>
      <w:r>
        <w:rPr>
          <w:rFonts w:hint="eastAsia" w:ascii="宋体" w:hAnsi="宋体" w:cs="华文楷体"/>
          <w:spacing w:val="-2"/>
          <w:position w:val="-1"/>
          <w:sz w:val="24"/>
          <w:szCs w:val="24"/>
          <w:highlight w:val="none"/>
        </w:rPr>
        <w:t>（</w:t>
      </w:r>
      <w:r>
        <w:rPr>
          <w:rFonts w:hint="eastAsia" w:ascii="宋体" w:hAnsi="宋体" w:cs="华文楷体"/>
          <w:position w:val="-1"/>
          <w:sz w:val="24"/>
          <w:szCs w:val="24"/>
          <w:highlight w:val="none"/>
        </w:rPr>
        <w:t>某成</w:t>
      </w:r>
      <w:r>
        <w:rPr>
          <w:rFonts w:hint="eastAsia" w:ascii="宋体" w:hAnsi="宋体" w:cs="华文楷体"/>
          <w:spacing w:val="-2"/>
          <w:position w:val="-1"/>
          <w:sz w:val="24"/>
          <w:szCs w:val="24"/>
          <w:highlight w:val="none"/>
        </w:rPr>
        <w:t>员</w:t>
      </w:r>
      <w:r>
        <w:rPr>
          <w:rFonts w:hint="eastAsia" w:ascii="宋体" w:hAnsi="宋体" w:cs="华文楷体"/>
          <w:position w:val="-1"/>
          <w:sz w:val="24"/>
          <w:szCs w:val="24"/>
          <w:highlight w:val="none"/>
        </w:rPr>
        <w:t>单</w:t>
      </w:r>
      <w:r>
        <w:rPr>
          <w:rFonts w:hint="eastAsia" w:ascii="宋体" w:hAnsi="宋体" w:cs="华文楷体"/>
          <w:spacing w:val="-2"/>
          <w:position w:val="-1"/>
          <w:sz w:val="24"/>
          <w:szCs w:val="24"/>
          <w:highlight w:val="none"/>
        </w:rPr>
        <w:t>位</w:t>
      </w:r>
      <w:r>
        <w:rPr>
          <w:rFonts w:hint="eastAsia" w:ascii="宋体" w:hAnsi="宋体" w:cs="华文楷体"/>
          <w:position w:val="-1"/>
          <w:sz w:val="24"/>
          <w:szCs w:val="24"/>
          <w:highlight w:val="none"/>
        </w:rPr>
        <w:t>名</w:t>
      </w:r>
      <w:r>
        <w:rPr>
          <w:rFonts w:hint="eastAsia" w:ascii="宋体" w:hAnsi="宋体" w:cs="华文楷体"/>
          <w:spacing w:val="-2"/>
          <w:position w:val="-1"/>
          <w:sz w:val="24"/>
          <w:szCs w:val="24"/>
          <w:highlight w:val="none"/>
        </w:rPr>
        <w:t>称</w:t>
      </w:r>
      <w:r>
        <w:rPr>
          <w:rFonts w:hint="eastAsia" w:ascii="宋体" w:hAnsi="宋体" w:cs="华文楷体"/>
          <w:position w:val="-1"/>
          <w:sz w:val="24"/>
          <w:szCs w:val="24"/>
          <w:highlight w:val="none"/>
        </w:rPr>
        <w:t>）</w:t>
      </w:r>
      <w:r>
        <w:rPr>
          <w:rFonts w:hint="eastAsia" w:ascii="宋体" w:hAnsi="宋体" w:cs="华文楷体"/>
          <w:spacing w:val="-3"/>
          <w:position w:val="-1"/>
          <w:sz w:val="24"/>
          <w:szCs w:val="24"/>
          <w:highlight w:val="none"/>
        </w:rPr>
        <w:t>为</w:t>
      </w:r>
      <w:r>
        <w:rPr>
          <w:rFonts w:hint="eastAsia" w:ascii="宋体" w:hAnsi="宋体" w:cs="华文楷体"/>
          <w:position w:val="-1"/>
          <w:sz w:val="24"/>
          <w:szCs w:val="24"/>
          <w:highlight w:val="none"/>
          <w:u w:val="single"/>
        </w:rPr>
        <w:t xml:space="preserve"> </w:t>
      </w:r>
      <w:r>
        <w:rPr>
          <w:rFonts w:hint="eastAsia" w:ascii="宋体" w:hAnsi="宋体" w:cs="华文楷体"/>
          <w:spacing w:val="1"/>
          <w:position w:val="-1"/>
          <w:sz w:val="24"/>
          <w:szCs w:val="24"/>
          <w:highlight w:val="none"/>
          <w:u w:val="single"/>
        </w:rPr>
        <w:t xml:space="preserve"> </w:t>
      </w:r>
      <w:r>
        <w:rPr>
          <w:rFonts w:hint="eastAsia" w:ascii="宋体" w:hAnsi="宋体" w:cs="华文楷体"/>
          <w:position w:val="-1"/>
          <w:sz w:val="24"/>
          <w:szCs w:val="24"/>
          <w:highlight w:val="none"/>
          <w:u w:val="single"/>
        </w:rPr>
        <w:tab/>
      </w:r>
      <w:r>
        <w:rPr>
          <w:rFonts w:hint="eastAsia" w:ascii="宋体" w:hAnsi="宋体" w:cs="华文楷体"/>
          <w:spacing w:val="-2"/>
          <w:position w:val="-1"/>
          <w:sz w:val="24"/>
          <w:szCs w:val="24"/>
          <w:highlight w:val="none"/>
        </w:rPr>
        <w:t>（</w:t>
      </w:r>
      <w:r>
        <w:rPr>
          <w:rFonts w:hint="eastAsia" w:ascii="宋体" w:hAnsi="宋体" w:cs="华文楷体"/>
          <w:position w:val="-1"/>
          <w:sz w:val="24"/>
          <w:szCs w:val="24"/>
          <w:highlight w:val="none"/>
        </w:rPr>
        <w:t>联</w:t>
      </w:r>
      <w:r>
        <w:rPr>
          <w:rFonts w:hint="eastAsia" w:ascii="宋体" w:hAnsi="宋体" w:cs="华文楷体"/>
          <w:spacing w:val="-2"/>
          <w:position w:val="-1"/>
          <w:sz w:val="24"/>
          <w:szCs w:val="24"/>
          <w:highlight w:val="none"/>
        </w:rPr>
        <w:t>合</w:t>
      </w:r>
      <w:r>
        <w:rPr>
          <w:rFonts w:hint="eastAsia" w:ascii="宋体" w:hAnsi="宋体" w:cs="华文楷体"/>
          <w:position w:val="-1"/>
          <w:sz w:val="24"/>
          <w:szCs w:val="24"/>
          <w:highlight w:val="none"/>
        </w:rPr>
        <w:t>体</w:t>
      </w:r>
      <w:r>
        <w:rPr>
          <w:rFonts w:hint="eastAsia" w:ascii="宋体" w:hAnsi="宋体" w:cs="华文楷体"/>
          <w:spacing w:val="-2"/>
          <w:position w:val="-1"/>
          <w:sz w:val="24"/>
          <w:szCs w:val="24"/>
          <w:highlight w:val="none"/>
        </w:rPr>
        <w:t>名</w:t>
      </w:r>
      <w:r>
        <w:rPr>
          <w:rFonts w:hint="eastAsia" w:ascii="宋体" w:hAnsi="宋体" w:cs="华文楷体"/>
          <w:position w:val="-1"/>
          <w:sz w:val="24"/>
          <w:szCs w:val="24"/>
          <w:highlight w:val="none"/>
        </w:rPr>
        <w:t>称</w:t>
      </w:r>
      <w:r>
        <w:rPr>
          <w:rFonts w:hint="eastAsia" w:ascii="宋体" w:hAnsi="宋体" w:cs="华文楷体"/>
          <w:spacing w:val="-2"/>
          <w:position w:val="-1"/>
          <w:sz w:val="24"/>
          <w:szCs w:val="24"/>
          <w:highlight w:val="none"/>
        </w:rPr>
        <w:t>）</w:t>
      </w:r>
      <w:r>
        <w:rPr>
          <w:rFonts w:hint="eastAsia" w:ascii="宋体" w:hAnsi="宋体" w:cs="华文楷体"/>
          <w:position w:val="-1"/>
          <w:sz w:val="24"/>
          <w:szCs w:val="24"/>
          <w:highlight w:val="none"/>
        </w:rPr>
        <w:t>牵</w:t>
      </w:r>
      <w:r>
        <w:rPr>
          <w:rFonts w:hint="eastAsia" w:ascii="宋体" w:hAnsi="宋体" w:cs="华文楷体"/>
          <w:spacing w:val="-2"/>
          <w:position w:val="-1"/>
          <w:sz w:val="24"/>
          <w:szCs w:val="24"/>
          <w:highlight w:val="none"/>
        </w:rPr>
        <w:t>头人</w:t>
      </w:r>
      <w:r>
        <w:rPr>
          <w:rFonts w:hint="eastAsia" w:ascii="宋体" w:hAnsi="宋体" w:cs="华文楷体"/>
          <w:position w:val="-1"/>
          <w:sz w:val="24"/>
          <w:szCs w:val="24"/>
          <w:highlight w:val="none"/>
        </w:rPr>
        <w:t>。</w:t>
      </w:r>
    </w:p>
    <w:p w14:paraId="49791065">
      <w:pPr>
        <w:spacing w:before="78" w:line="360" w:lineRule="auto"/>
        <w:ind w:firstLine="480" w:firstLineChars="200"/>
        <w:jc w:val="left"/>
        <w:rPr>
          <w:rFonts w:ascii="宋体" w:hAnsi="宋体" w:cs="华文楷体"/>
          <w:sz w:val="24"/>
          <w:szCs w:val="24"/>
          <w:highlight w:val="none"/>
        </w:rPr>
      </w:pPr>
      <w:r>
        <w:rPr>
          <w:rFonts w:hint="eastAsia" w:ascii="宋体" w:hAnsi="宋体" w:cs="华文楷体"/>
          <w:sz w:val="24"/>
          <w:szCs w:val="24"/>
          <w:highlight w:val="none"/>
        </w:rPr>
        <w:t xml:space="preserve">2. </w:t>
      </w:r>
      <w:r>
        <w:rPr>
          <w:rFonts w:hint="eastAsia" w:ascii="宋体" w:hAnsi="宋体" w:cs="华文楷体"/>
          <w:spacing w:val="1"/>
          <w:sz w:val="24"/>
          <w:szCs w:val="24"/>
          <w:highlight w:val="none"/>
        </w:rPr>
        <w:t xml:space="preserve"> </w:t>
      </w:r>
      <w:r>
        <w:rPr>
          <w:rFonts w:hint="eastAsia" w:ascii="宋体" w:hAnsi="宋体" w:cs="华文楷体"/>
          <w:spacing w:val="-2"/>
          <w:sz w:val="24"/>
          <w:szCs w:val="24"/>
          <w:highlight w:val="none"/>
        </w:rPr>
        <w:t>联</w:t>
      </w:r>
      <w:r>
        <w:rPr>
          <w:rFonts w:hint="eastAsia" w:ascii="宋体" w:hAnsi="宋体" w:cs="华文楷体"/>
          <w:sz w:val="24"/>
          <w:szCs w:val="24"/>
          <w:highlight w:val="none"/>
        </w:rPr>
        <w:t>合</w:t>
      </w:r>
      <w:r>
        <w:rPr>
          <w:rFonts w:hint="eastAsia" w:ascii="宋体" w:hAnsi="宋体" w:cs="华文楷体"/>
          <w:spacing w:val="-2"/>
          <w:sz w:val="24"/>
          <w:szCs w:val="24"/>
          <w:highlight w:val="none"/>
        </w:rPr>
        <w:t>体</w:t>
      </w:r>
      <w:r>
        <w:rPr>
          <w:rFonts w:hint="eastAsia" w:ascii="宋体" w:hAnsi="宋体" w:cs="华文楷体"/>
          <w:sz w:val="24"/>
          <w:szCs w:val="24"/>
          <w:highlight w:val="none"/>
        </w:rPr>
        <w:t>各</w:t>
      </w:r>
      <w:r>
        <w:rPr>
          <w:rFonts w:hint="eastAsia" w:ascii="宋体" w:hAnsi="宋体" w:cs="华文楷体"/>
          <w:spacing w:val="-2"/>
          <w:sz w:val="24"/>
          <w:szCs w:val="24"/>
          <w:highlight w:val="none"/>
        </w:rPr>
        <w:t>成</w:t>
      </w:r>
      <w:r>
        <w:rPr>
          <w:rFonts w:hint="eastAsia" w:ascii="宋体" w:hAnsi="宋体" w:cs="华文楷体"/>
          <w:sz w:val="24"/>
          <w:szCs w:val="24"/>
          <w:highlight w:val="none"/>
        </w:rPr>
        <w:t>员</w:t>
      </w:r>
      <w:r>
        <w:rPr>
          <w:rFonts w:hint="eastAsia" w:ascii="宋体" w:hAnsi="宋体" w:cs="华文楷体"/>
          <w:spacing w:val="-2"/>
          <w:sz w:val="24"/>
          <w:szCs w:val="24"/>
          <w:highlight w:val="none"/>
        </w:rPr>
        <w:t>授</w:t>
      </w:r>
      <w:r>
        <w:rPr>
          <w:rFonts w:hint="eastAsia" w:ascii="宋体" w:hAnsi="宋体" w:cs="华文楷体"/>
          <w:sz w:val="24"/>
          <w:szCs w:val="24"/>
          <w:highlight w:val="none"/>
        </w:rPr>
        <w:t>权</w:t>
      </w:r>
      <w:r>
        <w:rPr>
          <w:rFonts w:hint="eastAsia" w:ascii="宋体" w:hAnsi="宋体" w:cs="华文楷体"/>
          <w:spacing w:val="-2"/>
          <w:sz w:val="24"/>
          <w:szCs w:val="24"/>
          <w:highlight w:val="none"/>
        </w:rPr>
        <w:t>牵头</w:t>
      </w:r>
      <w:r>
        <w:rPr>
          <w:rFonts w:hint="eastAsia" w:ascii="宋体" w:hAnsi="宋体" w:cs="华文楷体"/>
          <w:sz w:val="24"/>
          <w:szCs w:val="24"/>
          <w:highlight w:val="none"/>
        </w:rPr>
        <w:t>人代</w:t>
      </w:r>
      <w:r>
        <w:rPr>
          <w:rFonts w:hint="eastAsia" w:ascii="宋体" w:hAnsi="宋体" w:cs="华文楷体"/>
          <w:spacing w:val="-2"/>
          <w:sz w:val="24"/>
          <w:szCs w:val="24"/>
          <w:highlight w:val="none"/>
        </w:rPr>
        <w:t>表</w:t>
      </w:r>
      <w:r>
        <w:rPr>
          <w:rFonts w:hint="eastAsia" w:ascii="宋体" w:hAnsi="宋体" w:cs="华文楷体"/>
          <w:sz w:val="24"/>
          <w:szCs w:val="24"/>
          <w:highlight w:val="none"/>
        </w:rPr>
        <w:t>联</w:t>
      </w:r>
      <w:r>
        <w:rPr>
          <w:rFonts w:hint="eastAsia" w:ascii="宋体" w:hAnsi="宋体" w:cs="华文楷体"/>
          <w:spacing w:val="-2"/>
          <w:sz w:val="24"/>
          <w:szCs w:val="24"/>
          <w:highlight w:val="none"/>
        </w:rPr>
        <w:t>合</w:t>
      </w:r>
      <w:r>
        <w:rPr>
          <w:rFonts w:hint="eastAsia" w:ascii="宋体" w:hAnsi="宋体" w:cs="华文楷体"/>
          <w:sz w:val="24"/>
          <w:szCs w:val="24"/>
          <w:highlight w:val="none"/>
        </w:rPr>
        <w:t>体</w:t>
      </w:r>
      <w:r>
        <w:rPr>
          <w:rFonts w:hint="eastAsia" w:ascii="宋体" w:hAnsi="宋体" w:cs="华文楷体"/>
          <w:spacing w:val="-2"/>
          <w:sz w:val="24"/>
          <w:szCs w:val="24"/>
          <w:highlight w:val="none"/>
        </w:rPr>
        <w:t>参</w:t>
      </w:r>
      <w:r>
        <w:rPr>
          <w:rFonts w:hint="eastAsia" w:ascii="宋体" w:hAnsi="宋体" w:cs="华文楷体"/>
          <w:sz w:val="24"/>
          <w:szCs w:val="24"/>
          <w:highlight w:val="none"/>
        </w:rPr>
        <w:t>加</w:t>
      </w:r>
      <w:r>
        <w:rPr>
          <w:rFonts w:hint="eastAsia" w:ascii="宋体" w:hAnsi="宋体" w:cs="华文楷体"/>
          <w:spacing w:val="-2"/>
          <w:sz w:val="24"/>
          <w:szCs w:val="24"/>
          <w:highlight w:val="none"/>
        </w:rPr>
        <w:t>投</w:t>
      </w:r>
      <w:r>
        <w:rPr>
          <w:rFonts w:hint="eastAsia" w:ascii="宋体" w:hAnsi="宋体" w:cs="华文楷体"/>
          <w:sz w:val="24"/>
          <w:szCs w:val="24"/>
          <w:highlight w:val="none"/>
        </w:rPr>
        <w:t>标</w:t>
      </w:r>
      <w:r>
        <w:rPr>
          <w:rFonts w:hint="eastAsia" w:ascii="宋体" w:hAnsi="宋体" w:cs="华文楷体"/>
          <w:spacing w:val="-2"/>
          <w:sz w:val="24"/>
          <w:szCs w:val="24"/>
          <w:highlight w:val="none"/>
        </w:rPr>
        <w:t>活</w:t>
      </w:r>
      <w:r>
        <w:rPr>
          <w:rFonts w:hint="eastAsia" w:ascii="宋体" w:hAnsi="宋体" w:cs="华文楷体"/>
          <w:sz w:val="24"/>
          <w:szCs w:val="24"/>
          <w:highlight w:val="none"/>
        </w:rPr>
        <w:t>动</w:t>
      </w:r>
      <w:r>
        <w:rPr>
          <w:rFonts w:hint="eastAsia" w:ascii="宋体" w:hAnsi="宋体" w:cs="华文楷体"/>
          <w:spacing w:val="-65"/>
          <w:sz w:val="24"/>
          <w:szCs w:val="24"/>
          <w:highlight w:val="none"/>
        </w:rPr>
        <w:t>，</w:t>
      </w:r>
      <w:r>
        <w:rPr>
          <w:rFonts w:hint="eastAsia" w:ascii="宋体" w:hAnsi="宋体" w:cs="华文楷体"/>
          <w:spacing w:val="-2"/>
          <w:sz w:val="24"/>
          <w:szCs w:val="24"/>
          <w:highlight w:val="none"/>
        </w:rPr>
        <w:t>签</w:t>
      </w:r>
      <w:r>
        <w:rPr>
          <w:rFonts w:hint="eastAsia" w:ascii="宋体" w:hAnsi="宋体" w:cs="华文楷体"/>
          <w:sz w:val="24"/>
          <w:szCs w:val="24"/>
          <w:highlight w:val="none"/>
        </w:rPr>
        <w:t>署</w:t>
      </w:r>
      <w:r>
        <w:rPr>
          <w:rFonts w:hint="eastAsia" w:ascii="宋体" w:hAnsi="宋体" w:cs="华文楷体"/>
          <w:spacing w:val="-2"/>
          <w:sz w:val="24"/>
          <w:szCs w:val="24"/>
          <w:highlight w:val="none"/>
        </w:rPr>
        <w:t>文</w:t>
      </w:r>
      <w:r>
        <w:rPr>
          <w:rFonts w:hint="eastAsia" w:ascii="宋体" w:hAnsi="宋体" w:cs="华文楷体"/>
          <w:sz w:val="24"/>
          <w:szCs w:val="24"/>
          <w:highlight w:val="none"/>
        </w:rPr>
        <w:t>件</w:t>
      </w:r>
      <w:r>
        <w:rPr>
          <w:rFonts w:hint="eastAsia" w:ascii="宋体" w:hAnsi="宋体" w:cs="华文楷体"/>
          <w:spacing w:val="-65"/>
          <w:sz w:val="24"/>
          <w:szCs w:val="24"/>
          <w:highlight w:val="none"/>
        </w:rPr>
        <w:t>，</w:t>
      </w:r>
      <w:r>
        <w:rPr>
          <w:rFonts w:hint="eastAsia" w:ascii="宋体" w:hAnsi="宋体" w:cs="华文楷体"/>
          <w:spacing w:val="-2"/>
          <w:sz w:val="24"/>
          <w:szCs w:val="24"/>
          <w:highlight w:val="none"/>
        </w:rPr>
        <w:t>提</w:t>
      </w:r>
      <w:r>
        <w:rPr>
          <w:rFonts w:hint="eastAsia" w:ascii="宋体" w:hAnsi="宋体" w:cs="华文楷体"/>
          <w:sz w:val="24"/>
          <w:szCs w:val="24"/>
          <w:highlight w:val="none"/>
        </w:rPr>
        <w:t>交</w:t>
      </w:r>
      <w:r>
        <w:rPr>
          <w:rFonts w:hint="eastAsia" w:ascii="宋体" w:hAnsi="宋体" w:cs="华文楷体"/>
          <w:spacing w:val="-2"/>
          <w:sz w:val="24"/>
          <w:szCs w:val="24"/>
          <w:highlight w:val="none"/>
        </w:rPr>
        <w:t>和</w:t>
      </w:r>
      <w:r>
        <w:rPr>
          <w:rFonts w:hint="eastAsia" w:ascii="宋体" w:hAnsi="宋体" w:cs="华文楷体"/>
          <w:sz w:val="24"/>
          <w:szCs w:val="24"/>
          <w:highlight w:val="none"/>
        </w:rPr>
        <w:t>接</w:t>
      </w:r>
      <w:r>
        <w:rPr>
          <w:rFonts w:hint="eastAsia" w:ascii="宋体" w:hAnsi="宋体" w:cs="华文楷体"/>
          <w:spacing w:val="-2"/>
          <w:sz w:val="24"/>
          <w:szCs w:val="24"/>
          <w:highlight w:val="none"/>
        </w:rPr>
        <w:t>收</w:t>
      </w:r>
      <w:r>
        <w:rPr>
          <w:rFonts w:hint="eastAsia" w:ascii="宋体" w:hAnsi="宋体" w:cs="华文楷体"/>
          <w:sz w:val="24"/>
          <w:szCs w:val="24"/>
          <w:highlight w:val="none"/>
        </w:rPr>
        <w:t>相关</w:t>
      </w:r>
      <w:r>
        <w:rPr>
          <w:rFonts w:hint="eastAsia" w:ascii="宋体" w:hAnsi="宋体" w:cs="华文楷体"/>
          <w:spacing w:val="-2"/>
          <w:sz w:val="24"/>
          <w:szCs w:val="24"/>
          <w:highlight w:val="none"/>
        </w:rPr>
        <w:t>的</w:t>
      </w:r>
      <w:r>
        <w:rPr>
          <w:rFonts w:hint="eastAsia" w:ascii="宋体" w:hAnsi="宋体" w:cs="华文楷体"/>
          <w:sz w:val="24"/>
          <w:szCs w:val="24"/>
          <w:highlight w:val="none"/>
        </w:rPr>
        <w:t>资</w:t>
      </w:r>
      <w:r>
        <w:rPr>
          <w:rFonts w:hint="eastAsia" w:ascii="宋体" w:hAnsi="宋体" w:cs="华文楷体"/>
          <w:spacing w:val="-2"/>
          <w:sz w:val="24"/>
          <w:szCs w:val="24"/>
          <w:highlight w:val="none"/>
        </w:rPr>
        <w:t>料</w:t>
      </w:r>
      <w:r>
        <w:rPr>
          <w:rFonts w:hint="eastAsia" w:ascii="宋体" w:hAnsi="宋体" w:cs="华文楷体"/>
          <w:sz w:val="24"/>
          <w:szCs w:val="24"/>
          <w:highlight w:val="none"/>
        </w:rPr>
        <w:t>、信息及指示，进</w:t>
      </w:r>
      <w:r>
        <w:rPr>
          <w:rFonts w:hint="eastAsia" w:ascii="宋体" w:hAnsi="宋体" w:cs="华文楷体"/>
          <w:spacing w:val="-2"/>
          <w:sz w:val="24"/>
          <w:szCs w:val="24"/>
          <w:highlight w:val="none"/>
        </w:rPr>
        <w:t>行</w:t>
      </w:r>
      <w:r>
        <w:rPr>
          <w:rFonts w:hint="eastAsia" w:ascii="宋体" w:hAnsi="宋体" w:cs="华文楷体"/>
          <w:sz w:val="24"/>
          <w:szCs w:val="24"/>
          <w:highlight w:val="none"/>
        </w:rPr>
        <w:t>合同</w:t>
      </w:r>
      <w:r>
        <w:rPr>
          <w:rFonts w:hint="eastAsia" w:ascii="宋体" w:hAnsi="宋体" w:cs="华文楷体"/>
          <w:spacing w:val="-2"/>
          <w:sz w:val="24"/>
          <w:szCs w:val="24"/>
          <w:highlight w:val="none"/>
        </w:rPr>
        <w:t>谈</w:t>
      </w:r>
      <w:r>
        <w:rPr>
          <w:rFonts w:hint="eastAsia" w:ascii="宋体" w:hAnsi="宋体" w:cs="华文楷体"/>
          <w:sz w:val="24"/>
          <w:szCs w:val="24"/>
          <w:highlight w:val="none"/>
        </w:rPr>
        <w:t>判活动，负责合</w:t>
      </w:r>
      <w:r>
        <w:rPr>
          <w:rFonts w:hint="eastAsia" w:ascii="宋体" w:hAnsi="宋体" w:cs="华文楷体"/>
          <w:spacing w:val="-2"/>
          <w:sz w:val="24"/>
          <w:szCs w:val="24"/>
          <w:highlight w:val="none"/>
        </w:rPr>
        <w:t>同</w:t>
      </w:r>
      <w:r>
        <w:rPr>
          <w:rFonts w:hint="eastAsia" w:ascii="宋体" w:hAnsi="宋体" w:cs="华文楷体"/>
          <w:sz w:val="24"/>
          <w:szCs w:val="24"/>
          <w:highlight w:val="none"/>
        </w:rPr>
        <w:t>实施</w:t>
      </w:r>
      <w:r>
        <w:rPr>
          <w:rFonts w:hint="eastAsia" w:ascii="宋体" w:hAnsi="宋体" w:cs="华文楷体"/>
          <w:spacing w:val="-2"/>
          <w:sz w:val="24"/>
          <w:szCs w:val="24"/>
          <w:highlight w:val="none"/>
        </w:rPr>
        <w:t>阶</w:t>
      </w:r>
      <w:r>
        <w:rPr>
          <w:rFonts w:hint="eastAsia" w:ascii="宋体" w:hAnsi="宋体" w:cs="华文楷体"/>
          <w:sz w:val="24"/>
          <w:szCs w:val="24"/>
          <w:highlight w:val="none"/>
        </w:rPr>
        <w:t>段的组织和协调</w:t>
      </w:r>
      <w:r>
        <w:rPr>
          <w:rFonts w:hint="eastAsia" w:ascii="宋体" w:hAnsi="宋体" w:cs="华文楷体"/>
          <w:spacing w:val="-2"/>
          <w:sz w:val="24"/>
          <w:szCs w:val="24"/>
          <w:highlight w:val="none"/>
        </w:rPr>
        <w:t>工</w:t>
      </w:r>
      <w:r>
        <w:rPr>
          <w:rFonts w:hint="eastAsia" w:ascii="宋体" w:hAnsi="宋体" w:cs="华文楷体"/>
          <w:sz w:val="24"/>
          <w:szCs w:val="24"/>
          <w:highlight w:val="none"/>
        </w:rPr>
        <w:t>作，</w:t>
      </w:r>
      <w:r>
        <w:rPr>
          <w:rFonts w:hint="eastAsia" w:ascii="宋体" w:hAnsi="宋体" w:cs="华文楷体"/>
          <w:spacing w:val="-2"/>
          <w:sz w:val="24"/>
          <w:szCs w:val="24"/>
          <w:highlight w:val="none"/>
        </w:rPr>
        <w:t>以</w:t>
      </w:r>
      <w:r>
        <w:rPr>
          <w:rFonts w:hint="eastAsia" w:ascii="宋体" w:hAnsi="宋体" w:cs="华文楷体"/>
          <w:sz w:val="24"/>
          <w:szCs w:val="24"/>
          <w:highlight w:val="none"/>
        </w:rPr>
        <w:t>及处理与本招</w:t>
      </w:r>
      <w:r>
        <w:rPr>
          <w:rFonts w:hint="eastAsia" w:ascii="宋体" w:hAnsi="宋体" w:cs="华文楷体"/>
          <w:spacing w:val="-2"/>
          <w:sz w:val="24"/>
          <w:szCs w:val="24"/>
          <w:highlight w:val="none"/>
        </w:rPr>
        <w:t>标</w:t>
      </w:r>
      <w:r>
        <w:rPr>
          <w:rFonts w:hint="eastAsia" w:ascii="宋体" w:hAnsi="宋体" w:cs="华文楷体"/>
          <w:sz w:val="24"/>
          <w:szCs w:val="24"/>
          <w:highlight w:val="none"/>
        </w:rPr>
        <w:t>项目有</w:t>
      </w:r>
      <w:r>
        <w:rPr>
          <w:rFonts w:hint="eastAsia" w:ascii="宋体" w:hAnsi="宋体" w:cs="华文楷体"/>
          <w:spacing w:val="-2"/>
          <w:sz w:val="24"/>
          <w:szCs w:val="24"/>
          <w:highlight w:val="none"/>
        </w:rPr>
        <w:t>关</w:t>
      </w:r>
      <w:r>
        <w:rPr>
          <w:rFonts w:hint="eastAsia" w:ascii="宋体" w:hAnsi="宋体" w:cs="华文楷体"/>
          <w:sz w:val="24"/>
          <w:szCs w:val="24"/>
          <w:highlight w:val="none"/>
        </w:rPr>
        <w:t>的</w:t>
      </w:r>
      <w:r>
        <w:rPr>
          <w:rFonts w:hint="eastAsia" w:ascii="宋体" w:hAnsi="宋体" w:cs="华文楷体"/>
          <w:spacing w:val="-2"/>
          <w:sz w:val="24"/>
          <w:szCs w:val="24"/>
          <w:highlight w:val="none"/>
        </w:rPr>
        <w:t>一</w:t>
      </w:r>
      <w:r>
        <w:rPr>
          <w:rFonts w:hint="eastAsia" w:ascii="宋体" w:hAnsi="宋体" w:cs="华文楷体"/>
          <w:sz w:val="24"/>
          <w:szCs w:val="24"/>
          <w:highlight w:val="none"/>
        </w:rPr>
        <w:t>切</w:t>
      </w:r>
      <w:r>
        <w:rPr>
          <w:rFonts w:hint="eastAsia" w:ascii="宋体" w:hAnsi="宋体" w:cs="华文楷体"/>
          <w:spacing w:val="-2"/>
          <w:sz w:val="24"/>
          <w:szCs w:val="24"/>
          <w:highlight w:val="none"/>
        </w:rPr>
        <w:t>事</w:t>
      </w:r>
      <w:r>
        <w:rPr>
          <w:rFonts w:hint="eastAsia" w:ascii="宋体" w:hAnsi="宋体" w:cs="华文楷体"/>
          <w:sz w:val="24"/>
          <w:szCs w:val="24"/>
          <w:highlight w:val="none"/>
        </w:rPr>
        <w:t>宜。</w:t>
      </w:r>
    </w:p>
    <w:p w14:paraId="106C7A66">
      <w:pPr>
        <w:spacing w:before="16" w:line="360" w:lineRule="auto"/>
        <w:ind w:firstLine="480" w:firstLineChars="200"/>
        <w:jc w:val="left"/>
        <w:rPr>
          <w:rFonts w:ascii="宋体" w:hAnsi="宋体" w:cs="华文楷体"/>
          <w:sz w:val="24"/>
          <w:szCs w:val="24"/>
          <w:highlight w:val="none"/>
        </w:rPr>
      </w:pPr>
      <w:r>
        <w:rPr>
          <w:rFonts w:hint="eastAsia" w:ascii="宋体" w:hAnsi="宋体" w:cs="华文楷体"/>
          <w:sz w:val="24"/>
          <w:szCs w:val="24"/>
          <w:highlight w:val="none"/>
        </w:rPr>
        <w:t xml:space="preserve">3. </w:t>
      </w:r>
      <w:r>
        <w:rPr>
          <w:rFonts w:hint="eastAsia" w:ascii="宋体" w:hAnsi="宋体" w:cs="华文楷体"/>
          <w:spacing w:val="1"/>
          <w:sz w:val="24"/>
          <w:szCs w:val="24"/>
          <w:highlight w:val="none"/>
        </w:rPr>
        <w:t xml:space="preserve"> </w:t>
      </w:r>
      <w:r>
        <w:rPr>
          <w:rFonts w:hint="eastAsia" w:ascii="宋体" w:hAnsi="宋体" w:cs="华文楷体"/>
          <w:spacing w:val="-2"/>
          <w:sz w:val="24"/>
          <w:szCs w:val="24"/>
          <w:highlight w:val="none"/>
        </w:rPr>
        <w:t>联</w:t>
      </w:r>
      <w:r>
        <w:rPr>
          <w:rFonts w:hint="eastAsia" w:ascii="宋体" w:hAnsi="宋体" w:cs="华文楷体"/>
          <w:sz w:val="24"/>
          <w:szCs w:val="24"/>
          <w:highlight w:val="none"/>
        </w:rPr>
        <w:t>合</w:t>
      </w:r>
      <w:r>
        <w:rPr>
          <w:rFonts w:hint="eastAsia" w:ascii="宋体" w:hAnsi="宋体" w:cs="华文楷体"/>
          <w:spacing w:val="-2"/>
          <w:sz w:val="24"/>
          <w:szCs w:val="24"/>
          <w:highlight w:val="none"/>
        </w:rPr>
        <w:t>体</w:t>
      </w:r>
      <w:r>
        <w:rPr>
          <w:rFonts w:hint="eastAsia" w:ascii="宋体" w:hAnsi="宋体" w:cs="华文楷体"/>
          <w:sz w:val="24"/>
          <w:szCs w:val="24"/>
          <w:highlight w:val="none"/>
        </w:rPr>
        <w:t>牵</w:t>
      </w:r>
      <w:r>
        <w:rPr>
          <w:rFonts w:hint="eastAsia" w:ascii="宋体" w:hAnsi="宋体" w:cs="华文楷体"/>
          <w:spacing w:val="-2"/>
          <w:sz w:val="24"/>
          <w:szCs w:val="24"/>
          <w:highlight w:val="none"/>
        </w:rPr>
        <w:t>头</w:t>
      </w:r>
      <w:r>
        <w:rPr>
          <w:rFonts w:hint="eastAsia" w:ascii="宋体" w:hAnsi="宋体" w:cs="华文楷体"/>
          <w:sz w:val="24"/>
          <w:szCs w:val="24"/>
          <w:highlight w:val="none"/>
        </w:rPr>
        <w:t>人</w:t>
      </w:r>
      <w:r>
        <w:rPr>
          <w:rFonts w:hint="eastAsia" w:ascii="宋体" w:hAnsi="宋体" w:cs="华文楷体"/>
          <w:spacing w:val="-2"/>
          <w:sz w:val="24"/>
          <w:szCs w:val="24"/>
          <w:highlight w:val="none"/>
        </w:rPr>
        <w:t>在</w:t>
      </w:r>
      <w:r>
        <w:rPr>
          <w:rFonts w:hint="eastAsia" w:ascii="宋体" w:hAnsi="宋体" w:cs="华文楷体"/>
          <w:sz w:val="24"/>
          <w:szCs w:val="24"/>
          <w:highlight w:val="none"/>
        </w:rPr>
        <w:t>本</w:t>
      </w:r>
      <w:r>
        <w:rPr>
          <w:rFonts w:hint="eastAsia" w:ascii="宋体" w:hAnsi="宋体" w:cs="华文楷体"/>
          <w:spacing w:val="-2"/>
          <w:sz w:val="24"/>
          <w:szCs w:val="24"/>
          <w:highlight w:val="none"/>
        </w:rPr>
        <w:t>项目</w:t>
      </w:r>
      <w:r>
        <w:rPr>
          <w:rFonts w:hint="eastAsia" w:ascii="宋体" w:hAnsi="宋体" w:cs="华文楷体"/>
          <w:sz w:val="24"/>
          <w:szCs w:val="24"/>
          <w:highlight w:val="none"/>
        </w:rPr>
        <w:t>中签</w:t>
      </w:r>
      <w:r>
        <w:rPr>
          <w:rFonts w:hint="eastAsia" w:ascii="宋体" w:hAnsi="宋体" w:cs="华文楷体"/>
          <w:spacing w:val="-2"/>
          <w:sz w:val="24"/>
          <w:szCs w:val="24"/>
          <w:highlight w:val="none"/>
        </w:rPr>
        <w:t>署</w:t>
      </w:r>
      <w:r>
        <w:rPr>
          <w:rFonts w:hint="eastAsia" w:ascii="宋体" w:hAnsi="宋体" w:cs="华文楷体"/>
          <w:sz w:val="24"/>
          <w:szCs w:val="24"/>
          <w:highlight w:val="none"/>
        </w:rPr>
        <w:t>的</w:t>
      </w:r>
      <w:r>
        <w:rPr>
          <w:rFonts w:hint="eastAsia" w:ascii="宋体" w:hAnsi="宋体" w:cs="华文楷体"/>
          <w:spacing w:val="-2"/>
          <w:sz w:val="24"/>
          <w:szCs w:val="24"/>
          <w:highlight w:val="none"/>
        </w:rPr>
        <w:t>一</w:t>
      </w:r>
      <w:r>
        <w:rPr>
          <w:rFonts w:hint="eastAsia" w:ascii="宋体" w:hAnsi="宋体" w:cs="华文楷体"/>
          <w:sz w:val="24"/>
          <w:szCs w:val="24"/>
          <w:highlight w:val="none"/>
        </w:rPr>
        <w:t>切</w:t>
      </w:r>
      <w:r>
        <w:rPr>
          <w:rFonts w:hint="eastAsia" w:ascii="宋体" w:hAnsi="宋体" w:cs="华文楷体"/>
          <w:spacing w:val="-2"/>
          <w:sz w:val="24"/>
          <w:szCs w:val="24"/>
          <w:highlight w:val="none"/>
        </w:rPr>
        <w:t>文</w:t>
      </w:r>
      <w:r>
        <w:rPr>
          <w:rFonts w:hint="eastAsia" w:ascii="宋体" w:hAnsi="宋体" w:cs="华文楷体"/>
          <w:sz w:val="24"/>
          <w:szCs w:val="24"/>
          <w:highlight w:val="none"/>
        </w:rPr>
        <w:t>件</w:t>
      </w:r>
      <w:r>
        <w:rPr>
          <w:rFonts w:hint="eastAsia" w:ascii="宋体" w:hAnsi="宋体" w:cs="华文楷体"/>
          <w:spacing w:val="-2"/>
          <w:sz w:val="24"/>
          <w:szCs w:val="24"/>
          <w:highlight w:val="none"/>
        </w:rPr>
        <w:t>和</w:t>
      </w:r>
      <w:r>
        <w:rPr>
          <w:rFonts w:hint="eastAsia" w:ascii="宋体" w:hAnsi="宋体" w:cs="华文楷体"/>
          <w:sz w:val="24"/>
          <w:szCs w:val="24"/>
          <w:highlight w:val="none"/>
        </w:rPr>
        <w:t>处</w:t>
      </w:r>
      <w:r>
        <w:rPr>
          <w:rFonts w:hint="eastAsia" w:ascii="宋体" w:hAnsi="宋体" w:cs="华文楷体"/>
          <w:spacing w:val="-2"/>
          <w:sz w:val="24"/>
          <w:szCs w:val="24"/>
          <w:highlight w:val="none"/>
        </w:rPr>
        <w:t>理</w:t>
      </w:r>
      <w:r>
        <w:rPr>
          <w:rFonts w:hint="eastAsia" w:ascii="宋体" w:hAnsi="宋体" w:cs="华文楷体"/>
          <w:sz w:val="24"/>
          <w:szCs w:val="24"/>
          <w:highlight w:val="none"/>
        </w:rPr>
        <w:t>的一</w:t>
      </w:r>
      <w:r>
        <w:rPr>
          <w:rFonts w:hint="eastAsia" w:ascii="宋体" w:hAnsi="宋体" w:cs="华文楷体"/>
          <w:spacing w:val="-2"/>
          <w:sz w:val="24"/>
          <w:szCs w:val="24"/>
          <w:highlight w:val="none"/>
        </w:rPr>
        <w:t>切</w:t>
      </w:r>
      <w:r>
        <w:rPr>
          <w:rFonts w:hint="eastAsia" w:ascii="宋体" w:hAnsi="宋体" w:cs="华文楷体"/>
          <w:sz w:val="24"/>
          <w:szCs w:val="24"/>
          <w:highlight w:val="none"/>
        </w:rPr>
        <w:t>事</w:t>
      </w:r>
      <w:r>
        <w:rPr>
          <w:rFonts w:hint="eastAsia" w:ascii="宋体" w:hAnsi="宋体" w:cs="华文楷体"/>
          <w:spacing w:val="-2"/>
          <w:sz w:val="24"/>
          <w:szCs w:val="24"/>
          <w:highlight w:val="none"/>
        </w:rPr>
        <w:t>宜</w:t>
      </w:r>
      <w:r>
        <w:rPr>
          <w:rFonts w:hint="eastAsia" w:ascii="宋体" w:hAnsi="宋体" w:cs="华文楷体"/>
          <w:spacing w:val="-24"/>
          <w:sz w:val="24"/>
          <w:szCs w:val="24"/>
          <w:highlight w:val="none"/>
        </w:rPr>
        <w:t>，</w:t>
      </w:r>
      <w:r>
        <w:rPr>
          <w:rFonts w:hint="eastAsia" w:ascii="宋体" w:hAnsi="宋体" w:cs="华文楷体"/>
          <w:sz w:val="24"/>
          <w:szCs w:val="24"/>
          <w:highlight w:val="none"/>
        </w:rPr>
        <w:t>联</w:t>
      </w:r>
      <w:r>
        <w:rPr>
          <w:rFonts w:hint="eastAsia" w:ascii="宋体" w:hAnsi="宋体" w:cs="华文楷体"/>
          <w:spacing w:val="-2"/>
          <w:sz w:val="24"/>
          <w:szCs w:val="24"/>
          <w:highlight w:val="none"/>
        </w:rPr>
        <w:t>合</w:t>
      </w:r>
      <w:r>
        <w:rPr>
          <w:rFonts w:hint="eastAsia" w:ascii="宋体" w:hAnsi="宋体" w:cs="华文楷体"/>
          <w:sz w:val="24"/>
          <w:szCs w:val="24"/>
          <w:highlight w:val="none"/>
        </w:rPr>
        <w:t>体</w:t>
      </w:r>
      <w:r>
        <w:rPr>
          <w:rFonts w:hint="eastAsia" w:ascii="宋体" w:hAnsi="宋体" w:cs="华文楷体"/>
          <w:spacing w:val="-2"/>
          <w:sz w:val="24"/>
          <w:szCs w:val="24"/>
          <w:highlight w:val="none"/>
        </w:rPr>
        <w:t>各成</w:t>
      </w:r>
      <w:r>
        <w:rPr>
          <w:rFonts w:hint="eastAsia" w:ascii="宋体" w:hAnsi="宋体" w:cs="华文楷体"/>
          <w:sz w:val="24"/>
          <w:szCs w:val="24"/>
          <w:highlight w:val="none"/>
        </w:rPr>
        <w:t>员均</w:t>
      </w:r>
      <w:r>
        <w:rPr>
          <w:rFonts w:hint="eastAsia" w:ascii="宋体" w:hAnsi="宋体" w:cs="华文楷体"/>
          <w:spacing w:val="-2"/>
          <w:sz w:val="24"/>
          <w:szCs w:val="24"/>
          <w:highlight w:val="none"/>
        </w:rPr>
        <w:t>予</w:t>
      </w:r>
      <w:r>
        <w:rPr>
          <w:rFonts w:hint="eastAsia" w:ascii="宋体" w:hAnsi="宋体" w:cs="华文楷体"/>
          <w:sz w:val="24"/>
          <w:szCs w:val="24"/>
          <w:highlight w:val="none"/>
        </w:rPr>
        <w:t>以</w:t>
      </w:r>
      <w:r>
        <w:rPr>
          <w:rFonts w:hint="eastAsia" w:ascii="宋体" w:hAnsi="宋体" w:cs="华文楷体"/>
          <w:spacing w:val="-2"/>
          <w:sz w:val="24"/>
          <w:szCs w:val="24"/>
          <w:highlight w:val="none"/>
        </w:rPr>
        <w:t>承</w:t>
      </w:r>
      <w:r>
        <w:rPr>
          <w:rFonts w:hint="eastAsia" w:ascii="宋体" w:hAnsi="宋体" w:cs="华文楷体"/>
          <w:sz w:val="24"/>
          <w:szCs w:val="24"/>
          <w:highlight w:val="none"/>
        </w:rPr>
        <w:t>认。 联合体各成员将</w:t>
      </w:r>
      <w:r>
        <w:rPr>
          <w:rFonts w:hint="eastAsia" w:ascii="宋体" w:hAnsi="宋体" w:cs="华文楷体"/>
          <w:spacing w:val="-2"/>
          <w:sz w:val="24"/>
          <w:szCs w:val="24"/>
          <w:highlight w:val="none"/>
        </w:rPr>
        <w:t>严</w:t>
      </w:r>
      <w:r>
        <w:rPr>
          <w:rFonts w:hint="eastAsia" w:ascii="宋体" w:hAnsi="宋体" w:cs="华文楷体"/>
          <w:sz w:val="24"/>
          <w:szCs w:val="24"/>
          <w:highlight w:val="none"/>
        </w:rPr>
        <w:t>格按</w:t>
      </w:r>
      <w:r>
        <w:rPr>
          <w:rFonts w:hint="eastAsia" w:ascii="宋体" w:hAnsi="宋体" w:cs="华文楷体"/>
          <w:spacing w:val="-2"/>
          <w:sz w:val="24"/>
          <w:szCs w:val="24"/>
          <w:highlight w:val="none"/>
        </w:rPr>
        <w:t>照</w:t>
      </w:r>
      <w:r>
        <w:rPr>
          <w:rFonts w:hint="eastAsia" w:ascii="宋体" w:hAnsi="宋体" w:cs="华文楷体"/>
          <w:sz w:val="24"/>
          <w:szCs w:val="24"/>
          <w:highlight w:val="none"/>
        </w:rPr>
        <w:t>招标文件、投标</w:t>
      </w:r>
      <w:r>
        <w:rPr>
          <w:rFonts w:hint="eastAsia" w:ascii="宋体" w:hAnsi="宋体" w:cs="华文楷体"/>
          <w:spacing w:val="-2"/>
          <w:sz w:val="24"/>
          <w:szCs w:val="24"/>
          <w:highlight w:val="none"/>
        </w:rPr>
        <w:t>文</w:t>
      </w:r>
      <w:r>
        <w:rPr>
          <w:rFonts w:hint="eastAsia" w:ascii="宋体" w:hAnsi="宋体" w:cs="华文楷体"/>
          <w:sz w:val="24"/>
          <w:szCs w:val="24"/>
          <w:highlight w:val="none"/>
        </w:rPr>
        <w:t>件和</w:t>
      </w:r>
      <w:r>
        <w:rPr>
          <w:rFonts w:hint="eastAsia" w:ascii="宋体" w:hAnsi="宋体" w:cs="华文楷体"/>
          <w:spacing w:val="-2"/>
          <w:sz w:val="24"/>
          <w:szCs w:val="24"/>
          <w:highlight w:val="none"/>
        </w:rPr>
        <w:t>合</w:t>
      </w:r>
      <w:r>
        <w:rPr>
          <w:rFonts w:hint="eastAsia" w:ascii="宋体" w:hAnsi="宋体" w:cs="华文楷体"/>
          <w:sz w:val="24"/>
          <w:szCs w:val="24"/>
          <w:highlight w:val="none"/>
        </w:rPr>
        <w:t>同的要求全面履</w:t>
      </w:r>
      <w:r>
        <w:rPr>
          <w:rFonts w:hint="eastAsia" w:ascii="宋体" w:hAnsi="宋体" w:cs="华文楷体"/>
          <w:spacing w:val="-2"/>
          <w:sz w:val="24"/>
          <w:szCs w:val="24"/>
          <w:highlight w:val="none"/>
        </w:rPr>
        <w:t>行</w:t>
      </w:r>
      <w:r>
        <w:rPr>
          <w:rFonts w:hint="eastAsia" w:ascii="宋体" w:hAnsi="宋体" w:cs="华文楷体"/>
          <w:sz w:val="24"/>
          <w:szCs w:val="24"/>
          <w:highlight w:val="none"/>
        </w:rPr>
        <w:t>义务</w:t>
      </w:r>
      <w:r>
        <w:rPr>
          <w:rFonts w:hint="eastAsia" w:ascii="宋体" w:hAnsi="宋体" w:cs="华文楷体"/>
          <w:spacing w:val="-2"/>
          <w:sz w:val="24"/>
          <w:szCs w:val="24"/>
          <w:highlight w:val="none"/>
        </w:rPr>
        <w:t>，</w:t>
      </w:r>
      <w:r>
        <w:rPr>
          <w:rFonts w:hint="eastAsia" w:ascii="宋体" w:hAnsi="宋体" w:cs="华文楷体"/>
          <w:sz w:val="24"/>
          <w:szCs w:val="24"/>
          <w:highlight w:val="none"/>
        </w:rPr>
        <w:t>并向招标人承</w:t>
      </w:r>
      <w:r>
        <w:rPr>
          <w:rFonts w:hint="eastAsia" w:ascii="宋体" w:hAnsi="宋体" w:cs="华文楷体"/>
          <w:spacing w:val="-2"/>
          <w:sz w:val="24"/>
          <w:szCs w:val="24"/>
          <w:highlight w:val="none"/>
        </w:rPr>
        <w:t>担</w:t>
      </w:r>
      <w:r>
        <w:rPr>
          <w:rFonts w:hint="eastAsia" w:ascii="宋体" w:hAnsi="宋体" w:cs="华文楷体"/>
          <w:sz w:val="24"/>
          <w:szCs w:val="24"/>
          <w:highlight w:val="none"/>
        </w:rPr>
        <w:t>连带责</w:t>
      </w:r>
      <w:r>
        <w:rPr>
          <w:rFonts w:hint="eastAsia" w:ascii="宋体" w:hAnsi="宋体" w:cs="华文楷体"/>
          <w:spacing w:val="-2"/>
          <w:sz w:val="24"/>
          <w:szCs w:val="24"/>
          <w:highlight w:val="none"/>
        </w:rPr>
        <w:t>任</w:t>
      </w:r>
      <w:r>
        <w:rPr>
          <w:rFonts w:hint="eastAsia" w:ascii="宋体" w:hAnsi="宋体" w:cs="华文楷体"/>
          <w:sz w:val="24"/>
          <w:szCs w:val="24"/>
          <w:highlight w:val="none"/>
        </w:rPr>
        <w:t>。</w:t>
      </w:r>
    </w:p>
    <w:p w14:paraId="51075054">
      <w:pPr>
        <w:tabs>
          <w:tab w:val="left" w:pos="8740"/>
        </w:tabs>
        <w:spacing w:before="17" w:line="360" w:lineRule="auto"/>
        <w:ind w:firstLine="480" w:firstLineChars="200"/>
        <w:jc w:val="left"/>
        <w:rPr>
          <w:rFonts w:ascii="宋体" w:hAnsi="宋体" w:cs="华文楷体"/>
          <w:sz w:val="24"/>
          <w:szCs w:val="24"/>
          <w:highlight w:val="none"/>
        </w:rPr>
      </w:pPr>
      <w:r>
        <w:rPr>
          <w:rFonts w:hint="eastAsia" w:ascii="宋体" w:hAnsi="宋体" w:cs="华文楷体"/>
          <w:sz w:val="24"/>
          <w:szCs w:val="24"/>
          <w:highlight w:val="none"/>
        </w:rPr>
        <w:t xml:space="preserve">4. </w:t>
      </w:r>
      <w:r>
        <w:rPr>
          <w:rFonts w:hint="eastAsia" w:ascii="宋体" w:hAnsi="宋体" w:cs="华文楷体"/>
          <w:spacing w:val="1"/>
          <w:sz w:val="24"/>
          <w:szCs w:val="24"/>
          <w:highlight w:val="none"/>
        </w:rPr>
        <w:t xml:space="preserve"> </w:t>
      </w:r>
      <w:r>
        <w:rPr>
          <w:rFonts w:hint="eastAsia" w:ascii="宋体" w:hAnsi="宋体" w:cs="华文楷体"/>
          <w:spacing w:val="-2"/>
          <w:sz w:val="24"/>
          <w:szCs w:val="24"/>
          <w:highlight w:val="none"/>
        </w:rPr>
        <w:t>联</w:t>
      </w:r>
      <w:r>
        <w:rPr>
          <w:rFonts w:hint="eastAsia" w:ascii="宋体" w:hAnsi="宋体" w:cs="华文楷体"/>
          <w:sz w:val="24"/>
          <w:szCs w:val="24"/>
          <w:highlight w:val="none"/>
        </w:rPr>
        <w:t>合</w:t>
      </w:r>
      <w:r>
        <w:rPr>
          <w:rFonts w:hint="eastAsia" w:ascii="宋体" w:hAnsi="宋体" w:cs="华文楷体"/>
          <w:spacing w:val="-2"/>
          <w:sz w:val="24"/>
          <w:szCs w:val="24"/>
          <w:highlight w:val="none"/>
        </w:rPr>
        <w:t>体</w:t>
      </w:r>
      <w:r>
        <w:rPr>
          <w:rFonts w:hint="eastAsia" w:ascii="宋体" w:hAnsi="宋体" w:cs="华文楷体"/>
          <w:sz w:val="24"/>
          <w:szCs w:val="24"/>
          <w:highlight w:val="none"/>
        </w:rPr>
        <w:t>各</w:t>
      </w:r>
      <w:r>
        <w:rPr>
          <w:rFonts w:hint="eastAsia" w:ascii="宋体" w:hAnsi="宋体" w:cs="华文楷体"/>
          <w:spacing w:val="-2"/>
          <w:sz w:val="24"/>
          <w:szCs w:val="24"/>
          <w:highlight w:val="none"/>
        </w:rPr>
        <w:t>成</w:t>
      </w:r>
      <w:r>
        <w:rPr>
          <w:rFonts w:hint="eastAsia" w:ascii="宋体" w:hAnsi="宋体" w:cs="华文楷体"/>
          <w:sz w:val="24"/>
          <w:szCs w:val="24"/>
          <w:highlight w:val="none"/>
        </w:rPr>
        <w:t>员</w:t>
      </w:r>
      <w:r>
        <w:rPr>
          <w:rFonts w:hint="eastAsia" w:ascii="宋体" w:hAnsi="宋体" w:cs="华文楷体"/>
          <w:spacing w:val="-2"/>
          <w:sz w:val="24"/>
          <w:szCs w:val="24"/>
          <w:highlight w:val="none"/>
        </w:rPr>
        <w:t>单</w:t>
      </w:r>
      <w:r>
        <w:rPr>
          <w:rFonts w:hint="eastAsia" w:ascii="宋体" w:hAnsi="宋体" w:cs="华文楷体"/>
          <w:sz w:val="24"/>
          <w:szCs w:val="24"/>
          <w:highlight w:val="none"/>
        </w:rPr>
        <w:t>位</w:t>
      </w:r>
      <w:r>
        <w:rPr>
          <w:rFonts w:hint="eastAsia" w:ascii="宋体" w:hAnsi="宋体" w:cs="华文楷体"/>
          <w:spacing w:val="-2"/>
          <w:sz w:val="24"/>
          <w:szCs w:val="24"/>
          <w:highlight w:val="none"/>
        </w:rPr>
        <w:t>内部</w:t>
      </w:r>
      <w:r>
        <w:rPr>
          <w:rFonts w:hint="eastAsia" w:ascii="宋体" w:hAnsi="宋体" w:cs="华文楷体"/>
          <w:sz w:val="24"/>
          <w:szCs w:val="24"/>
          <w:highlight w:val="none"/>
        </w:rPr>
        <w:t>的职</w:t>
      </w:r>
      <w:r>
        <w:rPr>
          <w:rFonts w:hint="eastAsia" w:ascii="宋体" w:hAnsi="宋体" w:cs="华文楷体"/>
          <w:spacing w:val="-2"/>
          <w:sz w:val="24"/>
          <w:szCs w:val="24"/>
          <w:highlight w:val="none"/>
        </w:rPr>
        <w:t>责</w:t>
      </w:r>
      <w:r>
        <w:rPr>
          <w:rFonts w:hint="eastAsia" w:ascii="宋体" w:hAnsi="宋体" w:cs="华文楷体"/>
          <w:sz w:val="24"/>
          <w:szCs w:val="24"/>
          <w:highlight w:val="none"/>
        </w:rPr>
        <w:t>分</w:t>
      </w:r>
      <w:r>
        <w:rPr>
          <w:rFonts w:hint="eastAsia" w:ascii="宋体" w:hAnsi="宋体" w:cs="华文楷体"/>
          <w:spacing w:val="-2"/>
          <w:sz w:val="24"/>
          <w:szCs w:val="24"/>
          <w:highlight w:val="none"/>
        </w:rPr>
        <w:t>工</w:t>
      </w:r>
      <w:r>
        <w:rPr>
          <w:rFonts w:hint="eastAsia" w:ascii="宋体" w:hAnsi="宋体" w:cs="华文楷体"/>
          <w:sz w:val="24"/>
          <w:szCs w:val="24"/>
          <w:highlight w:val="none"/>
        </w:rPr>
        <w:t>如</w:t>
      </w:r>
      <w:r>
        <w:rPr>
          <w:rFonts w:hint="eastAsia" w:ascii="宋体" w:hAnsi="宋体" w:cs="华文楷体"/>
          <w:spacing w:val="-2"/>
          <w:sz w:val="24"/>
          <w:szCs w:val="24"/>
          <w:highlight w:val="none"/>
        </w:rPr>
        <w:t>下</w:t>
      </w:r>
      <w:r>
        <w:rPr>
          <w:rFonts w:hint="eastAsia" w:ascii="宋体" w:hAnsi="宋体" w:cs="华文楷体"/>
          <w:spacing w:val="-24"/>
          <w:sz w:val="24"/>
          <w:szCs w:val="24"/>
          <w:highlight w:val="none"/>
        </w:rPr>
        <w:t>：</w:t>
      </w:r>
      <w:r>
        <w:rPr>
          <w:rFonts w:hint="eastAsia" w:ascii="宋体" w:hAnsi="宋体" w:cs="华文楷体"/>
          <w:sz w:val="24"/>
          <w:szCs w:val="24"/>
          <w:highlight w:val="none"/>
          <w:u w:val="single"/>
        </w:rPr>
        <w:t xml:space="preserve"> </w:t>
      </w:r>
      <w:r>
        <w:rPr>
          <w:rFonts w:hint="eastAsia" w:ascii="宋体" w:hAnsi="宋体" w:cs="华文楷体"/>
          <w:spacing w:val="1"/>
          <w:sz w:val="24"/>
          <w:szCs w:val="24"/>
          <w:highlight w:val="none"/>
          <w:u w:val="single"/>
        </w:rPr>
        <w:t xml:space="preserve"> </w:t>
      </w:r>
      <w:r>
        <w:rPr>
          <w:rFonts w:hint="eastAsia" w:ascii="宋体" w:hAnsi="宋体" w:cs="华文楷体"/>
          <w:sz w:val="24"/>
          <w:szCs w:val="24"/>
          <w:highlight w:val="none"/>
          <w:u w:val="single"/>
        </w:rPr>
        <w:tab/>
      </w:r>
      <w:r>
        <w:rPr>
          <w:rFonts w:hint="eastAsia" w:ascii="宋体" w:hAnsi="宋体" w:cs="华文楷体"/>
          <w:sz w:val="24"/>
          <w:szCs w:val="24"/>
          <w:highlight w:val="none"/>
        </w:rPr>
        <w:t>。</w:t>
      </w:r>
    </w:p>
    <w:p w14:paraId="42163A4C">
      <w:pPr>
        <w:spacing w:before="80" w:line="360" w:lineRule="auto"/>
        <w:ind w:firstLine="480" w:firstLineChars="200"/>
        <w:jc w:val="left"/>
        <w:rPr>
          <w:rFonts w:ascii="宋体" w:hAnsi="宋体" w:cs="华文楷体"/>
          <w:sz w:val="24"/>
          <w:szCs w:val="24"/>
          <w:highlight w:val="none"/>
        </w:rPr>
      </w:pPr>
      <w:r>
        <w:rPr>
          <w:rFonts w:hint="eastAsia" w:ascii="宋体" w:hAnsi="宋体" w:cs="华文楷体"/>
          <w:sz w:val="24"/>
          <w:szCs w:val="24"/>
          <w:highlight w:val="none"/>
        </w:rPr>
        <w:t xml:space="preserve">5. </w:t>
      </w:r>
      <w:r>
        <w:rPr>
          <w:rFonts w:hint="eastAsia" w:ascii="宋体" w:hAnsi="宋体" w:cs="华文楷体"/>
          <w:spacing w:val="1"/>
          <w:sz w:val="24"/>
          <w:szCs w:val="24"/>
          <w:highlight w:val="none"/>
        </w:rPr>
        <w:t xml:space="preserve"> </w:t>
      </w:r>
      <w:r>
        <w:rPr>
          <w:rFonts w:hint="eastAsia" w:ascii="宋体" w:hAnsi="宋体" w:cs="华文楷体"/>
          <w:spacing w:val="-2"/>
          <w:sz w:val="24"/>
          <w:szCs w:val="24"/>
          <w:highlight w:val="none"/>
        </w:rPr>
        <w:t>本</w:t>
      </w:r>
      <w:r>
        <w:rPr>
          <w:rFonts w:hint="eastAsia" w:ascii="宋体" w:hAnsi="宋体" w:cs="华文楷体"/>
          <w:sz w:val="24"/>
          <w:szCs w:val="24"/>
          <w:highlight w:val="none"/>
        </w:rPr>
        <w:t>协</w:t>
      </w:r>
      <w:r>
        <w:rPr>
          <w:rFonts w:hint="eastAsia" w:ascii="宋体" w:hAnsi="宋体" w:cs="华文楷体"/>
          <w:spacing w:val="-2"/>
          <w:sz w:val="24"/>
          <w:szCs w:val="24"/>
          <w:highlight w:val="none"/>
        </w:rPr>
        <w:t>议</w:t>
      </w:r>
      <w:r>
        <w:rPr>
          <w:rFonts w:hint="eastAsia" w:ascii="宋体" w:hAnsi="宋体" w:cs="华文楷体"/>
          <w:sz w:val="24"/>
          <w:szCs w:val="24"/>
          <w:highlight w:val="none"/>
        </w:rPr>
        <w:t>书</w:t>
      </w:r>
      <w:r>
        <w:rPr>
          <w:rFonts w:hint="eastAsia" w:ascii="宋体" w:hAnsi="宋体" w:cs="华文楷体"/>
          <w:spacing w:val="-2"/>
          <w:sz w:val="24"/>
          <w:szCs w:val="24"/>
          <w:highlight w:val="none"/>
        </w:rPr>
        <w:t>自</w:t>
      </w:r>
      <w:r>
        <w:rPr>
          <w:rFonts w:hint="eastAsia" w:ascii="宋体" w:hAnsi="宋体" w:cs="华文楷体"/>
          <w:sz w:val="24"/>
          <w:szCs w:val="24"/>
          <w:highlight w:val="none"/>
        </w:rPr>
        <w:t>所</w:t>
      </w:r>
      <w:r>
        <w:rPr>
          <w:rFonts w:hint="eastAsia" w:ascii="宋体" w:hAnsi="宋体" w:cs="华文楷体"/>
          <w:spacing w:val="-2"/>
          <w:sz w:val="24"/>
          <w:szCs w:val="24"/>
          <w:highlight w:val="none"/>
        </w:rPr>
        <w:t>有</w:t>
      </w:r>
      <w:r>
        <w:rPr>
          <w:rFonts w:hint="eastAsia" w:ascii="宋体" w:hAnsi="宋体" w:cs="华文楷体"/>
          <w:sz w:val="24"/>
          <w:szCs w:val="24"/>
          <w:highlight w:val="none"/>
        </w:rPr>
        <w:t>成</w:t>
      </w:r>
      <w:r>
        <w:rPr>
          <w:rFonts w:hint="eastAsia" w:ascii="宋体" w:hAnsi="宋体" w:cs="华文楷体"/>
          <w:spacing w:val="-2"/>
          <w:sz w:val="24"/>
          <w:szCs w:val="24"/>
          <w:highlight w:val="none"/>
        </w:rPr>
        <w:t>员单</w:t>
      </w:r>
      <w:r>
        <w:rPr>
          <w:rFonts w:hint="eastAsia" w:ascii="宋体" w:hAnsi="宋体" w:cs="华文楷体"/>
          <w:sz w:val="24"/>
          <w:szCs w:val="24"/>
          <w:highlight w:val="none"/>
        </w:rPr>
        <w:t>位法</w:t>
      </w:r>
      <w:r>
        <w:rPr>
          <w:rFonts w:hint="eastAsia" w:ascii="宋体" w:hAnsi="宋体" w:cs="华文楷体"/>
          <w:spacing w:val="-2"/>
          <w:sz w:val="24"/>
          <w:szCs w:val="24"/>
          <w:highlight w:val="none"/>
        </w:rPr>
        <w:t>定</w:t>
      </w:r>
      <w:r>
        <w:rPr>
          <w:rFonts w:hint="eastAsia" w:ascii="宋体" w:hAnsi="宋体" w:cs="华文楷体"/>
          <w:sz w:val="24"/>
          <w:szCs w:val="24"/>
          <w:highlight w:val="none"/>
        </w:rPr>
        <w:t>代</w:t>
      </w:r>
      <w:r>
        <w:rPr>
          <w:rFonts w:hint="eastAsia" w:ascii="宋体" w:hAnsi="宋体" w:cs="华文楷体"/>
          <w:spacing w:val="-2"/>
          <w:sz w:val="24"/>
          <w:szCs w:val="24"/>
          <w:highlight w:val="none"/>
        </w:rPr>
        <w:t>表</w:t>
      </w:r>
      <w:r>
        <w:rPr>
          <w:rFonts w:hint="eastAsia" w:ascii="宋体" w:hAnsi="宋体" w:cs="华文楷体"/>
          <w:sz w:val="24"/>
          <w:szCs w:val="24"/>
          <w:highlight w:val="none"/>
        </w:rPr>
        <w:t>人</w:t>
      </w:r>
      <w:r>
        <w:rPr>
          <w:rFonts w:hint="eastAsia" w:ascii="宋体" w:hAnsi="宋体" w:cs="华文楷体"/>
          <w:spacing w:val="-2"/>
          <w:sz w:val="24"/>
          <w:szCs w:val="24"/>
          <w:highlight w:val="none"/>
        </w:rPr>
        <w:t>或</w:t>
      </w:r>
      <w:r>
        <w:rPr>
          <w:rFonts w:hint="eastAsia" w:ascii="宋体" w:hAnsi="宋体" w:cs="华文楷体"/>
          <w:sz w:val="24"/>
          <w:szCs w:val="24"/>
          <w:highlight w:val="none"/>
        </w:rPr>
        <w:t>其</w:t>
      </w:r>
      <w:r>
        <w:rPr>
          <w:rFonts w:hint="eastAsia" w:ascii="宋体" w:hAnsi="宋体" w:cs="华文楷体"/>
          <w:spacing w:val="-2"/>
          <w:sz w:val="24"/>
          <w:szCs w:val="24"/>
          <w:highlight w:val="none"/>
        </w:rPr>
        <w:t>委</w:t>
      </w:r>
      <w:r>
        <w:rPr>
          <w:rFonts w:hint="eastAsia" w:ascii="宋体" w:hAnsi="宋体" w:cs="华文楷体"/>
          <w:sz w:val="24"/>
          <w:szCs w:val="24"/>
          <w:highlight w:val="none"/>
        </w:rPr>
        <w:t>托</w:t>
      </w:r>
      <w:r>
        <w:rPr>
          <w:rFonts w:hint="eastAsia" w:ascii="宋体" w:hAnsi="宋体" w:cs="华文楷体"/>
          <w:spacing w:val="-2"/>
          <w:sz w:val="24"/>
          <w:szCs w:val="24"/>
          <w:highlight w:val="none"/>
        </w:rPr>
        <w:t>代</w:t>
      </w:r>
      <w:r>
        <w:rPr>
          <w:rFonts w:hint="eastAsia" w:ascii="宋体" w:hAnsi="宋体" w:cs="华文楷体"/>
          <w:sz w:val="24"/>
          <w:szCs w:val="24"/>
          <w:highlight w:val="none"/>
        </w:rPr>
        <w:t>理人</w:t>
      </w:r>
      <w:r>
        <w:rPr>
          <w:rFonts w:hint="eastAsia" w:ascii="宋体" w:hAnsi="宋体" w:cs="华文楷体"/>
          <w:spacing w:val="-2"/>
          <w:sz w:val="24"/>
          <w:szCs w:val="24"/>
          <w:highlight w:val="none"/>
        </w:rPr>
        <w:t>签</w:t>
      </w:r>
      <w:r>
        <w:rPr>
          <w:rFonts w:hint="eastAsia" w:ascii="宋体" w:hAnsi="宋体" w:cs="华文楷体"/>
          <w:sz w:val="24"/>
          <w:szCs w:val="24"/>
          <w:highlight w:val="none"/>
        </w:rPr>
        <w:t>字</w:t>
      </w:r>
      <w:r>
        <w:rPr>
          <w:rFonts w:hint="eastAsia" w:ascii="宋体" w:hAnsi="宋体" w:cs="华文楷体"/>
          <w:spacing w:val="-2"/>
          <w:sz w:val="24"/>
          <w:szCs w:val="24"/>
          <w:highlight w:val="none"/>
        </w:rPr>
        <w:t>或</w:t>
      </w:r>
      <w:r>
        <w:rPr>
          <w:rFonts w:hint="eastAsia" w:ascii="宋体" w:hAnsi="宋体" w:cs="华文楷体"/>
          <w:sz w:val="24"/>
          <w:szCs w:val="24"/>
          <w:highlight w:val="none"/>
        </w:rPr>
        <w:t>盖</w:t>
      </w:r>
      <w:r>
        <w:rPr>
          <w:rFonts w:hint="eastAsia" w:ascii="宋体" w:hAnsi="宋体" w:cs="华文楷体"/>
          <w:spacing w:val="-2"/>
          <w:sz w:val="24"/>
          <w:szCs w:val="24"/>
          <w:highlight w:val="none"/>
        </w:rPr>
        <w:t>单</w:t>
      </w:r>
      <w:r>
        <w:rPr>
          <w:rFonts w:hint="eastAsia" w:ascii="宋体" w:hAnsi="宋体" w:cs="华文楷体"/>
          <w:sz w:val="24"/>
          <w:szCs w:val="24"/>
          <w:highlight w:val="none"/>
        </w:rPr>
        <w:t>位</w:t>
      </w:r>
      <w:r>
        <w:rPr>
          <w:rFonts w:hint="eastAsia" w:ascii="宋体" w:hAnsi="宋体" w:cs="华文楷体"/>
          <w:spacing w:val="-2"/>
          <w:sz w:val="24"/>
          <w:szCs w:val="24"/>
          <w:highlight w:val="none"/>
        </w:rPr>
        <w:t>章</w:t>
      </w:r>
      <w:r>
        <w:rPr>
          <w:rFonts w:hint="eastAsia" w:ascii="宋体" w:hAnsi="宋体" w:cs="华文楷体"/>
          <w:sz w:val="24"/>
          <w:szCs w:val="24"/>
          <w:highlight w:val="none"/>
        </w:rPr>
        <w:t>之</w:t>
      </w:r>
      <w:r>
        <w:rPr>
          <w:rFonts w:hint="eastAsia" w:ascii="宋体" w:hAnsi="宋体" w:cs="华文楷体"/>
          <w:spacing w:val="-2"/>
          <w:sz w:val="24"/>
          <w:szCs w:val="24"/>
          <w:highlight w:val="none"/>
        </w:rPr>
        <w:t>日</w:t>
      </w:r>
      <w:r>
        <w:rPr>
          <w:rFonts w:hint="eastAsia" w:ascii="宋体" w:hAnsi="宋体" w:cs="华文楷体"/>
          <w:sz w:val="24"/>
          <w:szCs w:val="24"/>
          <w:highlight w:val="none"/>
        </w:rPr>
        <w:t>起生</w:t>
      </w:r>
      <w:r>
        <w:rPr>
          <w:rFonts w:hint="eastAsia" w:ascii="宋体" w:hAnsi="宋体" w:cs="华文楷体"/>
          <w:spacing w:val="-2"/>
          <w:sz w:val="24"/>
          <w:szCs w:val="24"/>
          <w:highlight w:val="none"/>
        </w:rPr>
        <w:t>效</w:t>
      </w:r>
      <w:r>
        <w:rPr>
          <w:rFonts w:hint="eastAsia" w:ascii="宋体" w:hAnsi="宋体" w:cs="华文楷体"/>
          <w:spacing w:val="-24"/>
          <w:sz w:val="24"/>
          <w:szCs w:val="24"/>
          <w:highlight w:val="none"/>
        </w:rPr>
        <w:t>，</w:t>
      </w:r>
      <w:r>
        <w:rPr>
          <w:rFonts w:hint="eastAsia" w:ascii="宋体" w:hAnsi="宋体" w:cs="华文楷体"/>
          <w:sz w:val="24"/>
          <w:szCs w:val="24"/>
          <w:highlight w:val="none"/>
        </w:rPr>
        <w:t>合同 履行</w:t>
      </w:r>
      <w:r>
        <w:rPr>
          <w:rFonts w:hint="eastAsia" w:ascii="宋体" w:hAnsi="宋体" w:cs="华文楷体"/>
          <w:spacing w:val="-2"/>
          <w:sz w:val="24"/>
          <w:szCs w:val="24"/>
          <w:highlight w:val="none"/>
        </w:rPr>
        <w:t>完</w:t>
      </w:r>
      <w:r>
        <w:rPr>
          <w:rFonts w:hint="eastAsia" w:ascii="宋体" w:hAnsi="宋体" w:cs="华文楷体"/>
          <w:sz w:val="24"/>
          <w:szCs w:val="24"/>
          <w:highlight w:val="none"/>
        </w:rPr>
        <w:t>毕</w:t>
      </w:r>
      <w:r>
        <w:rPr>
          <w:rFonts w:hint="eastAsia" w:ascii="宋体" w:hAnsi="宋体" w:cs="华文楷体"/>
          <w:spacing w:val="-2"/>
          <w:sz w:val="24"/>
          <w:szCs w:val="24"/>
          <w:highlight w:val="none"/>
        </w:rPr>
        <w:t>后</w:t>
      </w:r>
      <w:r>
        <w:rPr>
          <w:rFonts w:hint="eastAsia" w:ascii="宋体" w:hAnsi="宋体" w:cs="华文楷体"/>
          <w:sz w:val="24"/>
          <w:szCs w:val="24"/>
          <w:highlight w:val="none"/>
        </w:rPr>
        <w:t>自</w:t>
      </w:r>
      <w:r>
        <w:rPr>
          <w:rFonts w:hint="eastAsia" w:ascii="宋体" w:hAnsi="宋体" w:cs="华文楷体"/>
          <w:spacing w:val="-2"/>
          <w:sz w:val="24"/>
          <w:szCs w:val="24"/>
          <w:highlight w:val="none"/>
        </w:rPr>
        <w:t>动</w:t>
      </w:r>
      <w:r>
        <w:rPr>
          <w:rFonts w:hint="eastAsia" w:ascii="宋体" w:hAnsi="宋体" w:cs="华文楷体"/>
          <w:sz w:val="24"/>
          <w:szCs w:val="24"/>
          <w:highlight w:val="none"/>
        </w:rPr>
        <w:t>失</w:t>
      </w:r>
      <w:r>
        <w:rPr>
          <w:rFonts w:hint="eastAsia" w:ascii="宋体" w:hAnsi="宋体" w:cs="华文楷体"/>
          <w:spacing w:val="-3"/>
          <w:sz w:val="24"/>
          <w:szCs w:val="24"/>
          <w:highlight w:val="none"/>
        </w:rPr>
        <w:t>效</w:t>
      </w:r>
      <w:r>
        <w:rPr>
          <w:rFonts w:hint="eastAsia" w:ascii="宋体" w:hAnsi="宋体" w:cs="华文楷体"/>
          <w:sz w:val="24"/>
          <w:szCs w:val="24"/>
          <w:highlight w:val="none"/>
        </w:rPr>
        <w:t>。</w:t>
      </w:r>
    </w:p>
    <w:p w14:paraId="7D7B982D">
      <w:pPr>
        <w:spacing w:line="360" w:lineRule="auto"/>
        <w:ind w:firstLine="480" w:firstLineChars="200"/>
        <w:jc w:val="left"/>
        <w:rPr>
          <w:rFonts w:ascii="宋体" w:hAnsi="宋体" w:cs="华文楷体"/>
          <w:sz w:val="24"/>
          <w:szCs w:val="24"/>
          <w:highlight w:val="none"/>
        </w:rPr>
      </w:pPr>
      <w:r>
        <w:rPr>
          <w:rFonts w:hint="eastAsia" w:ascii="宋体" w:hAnsi="宋体" w:cs="华文楷体"/>
          <w:position w:val="-1"/>
          <w:sz w:val="24"/>
          <w:szCs w:val="24"/>
          <w:highlight w:val="none"/>
        </w:rPr>
        <w:t>注：本协议书由法</w:t>
      </w:r>
      <w:r>
        <w:rPr>
          <w:rFonts w:hint="eastAsia" w:ascii="宋体" w:hAnsi="宋体" w:cs="华文楷体"/>
          <w:spacing w:val="-2"/>
          <w:position w:val="-1"/>
          <w:sz w:val="24"/>
          <w:szCs w:val="24"/>
          <w:highlight w:val="none"/>
        </w:rPr>
        <w:t>定</w:t>
      </w:r>
      <w:r>
        <w:rPr>
          <w:rFonts w:hint="eastAsia" w:ascii="宋体" w:hAnsi="宋体" w:cs="华文楷体"/>
          <w:position w:val="-1"/>
          <w:sz w:val="24"/>
          <w:szCs w:val="24"/>
          <w:highlight w:val="none"/>
        </w:rPr>
        <w:t>代</w:t>
      </w:r>
      <w:r>
        <w:rPr>
          <w:rFonts w:hint="eastAsia" w:ascii="宋体" w:hAnsi="宋体" w:cs="华文楷体"/>
          <w:spacing w:val="-2"/>
          <w:position w:val="-1"/>
          <w:sz w:val="24"/>
          <w:szCs w:val="24"/>
          <w:highlight w:val="none"/>
        </w:rPr>
        <w:t>表</w:t>
      </w:r>
      <w:r>
        <w:rPr>
          <w:rFonts w:hint="eastAsia" w:ascii="宋体" w:hAnsi="宋体" w:cs="华文楷体"/>
          <w:position w:val="-1"/>
          <w:sz w:val="24"/>
          <w:szCs w:val="24"/>
          <w:highlight w:val="none"/>
        </w:rPr>
        <w:t>人签字的，应附法</w:t>
      </w:r>
      <w:r>
        <w:rPr>
          <w:rFonts w:hint="eastAsia" w:ascii="宋体" w:hAnsi="宋体" w:cs="华文楷体"/>
          <w:spacing w:val="-2"/>
          <w:position w:val="-1"/>
          <w:sz w:val="24"/>
          <w:szCs w:val="24"/>
          <w:highlight w:val="none"/>
        </w:rPr>
        <w:t>定</w:t>
      </w:r>
      <w:r>
        <w:rPr>
          <w:rFonts w:hint="eastAsia" w:ascii="宋体" w:hAnsi="宋体" w:cs="华文楷体"/>
          <w:position w:val="-1"/>
          <w:sz w:val="24"/>
          <w:szCs w:val="24"/>
          <w:highlight w:val="none"/>
        </w:rPr>
        <w:t>代</w:t>
      </w:r>
      <w:r>
        <w:rPr>
          <w:rFonts w:hint="eastAsia" w:ascii="宋体" w:hAnsi="宋体" w:cs="华文楷体"/>
          <w:spacing w:val="-2"/>
          <w:position w:val="-1"/>
          <w:sz w:val="24"/>
          <w:szCs w:val="24"/>
          <w:highlight w:val="none"/>
        </w:rPr>
        <w:t>表</w:t>
      </w:r>
      <w:r>
        <w:rPr>
          <w:rFonts w:hint="eastAsia" w:ascii="宋体" w:hAnsi="宋体" w:cs="华文楷体"/>
          <w:position w:val="-1"/>
          <w:sz w:val="24"/>
          <w:szCs w:val="24"/>
          <w:highlight w:val="none"/>
        </w:rPr>
        <w:t>人身份证明；由委</w:t>
      </w:r>
      <w:r>
        <w:rPr>
          <w:rFonts w:hint="eastAsia" w:ascii="宋体" w:hAnsi="宋体" w:cs="华文楷体"/>
          <w:spacing w:val="-2"/>
          <w:position w:val="-1"/>
          <w:sz w:val="24"/>
          <w:szCs w:val="24"/>
          <w:highlight w:val="none"/>
        </w:rPr>
        <w:t>托</w:t>
      </w:r>
      <w:r>
        <w:rPr>
          <w:rFonts w:hint="eastAsia" w:ascii="宋体" w:hAnsi="宋体" w:cs="华文楷体"/>
          <w:position w:val="-1"/>
          <w:sz w:val="24"/>
          <w:szCs w:val="24"/>
          <w:highlight w:val="none"/>
        </w:rPr>
        <w:t>代</w:t>
      </w:r>
      <w:r>
        <w:rPr>
          <w:rFonts w:hint="eastAsia" w:ascii="宋体" w:hAnsi="宋体" w:cs="华文楷体"/>
          <w:spacing w:val="-2"/>
          <w:position w:val="-1"/>
          <w:sz w:val="24"/>
          <w:szCs w:val="24"/>
          <w:highlight w:val="none"/>
        </w:rPr>
        <w:t>理</w:t>
      </w:r>
      <w:r>
        <w:rPr>
          <w:rFonts w:hint="eastAsia" w:ascii="宋体" w:hAnsi="宋体" w:cs="华文楷体"/>
          <w:position w:val="-1"/>
          <w:sz w:val="24"/>
          <w:szCs w:val="24"/>
          <w:highlight w:val="none"/>
        </w:rPr>
        <w:t>人签字的，应</w:t>
      </w:r>
      <w:r>
        <w:rPr>
          <w:rFonts w:hint="eastAsia" w:ascii="宋体" w:hAnsi="宋体" w:cs="华文楷体"/>
          <w:sz w:val="24"/>
          <w:szCs w:val="24"/>
          <w:highlight w:val="none"/>
        </w:rPr>
        <w:t>附授</w:t>
      </w:r>
      <w:r>
        <w:rPr>
          <w:rFonts w:hint="eastAsia" w:ascii="宋体" w:hAnsi="宋体" w:cs="华文楷体"/>
          <w:spacing w:val="-2"/>
          <w:sz w:val="24"/>
          <w:szCs w:val="24"/>
          <w:highlight w:val="none"/>
        </w:rPr>
        <w:t>权</w:t>
      </w:r>
      <w:r>
        <w:rPr>
          <w:rFonts w:hint="eastAsia" w:ascii="宋体" w:hAnsi="宋体" w:cs="华文楷体"/>
          <w:sz w:val="24"/>
          <w:szCs w:val="24"/>
          <w:highlight w:val="none"/>
        </w:rPr>
        <w:t>委</w:t>
      </w:r>
      <w:r>
        <w:rPr>
          <w:rFonts w:hint="eastAsia" w:ascii="宋体" w:hAnsi="宋体" w:cs="华文楷体"/>
          <w:spacing w:val="-2"/>
          <w:sz w:val="24"/>
          <w:szCs w:val="24"/>
          <w:highlight w:val="none"/>
        </w:rPr>
        <w:t>托</w:t>
      </w:r>
      <w:r>
        <w:rPr>
          <w:rFonts w:hint="eastAsia" w:ascii="宋体" w:hAnsi="宋体" w:cs="华文楷体"/>
          <w:sz w:val="24"/>
          <w:szCs w:val="24"/>
          <w:highlight w:val="none"/>
        </w:rPr>
        <w:t>书。</w:t>
      </w:r>
    </w:p>
    <w:p w14:paraId="3085A4E5">
      <w:pPr>
        <w:tabs>
          <w:tab w:val="left" w:pos="7240"/>
        </w:tabs>
        <w:spacing w:line="360" w:lineRule="auto"/>
        <w:ind w:left="2511" w:right="-20"/>
        <w:jc w:val="left"/>
        <w:rPr>
          <w:rFonts w:ascii="宋体" w:hAnsi="宋体" w:cs="华文楷体"/>
          <w:sz w:val="24"/>
          <w:szCs w:val="24"/>
          <w:highlight w:val="none"/>
        </w:rPr>
      </w:pPr>
      <w:r>
        <w:rPr>
          <w:rFonts w:hint="eastAsia" w:ascii="宋体" w:hAnsi="宋体" w:cs="华文楷体"/>
          <w:position w:val="-4"/>
          <w:sz w:val="24"/>
          <w:szCs w:val="24"/>
          <w:highlight w:val="none"/>
        </w:rPr>
        <w:t>联合</w:t>
      </w:r>
      <w:r>
        <w:rPr>
          <w:rFonts w:hint="eastAsia" w:ascii="宋体" w:hAnsi="宋体" w:cs="华文楷体"/>
          <w:spacing w:val="-2"/>
          <w:position w:val="-4"/>
          <w:sz w:val="24"/>
          <w:szCs w:val="24"/>
          <w:highlight w:val="none"/>
        </w:rPr>
        <w:t>体</w:t>
      </w:r>
      <w:r>
        <w:rPr>
          <w:rFonts w:hint="eastAsia" w:ascii="宋体" w:hAnsi="宋体" w:cs="华文楷体"/>
          <w:position w:val="-4"/>
          <w:sz w:val="24"/>
          <w:szCs w:val="24"/>
          <w:highlight w:val="none"/>
        </w:rPr>
        <w:t>牵</w:t>
      </w:r>
      <w:r>
        <w:rPr>
          <w:rFonts w:hint="eastAsia" w:ascii="宋体" w:hAnsi="宋体" w:cs="华文楷体"/>
          <w:spacing w:val="-2"/>
          <w:position w:val="-4"/>
          <w:sz w:val="24"/>
          <w:szCs w:val="24"/>
          <w:highlight w:val="none"/>
        </w:rPr>
        <w:t>头</w:t>
      </w:r>
      <w:r>
        <w:rPr>
          <w:rFonts w:hint="eastAsia" w:ascii="宋体" w:hAnsi="宋体" w:cs="华文楷体"/>
          <w:position w:val="-4"/>
          <w:sz w:val="24"/>
          <w:szCs w:val="24"/>
          <w:highlight w:val="none"/>
        </w:rPr>
        <w:t>人</w:t>
      </w:r>
      <w:r>
        <w:rPr>
          <w:rFonts w:hint="eastAsia" w:ascii="宋体" w:hAnsi="宋体" w:cs="华文楷体"/>
          <w:spacing w:val="-2"/>
          <w:position w:val="-4"/>
          <w:sz w:val="24"/>
          <w:szCs w:val="24"/>
          <w:highlight w:val="none"/>
        </w:rPr>
        <w:t>名</w:t>
      </w:r>
      <w:r>
        <w:rPr>
          <w:rFonts w:hint="eastAsia" w:ascii="宋体" w:hAnsi="宋体" w:cs="华文楷体"/>
          <w:position w:val="-4"/>
          <w:sz w:val="24"/>
          <w:szCs w:val="24"/>
          <w:highlight w:val="none"/>
        </w:rPr>
        <w:t>称</w:t>
      </w:r>
      <w:r>
        <w:rPr>
          <w:rFonts w:hint="eastAsia" w:ascii="宋体" w:hAnsi="宋体" w:cs="华文楷体"/>
          <w:spacing w:val="-3"/>
          <w:position w:val="-4"/>
          <w:sz w:val="24"/>
          <w:szCs w:val="24"/>
          <w:highlight w:val="none"/>
        </w:rPr>
        <w:t>：</w:t>
      </w:r>
      <w:r>
        <w:rPr>
          <w:rFonts w:hint="eastAsia" w:ascii="宋体" w:hAnsi="宋体" w:cs="华文楷体"/>
          <w:position w:val="-4"/>
          <w:sz w:val="24"/>
          <w:szCs w:val="24"/>
          <w:highlight w:val="none"/>
          <w:u w:val="single"/>
        </w:rPr>
        <w:t xml:space="preserve"> </w:t>
      </w:r>
      <w:r>
        <w:rPr>
          <w:rFonts w:hint="eastAsia" w:ascii="宋体" w:hAnsi="宋体" w:cs="华文楷体"/>
          <w:spacing w:val="1"/>
          <w:position w:val="-4"/>
          <w:sz w:val="24"/>
          <w:szCs w:val="24"/>
          <w:highlight w:val="none"/>
          <w:u w:val="single"/>
        </w:rPr>
        <w:t xml:space="preserve"> </w:t>
      </w:r>
      <w:r>
        <w:rPr>
          <w:rFonts w:hint="eastAsia" w:ascii="宋体" w:hAnsi="宋体" w:cs="华文楷体"/>
          <w:position w:val="-4"/>
          <w:sz w:val="24"/>
          <w:szCs w:val="24"/>
          <w:highlight w:val="none"/>
          <w:u w:val="single"/>
        </w:rPr>
        <w:tab/>
      </w:r>
      <w:r>
        <w:rPr>
          <w:rFonts w:hint="eastAsia" w:ascii="宋体" w:hAnsi="宋体" w:cs="华文楷体"/>
          <w:position w:val="-4"/>
          <w:sz w:val="24"/>
          <w:szCs w:val="24"/>
          <w:highlight w:val="none"/>
        </w:rPr>
        <w:t>（盖</w:t>
      </w:r>
      <w:r>
        <w:rPr>
          <w:rFonts w:hint="eastAsia" w:ascii="宋体" w:hAnsi="宋体" w:cs="华文楷体"/>
          <w:spacing w:val="-2"/>
          <w:position w:val="-4"/>
          <w:sz w:val="24"/>
          <w:szCs w:val="24"/>
          <w:highlight w:val="none"/>
        </w:rPr>
        <w:t>单</w:t>
      </w:r>
      <w:r>
        <w:rPr>
          <w:rFonts w:hint="eastAsia" w:ascii="宋体" w:hAnsi="宋体" w:cs="华文楷体"/>
          <w:position w:val="-4"/>
          <w:sz w:val="24"/>
          <w:szCs w:val="24"/>
          <w:highlight w:val="none"/>
        </w:rPr>
        <w:t>位</w:t>
      </w:r>
      <w:r>
        <w:rPr>
          <w:rFonts w:hint="eastAsia" w:ascii="宋体" w:hAnsi="宋体" w:cs="华文楷体"/>
          <w:spacing w:val="-2"/>
          <w:position w:val="-4"/>
          <w:sz w:val="24"/>
          <w:szCs w:val="24"/>
          <w:highlight w:val="none"/>
        </w:rPr>
        <w:t>章</w:t>
      </w:r>
      <w:r>
        <w:rPr>
          <w:rFonts w:hint="eastAsia" w:ascii="宋体" w:hAnsi="宋体" w:cs="华文楷体"/>
          <w:position w:val="-4"/>
          <w:sz w:val="24"/>
          <w:szCs w:val="24"/>
          <w:highlight w:val="none"/>
        </w:rPr>
        <w:t>）</w:t>
      </w:r>
    </w:p>
    <w:p w14:paraId="0805B16F">
      <w:pPr>
        <w:tabs>
          <w:tab w:val="left" w:pos="6645"/>
        </w:tabs>
        <w:spacing w:line="360" w:lineRule="auto"/>
        <w:ind w:left="2511" w:right="-20"/>
        <w:jc w:val="left"/>
        <w:rPr>
          <w:rFonts w:ascii="宋体" w:hAnsi="宋体" w:cs="华文楷体"/>
          <w:sz w:val="24"/>
          <w:szCs w:val="24"/>
          <w:highlight w:val="none"/>
        </w:rPr>
      </w:pPr>
      <w:r>
        <w:rPr>
          <w:rFonts w:hint="eastAsia" w:ascii="宋体" w:hAnsi="宋体" w:cs="华文楷体"/>
          <w:position w:val="-2"/>
          <w:sz w:val="24"/>
          <w:szCs w:val="24"/>
          <w:highlight w:val="none"/>
        </w:rPr>
        <w:t>法定</w:t>
      </w:r>
      <w:r>
        <w:rPr>
          <w:rFonts w:hint="eastAsia" w:ascii="宋体" w:hAnsi="宋体" w:cs="华文楷体"/>
          <w:spacing w:val="-2"/>
          <w:position w:val="-2"/>
          <w:sz w:val="24"/>
          <w:szCs w:val="24"/>
          <w:highlight w:val="none"/>
        </w:rPr>
        <w:t>代</w:t>
      </w:r>
      <w:r>
        <w:rPr>
          <w:rFonts w:hint="eastAsia" w:ascii="宋体" w:hAnsi="宋体" w:cs="华文楷体"/>
          <w:position w:val="-2"/>
          <w:sz w:val="24"/>
          <w:szCs w:val="24"/>
          <w:highlight w:val="none"/>
        </w:rPr>
        <w:t>表</w:t>
      </w:r>
      <w:r>
        <w:rPr>
          <w:rFonts w:hint="eastAsia" w:ascii="宋体" w:hAnsi="宋体" w:cs="华文楷体"/>
          <w:spacing w:val="-2"/>
          <w:position w:val="-2"/>
          <w:sz w:val="24"/>
          <w:szCs w:val="24"/>
          <w:highlight w:val="none"/>
        </w:rPr>
        <w:t>人</w:t>
      </w:r>
      <w:r>
        <w:rPr>
          <w:rFonts w:hint="eastAsia" w:ascii="宋体" w:hAnsi="宋体" w:cs="华文楷体"/>
          <w:position w:val="-2"/>
          <w:sz w:val="24"/>
          <w:szCs w:val="24"/>
          <w:highlight w:val="none"/>
        </w:rPr>
        <w:t>或</w:t>
      </w:r>
      <w:r>
        <w:rPr>
          <w:rFonts w:hint="eastAsia" w:ascii="宋体" w:hAnsi="宋体" w:cs="华文楷体"/>
          <w:spacing w:val="-2"/>
          <w:position w:val="-2"/>
          <w:sz w:val="24"/>
          <w:szCs w:val="24"/>
          <w:highlight w:val="none"/>
        </w:rPr>
        <w:t>其</w:t>
      </w:r>
      <w:r>
        <w:rPr>
          <w:rFonts w:hint="eastAsia" w:ascii="宋体" w:hAnsi="宋体" w:cs="华文楷体"/>
          <w:position w:val="-2"/>
          <w:sz w:val="24"/>
          <w:szCs w:val="24"/>
          <w:highlight w:val="none"/>
        </w:rPr>
        <w:t>委</w:t>
      </w:r>
      <w:r>
        <w:rPr>
          <w:rFonts w:hint="eastAsia" w:ascii="宋体" w:hAnsi="宋体" w:cs="华文楷体"/>
          <w:spacing w:val="-2"/>
          <w:position w:val="-2"/>
          <w:sz w:val="24"/>
          <w:szCs w:val="24"/>
          <w:highlight w:val="none"/>
        </w:rPr>
        <w:t>托</w:t>
      </w:r>
      <w:r>
        <w:rPr>
          <w:rFonts w:hint="eastAsia" w:ascii="宋体" w:hAnsi="宋体" w:cs="华文楷体"/>
          <w:position w:val="-2"/>
          <w:sz w:val="24"/>
          <w:szCs w:val="24"/>
          <w:highlight w:val="none"/>
        </w:rPr>
        <w:t>代</w:t>
      </w:r>
      <w:r>
        <w:rPr>
          <w:rFonts w:hint="eastAsia" w:ascii="宋体" w:hAnsi="宋体" w:cs="华文楷体"/>
          <w:spacing w:val="-2"/>
          <w:position w:val="-2"/>
          <w:sz w:val="24"/>
          <w:szCs w:val="24"/>
          <w:highlight w:val="none"/>
        </w:rPr>
        <w:t>理</w:t>
      </w:r>
      <w:r>
        <w:rPr>
          <w:rFonts w:hint="eastAsia" w:ascii="宋体" w:hAnsi="宋体" w:cs="华文楷体"/>
          <w:position w:val="-2"/>
          <w:sz w:val="24"/>
          <w:szCs w:val="24"/>
          <w:highlight w:val="none"/>
        </w:rPr>
        <w:t>人：</w:t>
      </w:r>
      <w:r>
        <w:rPr>
          <w:rFonts w:hint="eastAsia" w:ascii="宋体" w:hAnsi="宋体" w:cs="华文楷体"/>
          <w:position w:val="-2"/>
          <w:sz w:val="24"/>
          <w:szCs w:val="24"/>
          <w:highlight w:val="none"/>
          <w:u w:val="single"/>
        </w:rPr>
        <w:t xml:space="preserve"> </w:t>
      </w:r>
      <w:r>
        <w:rPr>
          <w:rFonts w:hint="eastAsia" w:ascii="宋体" w:hAnsi="宋体" w:cs="华文楷体"/>
          <w:spacing w:val="1"/>
          <w:position w:val="-2"/>
          <w:sz w:val="24"/>
          <w:szCs w:val="24"/>
          <w:highlight w:val="none"/>
          <w:u w:val="single"/>
        </w:rPr>
        <w:t xml:space="preserve"> </w:t>
      </w:r>
      <w:r>
        <w:rPr>
          <w:rFonts w:hint="eastAsia" w:ascii="宋体" w:hAnsi="宋体" w:cs="华文楷体"/>
          <w:position w:val="-2"/>
          <w:sz w:val="24"/>
          <w:szCs w:val="24"/>
          <w:highlight w:val="none"/>
          <w:u w:val="single"/>
        </w:rPr>
        <w:tab/>
      </w:r>
      <w:r>
        <w:rPr>
          <w:rFonts w:hint="eastAsia" w:ascii="宋体" w:hAnsi="宋体" w:cs="华文楷体"/>
          <w:position w:val="-2"/>
          <w:sz w:val="24"/>
          <w:szCs w:val="24"/>
          <w:highlight w:val="none"/>
        </w:rPr>
        <w:t>（签</w:t>
      </w:r>
      <w:r>
        <w:rPr>
          <w:rFonts w:hint="eastAsia" w:ascii="宋体" w:hAnsi="宋体" w:cs="华文楷体"/>
          <w:spacing w:val="-2"/>
          <w:position w:val="-2"/>
          <w:sz w:val="24"/>
          <w:szCs w:val="24"/>
          <w:highlight w:val="none"/>
        </w:rPr>
        <w:t>字或盖章</w:t>
      </w:r>
      <w:r>
        <w:rPr>
          <w:rFonts w:hint="eastAsia" w:ascii="宋体" w:hAnsi="宋体" w:cs="华文楷体"/>
          <w:position w:val="-2"/>
          <w:sz w:val="24"/>
          <w:szCs w:val="24"/>
          <w:highlight w:val="none"/>
        </w:rPr>
        <w:t>）</w:t>
      </w:r>
    </w:p>
    <w:p w14:paraId="0F4F644F">
      <w:pPr>
        <w:tabs>
          <w:tab w:val="left" w:pos="7240"/>
        </w:tabs>
        <w:spacing w:line="360" w:lineRule="auto"/>
        <w:ind w:left="2511" w:right="-20"/>
        <w:jc w:val="left"/>
        <w:rPr>
          <w:rFonts w:ascii="宋体" w:hAnsi="宋体" w:cs="华文楷体"/>
          <w:sz w:val="24"/>
          <w:szCs w:val="24"/>
          <w:highlight w:val="none"/>
        </w:rPr>
      </w:pPr>
      <w:r>
        <w:rPr>
          <w:rFonts w:hint="eastAsia" w:ascii="宋体" w:hAnsi="宋体" w:cs="华文楷体"/>
          <w:position w:val="-2"/>
          <w:sz w:val="24"/>
          <w:szCs w:val="24"/>
          <w:highlight w:val="none"/>
        </w:rPr>
        <w:t>联合</w:t>
      </w:r>
      <w:r>
        <w:rPr>
          <w:rFonts w:hint="eastAsia" w:ascii="宋体" w:hAnsi="宋体" w:cs="华文楷体"/>
          <w:spacing w:val="-2"/>
          <w:position w:val="-2"/>
          <w:sz w:val="24"/>
          <w:szCs w:val="24"/>
          <w:highlight w:val="none"/>
        </w:rPr>
        <w:t>体</w:t>
      </w:r>
      <w:r>
        <w:rPr>
          <w:rFonts w:hint="eastAsia" w:ascii="宋体" w:hAnsi="宋体" w:cs="华文楷体"/>
          <w:position w:val="-2"/>
          <w:sz w:val="24"/>
          <w:szCs w:val="24"/>
          <w:highlight w:val="none"/>
        </w:rPr>
        <w:t>成</w:t>
      </w:r>
      <w:r>
        <w:rPr>
          <w:rFonts w:hint="eastAsia" w:ascii="宋体" w:hAnsi="宋体" w:cs="华文楷体"/>
          <w:spacing w:val="-2"/>
          <w:position w:val="-2"/>
          <w:sz w:val="24"/>
          <w:szCs w:val="24"/>
          <w:highlight w:val="none"/>
        </w:rPr>
        <w:t>员</w:t>
      </w:r>
      <w:r>
        <w:rPr>
          <w:rFonts w:hint="eastAsia" w:ascii="宋体" w:hAnsi="宋体" w:cs="华文楷体"/>
          <w:position w:val="-2"/>
          <w:sz w:val="24"/>
          <w:szCs w:val="24"/>
          <w:highlight w:val="none"/>
        </w:rPr>
        <w:t>名</w:t>
      </w:r>
      <w:r>
        <w:rPr>
          <w:rFonts w:hint="eastAsia" w:ascii="宋体" w:hAnsi="宋体" w:cs="华文楷体"/>
          <w:spacing w:val="-2"/>
          <w:position w:val="-2"/>
          <w:sz w:val="24"/>
          <w:szCs w:val="24"/>
          <w:highlight w:val="none"/>
        </w:rPr>
        <w:t>称</w:t>
      </w:r>
      <w:r>
        <w:rPr>
          <w:rFonts w:hint="eastAsia" w:ascii="宋体" w:hAnsi="宋体" w:cs="华文楷体"/>
          <w:position w:val="-2"/>
          <w:sz w:val="24"/>
          <w:szCs w:val="24"/>
          <w:highlight w:val="none"/>
        </w:rPr>
        <w:t>：</w:t>
      </w:r>
      <w:r>
        <w:rPr>
          <w:rFonts w:hint="eastAsia" w:ascii="宋体" w:hAnsi="宋体" w:cs="华文楷体"/>
          <w:position w:val="-2"/>
          <w:sz w:val="24"/>
          <w:szCs w:val="24"/>
          <w:highlight w:val="none"/>
          <w:u w:val="single"/>
        </w:rPr>
        <w:t xml:space="preserve"> </w:t>
      </w:r>
      <w:r>
        <w:rPr>
          <w:rFonts w:hint="eastAsia" w:ascii="宋体" w:hAnsi="宋体" w:cs="华文楷体"/>
          <w:spacing w:val="1"/>
          <w:position w:val="-2"/>
          <w:sz w:val="24"/>
          <w:szCs w:val="24"/>
          <w:highlight w:val="none"/>
          <w:u w:val="single"/>
        </w:rPr>
        <w:t xml:space="preserve"> </w:t>
      </w:r>
      <w:r>
        <w:rPr>
          <w:rFonts w:hint="eastAsia" w:ascii="宋体" w:hAnsi="宋体" w:cs="华文楷体"/>
          <w:position w:val="-2"/>
          <w:sz w:val="24"/>
          <w:szCs w:val="24"/>
          <w:highlight w:val="none"/>
          <w:u w:val="single"/>
        </w:rPr>
        <w:tab/>
      </w:r>
      <w:r>
        <w:rPr>
          <w:rFonts w:hint="eastAsia" w:ascii="宋体" w:hAnsi="宋体" w:cs="华文楷体"/>
          <w:position w:val="-2"/>
          <w:sz w:val="24"/>
          <w:szCs w:val="24"/>
          <w:highlight w:val="none"/>
        </w:rPr>
        <w:t>（盖</w:t>
      </w:r>
      <w:r>
        <w:rPr>
          <w:rFonts w:hint="eastAsia" w:ascii="宋体" w:hAnsi="宋体" w:cs="华文楷体"/>
          <w:spacing w:val="-2"/>
          <w:position w:val="-2"/>
          <w:sz w:val="24"/>
          <w:szCs w:val="24"/>
          <w:highlight w:val="none"/>
        </w:rPr>
        <w:t>单</w:t>
      </w:r>
      <w:r>
        <w:rPr>
          <w:rFonts w:hint="eastAsia" w:ascii="宋体" w:hAnsi="宋体" w:cs="华文楷体"/>
          <w:position w:val="-2"/>
          <w:sz w:val="24"/>
          <w:szCs w:val="24"/>
          <w:highlight w:val="none"/>
        </w:rPr>
        <w:t>位</w:t>
      </w:r>
      <w:r>
        <w:rPr>
          <w:rFonts w:hint="eastAsia" w:ascii="宋体" w:hAnsi="宋体" w:cs="华文楷体"/>
          <w:spacing w:val="-2"/>
          <w:position w:val="-2"/>
          <w:sz w:val="24"/>
          <w:szCs w:val="24"/>
          <w:highlight w:val="none"/>
        </w:rPr>
        <w:t>章</w:t>
      </w:r>
      <w:r>
        <w:rPr>
          <w:rFonts w:hint="eastAsia" w:ascii="宋体" w:hAnsi="宋体" w:cs="华文楷体"/>
          <w:position w:val="-2"/>
          <w:sz w:val="24"/>
          <w:szCs w:val="24"/>
          <w:highlight w:val="none"/>
        </w:rPr>
        <w:t>）</w:t>
      </w:r>
    </w:p>
    <w:p w14:paraId="231AE2E1">
      <w:pPr>
        <w:tabs>
          <w:tab w:val="left" w:pos="6180"/>
        </w:tabs>
        <w:spacing w:line="360" w:lineRule="auto"/>
        <w:ind w:left="2511" w:right="-20"/>
        <w:jc w:val="left"/>
        <w:rPr>
          <w:rFonts w:ascii="宋体" w:hAnsi="宋体" w:cs="华文楷体"/>
          <w:position w:val="-2"/>
          <w:sz w:val="24"/>
          <w:szCs w:val="24"/>
          <w:highlight w:val="none"/>
        </w:rPr>
      </w:pPr>
      <w:r>
        <w:rPr>
          <w:rFonts w:hint="eastAsia" w:ascii="宋体" w:hAnsi="宋体" w:cs="华文楷体"/>
          <w:position w:val="-2"/>
          <w:sz w:val="24"/>
          <w:szCs w:val="24"/>
          <w:highlight w:val="none"/>
        </w:rPr>
        <w:t>法定</w:t>
      </w:r>
      <w:r>
        <w:rPr>
          <w:rFonts w:hint="eastAsia" w:ascii="宋体" w:hAnsi="宋体" w:cs="华文楷体"/>
          <w:spacing w:val="-2"/>
          <w:position w:val="-2"/>
          <w:sz w:val="24"/>
          <w:szCs w:val="24"/>
          <w:highlight w:val="none"/>
        </w:rPr>
        <w:t>代</w:t>
      </w:r>
      <w:r>
        <w:rPr>
          <w:rFonts w:hint="eastAsia" w:ascii="宋体" w:hAnsi="宋体" w:cs="华文楷体"/>
          <w:position w:val="-2"/>
          <w:sz w:val="24"/>
          <w:szCs w:val="24"/>
          <w:highlight w:val="none"/>
        </w:rPr>
        <w:t>表</w:t>
      </w:r>
      <w:r>
        <w:rPr>
          <w:rFonts w:hint="eastAsia" w:ascii="宋体" w:hAnsi="宋体" w:cs="华文楷体"/>
          <w:spacing w:val="-2"/>
          <w:position w:val="-2"/>
          <w:sz w:val="24"/>
          <w:szCs w:val="24"/>
          <w:highlight w:val="none"/>
        </w:rPr>
        <w:t>人</w:t>
      </w:r>
      <w:r>
        <w:rPr>
          <w:rFonts w:hint="eastAsia" w:ascii="宋体" w:hAnsi="宋体" w:cs="华文楷体"/>
          <w:position w:val="-2"/>
          <w:sz w:val="24"/>
          <w:szCs w:val="24"/>
          <w:highlight w:val="none"/>
        </w:rPr>
        <w:t>或</w:t>
      </w:r>
      <w:r>
        <w:rPr>
          <w:rFonts w:hint="eastAsia" w:ascii="宋体" w:hAnsi="宋体" w:cs="华文楷体"/>
          <w:spacing w:val="-2"/>
          <w:position w:val="-2"/>
          <w:sz w:val="24"/>
          <w:szCs w:val="24"/>
          <w:highlight w:val="none"/>
        </w:rPr>
        <w:t>其</w:t>
      </w:r>
      <w:r>
        <w:rPr>
          <w:rFonts w:hint="eastAsia" w:ascii="宋体" w:hAnsi="宋体" w:cs="华文楷体"/>
          <w:position w:val="-2"/>
          <w:sz w:val="24"/>
          <w:szCs w:val="24"/>
          <w:highlight w:val="none"/>
        </w:rPr>
        <w:t>委</w:t>
      </w:r>
      <w:r>
        <w:rPr>
          <w:rFonts w:hint="eastAsia" w:ascii="宋体" w:hAnsi="宋体" w:cs="华文楷体"/>
          <w:spacing w:val="-2"/>
          <w:position w:val="-2"/>
          <w:sz w:val="24"/>
          <w:szCs w:val="24"/>
          <w:highlight w:val="none"/>
        </w:rPr>
        <w:t>托</w:t>
      </w:r>
      <w:r>
        <w:rPr>
          <w:rFonts w:hint="eastAsia" w:ascii="宋体" w:hAnsi="宋体" w:cs="华文楷体"/>
          <w:position w:val="-2"/>
          <w:sz w:val="24"/>
          <w:szCs w:val="24"/>
          <w:highlight w:val="none"/>
        </w:rPr>
        <w:t>代</w:t>
      </w:r>
      <w:r>
        <w:rPr>
          <w:rFonts w:hint="eastAsia" w:ascii="宋体" w:hAnsi="宋体" w:cs="华文楷体"/>
          <w:spacing w:val="-2"/>
          <w:position w:val="-2"/>
          <w:sz w:val="24"/>
          <w:szCs w:val="24"/>
          <w:highlight w:val="none"/>
        </w:rPr>
        <w:t>理</w:t>
      </w:r>
      <w:r>
        <w:rPr>
          <w:rFonts w:hint="eastAsia" w:ascii="宋体" w:hAnsi="宋体" w:cs="华文楷体"/>
          <w:position w:val="-2"/>
          <w:sz w:val="24"/>
          <w:szCs w:val="24"/>
          <w:highlight w:val="none"/>
        </w:rPr>
        <w:t>人：</w:t>
      </w:r>
      <w:r>
        <w:rPr>
          <w:rFonts w:hint="eastAsia" w:ascii="宋体" w:hAnsi="宋体" w:cs="华文楷体"/>
          <w:position w:val="-2"/>
          <w:sz w:val="24"/>
          <w:szCs w:val="24"/>
          <w:highlight w:val="none"/>
          <w:u w:val="single"/>
        </w:rPr>
        <w:t xml:space="preserve"> </w:t>
      </w:r>
      <w:r>
        <w:rPr>
          <w:rFonts w:hint="eastAsia" w:ascii="宋体" w:hAnsi="宋体" w:cs="华文楷体"/>
          <w:spacing w:val="1"/>
          <w:position w:val="-2"/>
          <w:sz w:val="24"/>
          <w:szCs w:val="24"/>
          <w:highlight w:val="none"/>
          <w:u w:val="single"/>
        </w:rPr>
        <w:t xml:space="preserve">     </w:t>
      </w:r>
      <w:r>
        <w:rPr>
          <w:rFonts w:hint="eastAsia" w:ascii="宋体" w:hAnsi="宋体" w:cs="华文楷体"/>
          <w:position w:val="-2"/>
          <w:sz w:val="24"/>
          <w:szCs w:val="24"/>
          <w:highlight w:val="none"/>
          <w:u w:val="single"/>
        </w:rPr>
        <w:tab/>
      </w:r>
      <w:r>
        <w:rPr>
          <w:rFonts w:hint="eastAsia" w:ascii="宋体" w:hAnsi="宋体" w:cs="华文楷体"/>
          <w:position w:val="-2"/>
          <w:sz w:val="24"/>
          <w:szCs w:val="24"/>
          <w:highlight w:val="none"/>
        </w:rPr>
        <w:t>（</w:t>
      </w:r>
      <w:r>
        <w:rPr>
          <w:rFonts w:hint="eastAsia" w:ascii="宋体" w:hAnsi="宋体" w:cs="华文楷体"/>
          <w:spacing w:val="-2"/>
          <w:position w:val="-2"/>
          <w:sz w:val="24"/>
          <w:szCs w:val="24"/>
          <w:highlight w:val="none"/>
        </w:rPr>
        <w:t>签</w:t>
      </w:r>
      <w:r>
        <w:rPr>
          <w:rFonts w:hint="eastAsia" w:ascii="宋体" w:hAnsi="宋体" w:cs="华文楷体"/>
          <w:position w:val="-2"/>
          <w:sz w:val="24"/>
          <w:szCs w:val="24"/>
          <w:highlight w:val="none"/>
        </w:rPr>
        <w:t>字或盖章）</w:t>
      </w:r>
    </w:p>
    <w:p w14:paraId="619085D3">
      <w:pPr>
        <w:pStyle w:val="25"/>
        <w:spacing w:line="360" w:lineRule="auto"/>
        <w:ind w:firstLine="3600" w:firstLineChars="1500"/>
        <w:rPr>
          <w:rFonts w:ascii="宋体" w:hAnsi="宋体" w:cs="华文楷体"/>
          <w:sz w:val="24"/>
          <w:highlight w:val="none"/>
        </w:rPr>
      </w:pPr>
      <w:r>
        <w:rPr>
          <w:rFonts w:hint="eastAsia" w:ascii="宋体" w:hAnsi="宋体" w:cs="华文楷体"/>
          <w:kern w:val="44"/>
          <w:sz w:val="24"/>
          <w:highlight w:val="none"/>
        </w:rPr>
        <w:t>……（如有，投标人自行添加）</w:t>
      </w:r>
    </w:p>
    <w:p w14:paraId="01E935AD">
      <w:pPr>
        <w:widowControl/>
        <w:spacing w:line="360" w:lineRule="auto"/>
        <w:jc w:val="center"/>
        <w:rPr>
          <w:rFonts w:ascii="宋体" w:hAnsi="宋体" w:cs="华文楷体"/>
          <w:sz w:val="24"/>
          <w:szCs w:val="24"/>
          <w:highlight w:val="none"/>
        </w:rPr>
      </w:pPr>
      <w:r>
        <w:rPr>
          <w:rFonts w:hint="eastAsia" w:ascii="宋体" w:hAnsi="宋体" w:cs="华文楷体"/>
          <w:sz w:val="24"/>
          <w:szCs w:val="24"/>
          <w:highlight w:val="none"/>
        </w:rPr>
        <w:tab/>
      </w:r>
      <w:r>
        <w:rPr>
          <w:rFonts w:hint="eastAsia" w:ascii="宋体" w:hAnsi="宋体" w:cs="华文楷体"/>
          <w:sz w:val="24"/>
          <w:szCs w:val="24"/>
          <w:highlight w:val="none"/>
        </w:rPr>
        <w:t>日期：</w:t>
      </w:r>
      <w:r>
        <w:rPr>
          <w:rFonts w:hint="eastAsia" w:ascii="宋体" w:hAnsi="宋体" w:cs="华文楷体"/>
          <w:sz w:val="24"/>
          <w:szCs w:val="24"/>
          <w:highlight w:val="none"/>
          <w:u w:val="single"/>
        </w:rPr>
        <w:t xml:space="preserve">    </w:t>
      </w:r>
      <w:r>
        <w:rPr>
          <w:rFonts w:hint="eastAsia" w:ascii="宋体" w:hAnsi="宋体" w:cs="华文楷体"/>
          <w:sz w:val="24"/>
          <w:szCs w:val="24"/>
          <w:highlight w:val="none"/>
        </w:rPr>
        <w:t>年</w:t>
      </w:r>
      <w:r>
        <w:rPr>
          <w:rFonts w:hint="eastAsia" w:ascii="宋体" w:hAnsi="宋体" w:cs="华文楷体"/>
          <w:sz w:val="24"/>
          <w:szCs w:val="24"/>
          <w:highlight w:val="none"/>
          <w:u w:val="single"/>
        </w:rPr>
        <w:t xml:space="preserve">    </w:t>
      </w:r>
      <w:r>
        <w:rPr>
          <w:rFonts w:hint="eastAsia" w:ascii="宋体" w:hAnsi="宋体" w:cs="华文楷体"/>
          <w:sz w:val="24"/>
          <w:szCs w:val="24"/>
          <w:highlight w:val="none"/>
        </w:rPr>
        <w:t>月</w:t>
      </w:r>
      <w:r>
        <w:rPr>
          <w:rFonts w:hint="eastAsia" w:ascii="宋体" w:hAnsi="宋体" w:cs="华文楷体"/>
          <w:sz w:val="24"/>
          <w:szCs w:val="24"/>
          <w:highlight w:val="none"/>
          <w:u w:val="single"/>
        </w:rPr>
        <w:t xml:space="preserve">    </w:t>
      </w:r>
      <w:r>
        <w:rPr>
          <w:rFonts w:hint="eastAsia" w:ascii="宋体" w:hAnsi="宋体" w:cs="华文楷体"/>
          <w:sz w:val="24"/>
          <w:szCs w:val="24"/>
          <w:highlight w:val="none"/>
        </w:rPr>
        <w:t>日</w:t>
      </w:r>
    </w:p>
    <w:p w14:paraId="1F058ECA">
      <w:pPr>
        <w:rPr>
          <w:highlight w:val="none"/>
        </w:rPr>
      </w:pPr>
    </w:p>
    <w:p w14:paraId="39E01FDD">
      <w:pPr>
        <w:widowControl/>
        <w:spacing w:line="360" w:lineRule="auto"/>
        <w:jc w:val="center"/>
        <w:rPr>
          <w:rFonts w:ascii="宋体" w:hAnsi="宋体" w:cs="宋体"/>
          <w:b/>
          <w:bCs/>
          <w:kern w:val="0"/>
          <w:sz w:val="28"/>
          <w:szCs w:val="28"/>
          <w:highlight w:val="none"/>
        </w:rPr>
      </w:pPr>
      <w:r>
        <w:rPr>
          <w:rFonts w:hint="eastAsia" w:ascii="宋体" w:hAnsi="宋体" w:cs="宋体"/>
          <w:b/>
          <w:bCs/>
          <w:kern w:val="0"/>
          <w:sz w:val="28"/>
          <w:szCs w:val="28"/>
          <w:highlight w:val="none"/>
        </w:rPr>
        <w:br w:type="page"/>
      </w:r>
      <w:r>
        <w:rPr>
          <w:rFonts w:hint="eastAsia" w:ascii="宋体" w:hAnsi="宋体" w:cs="宋体"/>
          <w:b/>
          <w:bCs/>
          <w:kern w:val="0"/>
          <w:sz w:val="28"/>
          <w:szCs w:val="28"/>
          <w:highlight w:val="none"/>
        </w:rPr>
        <w:t>（四）其他符合第二章第1.4.1条款规定的证明</w:t>
      </w:r>
    </w:p>
    <w:p w14:paraId="41E09915">
      <w:pPr>
        <w:pStyle w:val="26"/>
        <w:ind w:left="0" w:leftChars="0" w:firstLine="0" w:firstLineChars="0"/>
        <w:jc w:val="center"/>
        <w:rPr>
          <w:rFonts w:ascii="宋体" w:hAnsi="宋体" w:cs="宋体"/>
          <w:b/>
          <w:bCs/>
          <w:kern w:val="0"/>
          <w:szCs w:val="21"/>
          <w:highlight w:val="none"/>
        </w:rPr>
      </w:pPr>
    </w:p>
    <w:p w14:paraId="518F8D8C">
      <w:pPr>
        <w:pStyle w:val="26"/>
        <w:ind w:left="0" w:leftChars="0" w:firstLine="0" w:firstLineChars="0"/>
        <w:jc w:val="center"/>
        <w:rPr>
          <w:rFonts w:ascii="宋体" w:hAnsi="宋体" w:cs="宋体"/>
          <w:b/>
          <w:bCs/>
          <w:kern w:val="0"/>
          <w:szCs w:val="21"/>
          <w:highlight w:val="none"/>
        </w:rPr>
      </w:pPr>
    </w:p>
    <w:p w14:paraId="4C7F5FCB">
      <w:pPr>
        <w:pStyle w:val="26"/>
        <w:ind w:left="0" w:leftChars="0" w:firstLine="0" w:firstLineChars="0"/>
        <w:jc w:val="center"/>
        <w:rPr>
          <w:rFonts w:ascii="宋体" w:hAnsi="宋体" w:cs="宋体"/>
          <w:b/>
          <w:bCs/>
          <w:kern w:val="0"/>
          <w:szCs w:val="21"/>
          <w:highlight w:val="none"/>
        </w:rPr>
      </w:pPr>
    </w:p>
    <w:p w14:paraId="7FC1123E">
      <w:pPr>
        <w:pStyle w:val="5"/>
        <w:rPr>
          <w:highlight w:val="none"/>
        </w:rPr>
      </w:pPr>
      <w:r>
        <w:rPr>
          <w:highlight w:val="none"/>
        </w:rPr>
        <w:br w:type="page"/>
      </w:r>
      <w:bookmarkStart w:id="198" w:name="_Toc103592041"/>
      <w:bookmarkStart w:id="199" w:name="_Toc20625"/>
      <w:bookmarkStart w:id="200" w:name="_Toc533357334"/>
      <w:r>
        <w:rPr>
          <w:rFonts w:hint="eastAsia"/>
          <w:highlight w:val="none"/>
        </w:rPr>
        <w:t>六、类似项目业绩表</w:t>
      </w:r>
      <w:bookmarkEnd w:id="198"/>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1741"/>
        <w:gridCol w:w="1054"/>
        <w:gridCol w:w="1356"/>
        <w:gridCol w:w="932"/>
        <w:gridCol w:w="1827"/>
        <w:gridCol w:w="870"/>
      </w:tblGrid>
      <w:tr w14:paraId="20E5C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1" w:hRule="atLeast"/>
          <w:jc w:val="center"/>
        </w:trPr>
        <w:tc>
          <w:tcPr>
            <w:tcW w:w="525" w:type="dxa"/>
            <w:vAlign w:val="center"/>
          </w:tcPr>
          <w:p w14:paraId="0FC14FEF">
            <w:pPr>
              <w:snapToGrid w:val="0"/>
              <w:spacing w:line="240" w:lineRule="atLeast"/>
              <w:jc w:val="center"/>
              <w:rPr>
                <w:rFonts w:ascii="宋体" w:hAnsi="宋体"/>
                <w:sz w:val="24"/>
                <w:highlight w:val="none"/>
              </w:rPr>
            </w:pPr>
            <w:r>
              <w:rPr>
                <w:rFonts w:hint="eastAsia" w:ascii="宋体" w:hAnsi="宋体"/>
                <w:sz w:val="24"/>
                <w:highlight w:val="none"/>
              </w:rPr>
              <w:t>序号</w:t>
            </w:r>
          </w:p>
        </w:tc>
        <w:tc>
          <w:tcPr>
            <w:tcW w:w="1741" w:type="dxa"/>
            <w:vAlign w:val="center"/>
          </w:tcPr>
          <w:p w14:paraId="26B00472">
            <w:pPr>
              <w:snapToGrid w:val="0"/>
              <w:spacing w:line="240" w:lineRule="atLeast"/>
              <w:jc w:val="center"/>
              <w:rPr>
                <w:rFonts w:ascii="宋体" w:hAnsi="宋体"/>
                <w:sz w:val="24"/>
                <w:highlight w:val="none"/>
              </w:rPr>
            </w:pPr>
            <w:r>
              <w:rPr>
                <w:rFonts w:hint="eastAsia" w:ascii="宋体" w:hAnsi="宋体"/>
                <w:sz w:val="24"/>
                <w:highlight w:val="none"/>
              </w:rPr>
              <w:t>工程名称</w:t>
            </w:r>
          </w:p>
        </w:tc>
        <w:tc>
          <w:tcPr>
            <w:tcW w:w="1054" w:type="dxa"/>
            <w:vAlign w:val="center"/>
          </w:tcPr>
          <w:p w14:paraId="2F599D4F">
            <w:pPr>
              <w:snapToGrid w:val="0"/>
              <w:spacing w:line="240" w:lineRule="atLeast"/>
              <w:jc w:val="center"/>
              <w:rPr>
                <w:rFonts w:ascii="宋体" w:hAnsi="宋体"/>
                <w:sz w:val="24"/>
                <w:highlight w:val="none"/>
              </w:rPr>
            </w:pPr>
            <w:r>
              <w:rPr>
                <w:rFonts w:hint="eastAsia" w:ascii="宋体" w:hAnsi="宋体"/>
                <w:sz w:val="24"/>
                <w:highlight w:val="none"/>
              </w:rPr>
              <w:t>建设单位</w:t>
            </w:r>
          </w:p>
        </w:tc>
        <w:tc>
          <w:tcPr>
            <w:tcW w:w="1356" w:type="dxa"/>
            <w:vAlign w:val="center"/>
          </w:tcPr>
          <w:p w14:paraId="4275A851">
            <w:pPr>
              <w:snapToGrid w:val="0"/>
              <w:spacing w:line="240" w:lineRule="atLeast"/>
              <w:jc w:val="center"/>
              <w:rPr>
                <w:rFonts w:ascii="宋体" w:hAnsi="宋体"/>
                <w:sz w:val="24"/>
                <w:highlight w:val="none"/>
              </w:rPr>
            </w:pPr>
            <w:r>
              <w:rPr>
                <w:rFonts w:hint="eastAsia" w:ascii="宋体" w:hAnsi="宋体"/>
                <w:sz w:val="24"/>
                <w:highlight w:val="none"/>
              </w:rPr>
              <w:t>合同价（万元）</w:t>
            </w:r>
          </w:p>
        </w:tc>
        <w:tc>
          <w:tcPr>
            <w:tcW w:w="932" w:type="dxa"/>
            <w:vAlign w:val="center"/>
          </w:tcPr>
          <w:p w14:paraId="7ECE755A">
            <w:pPr>
              <w:snapToGrid w:val="0"/>
              <w:spacing w:line="240" w:lineRule="atLeast"/>
              <w:jc w:val="center"/>
              <w:rPr>
                <w:rFonts w:ascii="宋体" w:hAnsi="宋体"/>
                <w:sz w:val="24"/>
                <w:highlight w:val="none"/>
              </w:rPr>
            </w:pPr>
            <w:r>
              <w:rPr>
                <w:rFonts w:hint="eastAsia" w:ascii="宋体" w:hAnsi="宋体"/>
                <w:sz w:val="24"/>
                <w:highlight w:val="none"/>
              </w:rPr>
              <w:t>起止时间</w:t>
            </w:r>
          </w:p>
        </w:tc>
        <w:tc>
          <w:tcPr>
            <w:tcW w:w="1827" w:type="dxa"/>
            <w:vAlign w:val="center"/>
          </w:tcPr>
          <w:p w14:paraId="5A72ED11">
            <w:pPr>
              <w:snapToGrid w:val="0"/>
              <w:spacing w:line="240" w:lineRule="atLeast"/>
              <w:jc w:val="center"/>
              <w:rPr>
                <w:rFonts w:ascii="宋体" w:hAnsi="宋体"/>
                <w:sz w:val="24"/>
                <w:highlight w:val="none"/>
              </w:rPr>
            </w:pPr>
            <w:r>
              <w:rPr>
                <w:rFonts w:hint="eastAsia" w:ascii="宋体" w:hAnsi="宋体"/>
                <w:sz w:val="24"/>
                <w:highlight w:val="none"/>
              </w:rPr>
              <w:t>工程所在地址</w:t>
            </w:r>
          </w:p>
        </w:tc>
        <w:tc>
          <w:tcPr>
            <w:tcW w:w="870" w:type="dxa"/>
            <w:vAlign w:val="center"/>
          </w:tcPr>
          <w:p w14:paraId="5F2B9A6F">
            <w:pPr>
              <w:snapToGrid w:val="0"/>
              <w:spacing w:line="240" w:lineRule="atLeast"/>
              <w:jc w:val="center"/>
              <w:rPr>
                <w:rFonts w:ascii="宋体" w:hAnsi="宋体"/>
                <w:sz w:val="24"/>
                <w:highlight w:val="none"/>
              </w:rPr>
            </w:pPr>
            <w:r>
              <w:rPr>
                <w:rFonts w:hint="eastAsia" w:ascii="宋体" w:hAnsi="宋体"/>
                <w:sz w:val="24"/>
                <w:highlight w:val="none"/>
              </w:rPr>
              <w:t>备注</w:t>
            </w:r>
          </w:p>
        </w:tc>
      </w:tr>
      <w:tr w14:paraId="64DC6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5" w:hRule="atLeast"/>
          <w:jc w:val="center"/>
        </w:trPr>
        <w:tc>
          <w:tcPr>
            <w:tcW w:w="525" w:type="dxa"/>
            <w:vAlign w:val="center"/>
          </w:tcPr>
          <w:p w14:paraId="33543872">
            <w:pPr>
              <w:spacing w:line="240" w:lineRule="atLeast"/>
              <w:jc w:val="center"/>
              <w:rPr>
                <w:rFonts w:ascii="宋体" w:hAnsi="宋体"/>
                <w:sz w:val="24"/>
                <w:highlight w:val="none"/>
              </w:rPr>
            </w:pPr>
          </w:p>
        </w:tc>
        <w:tc>
          <w:tcPr>
            <w:tcW w:w="1741" w:type="dxa"/>
            <w:vAlign w:val="center"/>
          </w:tcPr>
          <w:p w14:paraId="24120B30">
            <w:pPr>
              <w:spacing w:line="240" w:lineRule="atLeast"/>
              <w:jc w:val="center"/>
              <w:rPr>
                <w:rFonts w:ascii="宋体" w:hAnsi="宋体"/>
                <w:sz w:val="24"/>
                <w:highlight w:val="none"/>
              </w:rPr>
            </w:pPr>
          </w:p>
        </w:tc>
        <w:tc>
          <w:tcPr>
            <w:tcW w:w="1054" w:type="dxa"/>
            <w:vAlign w:val="center"/>
          </w:tcPr>
          <w:p w14:paraId="2A0E5219">
            <w:pPr>
              <w:spacing w:line="240" w:lineRule="atLeast"/>
              <w:jc w:val="center"/>
              <w:rPr>
                <w:rFonts w:ascii="宋体" w:hAnsi="宋体"/>
                <w:sz w:val="24"/>
                <w:highlight w:val="none"/>
              </w:rPr>
            </w:pPr>
          </w:p>
        </w:tc>
        <w:tc>
          <w:tcPr>
            <w:tcW w:w="1356" w:type="dxa"/>
            <w:vAlign w:val="center"/>
          </w:tcPr>
          <w:p w14:paraId="187B9413">
            <w:pPr>
              <w:spacing w:line="240" w:lineRule="atLeast"/>
              <w:jc w:val="center"/>
              <w:rPr>
                <w:rFonts w:ascii="宋体" w:hAnsi="宋体"/>
                <w:sz w:val="24"/>
                <w:highlight w:val="none"/>
              </w:rPr>
            </w:pPr>
          </w:p>
        </w:tc>
        <w:tc>
          <w:tcPr>
            <w:tcW w:w="932" w:type="dxa"/>
            <w:vAlign w:val="center"/>
          </w:tcPr>
          <w:p w14:paraId="6214CB70">
            <w:pPr>
              <w:spacing w:line="240" w:lineRule="atLeast"/>
              <w:jc w:val="center"/>
              <w:rPr>
                <w:rFonts w:ascii="宋体" w:hAnsi="宋体"/>
                <w:sz w:val="24"/>
                <w:highlight w:val="none"/>
              </w:rPr>
            </w:pPr>
          </w:p>
        </w:tc>
        <w:tc>
          <w:tcPr>
            <w:tcW w:w="1827" w:type="dxa"/>
            <w:vAlign w:val="center"/>
          </w:tcPr>
          <w:p w14:paraId="2AEF4279">
            <w:pPr>
              <w:spacing w:line="240" w:lineRule="atLeast"/>
              <w:jc w:val="center"/>
              <w:rPr>
                <w:rFonts w:ascii="宋体" w:hAnsi="宋体"/>
                <w:sz w:val="24"/>
                <w:highlight w:val="none"/>
              </w:rPr>
            </w:pPr>
          </w:p>
        </w:tc>
        <w:tc>
          <w:tcPr>
            <w:tcW w:w="870" w:type="dxa"/>
            <w:vAlign w:val="center"/>
          </w:tcPr>
          <w:p w14:paraId="50235AF2">
            <w:pPr>
              <w:spacing w:line="240" w:lineRule="atLeast"/>
              <w:jc w:val="center"/>
              <w:rPr>
                <w:rFonts w:ascii="宋体" w:hAnsi="宋体"/>
                <w:sz w:val="24"/>
                <w:highlight w:val="none"/>
              </w:rPr>
            </w:pPr>
          </w:p>
        </w:tc>
      </w:tr>
      <w:tr w14:paraId="20CD6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jc w:val="center"/>
        </w:trPr>
        <w:tc>
          <w:tcPr>
            <w:tcW w:w="525" w:type="dxa"/>
            <w:vAlign w:val="center"/>
          </w:tcPr>
          <w:p w14:paraId="73B32DCE">
            <w:pPr>
              <w:spacing w:line="240" w:lineRule="atLeast"/>
              <w:jc w:val="center"/>
              <w:rPr>
                <w:rFonts w:ascii="宋体" w:hAnsi="宋体"/>
                <w:sz w:val="24"/>
                <w:highlight w:val="none"/>
              </w:rPr>
            </w:pPr>
          </w:p>
        </w:tc>
        <w:tc>
          <w:tcPr>
            <w:tcW w:w="1741" w:type="dxa"/>
            <w:vAlign w:val="center"/>
          </w:tcPr>
          <w:p w14:paraId="34F82527">
            <w:pPr>
              <w:spacing w:line="240" w:lineRule="atLeast"/>
              <w:jc w:val="center"/>
              <w:rPr>
                <w:rFonts w:ascii="宋体" w:hAnsi="宋体"/>
                <w:sz w:val="24"/>
                <w:highlight w:val="none"/>
              </w:rPr>
            </w:pPr>
          </w:p>
        </w:tc>
        <w:tc>
          <w:tcPr>
            <w:tcW w:w="1054" w:type="dxa"/>
            <w:vAlign w:val="center"/>
          </w:tcPr>
          <w:p w14:paraId="46F39765">
            <w:pPr>
              <w:spacing w:line="240" w:lineRule="atLeast"/>
              <w:jc w:val="center"/>
              <w:rPr>
                <w:rFonts w:ascii="宋体" w:hAnsi="宋体"/>
                <w:sz w:val="24"/>
                <w:highlight w:val="none"/>
              </w:rPr>
            </w:pPr>
          </w:p>
        </w:tc>
        <w:tc>
          <w:tcPr>
            <w:tcW w:w="1356" w:type="dxa"/>
            <w:vAlign w:val="center"/>
          </w:tcPr>
          <w:p w14:paraId="4EC569CD">
            <w:pPr>
              <w:spacing w:line="240" w:lineRule="atLeast"/>
              <w:jc w:val="center"/>
              <w:rPr>
                <w:rFonts w:ascii="宋体" w:hAnsi="宋体"/>
                <w:sz w:val="24"/>
                <w:highlight w:val="none"/>
              </w:rPr>
            </w:pPr>
          </w:p>
        </w:tc>
        <w:tc>
          <w:tcPr>
            <w:tcW w:w="932" w:type="dxa"/>
            <w:vAlign w:val="center"/>
          </w:tcPr>
          <w:p w14:paraId="3DAA1316">
            <w:pPr>
              <w:spacing w:line="240" w:lineRule="atLeast"/>
              <w:jc w:val="center"/>
              <w:rPr>
                <w:rFonts w:ascii="宋体" w:hAnsi="宋体"/>
                <w:sz w:val="24"/>
                <w:highlight w:val="none"/>
              </w:rPr>
            </w:pPr>
          </w:p>
        </w:tc>
        <w:tc>
          <w:tcPr>
            <w:tcW w:w="1827" w:type="dxa"/>
            <w:vAlign w:val="center"/>
          </w:tcPr>
          <w:p w14:paraId="30A64E05">
            <w:pPr>
              <w:spacing w:line="240" w:lineRule="atLeast"/>
              <w:jc w:val="center"/>
              <w:rPr>
                <w:rFonts w:ascii="宋体" w:hAnsi="宋体"/>
                <w:sz w:val="24"/>
                <w:highlight w:val="none"/>
              </w:rPr>
            </w:pPr>
          </w:p>
        </w:tc>
        <w:tc>
          <w:tcPr>
            <w:tcW w:w="870" w:type="dxa"/>
            <w:vAlign w:val="center"/>
          </w:tcPr>
          <w:p w14:paraId="0E6A4612">
            <w:pPr>
              <w:spacing w:line="240" w:lineRule="atLeast"/>
              <w:jc w:val="center"/>
              <w:rPr>
                <w:rFonts w:ascii="宋体" w:hAnsi="宋体"/>
                <w:sz w:val="24"/>
                <w:highlight w:val="none"/>
              </w:rPr>
            </w:pPr>
          </w:p>
        </w:tc>
      </w:tr>
      <w:tr w14:paraId="036BA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jc w:val="center"/>
        </w:trPr>
        <w:tc>
          <w:tcPr>
            <w:tcW w:w="525" w:type="dxa"/>
            <w:vAlign w:val="center"/>
          </w:tcPr>
          <w:p w14:paraId="4957A009">
            <w:pPr>
              <w:spacing w:line="240" w:lineRule="atLeast"/>
              <w:jc w:val="center"/>
              <w:rPr>
                <w:rFonts w:ascii="宋体" w:hAnsi="宋体"/>
                <w:sz w:val="24"/>
                <w:highlight w:val="none"/>
              </w:rPr>
            </w:pPr>
          </w:p>
        </w:tc>
        <w:tc>
          <w:tcPr>
            <w:tcW w:w="1741" w:type="dxa"/>
            <w:vAlign w:val="center"/>
          </w:tcPr>
          <w:p w14:paraId="76B8643F">
            <w:pPr>
              <w:spacing w:line="240" w:lineRule="atLeast"/>
              <w:jc w:val="center"/>
              <w:rPr>
                <w:rFonts w:ascii="宋体" w:hAnsi="宋体"/>
                <w:sz w:val="24"/>
                <w:highlight w:val="none"/>
              </w:rPr>
            </w:pPr>
          </w:p>
        </w:tc>
        <w:tc>
          <w:tcPr>
            <w:tcW w:w="1054" w:type="dxa"/>
            <w:vAlign w:val="center"/>
          </w:tcPr>
          <w:p w14:paraId="272C5EFC">
            <w:pPr>
              <w:spacing w:line="240" w:lineRule="atLeast"/>
              <w:jc w:val="center"/>
              <w:rPr>
                <w:rFonts w:ascii="宋体" w:hAnsi="宋体"/>
                <w:sz w:val="24"/>
                <w:highlight w:val="none"/>
              </w:rPr>
            </w:pPr>
          </w:p>
        </w:tc>
        <w:tc>
          <w:tcPr>
            <w:tcW w:w="1356" w:type="dxa"/>
            <w:vAlign w:val="center"/>
          </w:tcPr>
          <w:p w14:paraId="40D84313">
            <w:pPr>
              <w:spacing w:line="240" w:lineRule="atLeast"/>
              <w:jc w:val="center"/>
              <w:rPr>
                <w:rFonts w:ascii="宋体" w:hAnsi="宋体"/>
                <w:sz w:val="24"/>
                <w:highlight w:val="none"/>
              </w:rPr>
            </w:pPr>
          </w:p>
        </w:tc>
        <w:tc>
          <w:tcPr>
            <w:tcW w:w="932" w:type="dxa"/>
            <w:vAlign w:val="center"/>
          </w:tcPr>
          <w:p w14:paraId="7258443A">
            <w:pPr>
              <w:spacing w:line="240" w:lineRule="atLeast"/>
              <w:jc w:val="center"/>
              <w:rPr>
                <w:rFonts w:ascii="宋体" w:hAnsi="宋体"/>
                <w:sz w:val="24"/>
                <w:highlight w:val="none"/>
              </w:rPr>
            </w:pPr>
          </w:p>
        </w:tc>
        <w:tc>
          <w:tcPr>
            <w:tcW w:w="1827" w:type="dxa"/>
            <w:vAlign w:val="center"/>
          </w:tcPr>
          <w:p w14:paraId="7057CB30">
            <w:pPr>
              <w:spacing w:line="240" w:lineRule="atLeast"/>
              <w:jc w:val="center"/>
              <w:rPr>
                <w:rFonts w:ascii="宋体" w:hAnsi="宋体"/>
                <w:sz w:val="24"/>
                <w:highlight w:val="none"/>
              </w:rPr>
            </w:pPr>
          </w:p>
        </w:tc>
        <w:tc>
          <w:tcPr>
            <w:tcW w:w="870" w:type="dxa"/>
            <w:vAlign w:val="center"/>
          </w:tcPr>
          <w:p w14:paraId="5CDA6EF9">
            <w:pPr>
              <w:spacing w:line="240" w:lineRule="atLeast"/>
              <w:jc w:val="center"/>
              <w:rPr>
                <w:rFonts w:ascii="宋体" w:hAnsi="宋体"/>
                <w:sz w:val="24"/>
                <w:highlight w:val="none"/>
              </w:rPr>
            </w:pPr>
          </w:p>
        </w:tc>
      </w:tr>
      <w:tr w14:paraId="1CF8B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jc w:val="center"/>
        </w:trPr>
        <w:tc>
          <w:tcPr>
            <w:tcW w:w="525" w:type="dxa"/>
            <w:vAlign w:val="center"/>
          </w:tcPr>
          <w:p w14:paraId="4E915B2F">
            <w:pPr>
              <w:spacing w:line="240" w:lineRule="atLeast"/>
              <w:jc w:val="center"/>
              <w:rPr>
                <w:rFonts w:ascii="宋体" w:hAnsi="宋体"/>
                <w:sz w:val="24"/>
                <w:highlight w:val="none"/>
              </w:rPr>
            </w:pPr>
          </w:p>
        </w:tc>
        <w:tc>
          <w:tcPr>
            <w:tcW w:w="1741" w:type="dxa"/>
            <w:vAlign w:val="center"/>
          </w:tcPr>
          <w:p w14:paraId="46A98550">
            <w:pPr>
              <w:spacing w:line="240" w:lineRule="atLeast"/>
              <w:jc w:val="center"/>
              <w:rPr>
                <w:rFonts w:ascii="宋体" w:hAnsi="宋体"/>
                <w:sz w:val="24"/>
                <w:highlight w:val="none"/>
              </w:rPr>
            </w:pPr>
          </w:p>
        </w:tc>
        <w:tc>
          <w:tcPr>
            <w:tcW w:w="1054" w:type="dxa"/>
            <w:vAlign w:val="center"/>
          </w:tcPr>
          <w:p w14:paraId="3322E14B">
            <w:pPr>
              <w:spacing w:line="240" w:lineRule="atLeast"/>
              <w:jc w:val="center"/>
              <w:rPr>
                <w:rFonts w:ascii="宋体" w:hAnsi="宋体"/>
                <w:sz w:val="24"/>
                <w:highlight w:val="none"/>
              </w:rPr>
            </w:pPr>
          </w:p>
        </w:tc>
        <w:tc>
          <w:tcPr>
            <w:tcW w:w="1356" w:type="dxa"/>
            <w:vAlign w:val="center"/>
          </w:tcPr>
          <w:p w14:paraId="70AD23F5">
            <w:pPr>
              <w:spacing w:line="240" w:lineRule="atLeast"/>
              <w:jc w:val="center"/>
              <w:rPr>
                <w:rFonts w:ascii="宋体" w:hAnsi="宋体"/>
                <w:sz w:val="24"/>
                <w:highlight w:val="none"/>
              </w:rPr>
            </w:pPr>
          </w:p>
        </w:tc>
        <w:tc>
          <w:tcPr>
            <w:tcW w:w="932" w:type="dxa"/>
            <w:vAlign w:val="center"/>
          </w:tcPr>
          <w:p w14:paraId="5D00D7D6">
            <w:pPr>
              <w:spacing w:line="240" w:lineRule="atLeast"/>
              <w:jc w:val="center"/>
              <w:rPr>
                <w:rFonts w:ascii="宋体" w:hAnsi="宋体"/>
                <w:sz w:val="24"/>
                <w:highlight w:val="none"/>
              </w:rPr>
            </w:pPr>
          </w:p>
        </w:tc>
        <w:tc>
          <w:tcPr>
            <w:tcW w:w="1827" w:type="dxa"/>
            <w:vAlign w:val="center"/>
          </w:tcPr>
          <w:p w14:paraId="07BE7675">
            <w:pPr>
              <w:spacing w:line="240" w:lineRule="atLeast"/>
              <w:jc w:val="center"/>
              <w:rPr>
                <w:rFonts w:ascii="宋体" w:hAnsi="宋体"/>
                <w:sz w:val="24"/>
                <w:highlight w:val="none"/>
              </w:rPr>
            </w:pPr>
          </w:p>
        </w:tc>
        <w:tc>
          <w:tcPr>
            <w:tcW w:w="870" w:type="dxa"/>
            <w:vAlign w:val="center"/>
          </w:tcPr>
          <w:p w14:paraId="4236CBC9">
            <w:pPr>
              <w:spacing w:line="240" w:lineRule="atLeast"/>
              <w:jc w:val="center"/>
              <w:rPr>
                <w:rFonts w:ascii="宋体" w:hAnsi="宋体"/>
                <w:sz w:val="24"/>
                <w:highlight w:val="none"/>
              </w:rPr>
            </w:pPr>
          </w:p>
        </w:tc>
      </w:tr>
      <w:tr w14:paraId="53D90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jc w:val="center"/>
        </w:trPr>
        <w:tc>
          <w:tcPr>
            <w:tcW w:w="525" w:type="dxa"/>
            <w:vAlign w:val="center"/>
          </w:tcPr>
          <w:p w14:paraId="180AF00B">
            <w:pPr>
              <w:spacing w:line="240" w:lineRule="atLeast"/>
              <w:jc w:val="center"/>
              <w:rPr>
                <w:rFonts w:ascii="宋体" w:hAnsi="宋体"/>
                <w:sz w:val="24"/>
                <w:highlight w:val="none"/>
              </w:rPr>
            </w:pPr>
          </w:p>
        </w:tc>
        <w:tc>
          <w:tcPr>
            <w:tcW w:w="1741" w:type="dxa"/>
            <w:vAlign w:val="center"/>
          </w:tcPr>
          <w:p w14:paraId="33EB49B5">
            <w:pPr>
              <w:spacing w:line="240" w:lineRule="atLeast"/>
              <w:jc w:val="center"/>
              <w:rPr>
                <w:rFonts w:ascii="宋体" w:hAnsi="宋体"/>
                <w:sz w:val="24"/>
                <w:highlight w:val="none"/>
              </w:rPr>
            </w:pPr>
          </w:p>
        </w:tc>
        <w:tc>
          <w:tcPr>
            <w:tcW w:w="1054" w:type="dxa"/>
            <w:vAlign w:val="center"/>
          </w:tcPr>
          <w:p w14:paraId="0D76D05B">
            <w:pPr>
              <w:spacing w:line="240" w:lineRule="atLeast"/>
              <w:jc w:val="center"/>
              <w:rPr>
                <w:rFonts w:ascii="宋体" w:hAnsi="宋体"/>
                <w:sz w:val="24"/>
                <w:highlight w:val="none"/>
              </w:rPr>
            </w:pPr>
          </w:p>
        </w:tc>
        <w:tc>
          <w:tcPr>
            <w:tcW w:w="1356" w:type="dxa"/>
            <w:vAlign w:val="center"/>
          </w:tcPr>
          <w:p w14:paraId="017D027E">
            <w:pPr>
              <w:spacing w:line="240" w:lineRule="atLeast"/>
              <w:jc w:val="center"/>
              <w:rPr>
                <w:rFonts w:ascii="宋体" w:hAnsi="宋体"/>
                <w:sz w:val="24"/>
                <w:highlight w:val="none"/>
              </w:rPr>
            </w:pPr>
          </w:p>
        </w:tc>
        <w:tc>
          <w:tcPr>
            <w:tcW w:w="932" w:type="dxa"/>
            <w:vAlign w:val="center"/>
          </w:tcPr>
          <w:p w14:paraId="10FC86CA">
            <w:pPr>
              <w:spacing w:line="240" w:lineRule="atLeast"/>
              <w:jc w:val="center"/>
              <w:rPr>
                <w:rFonts w:ascii="宋体" w:hAnsi="宋体"/>
                <w:sz w:val="24"/>
                <w:highlight w:val="none"/>
              </w:rPr>
            </w:pPr>
          </w:p>
        </w:tc>
        <w:tc>
          <w:tcPr>
            <w:tcW w:w="1827" w:type="dxa"/>
            <w:vAlign w:val="center"/>
          </w:tcPr>
          <w:p w14:paraId="5F4E126B">
            <w:pPr>
              <w:spacing w:line="240" w:lineRule="atLeast"/>
              <w:jc w:val="center"/>
              <w:rPr>
                <w:rFonts w:ascii="宋体" w:hAnsi="宋体"/>
                <w:sz w:val="24"/>
                <w:highlight w:val="none"/>
              </w:rPr>
            </w:pPr>
          </w:p>
        </w:tc>
        <w:tc>
          <w:tcPr>
            <w:tcW w:w="870" w:type="dxa"/>
            <w:vAlign w:val="center"/>
          </w:tcPr>
          <w:p w14:paraId="32029F80">
            <w:pPr>
              <w:spacing w:line="240" w:lineRule="atLeast"/>
              <w:jc w:val="center"/>
              <w:rPr>
                <w:rFonts w:ascii="宋体" w:hAnsi="宋体"/>
                <w:sz w:val="24"/>
                <w:highlight w:val="none"/>
              </w:rPr>
            </w:pPr>
          </w:p>
        </w:tc>
      </w:tr>
      <w:tr w14:paraId="0A7A6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jc w:val="center"/>
        </w:trPr>
        <w:tc>
          <w:tcPr>
            <w:tcW w:w="525" w:type="dxa"/>
            <w:vAlign w:val="center"/>
          </w:tcPr>
          <w:p w14:paraId="1DBDC222">
            <w:pPr>
              <w:spacing w:line="240" w:lineRule="atLeast"/>
              <w:jc w:val="center"/>
              <w:rPr>
                <w:rFonts w:ascii="宋体" w:hAnsi="宋体"/>
                <w:sz w:val="24"/>
                <w:highlight w:val="none"/>
              </w:rPr>
            </w:pPr>
          </w:p>
        </w:tc>
        <w:tc>
          <w:tcPr>
            <w:tcW w:w="1741" w:type="dxa"/>
            <w:vAlign w:val="center"/>
          </w:tcPr>
          <w:p w14:paraId="0D35430E">
            <w:pPr>
              <w:spacing w:line="240" w:lineRule="atLeast"/>
              <w:jc w:val="center"/>
              <w:rPr>
                <w:rFonts w:ascii="宋体" w:hAnsi="宋体"/>
                <w:sz w:val="24"/>
                <w:highlight w:val="none"/>
              </w:rPr>
            </w:pPr>
          </w:p>
        </w:tc>
        <w:tc>
          <w:tcPr>
            <w:tcW w:w="1054" w:type="dxa"/>
            <w:vAlign w:val="center"/>
          </w:tcPr>
          <w:p w14:paraId="3B30A819">
            <w:pPr>
              <w:spacing w:line="240" w:lineRule="atLeast"/>
              <w:jc w:val="center"/>
              <w:rPr>
                <w:rFonts w:ascii="宋体" w:hAnsi="宋体"/>
                <w:sz w:val="24"/>
                <w:highlight w:val="none"/>
              </w:rPr>
            </w:pPr>
          </w:p>
        </w:tc>
        <w:tc>
          <w:tcPr>
            <w:tcW w:w="1356" w:type="dxa"/>
            <w:vAlign w:val="center"/>
          </w:tcPr>
          <w:p w14:paraId="37A7D2C2">
            <w:pPr>
              <w:spacing w:line="240" w:lineRule="atLeast"/>
              <w:jc w:val="center"/>
              <w:rPr>
                <w:rFonts w:ascii="宋体" w:hAnsi="宋体"/>
                <w:sz w:val="24"/>
                <w:highlight w:val="none"/>
              </w:rPr>
            </w:pPr>
          </w:p>
        </w:tc>
        <w:tc>
          <w:tcPr>
            <w:tcW w:w="932" w:type="dxa"/>
            <w:vAlign w:val="center"/>
          </w:tcPr>
          <w:p w14:paraId="764330F6">
            <w:pPr>
              <w:spacing w:line="240" w:lineRule="atLeast"/>
              <w:jc w:val="center"/>
              <w:rPr>
                <w:rFonts w:ascii="宋体" w:hAnsi="宋体"/>
                <w:sz w:val="24"/>
                <w:highlight w:val="none"/>
              </w:rPr>
            </w:pPr>
          </w:p>
        </w:tc>
        <w:tc>
          <w:tcPr>
            <w:tcW w:w="1827" w:type="dxa"/>
            <w:vAlign w:val="center"/>
          </w:tcPr>
          <w:p w14:paraId="1471750C">
            <w:pPr>
              <w:spacing w:line="240" w:lineRule="atLeast"/>
              <w:jc w:val="center"/>
              <w:rPr>
                <w:rFonts w:ascii="宋体" w:hAnsi="宋体"/>
                <w:sz w:val="24"/>
                <w:highlight w:val="none"/>
              </w:rPr>
            </w:pPr>
          </w:p>
        </w:tc>
        <w:tc>
          <w:tcPr>
            <w:tcW w:w="870" w:type="dxa"/>
            <w:vAlign w:val="center"/>
          </w:tcPr>
          <w:p w14:paraId="6A7E4202">
            <w:pPr>
              <w:spacing w:line="240" w:lineRule="atLeast"/>
              <w:jc w:val="center"/>
              <w:rPr>
                <w:rFonts w:ascii="宋体" w:hAnsi="宋体"/>
                <w:sz w:val="24"/>
                <w:highlight w:val="none"/>
              </w:rPr>
            </w:pPr>
          </w:p>
        </w:tc>
      </w:tr>
      <w:tr w14:paraId="722BF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jc w:val="center"/>
        </w:trPr>
        <w:tc>
          <w:tcPr>
            <w:tcW w:w="525" w:type="dxa"/>
            <w:vAlign w:val="center"/>
          </w:tcPr>
          <w:p w14:paraId="130B89AE">
            <w:pPr>
              <w:spacing w:line="240" w:lineRule="atLeast"/>
              <w:jc w:val="center"/>
              <w:rPr>
                <w:rFonts w:ascii="宋体" w:hAnsi="宋体"/>
                <w:sz w:val="24"/>
                <w:highlight w:val="none"/>
              </w:rPr>
            </w:pPr>
          </w:p>
        </w:tc>
        <w:tc>
          <w:tcPr>
            <w:tcW w:w="1741" w:type="dxa"/>
            <w:vAlign w:val="center"/>
          </w:tcPr>
          <w:p w14:paraId="75ED5D98">
            <w:pPr>
              <w:spacing w:line="240" w:lineRule="atLeast"/>
              <w:jc w:val="center"/>
              <w:rPr>
                <w:rFonts w:ascii="宋体" w:hAnsi="宋体"/>
                <w:sz w:val="24"/>
                <w:highlight w:val="none"/>
              </w:rPr>
            </w:pPr>
          </w:p>
        </w:tc>
        <w:tc>
          <w:tcPr>
            <w:tcW w:w="1054" w:type="dxa"/>
            <w:vAlign w:val="center"/>
          </w:tcPr>
          <w:p w14:paraId="68DDCDC3">
            <w:pPr>
              <w:spacing w:line="240" w:lineRule="atLeast"/>
              <w:jc w:val="center"/>
              <w:rPr>
                <w:rFonts w:ascii="宋体" w:hAnsi="宋体"/>
                <w:sz w:val="24"/>
                <w:highlight w:val="none"/>
              </w:rPr>
            </w:pPr>
          </w:p>
        </w:tc>
        <w:tc>
          <w:tcPr>
            <w:tcW w:w="1356" w:type="dxa"/>
            <w:vAlign w:val="center"/>
          </w:tcPr>
          <w:p w14:paraId="400CA1D8">
            <w:pPr>
              <w:spacing w:line="240" w:lineRule="atLeast"/>
              <w:jc w:val="center"/>
              <w:rPr>
                <w:rFonts w:ascii="宋体" w:hAnsi="宋体"/>
                <w:sz w:val="24"/>
                <w:highlight w:val="none"/>
              </w:rPr>
            </w:pPr>
          </w:p>
        </w:tc>
        <w:tc>
          <w:tcPr>
            <w:tcW w:w="932" w:type="dxa"/>
            <w:vAlign w:val="center"/>
          </w:tcPr>
          <w:p w14:paraId="7589DAD8">
            <w:pPr>
              <w:spacing w:line="240" w:lineRule="atLeast"/>
              <w:jc w:val="center"/>
              <w:rPr>
                <w:rFonts w:ascii="宋体" w:hAnsi="宋体"/>
                <w:sz w:val="24"/>
                <w:highlight w:val="none"/>
              </w:rPr>
            </w:pPr>
          </w:p>
        </w:tc>
        <w:tc>
          <w:tcPr>
            <w:tcW w:w="1827" w:type="dxa"/>
            <w:vAlign w:val="center"/>
          </w:tcPr>
          <w:p w14:paraId="4B2A2D6F">
            <w:pPr>
              <w:spacing w:line="240" w:lineRule="atLeast"/>
              <w:jc w:val="center"/>
              <w:rPr>
                <w:rFonts w:ascii="宋体" w:hAnsi="宋体"/>
                <w:sz w:val="24"/>
                <w:highlight w:val="none"/>
              </w:rPr>
            </w:pPr>
          </w:p>
        </w:tc>
        <w:tc>
          <w:tcPr>
            <w:tcW w:w="870" w:type="dxa"/>
            <w:vAlign w:val="center"/>
          </w:tcPr>
          <w:p w14:paraId="7E0F59C3">
            <w:pPr>
              <w:spacing w:line="240" w:lineRule="atLeast"/>
              <w:jc w:val="center"/>
              <w:rPr>
                <w:rFonts w:ascii="宋体" w:hAnsi="宋体"/>
                <w:sz w:val="24"/>
                <w:highlight w:val="none"/>
              </w:rPr>
            </w:pPr>
          </w:p>
        </w:tc>
      </w:tr>
      <w:tr w14:paraId="3E358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jc w:val="center"/>
        </w:trPr>
        <w:tc>
          <w:tcPr>
            <w:tcW w:w="525" w:type="dxa"/>
            <w:vAlign w:val="center"/>
          </w:tcPr>
          <w:p w14:paraId="1EC524A4">
            <w:pPr>
              <w:spacing w:line="240" w:lineRule="atLeast"/>
              <w:jc w:val="center"/>
              <w:rPr>
                <w:rFonts w:ascii="宋体" w:hAnsi="宋体"/>
                <w:sz w:val="24"/>
                <w:highlight w:val="none"/>
              </w:rPr>
            </w:pPr>
          </w:p>
        </w:tc>
        <w:tc>
          <w:tcPr>
            <w:tcW w:w="1741" w:type="dxa"/>
            <w:vAlign w:val="center"/>
          </w:tcPr>
          <w:p w14:paraId="65DE8AA0">
            <w:pPr>
              <w:spacing w:line="240" w:lineRule="atLeast"/>
              <w:jc w:val="center"/>
              <w:rPr>
                <w:rFonts w:ascii="宋体" w:hAnsi="宋体"/>
                <w:sz w:val="24"/>
                <w:highlight w:val="none"/>
              </w:rPr>
            </w:pPr>
          </w:p>
        </w:tc>
        <w:tc>
          <w:tcPr>
            <w:tcW w:w="1054" w:type="dxa"/>
            <w:vAlign w:val="center"/>
          </w:tcPr>
          <w:p w14:paraId="1D4A1355">
            <w:pPr>
              <w:spacing w:line="240" w:lineRule="atLeast"/>
              <w:jc w:val="center"/>
              <w:rPr>
                <w:rFonts w:ascii="宋体" w:hAnsi="宋体"/>
                <w:sz w:val="24"/>
                <w:highlight w:val="none"/>
              </w:rPr>
            </w:pPr>
          </w:p>
        </w:tc>
        <w:tc>
          <w:tcPr>
            <w:tcW w:w="1356" w:type="dxa"/>
            <w:vAlign w:val="center"/>
          </w:tcPr>
          <w:p w14:paraId="73D50887">
            <w:pPr>
              <w:spacing w:line="240" w:lineRule="atLeast"/>
              <w:jc w:val="center"/>
              <w:rPr>
                <w:rFonts w:ascii="宋体" w:hAnsi="宋体"/>
                <w:sz w:val="24"/>
                <w:highlight w:val="none"/>
              </w:rPr>
            </w:pPr>
          </w:p>
        </w:tc>
        <w:tc>
          <w:tcPr>
            <w:tcW w:w="932" w:type="dxa"/>
            <w:vAlign w:val="center"/>
          </w:tcPr>
          <w:p w14:paraId="5A6DD1FF">
            <w:pPr>
              <w:spacing w:line="240" w:lineRule="atLeast"/>
              <w:jc w:val="center"/>
              <w:rPr>
                <w:rFonts w:ascii="宋体" w:hAnsi="宋体"/>
                <w:sz w:val="24"/>
                <w:highlight w:val="none"/>
              </w:rPr>
            </w:pPr>
          </w:p>
        </w:tc>
        <w:tc>
          <w:tcPr>
            <w:tcW w:w="1827" w:type="dxa"/>
            <w:vAlign w:val="center"/>
          </w:tcPr>
          <w:p w14:paraId="179BEB19">
            <w:pPr>
              <w:spacing w:line="240" w:lineRule="atLeast"/>
              <w:jc w:val="center"/>
              <w:rPr>
                <w:rFonts w:ascii="宋体" w:hAnsi="宋体"/>
                <w:sz w:val="24"/>
                <w:highlight w:val="none"/>
              </w:rPr>
            </w:pPr>
          </w:p>
        </w:tc>
        <w:tc>
          <w:tcPr>
            <w:tcW w:w="870" w:type="dxa"/>
            <w:vAlign w:val="center"/>
          </w:tcPr>
          <w:p w14:paraId="1F8AB36D">
            <w:pPr>
              <w:spacing w:line="240" w:lineRule="atLeast"/>
              <w:jc w:val="center"/>
              <w:rPr>
                <w:rFonts w:ascii="宋体" w:hAnsi="宋体"/>
                <w:sz w:val="24"/>
                <w:highlight w:val="none"/>
              </w:rPr>
            </w:pPr>
          </w:p>
        </w:tc>
      </w:tr>
      <w:tr w14:paraId="4178C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jc w:val="center"/>
        </w:trPr>
        <w:tc>
          <w:tcPr>
            <w:tcW w:w="525" w:type="dxa"/>
            <w:vAlign w:val="center"/>
          </w:tcPr>
          <w:p w14:paraId="20412DC7">
            <w:pPr>
              <w:spacing w:line="240" w:lineRule="atLeast"/>
              <w:jc w:val="center"/>
              <w:rPr>
                <w:rFonts w:ascii="宋体" w:hAnsi="宋体"/>
                <w:sz w:val="24"/>
                <w:highlight w:val="none"/>
              </w:rPr>
            </w:pPr>
          </w:p>
        </w:tc>
        <w:tc>
          <w:tcPr>
            <w:tcW w:w="1741" w:type="dxa"/>
            <w:vAlign w:val="center"/>
          </w:tcPr>
          <w:p w14:paraId="6D4B86AA">
            <w:pPr>
              <w:spacing w:line="240" w:lineRule="atLeast"/>
              <w:jc w:val="center"/>
              <w:rPr>
                <w:rFonts w:ascii="宋体" w:hAnsi="宋体"/>
                <w:sz w:val="24"/>
                <w:highlight w:val="none"/>
              </w:rPr>
            </w:pPr>
          </w:p>
        </w:tc>
        <w:tc>
          <w:tcPr>
            <w:tcW w:w="1054" w:type="dxa"/>
            <w:vAlign w:val="center"/>
          </w:tcPr>
          <w:p w14:paraId="1E786AA8">
            <w:pPr>
              <w:spacing w:line="240" w:lineRule="atLeast"/>
              <w:jc w:val="center"/>
              <w:rPr>
                <w:rFonts w:ascii="宋体" w:hAnsi="宋体"/>
                <w:sz w:val="24"/>
                <w:highlight w:val="none"/>
              </w:rPr>
            </w:pPr>
          </w:p>
        </w:tc>
        <w:tc>
          <w:tcPr>
            <w:tcW w:w="1356" w:type="dxa"/>
            <w:vAlign w:val="center"/>
          </w:tcPr>
          <w:p w14:paraId="54759D57">
            <w:pPr>
              <w:spacing w:line="240" w:lineRule="atLeast"/>
              <w:jc w:val="center"/>
              <w:rPr>
                <w:rFonts w:ascii="宋体" w:hAnsi="宋体"/>
                <w:sz w:val="24"/>
                <w:highlight w:val="none"/>
              </w:rPr>
            </w:pPr>
          </w:p>
        </w:tc>
        <w:tc>
          <w:tcPr>
            <w:tcW w:w="932" w:type="dxa"/>
            <w:vAlign w:val="center"/>
          </w:tcPr>
          <w:p w14:paraId="46AF17C6">
            <w:pPr>
              <w:spacing w:line="240" w:lineRule="atLeast"/>
              <w:jc w:val="center"/>
              <w:rPr>
                <w:rFonts w:ascii="宋体" w:hAnsi="宋体"/>
                <w:sz w:val="24"/>
                <w:highlight w:val="none"/>
              </w:rPr>
            </w:pPr>
          </w:p>
        </w:tc>
        <w:tc>
          <w:tcPr>
            <w:tcW w:w="1827" w:type="dxa"/>
            <w:vAlign w:val="center"/>
          </w:tcPr>
          <w:p w14:paraId="15697E6A">
            <w:pPr>
              <w:spacing w:line="240" w:lineRule="atLeast"/>
              <w:jc w:val="center"/>
              <w:rPr>
                <w:rFonts w:ascii="宋体" w:hAnsi="宋体"/>
                <w:sz w:val="24"/>
                <w:highlight w:val="none"/>
              </w:rPr>
            </w:pPr>
          </w:p>
        </w:tc>
        <w:tc>
          <w:tcPr>
            <w:tcW w:w="870" w:type="dxa"/>
            <w:vAlign w:val="center"/>
          </w:tcPr>
          <w:p w14:paraId="52487916">
            <w:pPr>
              <w:spacing w:line="240" w:lineRule="atLeast"/>
              <w:jc w:val="center"/>
              <w:rPr>
                <w:rFonts w:ascii="宋体" w:hAnsi="宋体"/>
                <w:sz w:val="24"/>
                <w:highlight w:val="none"/>
              </w:rPr>
            </w:pPr>
          </w:p>
        </w:tc>
      </w:tr>
    </w:tbl>
    <w:p w14:paraId="4359FCE8">
      <w:pPr>
        <w:widowControl/>
        <w:jc w:val="center"/>
        <w:rPr>
          <w:rFonts w:ascii="宋体" w:hAnsi="宋体" w:cs="宋体"/>
          <w:b/>
          <w:bCs/>
          <w:kern w:val="0"/>
          <w:szCs w:val="21"/>
          <w:highlight w:val="none"/>
        </w:rPr>
      </w:pPr>
      <w:r>
        <w:rPr>
          <w:rFonts w:hint="eastAsia" w:ascii="宋体" w:hAnsi="宋体" w:cs="宋体"/>
          <w:b/>
          <w:bCs/>
          <w:kern w:val="0"/>
          <w:szCs w:val="21"/>
          <w:highlight w:val="none"/>
        </w:rPr>
        <w:t xml:space="preserve"> </w:t>
      </w:r>
    </w:p>
    <w:p w14:paraId="3C2DF8D2">
      <w:pPr>
        <w:pStyle w:val="25"/>
        <w:ind w:firstLine="0"/>
        <w:rPr>
          <w:rFonts w:ascii="宋体" w:hAnsi="宋体" w:cs="宋体"/>
          <w:b/>
          <w:bCs/>
          <w:kern w:val="0"/>
          <w:szCs w:val="21"/>
          <w:highlight w:val="none"/>
        </w:rPr>
      </w:pPr>
    </w:p>
    <w:bookmarkEnd w:id="199"/>
    <w:bookmarkEnd w:id="200"/>
    <w:p w14:paraId="475E7635">
      <w:pPr>
        <w:rPr>
          <w:rFonts w:ascii="宋体" w:hAnsi="宋体"/>
          <w:sz w:val="24"/>
          <w:highlight w:val="none"/>
        </w:rPr>
        <w:sectPr>
          <w:headerReference r:id="rId11" w:type="default"/>
          <w:pgSz w:w="11906" w:h="16838"/>
          <w:pgMar w:top="1440" w:right="1080" w:bottom="1440" w:left="1080" w:header="851" w:footer="1021" w:gutter="0"/>
          <w:cols w:space="720" w:num="1"/>
          <w:docGrid w:type="lines" w:linePitch="312" w:charSpace="0"/>
        </w:sectPr>
      </w:pPr>
    </w:p>
    <w:p w14:paraId="106CF925">
      <w:pPr>
        <w:pStyle w:val="5"/>
        <w:rPr>
          <w:highlight w:val="none"/>
        </w:rPr>
      </w:pPr>
      <w:bookmarkStart w:id="201" w:name="_Toc103592042"/>
      <w:r>
        <w:rPr>
          <w:rFonts w:hint="eastAsia"/>
          <w:highlight w:val="none"/>
        </w:rPr>
        <w:t>七、拟投入本项目的检测人员一览表</w:t>
      </w:r>
      <w:bookmarkEnd w:id="201"/>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7"/>
        <w:gridCol w:w="939"/>
        <w:gridCol w:w="904"/>
        <w:gridCol w:w="1484"/>
        <w:gridCol w:w="1885"/>
        <w:gridCol w:w="883"/>
        <w:gridCol w:w="992"/>
        <w:gridCol w:w="1276"/>
      </w:tblGrid>
      <w:tr w14:paraId="12BB5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4" w:hRule="atLeast"/>
          <w:jc w:val="center"/>
        </w:trPr>
        <w:tc>
          <w:tcPr>
            <w:tcW w:w="717" w:type="dxa"/>
            <w:vAlign w:val="center"/>
          </w:tcPr>
          <w:p w14:paraId="3CF19E26">
            <w:pPr>
              <w:snapToGrid w:val="0"/>
              <w:spacing w:line="240" w:lineRule="atLeast"/>
              <w:jc w:val="center"/>
              <w:rPr>
                <w:rFonts w:ascii="宋体" w:hAnsi="宋体"/>
                <w:sz w:val="24"/>
                <w:highlight w:val="none"/>
              </w:rPr>
            </w:pPr>
            <w:r>
              <w:rPr>
                <w:rFonts w:hint="eastAsia" w:ascii="宋体" w:hAnsi="宋体"/>
                <w:sz w:val="24"/>
                <w:highlight w:val="none"/>
              </w:rPr>
              <w:t>序号</w:t>
            </w:r>
          </w:p>
        </w:tc>
        <w:tc>
          <w:tcPr>
            <w:tcW w:w="939" w:type="dxa"/>
            <w:vAlign w:val="center"/>
          </w:tcPr>
          <w:p w14:paraId="69791AC1">
            <w:pPr>
              <w:snapToGrid w:val="0"/>
              <w:spacing w:line="240" w:lineRule="atLeast"/>
              <w:jc w:val="center"/>
              <w:rPr>
                <w:rFonts w:ascii="宋体" w:hAnsi="宋体"/>
                <w:sz w:val="24"/>
                <w:highlight w:val="none"/>
              </w:rPr>
            </w:pPr>
            <w:r>
              <w:rPr>
                <w:rFonts w:hint="eastAsia" w:ascii="宋体" w:hAnsi="宋体"/>
                <w:sz w:val="24"/>
                <w:highlight w:val="none"/>
              </w:rPr>
              <w:t>姓名</w:t>
            </w:r>
          </w:p>
        </w:tc>
        <w:tc>
          <w:tcPr>
            <w:tcW w:w="904" w:type="dxa"/>
            <w:vAlign w:val="center"/>
          </w:tcPr>
          <w:p w14:paraId="32D111C7">
            <w:pPr>
              <w:snapToGrid w:val="0"/>
              <w:spacing w:line="240" w:lineRule="atLeast"/>
              <w:jc w:val="center"/>
              <w:rPr>
                <w:rFonts w:ascii="宋体" w:hAnsi="宋体"/>
                <w:sz w:val="24"/>
                <w:highlight w:val="none"/>
              </w:rPr>
            </w:pPr>
            <w:r>
              <w:rPr>
                <w:rFonts w:hint="eastAsia" w:ascii="宋体" w:hAnsi="宋体"/>
                <w:sz w:val="24"/>
                <w:highlight w:val="none"/>
              </w:rPr>
              <w:t>年龄</w:t>
            </w:r>
          </w:p>
        </w:tc>
        <w:tc>
          <w:tcPr>
            <w:tcW w:w="1484" w:type="dxa"/>
            <w:vAlign w:val="center"/>
          </w:tcPr>
          <w:p w14:paraId="18353819">
            <w:pPr>
              <w:snapToGrid w:val="0"/>
              <w:spacing w:line="240" w:lineRule="atLeast"/>
              <w:jc w:val="center"/>
              <w:rPr>
                <w:rFonts w:ascii="宋体" w:hAnsi="宋体"/>
                <w:sz w:val="24"/>
                <w:highlight w:val="none"/>
              </w:rPr>
            </w:pPr>
            <w:r>
              <w:rPr>
                <w:rFonts w:hint="eastAsia" w:ascii="宋体" w:hAnsi="宋体"/>
                <w:sz w:val="24"/>
                <w:highlight w:val="none"/>
              </w:rPr>
              <w:t>拟在本项目任职职位</w:t>
            </w:r>
          </w:p>
        </w:tc>
        <w:tc>
          <w:tcPr>
            <w:tcW w:w="1885" w:type="dxa"/>
            <w:vAlign w:val="center"/>
          </w:tcPr>
          <w:p w14:paraId="294CC3C9">
            <w:pPr>
              <w:snapToGrid w:val="0"/>
              <w:spacing w:line="240" w:lineRule="atLeast"/>
              <w:jc w:val="center"/>
              <w:rPr>
                <w:rFonts w:ascii="宋体" w:hAnsi="宋体"/>
                <w:sz w:val="24"/>
                <w:highlight w:val="none"/>
              </w:rPr>
            </w:pPr>
            <w:r>
              <w:rPr>
                <w:rFonts w:hint="eastAsia" w:ascii="宋体" w:hAnsi="宋体"/>
                <w:sz w:val="24"/>
                <w:highlight w:val="none"/>
              </w:rPr>
              <w:t>毕业学校</w:t>
            </w:r>
            <w:r>
              <w:rPr>
                <w:rFonts w:ascii="宋体" w:hAnsi="宋体"/>
                <w:sz w:val="24"/>
                <w:highlight w:val="none"/>
              </w:rPr>
              <w:t>/</w:t>
            </w:r>
            <w:r>
              <w:rPr>
                <w:rFonts w:hint="eastAsia" w:ascii="宋体" w:hAnsi="宋体"/>
                <w:sz w:val="24"/>
                <w:highlight w:val="none"/>
              </w:rPr>
              <w:t>专业</w:t>
            </w:r>
          </w:p>
        </w:tc>
        <w:tc>
          <w:tcPr>
            <w:tcW w:w="883" w:type="dxa"/>
            <w:vAlign w:val="center"/>
          </w:tcPr>
          <w:p w14:paraId="196617F4">
            <w:pPr>
              <w:snapToGrid w:val="0"/>
              <w:spacing w:line="240" w:lineRule="atLeast"/>
              <w:jc w:val="center"/>
              <w:rPr>
                <w:rFonts w:ascii="宋体" w:hAnsi="宋体"/>
                <w:sz w:val="24"/>
                <w:highlight w:val="none"/>
              </w:rPr>
            </w:pPr>
            <w:r>
              <w:rPr>
                <w:rFonts w:hint="eastAsia" w:ascii="宋体" w:hAnsi="宋体"/>
                <w:sz w:val="24"/>
                <w:highlight w:val="none"/>
              </w:rPr>
              <w:t>学历</w:t>
            </w:r>
          </w:p>
        </w:tc>
        <w:tc>
          <w:tcPr>
            <w:tcW w:w="992" w:type="dxa"/>
            <w:vAlign w:val="center"/>
          </w:tcPr>
          <w:p w14:paraId="7FB7E6DD">
            <w:pPr>
              <w:snapToGrid w:val="0"/>
              <w:spacing w:line="240" w:lineRule="atLeast"/>
              <w:jc w:val="center"/>
              <w:rPr>
                <w:rFonts w:ascii="宋体" w:hAnsi="宋体"/>
                <w:sz w:val="24"/>
                <w:highlight w:val="none"/>
              </w:rPr>
            </w:pPr>
            <w:r>
              <w:rPr>
                <w:rFonts w:hint="eastAsia" w:ascii="宋体" w:hAnsi="宋体"/>
                <w:sz w:val="24"/>
                <w:highlight w:val="none"/>
              </w:rPr>
              <w:t>职称及专业</w:t>
            </w:r>
          </w:p>
        </w:tc>
        <w:tc>
          <w:tcPr>
            <w:tcW w:w="1276" w:type="dxa"/>
            <w:vAlign w:val="center"/>
          </w:tcPr>
          <w:p w14:paraId="183EA7E4">
            <w:pPr>
              <w:snapToGrid w:val="0"/>
              <w:spacing w:line="240" w:lineRule="atLeast"/>
              <w:jc w:val="center"/>
              <w:rPr>
                <w:rFonts w:ascii="宋体" w:hAnsi="宋体"/>
                <w:sz w:val="24"/>
                <w:highlight w:val="none"/>
              </w:rPr>
            </w:pPr>
            <w:r>
              <w:rPr>
                <w:rFonts w:hint="eastAsia" w:ascii="宋体" w:hAnsi="宋体"/>
                <w:sz w:val="24"/>
                <w:highlight w:val="none"/>
              </w:rPr>
              <w:t>从事检测工作年限</w:t>
            </w:r>
          </w:p>
        </w:tc>
      </w:tr>
      <w:tr w14:paraId="740F7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17" w:type="dxa"/>
            <w:vAlign w:val="center"/>
          </w:tcPr>
          <w:p w14:paraId="1A418E1A">
            <w:pPr>
              <w:jc w:val="center"/>
              <w:rPr>
                <w:rFonts w:ascii="宋体" w:hAnsi="宋体"/>
                <w:sz w:val="22"/>
                <w:highlight w:val="none"/>
              </w:rPr>
            </w:pPr>
          </w:p>
        </w:tc>
        <w:tc>
          <w:tcPr>
            <w:tcW w:w="939" w:type="dxa"/>
            <w:vAlign w:val="center"/>
          </w:tcPr>
          <w:p w14:paraId="309EE6B2">
            <w:pPr>
              <w:jc w:val="center"/>
              <w:rPr>
                <w:rFonts w:ascii="宋体" w:hAnsi="宋体"/>
                <w:sz w:val="22"/>
                <w:highlight w:val="none"/>
              </w:rPr>
            </w:pPr>
          </w:p>
        </w:tc>
        <w:tc>
          <w:tcPr>
            <w:tcW w:w="904" w:type="dxa"/>
            <w:vAlign w:val="center"/>
          </w:tcPr>
          <w:p w14:paraId="3DB7726A">
            <w:pPr>
              <w:jc w:val="center"/>
              <w:rPr>
                <w:rFonts w:ascii="宋体" w:hAnsi="宋体"/>
                <w:sz w:val="22"/>
                <w:highlight w:val="none"/>
              </w:rPr>
            </w:pPr>
          </w:p>
        </w:tc>
        <w:tc>
          <w:tcPr>
            <w:tcW w:w="1484" w:type="dxa"/>
            <w:vAlign w:val="center"/>
          </w:tcPr>
          <w:p w14:paraId="33894875">
            <w:pPr>
              <w:jc w:val="center"/>
              <w:rPr>
                <w:rFonts w:ascii="宋体" w:hAnsi="宋体"/>
                <w:sz w:val="22"/>
                <w:highlight w:val="none"/>
              </w:rPr>
            </w:pPr>
          </w:p>
        </w:tc>
        <w:tc>
          <w:tcPr>
            <w:tcW w:w="1885" w:type="dxa"/>
            <w:vAlign w:val="center"/>
          </w:tcPr>
          <w:p w14:paraId="7BFA119C">
            <w:pPr>
              <w:jc w:val="center"/>
              <w:rPr>
                <w:rFonts w:ascii="宋体" w:hAnsi="宋体"/>
                <w:sz w:val="22"/>
                <w:highlight w:val="none"/>
              </w:rPr>
            </w:pPr>
          </w:p>
        </w:tc>
        <w:tc>
          <w:tcPr>
            <w:tcW w:w="883" w:type="dxa"/>
            <w:vAlign w:val="center"/>
          </w:tcPr>
          <w:p w14:paraId="1F725A9C">
            <w:pPr>
              <w:jc w:val="center"/>
              <w:rPr>
                <w:rFonts w:ascii="宋体" w:hAnsi="宋体"/>
                <w:sz w:val="22"/>
                <w:highlight w:val="none"/>
              </w:rPr>
            </w:pPr>
          </w:p>
        </w:tc>
        <w:tc>
          <w:tcPr>
            <w:tcW w:w="992" w:type="dxa"/>
            <w:vAlign w:val="center"/>
          </w:tcPr>
          <w:p w14:paraId="07CDC033">
            <w:pPr>
              <w:jc w:val="center"/>
              <w:rPr>
                <w:rFonts w:ascii="宋体" w:hAnsi="宋体"/>
                <w:sz w:val="22"/>
                <w:highlight w:val="none"/>
              </w:rPr>
            </w:pPr>
          </w:p>
        </w:tc>
        <w:tc>
          <w:tcPr>
            <w:tcW w:w="1276" w:type="dxa"/>
            <w:vAlign w:val="center"/>
          </w:tcPr>
          <w:p w14:paraId="1B61A93D">
            <w:pPr>
              <w:jc w:val="center"/>
              <w:rPr>
                <w:rFonts w:ascii="宋体" w:hAnsi="宋体"/>
                <w:sz w:val="22"/>
                <w:highlight w:val="none"/>
              </w:rPr>
            </w:pPr>
          </w:p>
        </w:tc>
      </w:tr>
      <w:tr w14:paraId="69CC9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17" w:type="dxa"/>
            <w:vAlign w:val="center"/>
          </w:tcPr>
          <w:p w14:paraId="140ED9BF">
            <w:pPr>
              <w:jc w:val="center"/>
              <w:rPr>
                <w:rFonts w:ascii="宋体" w:hAnsi="宋体"/>
                <w:sz w:val="22"/>
                <w:highlight w:val="none"/>
              </w:rPr>
            </w:pPr>
          </w:p>
        </w:tc>
        <w:tc>
          <w:tcPr>
            <w:tcW w:w="939" w:type="dxa"/>
            <w:vAlign w:val="center"/>
          </w:tcPr>
          <w:p w14:paraId="452589BC">
            <w:pPr>
              <w:jc w:val="center"/>
              <w:rPr>
                <w:rFonts w:ascii="宋体" w:hAnsi="宋体"/>
                <w:sz w:val="22"/>
                <w:highlight w:val="none"/>
              </w:rPr>
            </w:pPr>
          </w:p>
        </w:tc>
        <w:tc>
          <w:tcPr>
            <w:tcW w:w="904" w:type="dxa"/>
            <w:vAlign w:val="center"/>
          </w:tcPr>
          <w:p w14:paraId="030EC763">
            <w:pPr>
              <w:jc w:val="center"/>
              <w:rPr>
                <w:rFonts w:ascii="宋体" w:hAnsi="宋体"/>
                <w:sz w:val="22"/>
                <w:highlight w:val="none"/>
              </w:rPr>
            </w:pPr>
          </w:p>
        </w:tc>
        <w:tc>
          <w:tcPr>
            <w:tcW w:w="1484" w:type="dxa"/>
            <w:vAlign w:val="center"/>
          </w:tcPr>
          <w:p w14:paraId="3E474C11">
            <w:pPr>
              <w:jc w:val="center"/>
              <w:rPr>
                <w:rFonts w:ascii="宋体" w:hAnsi="宋体"/>
                <w:sz w:val="22"/>
                <w:highlight w:val="none"/>
              </w:rPr>
            </w:pPr>
          </w:p>
        </w:tc>
        <w:tc>
          <w:tcPr>
            <w:tcW w:w="1885" w:type="dxa"/>
            <w:vAlign w:val="center"/>
          </w:tcPr>
          <w:p w14:paraId="009F7F1C">
            <w:pPr>
              <w:jc w:val="center"/>
              <w:rPr>
                <w:rFonts w:ascii="宋体" w:hAnsi="宋体"/>
                <w:sz w:val="22"/>
                <w:highlight w:val="none"/>
              </w:rPr>
            </w:pPr>
          </w:p>
        </w:tc>
        <w:tc>
          <w:tcPr>
            <w:tcW w:w="883" w:type="dxa"/>
            <w:vAlign w:val="center"/>
          </w:tcPr>
          <w:p w14:paraId="5D3CFCF0">
            <w:pPr>
              <w:jc w:val="center"/>
              <w:rPr>
                <w:rFonts w:ascii="宋体" w:hAnsi="宋体"/>
                <w:sz w:val="22"/>
                <w:highlight w:val="none"/>
              </w:rPr>
            </w:pPr>
          </w:p>
        </w:tc>
        <w:tc>
          <w:tcPr>
            <w:tcW w:w="992" w:type="dxa"/>
            <w:vAlign w:val="center"/>
          </w:tcPr>
          <w:p w14:paraId="4DDB970D">
            <w:pPr>
              <w:jc w:val="center"/>
              <w:rPr>
                <w:rFonts w:ascii="宋体" w:hAnsi="宋体"/>
                <w:sz w:val="22"/>
                <w:highlight w:val="none"/>
              </w:rPr>
            </w:pPr>
          </w:p>
        </w:tc>
        <w:tc>
          <w:tcPr>
            <w:tcW w:w="1276" w:type="dxa"/>
            <w:vAlign w:val="center"/>
          </w:tcPr>
          <w:p w14:paraId="3532BB42">
            <w:pPr>
              <w:jc w:val="center"/>
              <w:rPr>
                <w:rFonts w:ascii="宋体" w:hAnsi="宋体"/>
                <w:sz w:val="22"/>
                <w:highlight w:val="none"/>
              </w:rPr>
            </w:pPr>
          </w:p>
        </w:tc>
      </w:tr>
      <w:tr w14:paraId="1451F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17" w:type="dxa"/>
            <w:vAlign w:val="center"/>
          </w:tcPr>
          <w:p w14:paraId="27FBADCF">
            <w:pPr>
              <w:jc w:val="center"/>
              <w:rPr>
                <w:rFonts w:ascii="宋体" w:hAnsi="宋体"/>
                <w:sz w:val="22"/>
                <w:highlight w:val="none"/>
              </w:rPr>
            </w:pPr>
          </w:p>
        </w:tc>
        <w:tc>
          <w:tcPr>
            <w:tcW w:w="939" w:type="dxa"/>
            <w:vAlign w:val="center"/>
          </w:tcPr>
          <w:p w14:paraId="65384E36">
            <w:pPr>
              <w:jc w:val="center"/>
              <w:rPr>
                <w:rFonts w:ascii="宋体" w:hAnsi="宋体"/>
                <w:sz w:val="22"/>
                <w:highlight w:val="none"/>
              </w:rPr>
            </w:pPr>
          </w:p>
        </w:tc>
        <w:tc>
          <w:tcPr>
            <w:tcW w:w="904" w:type="dxa"/>
            <w:vAlign w:val="center"/>
          </w:tcPr>
          <w:p w14:paraId="621AEB1E">
            <w:pPr>
              <w:jc w:val="center"/>
              <w:rPr>
                <w:rFonts w:ascii="宋体" w:hAnsi="宋体"/>
                <w:sz w:val="22"/>
                <w:highlight w:val="none"/>
              </w:rPr>
            </w:pPr>
          </w:p>
        </w:tc>
        <w:tc>
          <w:tcPr>
            <w:tcW w:w="1484" w:type="dxa"/>
            <w:vAlign w:val="center"/>
          </w:tcPr>
          <w:p w14:paraId="65A6E7A6">
            <w:pPr>
              <w:jc w:val="center"/>
              <w:rPr>
                <w:rFonts w:ascii="宋体" w:hAnsi="宋体"/>
                <w:sz w:val="22"/>
                <w:highlight w:val="none"/>
              </w:rPr>
            </w:pPr>
          </w:p>
        </w:tc>
        <w:tc>
          <w:tcPr>
            <w:tcW w:w="1885" w:type="dxa"/>
            <w:vAlign w:val="center"/>
          </w:tcPr>
          <w:p w14:paraId="39EB7105">
            <w:pPr>
              <w:jc w:val="center"/>
              <w:rPr>
                <w:rFonts w:ascii="宋体" w:hAnsi="宋体"/>
                <w:sz w:val="22"/>
                <w:highlight w:val="none"/>
              </w:rPr>
            </w:pPr>
          </w:p>
        </w:tc>
        <w:tc>
          <w:tcPr>
            <w:tcW w:w="883" w:type="dxa"/>
            <w:vAlign w:val="center"/>
          </w:tcPr>
          <w:p w14:paraId="10ACB859">
            <w:pPr>
              <w:jc w:val="center"/>
              <w:rPr>
                <w:rFonts w:ascii="宋体" w:hAnsi="宋体"/>
                <w:sz w:val="22"/>
                <w:highlight w:val="none"/>
              </w:rPr>
            </w:pPr>
          </w:p>
        </w:tc>
        <w:tc>
          <w:tcPr>
            <w:tcW w:w="992" w:type="dxa"/>
            <w:vAlign w:val="center"/>
          </w:tcPr>
          <w:p w14:paraId="46A83671">
            <w:pPr>
              <w:jc w:val="center"/>
              <w:rPr>
                <w:rFonts w:ascii="宋体" w:hAnsi="宋体"/>
                <w:sz w:val="22"/>
                <w:highlight w:val="none"/>
              </w:rPr>
            </w:pPr>
          </w:p>
        </w:tc>
        <w:tc>
          <w:tcPr>
            <w:tcW w:w="1276" w:type="dxa"/>
            <w:vAlign w:val="center"/>
          </w:tcPr>
          <w:p w14:paraId="259A376A">
            <w:pPr>
              <w:jc w:val="center"/>
              <w:rPr>
                <w:rFonts w:ascii="宋体" w:hAnsi="宋体"/>
                <w:sz w:val="22"/>
                <w:highlight w:val="none"/>
              </w:rPr>
            </w:pPr>
          </w:p>
        </w:tc>
      </w:tr>
      <w:tr w14:paraId="1774B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17" w:type="dxa"/>
            <w:vAlign w:val="center"/>
          </w:tcPr>
          <w:p w14:paraId="6FC9B132">
            <w:pPr>
              <w:jc w:val="center"/>
              <w:rPr>
                <w:rFonts w:ascii="宋体" w:hAnsi="宋体"/>
                <w:sz w:val="22"/>
                <w:highlight w:val="none"/>
              </w:rPr>
            </w:pPr>
          </w:p>
        </w:tc>
        <w:tc>
          <w:tcPr>
            <w:tcW w:w="939" w:type="dxa"/>
            <w:vAlign w:val="center"/>
          </w:tcPr>
          <w:p w14:paraId="5433993E">
            <w:pPr>
              <w:jc w:val="center"/>
              <w:rPr>
                <w:rFonts w:ascii="宋体" w:hAnsi="宋体"/>
                <w:sz w:val="22"/>
                <w:highlight w:val="none"/>
              </w:rPr>
            </w:pPr>
          </w:p>
        </w:tc>
        <w:tc>
          <w:tcPr>
            <w:tcW w:w="904" w:type="dxa"/>
            <w:vAlign w:val="center"/>
          </w:tcPr>
          <w:p w14:paraId="5A10CD26">
            <w:pPr>
              <w:jc w:val="center"/>
              <w:rPr>
                <w:rFonts w:ascii="宋体" w:hAnsi="宋体"/>
                <w:sz w:val="22"/>
                <w:highlight w:val="none"/>
              </w:rPr>
            </w:pPr>
          </w:p>
        </w:tc>
        <w:tc>
          <w:tcPr>
            <w:tcW w:w="1484" w:type="dxa"/>
            <w:vAlign w:val="center"/>
          </w:tcPr>
          <w:p w14:paraId="3571754F">
            <w:pPr>
              <w:jc w:val="center"/>
              <w:rPr>
                <w:rFonts w:ascii="宋体" w:hAnsi="宋体"/>
                <w:sz w:val="22"/>
                <w:highlight w:val="none"/>
              </w:rPr>
            </w:pPr>
          </w:p>
        </w:tc>
        <w:tc>
          <w:tcPr>
            <w:tcW w:w="1885" w:type="dxa"/>
            <w:vAlign w:val="center"/>
          </w:tcPr>
          <w:p w14:paraId="3CDD22C6">
            <w:pPr>
              <w:jc w:val="center"/>
              <w:rPr>
                <w:rFonts w:ascii="宋体" w:hAnsi="宋体"/>
                <w:sz w:val="22"/>
                <w:highlight w:val="none"/>
              </w:rPr>
            </w:pPr>
          </w:p>
        </w:tc>
        <w:tc>
          <w:tcPr>
            <w:tcW w:w="883" w:type="dxa"/>
            <w:vAlign w:val="center"/>
          </w:tcPr>
          <w:p w14:paraId="79552D11">
            <w:pPr>
              <w:jc w:val="center"/>
              <w:rPr>
                <w:rFonts w:ascii="宋体" w:hAnsi="宋体"/>
                <w:sz w:val="22"/>
                <w:highlight w:val="none"/>
              </w:rPr>
            </w:pPr>
          </w:p>
        </w:tc>
        <w:tc>
          <w:tcPr>
            <w:tcW w:w="992" w:type="dxa"/>
            <w:vAlign w:val="center"/>
          </w:tcPr>
          <w:p w14:paraId="17EE5564">
            <w:pPr>
              <w:jc w:val="center"/>
              <w:rPr>
                <w:rFonts w:ascii="宋体" w:hAnsi="宋体"/>
                <w:sz w:val="22"/>
                <w:highlight w:val="none"/>
              </w:rPr>
            </w:pPr>
          </w:p>
        </w:tc>
        <w:tc>
          <w:tcPr>
            <w:tcW w:w="1276" w:type="dxa"/>
            <w:vAlign w:val="center"/>
          </w:tcPr>
          <w:p w14:paraId="7693C4CB">
            <w:pPr>
              <w:jc w:val="center"/>
              <w:rPr>
                <w:rFonts w:ascii="宋体" w:hAnsi="宋体"/>
                <w:sz w:val="22"/>
                <w:highlight w:val="none"/>
              </w:rPr>
            </w:pPr>
          </w:p>
        </w:tc>
      </w:tr>
      <w:tr w14:paraId="1023E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17" w:type="dxa"/>
            <w:vAlign w:val="center"/>
          </w:tcPr>
          <w:p w14:paraId="6722BAED">
            <w:pPr>
              <w:jc w:val="center"/>
              <w:rPr>
                <w:rFonts w:ascii="宋体" w:hAnsi="宋体"/>
                <w:sz w:val="22"/>
                <w:highlight w:val="none"/>
              </w:rPr>
            </w:pPr>
          </w:p>
        </w:tc>
        <w:tc>
          <w:tcPr>
            <w:tcW w:w="939" w:type="dxa"/>
            <w:vAlign w:val="center"/>
          </w:tcPr>
          <w:p w14:paraId="37AA40FC">
            <w:pPr>
              <w:jc w:val="center"/>
              <w:rPr>
                <w:rFonts w:ascii="宋体" w:hAnsi="宋体"/>
                <w:sz w:val="22"/>
                <w:highlight w:val="none"/>
              </w:rPr>
            </w:pPr>
          </w:p>
        </w:tc>
        <w:tc>
          <w:tcPr>
            <w:tcW w:w="904" w:type="dxa"/>
            <w:vAlign w:val="center"/>
          </w:tcPr>
          <w:p w14:paraId="27B7FF11">
            <w:pPr>
              <w:jc w:val="center"/>
              <w:rPr>
                <w:rFonts w:ascii="宋体" w:hAnsi="宋体"/>
                <w:sz w:val="22"/>
                <w:highlight w:val="none"/>
              </w:rPr>
            </w:pPr>
          </w:p>
        </w:tc>
        <w:tc>
          <w:tcPr>
            <w:tcW w:w="1484" w:type="dxa"/>
            <w:vAlign w:val="center"/>
          </w:tcPr>
          <w:p w14:paraId="60C5EC8F">
            <w:pPr>
              <w:jc w:val="center"/>
              <w:rPr>
                <w:rFonts w:ascii="宋体" w:hAnsi="宋体"/>
                <w:sz w:val="22"/>
                <w:highlight w:val="none"/>
              </w:rPr>
            </w:pPr>
          </w:p>
        </w:tc>
        <w:tc>
          <w:tcPr>
            <w:tcW w:w="1885" w:type="dxa"/>
            <w:vAlign w:val="center"/>
          </w:tcPr>
          <w:p w14:paraId="4B75FC5E">
            <w:pPr>
              <w:jc w:val="center"/>
              <w:rPr>
                <w:rFonts w:ascii="宋体" w:hAnsi="宋体"/>
                <w:sz w:val="22"/>
                <w:highlight w:val="none"/>
              </w:rPr>
            </w:pPr>
          </w:p>
        </w:tc>
        <w:tc>
          <w:tcPr>
            <w:tcW w:w="883" w:type="dxa"/>
            <w:vAlign w:val="center"/>
          </w:tcPr>
          <w:p w14:paraId="0FD5A36F">
            <w:pPr>
              <w:jc w:val="center"/>
              <w:rPr>
                <w:rFonts w:ascii="宋体" w:hAnsi="宋体"/>
                <w:sz w:val="22"/>
                <w:highlight w:val="none"/>
              </w:rPr>
            </w:pPr>
          </w:p>
        </w:tc>
        <w:tc>
          <w:tcPr>
            <w:tcW w:w="992" w:type="dxa"/>
            <w:vAlign w:val="center"/>
          </w:tcPr>
          <w:p w14:paraId="2758530F">
            <w:pPr>
              <w:jc w:val="center"/>
              <w:rPr>
                <w:rFonts w:ascii="宋体" w:hAnsi="宋体"/>
                <w:sz w:val="22"/>
                <w:highlight w:val="none"/>
              </w:rPr>
            </w:pPr>
          </w:p>
        </w:tc>
        <w:tc>
          <w:tcPr>
            <w:tcW w:w="1276" w:type="dxa"/>
            <w:vAlign w:val="center"/>
          </w:tcPr>
          <w:p w14:paraId="0DC2E263">
            <w:pPr>
              <w:jc w:val="center"/>
              <w:rPr>
                <w:rFonts w:ascii="宋体" w:hAnsi="宋体"/>
                <w:sz w:val="22"/>
                <w:highlight w:val="none"/>
              </w:rPr>
            </w:pPr>
          </w:p>
        </w:tc>
      </w:tr>
      <w:tr w14:paraId="5F776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17" w:type="dxa"/>
            <w:vAlign w:val="center"/>
          </w:tcPr>
          <w:p w14:paraId="0C995D55">
            <w:pPr>
              <w:jc w:val="center"/>
              <w:rPr>
                <w:rFonts w:ascii="宋体" w:hAnsi="宋体"/>
                <w:sz w:val="22"/>
                <w:highlight w:val="none"/>
              </w:rPr>
            </w:pPr>
          </w:p>
        </w:tc>
        <w:tc>
          <w:tcPr>
            <w:tcW w:w="939" w:type="dxa"/>
            <w:vAlign w:val="center"/>
          </w:tcPr>
          <w:p w14:paraId="63342DF1">
            <w:pPr>
              <w:jc w:val="center"/>
              <w:rPr>
                <w:rFonts w:ascii="宋体" w:hAnsi="宋体"/>
                <w:sz w:val="22"/>
                <w:highlight w:val="none"/>
              </w:rPr>
            </w:pPr>
          </w:p>
        </w:tc>
        <w:tc>
          <w:tcPr>
            <w:tcW w:w="904" w:type="dxa"/>
            <w:vAlign w:val="center"/>
          </w:tcPr>
          <w:p w14:paraId="4D30CA38">
            <w:pPr>
              <w:jc w:val="center"/>
              <w:rPr>
                <w:rFonts w:ascii="宋体" w:hAnsi="宋体"/>
                <w:sz w:val="22"/>
                <w:highlight w:val="none"/>
              </w:rPr>
            </w:pPr>
          </w:p>
        </w:tc>
        <w:tc>
          <w:tcPr>
            <w:tcW w:w="1484" w:type="dxa"/>
            <w:vAlign w:val="center"/>
          </w:tcPr>
          <w:p w14:paraId="4BCB3B0A">
            <w:pPr>
              <w:jc w:val="center"/>
              <w:rPr>
                <w:rFonts w:ascii="宋体" w:hAnsi="宋体"/>
                <w:sz w:val="22"/>
                <w:highlight w:val="none"/>
              </w:rPr>
            </w:pPr>
          </w:p>
        </w:tc>
        <w:tc>
          <w:tcPr>
            <w:tcW w:w="1885" w:type="dxa"/>
            <w:vAlign w:val="center"/>
          </w:tcPr>
          <w:p w14:paraId="5D3DE616">
            <w:pPr>
              <w:jc w:val="center"/>
              <w:rPr>
                <w:rFonts w:ascii="宋体" w:hAnsi="宋体"/>
                <w:sz w:val="22"/>
                <w:highlight w:val="none"/>
              </w:rPr>
            </w:pPr>
          </w:p>
        </w:tc>
        <w:tc>
          <w:tcPr>
            <w:tcW w:w="883" w:type="dxa"/>
            <w:vAlign w:val="center"/>
          </w:tcPr>
          <w:p w14:paraId="649310FA">
            <w:pPr>
              <w:jc w:val="center"/>
              <w:rPr>
                <w:rFonts w:ascii="宋体" w:hAnsi="宋体"/>
                <w:sz w:val="22"/>
                <w:highlight w:val="none"/>
              </w:rPr>
            </w:pPr>
          </w:p>
        </w:tc>
        <w:tc>
          <w:tcPr>
            <w:tcW w:w="992" w:type="dxa"/>
            <w:vAlign w:val="center"/>
          </w:tcPr>
          <w:p w14:paraId="72E0CB89">
            <w:pPr>
              <w:jc w:val="center"/>
              <w:rPr>
                <w:rFonts w:ascii="宋体" w:hAnsi="宋体"/>
                <w:sz w:val="22"/>
                <w:highlight w:val="none"/>
              </w:rPr>
            </w:pPr>
          </w:p>
        </w:tc>
        <w:tc>
          <w:tcPr>
            <w:tcW w:w="1276" w:type="dxa"/>
            <w:vAlign w:val="center"/>
          </w:tcPr>
          <w:p w14:paraId="6A8C0738">
            <w:pPr>
              <w:jc w:val="center"/>
              <w:rPr>
                <w:rFonts w:ascii="宋体" w:hAnsi="宋体"/>
                <w:sz w:val="22"/>
                <w:highlight w:val="none"/>
              </w:rPr>
            </w:pPr>
          </w:p>
        </w:tc>
      </w:tr>
      <w:tr w14:paraId="4526A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17" w:type="dxa"/>
            <w:vAlign w:val="center"/>
          </w:tcPr>
          <w:p w14:paraId="5F0CEBB9">
            <w:pPr>
              <w:jc w:val="center"/>
              <w:rPr>
                <w:rFonts w:ascii="宋体" w:hAnsi="宋体"/>
                <w:sz w:val="22"/>
                <w:highlight w:val="none"/>
              </w:rPr>
            </w:pPr>
          </w:p>
        </w:tc>
        <w:tc>
          <w:tcPr>
            <w:tcW w:w="939" w:type="dxa"/>
            <w:vAlign w:val="center"/>
          </w:tcPr>
          <w:p w14:paraId="7AAD8782">
            <w:pPr>
              <w:jc w:val="center"/>
              <w:rPr>
                <w:rFonts w:ascii="宋体" w:hAnsi="宋体"/>
                <w:sz w:val="22"/>
                <w:highlight w:val="none"/>
              </w:rPr>
            </w:pPr>
          </w:p>
        </w:tc>
        <w:tc>
          <w:tcPr>
            <w:tcW w:w="904" w:type="dxa"/>
            <w:vAlign w:val="center"/>
          </w:tcPr>
          <w:p w14:paraId="172CA9E7">
            <w:pPr>
              <w:jc w:val="center"/>
              <w:rPr>
                <w:rFonts w:ascii="宋体" w:hAnsi="宋体"/>
                <w:sz w:val="22"/>
                <w:highlight w:val="none"/>
              </w:rPr>
            </w:pPr>
          </w:p>
        </w:tc>
        <w:tc>
          <w:tcPr>
            <w:tcW w:w="1484" w:type="dxa"/>
            <w:vAlign w:val="center"/>
          </w:tcPr>
          <w:p w14:paraId="221AAE09">
            <w:pPr>
              <w:jc w:val="center"/>
              <w:rPr>
                <w:rFonts w:ascii="宋体" w:hAnsi="宋体"/>
                <w:sz w:val="22"/>
                <w:highlight w:val="none"/>
              </w:rPr>
            </w:pPr>
          </w:p>
        </w:tc>
        <w:tc>
          <w:tcPr>
            <w:tcW w:w="1885" w:type="dxa"/>
            <w:vAlign w:val="center"/>
          </w:tcPr>
          <w:p w14:paraId="19E07ED3">
            <w:pPr>
              <w:jc w:val="center"/>
              <w:rPr>
                <w:rFonts w:ascii="宋体" w:hAnsi="宋体"/>
                <w:sz w:val="22"/>
                <w:highlight w:val="none"/>
              </w:rPr>
            </w:pPr>
          </w:p>
        </w:tc>
        <w:tc>
          <w:tcPr>
            <w:tcW w:w="883" w:type="dxa"/>
            <w:vAlign w:val="center"/>
          </w:tcPr>
          <w:p w14:paraId="586A034C">
            <w:pPr>
              <w:jc w:val="center"/>
              <w:rPr>
                <w:rFonts w:ascii="宋体" w:hAnsi="宋体"/>
                <w:sz w:val="22"/>
                <w:highlight w:val="none"/>
              </w:rPr>
            </w:pPr>
          </w:p>
        </w:tc>
        <w:tc>
          <w:tcPr>
            <w:tcW w:w="992" w:type="dxa"/>
            <w:vAlign w:val="center"/>
          </w:tcPr>
          <w:p w14:paraId="04B3FC1F">
            <w:pPr>
              <w:jc w:val="center"/>
              <w:rPr>
                <w:rFonts w:ascii="宋体" w:hAnsi="宋体"/>
                <w:sz w:val="22"/>
                <w:highlight w:val="none"/>
              </w:rPr>
            </w:pPr>
          </w:p>
        </w:tc>
        <w:tc>
          <w:tcPr>
            <w:tcW w:w="1276" w:type="dxa"/>
            <w:vAlign w:val="center"/>
          </w:tcPr>
          <w:p w14:paraId="7F10CFA9">
            <w:pPr>
              <w:jc w:val="center"/>
              <w:rPr>
                <w:rFonts w:ascii="宋体" w:hAnsi="宋体"/>
                <w:sz w:val="22"/>
                <w:highlight w:val="none"/>
              </w:rPr>
            </w:pPr>
          </w:p>
        </w:tc>
      </w:tr>
      <w:tr w14:paraId="1694C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17" w:type="dxa"/>
            <w:vAlign w:val="center"/>
          </w:tcPr>
          <w:p w14:paraId="793D32EF">
            <w:pPr>
              <w:jc w:val="center"/>
              <w:rPr>
                <w:rFonts w:ascii="宋体" w:hAnsi="宋体"/>
                <w:sz w:val="22"/>
                <w:highlight w:val="none"/>
              </w:rPr>
            </w:pPr>
          </w:p>
        </w:tc>
        <w:tc>
          <w:tcPr>
            <w:tcW w:w="939" w:type="dxa"/>
            <w:vAlign w:val="center"/>
          </w:tcPr>
          <w:p w14:paraId="6627108D">
            <w:pPr>
              <w:jc w:val="center"/>
              <w:rPr>
                <w:rFonts w:ascii="宋体" w:hAnsi="宋体"/>
                <w:sz w:val="22"/>
                <w:highlight w:val="none"/>
              </w:rPr>
            </w:pPr>
          </w:p>
        </w:tc>
        <w:tc>
          <w:tcPr>
            <w:tcW w:w="904" w:type="dxa"/>
            <w:vAlign w:val="center"/>
          </w:tcPr>
          <w:p w14:paraId="510550AD">
            <w:pPr>
              <w:jc w:val="center"/>
              <w:rPr>
                <w:rFonts w:ascii="宋体" w:hAnsi="宋体"/>
                <w:sz w:val="22"/>
                <w:highlight w:val="none"/>
              </w:rPr>
            </w:pPr>
          </w:p>
        </w:tc>
        <w:tc>
          <w:tcPr>
            <w:tcW w:w="1484" w:type="dxa"/>
            <w:vAlign w:val="center"/>
          </w:tcPr>
          <w:p w14:paraId="6A1E7BA1">
            <w:pPr>
              <w:jc w:val="center"/>
              <w:rPr>
                <w:rFonts w:ascii="宋体" w:hAnsi="宋体"/>
                <w:sz w:val="22"/>
                <w:highlight w:val="none"/>
              </w:rPr>
            </w:pPr>
          </w:p>
        </w:tc>
        <w:tc>
          <w:tcPr>
            <w:tcW w:w="1885" w:type="dxa"/>
            <w:vAlign w:val="center"/>
          </w:tcPr>
          <w:p w14:paraId="6F681571">
            <w:pPr>
              <w:jc w:val="center"/>
              <w:rPr>
                <w:rFonts w:ascii="宋体" w:hAnsi="宋体"/>
                <w:sz w:val="22"/>
                <w:highlight w:val="none"/>
              </w:rPr>
            </w:pPr>
          </w:p>
        </w:tc>
        <w:tc>
          <w:tcPr>
            <w:tcW w:w="883" w:type="dxa"/>
            <w:vAlign w:val="center"/>
          </w:tcPr>
          <w:p w14:paraId="6A1FB008">
            <w:pPr>
              <w:jc w:val="center"/>
              <w:rPr>
                <w:rFonts w:ascii="宋体" w:hAnsi="宋体"/>
                <w:sz w:val="22"/>
                <w:highlight w:val="none"/>
              </w:rPr>
            </w:pPr>
          </w:p>
        </w:tc>
        <w:tc>
          <w:tcPr>
            <w:tcW w:w="992" w:type="dxa"/>
            <w:vAlign w:val="center"/>
          </w:tcPr>
          <w:p w14:paraId="1D031ED9">
            <w:pPr>
              <w:jc w:val="center"/>
              <w:rPr>
                <w:rFonts w:ascii="宋体" w:hAnsi="宋体"/>
                <w:sz w:val="22"/>
                <w:highlight w:val="none"/>
              </w:rPr>
            </w:pPr>
          </w:p>
        </w:tc>
        <w:tc>
          <w:tcPr>
            <w:tcW w:w="1276" w:type="dxa"/>
            <w:vAlign w:val="center"/>
          </w:tcPr>
          <w:p w14:paraId="28D66145">
            <w:pPr>
              <w:jc w:val="center"/>
              <w:rPr>
                <w:rFonts w:ascii="宋体" w:hAnsi="宋体"/>
                <w:sz w:val="22"/>
                <w:highlight w:val="none"/>
              </w:rPr>
            </w:pPr>
          </w:p>
        </w:tc>
      </w:tr>
      <w:tr w14:paraId="38635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17" w:type="dxa"/>
            <w:vAlign w:val="center"/>
          </w:tcPr>
          <w:p w14:paraId="2B26C300">
            <w:pPr>
              <w:jc w:val="center"/>
              <w:rPr>
                <w:rFonts w:ascii="宋体" w:hAnsi="宋体"/>
                <w:sz w:val="22"/>
                <w:highlight w:val="none"/>
              </w:rPr>
            </w:pPr>
          </w:p>
        </w:tc>
        <w:tc>
          <w:tcPr>
            <w:tcW w:w="939" w:type="dxa"/>
            <w:vAlign w:val="center"/>
          </w:tcPr>
          <w:p w14:paraId="3C6D9E0B">
            <w:pPr>
              <w:jc w:val="center"/>
              <w:rPr>
                <w:rFonts w:ascii="宋体" w:hAnsi="宋体"/>
                <w:sz w:val="22"/>
                <w:highlight w:val="none"/>
              </w:rPr>
            </w:pPr>
          </w:p>
        </w:tc>
        <w:tc>
          <w:tcPr>
            <w:tcW w:w="904" w:type="dxa"/>
            <w:vAlign w:val="center"/>
          </w:tcPr>
          <w:p w14:paraId="2B98CFDC">
            <w:pPr>
              <w:jc w:val="center"/>
              <w:rPr>
                <w:rFonts w:ascii="宋体" w:hAnsi="宋体"/>
                <w:sz w:val="22"/>
                <w:highlight w:val="none"/>
              </w:rPr>
            </w:pPr>
          </w:p>
        </w:tc>
        <w:tc>
          <w:tcPr>
            <w:tcW w:w="1484" w:type="dxa"/>
            <w:vAlign w:val="center"/>
          </w:tcPr>
          <w:p w14:paraId="7612FF85">
            <w:pPr>
              <w:jc w:val="center"/>
              <w:rPr>
                <w:rFonts w:ascii="宋体" w:hAnsi="宋体"/>
                <w:sz w:val="22"/>
                <w:highlight w:val="none"/>
              </w:rPr>
            </w:pPr>
          </w:p>
        </w:tc>
        <w:tc>
          <w:tcPr>
            <w:tcW w:w="1885" w:type="dxa"/>
            <w:vAlign w:val="center"/>
          </w:tcPr>
          <w:p w14:paraId="37E2265B">
            <w:pPr>
              <w:jc w:val="center"/>
              <w:rPr>
                <w:rFonts w:ascii="宋体" w:hAnsi="宋体"/>
                <w:sz w:val="22"/>
                <w:highlight w:val="none"/>
              </w:rPr>
            </w:pPr>
          </w:p>
        </w:tc>
        <w:tc>
          <w:tcPr>
            <w:tcW w:w="883" w:type="dxa"/>
            <w:vAlign w:val="center"/>
          </w:tcPr>
          <w:p w14:paraId="3CE88214">
            <w:pPr>
              <w:jc w:val="center"/>
              <w:rPr>
                <w:rFonts w:ascii="宋体" w:hAnsi="宋体"/>
                <w:sz w:val="22"/>
                <w:highlight w:val="none"/>
              </w:rPr>
            </w:pPr>
          </w:p>
        </w:tc>
        <w:tc>
          <w:tcPr>
            <w:tcW w:w="992" w:type="dxa"/>
            <w:vAlign w:val="center"/>
          </w:tcPr>
          <w:p w14:paraId="17F89311">
            <w:pPr>
              <w:jc w:val="center"/>
              <w:rPr>
                <w:rFonts w:ascii="宋体" w:hAnsi="宋体"/>
                <w:sz w:val="22"/>
                <w:highlight w:val="none"/>
              </w:rPr>
            </w:pPr>
          </w:p>
        </w:tc>
        <w:tc>
          <w:tcPr>
            <w:tcW w:w="1276" w:type="dxa"/>
            <w:vAlign w:val="center"/>
          </w:tcPr>
          <w:p w14:paraId="39785810">
            <w:pPr>
              <w:jc w:val="center"/>
              <w:rPr>
                <w:rFonts w:ascii="宋体" w:hAnsi="宋体"/>
                <w:sz w:val="22"/>
                <w:highlight w:val="none"/>
              </w:rPr>
            </w:pPr>
          </w:p>
        </w:tc>
      </w:tr>
      <w:tr w14:paraId="783AE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17" w:type="dxa"/>
            <w:vAlign w:val="center"/>
          </w:tcPr>
          <w:p w14:paraId="113A8751">
            <w:pPr>
              <w:jc w:val="center"/>
              <w:rPr>
                <w:rFonts w:ascii="宋体" w:hAnsi="宋体"/>
                <w:sz w:val="22"/>
                <w:highlight w:val="none"/>
              </w:rPr>
            </w:pPr>
          </w:p>
        </w:tc>
        <w:tc>
          <w:tcPr>
            <w:tcW w:w="939" w:type="dxa"/>
            <w:vAlign w:val="center"/>
          </w:tcPr>
          <w:p w14:paraId="1DC032E9">
            <w:pPr>
              <w:jc w:val="center"/>
              <w:rPr>
                <w:rFonts w:ascii="宋体" w:hAnsi="宋体"/>
                <w:sz w:val="22"/>
                <w:highlight w:val="none"/>
              </w:rPr>
            </w:pPr>
          </w:p>
        </w:tc>
        <w:tc>
          <w:tcPr>
            <w:tcW w:w="904" w:type="dxa"/>
            <w:vAlign w:val="center"/>
          </w:tcPr>
          <w:p w14:paraId="12840E32">
            <w:pPr>
              <w:jc w:val="center"/>
              <w:rPr>
                <w:rFonts w:ascii="宋体" w:hAnsi="宋体"/>
                <w:sz w:val="22"/>
                <w:highlight w:val="none"/>
              </w:rPr>
            </w:pPr>
          </w:p>
        </w:tc>
        <w:tc>
          <w:tcPr>
            <w:tcW w:w="1484" w:type="dxa"/>
            <w:vAlign w:val="center"/>
          </w:tcPr>
          <w:p w14:paraId="7A22C6AF">
            <w:pPr>
              <w:jc w:val="center"/>
              <w:rPr>
                <w:rFonts w:ascii="宋体" w:hAnsi="宋体"/>
                <w:sz w:val="22"/>
                <w:highlight w:val="none"/>
              </w:rPr>
            </w:pPr>
          </w:p>
        </w:tc>
        <w:tc>
          <w:tcPr>
            <w:tcW w:w="1885" w:type="dxa"/>
            <w:vAlign w:val="center"/>
          </w:tcPr>
          <w:p w14:paraId="39238E55">
            <w:pPr>
              <w:jc w:val="center"/>
              <w:rPr>
                <w:rFonts w:ascii="宋体" w:hAnsi="宋体"/>
                <w:sz w:val="22"/>
                <w:highlight w:val="none"/>
              </w:rPr>
            </w:pPr>
          </w:p>
        </w:tc>
        <w:tc>
          <w:tcPr>
            <w:tcW w:w="883" w:type="dxa"/>
            <w:vAlign w:val="center"/>
          </w:tcPr>
          <w:p w14:paraId="424C7C1C">
            <w:pPr>
              <w:jc w:val="center"/>
              <w:rPr>
                <w:rFonts w:ascii="宋体" w:hAnsi="宋体"/>
                <w:sz w:val="22"/>
                <w:highlight w:val="none"/>
              </w:rPr>
            </w:pPr>
          </w:p>
        </w:tc>
        <w:tc>
          <w:tcPr>
            <w:tcW w:w="992" w:type="dxa"/>
            <w:vAlign w:val="center"/>
          </w:tcPr>
          <w:p w14:paraId="677EA0B2">
            <w:pPr>
              <w:jc w:val="center"/>
              <w:rPr>
                <w:rFonts w:ascii="宋体" w:hAnsi="宋体"/>
                <w:sz w:val="22"/>
                <w:highlight w:val="none"/>
              </w:rPr>
            </w:pPr>
          </w:p>
        </w:tc>
        <w:tc>
          <w:tcPr>
            <w:tcW w:w="1276" w:type="dxa"/>
            <w:vAlign w:val="center"/>
          </w:tcPr>
          <w:p w14:paraId="68DCE6E8">
            <w:pPr>
              <w:jc w:val="center"/>
              <w:rPr>
                <w:rFonts w:ascii="宋体" w:hAnsi="宋体"/>
                <w:sz w:val="22"/>
                <w:highlight w:val="none"/>
              </w:rPr>
            </w:pPr>
          </w:p>
        </w:tc>
      </w:tr>
      <w:tr w14:paraId="0CF3D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17" w:type="dxa"/>
            <w:vAlign w:val="center"/>
          </w:tcPr>
          <w:p w14:paraId="617EE29C">
            <w:pPr>
              <w:jc w:val="center"/>
              <w:rPr>
                <w:rFonts w:ascii="宋体" w:hAnsi="宋体"/>
                <w:sz w:val="22"/>
                <w:highlight w:val="none"/>
              </w:rPr>
            </w:pPr>
          </w:p>
        </w:tc>
        <w:tc>
          <w:tcPr>
            <w:tcW w:w="939" w:type="dxa"/>
            <w:vAlign w:val="center"/>
          </w:tcPr>
          <w:p w14:paraId="16FA60B8">
            <w:pPr>
              <w:jc w:val="center"/>
              <w:rPr>
                <w:rFonts w:ascii="宋体" w:hAnsi="宋体"/>
                <w:sz w:val="22"/>
                <w:highlight w:val="none"/>
              </w:rPr>
            </w:pPr>
          </w:p>
        </w:tc>
        <w:tc>
          <w:tcPr>
            <w:tcW w:w="904" w:type="dxa"/>
            <w:vAlign w:val="center"/>
          </w:tcPr>
          <w:p w14:paraId="365735D9">
            <w:pPr>
              <w:jc w:val="center"/>
              <w:rPr>
                <w:rFonts w:ascii="宋体" w:hAnsi="宋体"/>
                <w:sz w:val="22"/>
                <w:highlight w:val="none"/>
              </w:rPr>
            </w:pPr>
          </w:p>
        </w:tc>
        <w:tc>
          <w:tcPr>
            <w:tcW w:w="1484" w:type="dxa"/>
            <w:vAlign w:val="center"/>
          </w:tcPr>
          <w:p w14:paraId="7A22E937">
            <w:pPr>
              <w:jc w:val="center"/>
              <w:rPr>
                <w:rFonts w:ascii="宋体" w:hAnsi="宋体"/>
                <w:sz w:val="22"/>
                <w:highlight w:val="none"/>
              </w:rPr>
            </w:pPr>
          </w:p>
        </w:tc>
        <w:tc>
          <w:tcPr>
            <w:tcW w:w="1885" w:type="dxa"/>
            <w:vAlign w:val="center"/>
          </w:tcPr>
          <w:p w14:paraId="03B41747">
            <w:pPr>
              <w:jc w:val="center"/>
              <w:rPr>
                <w:rFonts w:ascii="宋体" w:hAnsi="宋体"/>
                <w:sz w:val="22"/>
                <w:highlight w:val="none"/>
              </w:rPr>
            </w:pPr>
          </w:p>
        </w:tc>
        <w:tc>
          <w:tcPr>
            <w:tcW w:w="883" w:type="dxa"/>
            <w:vAlign w:val="center"/>
          </w:tcPr>
          <w:p w14:paraId="2B42013D">
            <w:pPr>
              <w:jc w:val="center"/>
              <w:rPr>
                <w:rFonts w:ascii="宋体" w:hAnsi="宋体"/>
                <w:sz w:val="22"/>
                <w:highlight w:val="none"/>
              </w:rPr>
            </w:pPr>
          </w:p>
        </w:tc>
        <w:tc>
          <w:tcPr>
            <w:tcW w:w="992" w:type="dxa"/>
            <w:vAlign w:val="center"/>
          </w:tcPr>
          <w:p w14:paraId="6CCD0752">
            <w:pPr>
              <w:jc w:val="center"/>
              <w:rPr>
                <w:rFonts w:ascii="宋体" w:hAnsi="宋体"/>
                <w:sz w:val="22"/>
                <w:highlight w:val="none"/>
              </w:rPr>
            </w:pPr>
          </w:p>
        </w:tc>
        <w:tc>
          <w:tcPr>
            <w:tcW w:w="1276" w:type="dxa"/>
            <w:vAlign w:val="center"/>
          </w:tcPr>
          <w:p w14:paraId="09A888C5">
            <w:pPr>
              <w:jc w:val="center"/>
              <w:rPr>
                <w:rFonts w:ascii="宋体" w:hAnsi="宋体"/>
                <w:sz w:val="22"/>
                <w:highlight w:val="none"/>
              </w:rPr>
            </w:pPr>
          </w:p>
        </w:tc>
      </w:tr>
      <w:tr w14:paraId="21A4D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17" w:type="dxa"/>
            <w:vAlign w:val="center"/>
          </w:tcPr>
          <w:p w14:paraId="4FA54FB9">
            <w:pPr>
              <w:jc w:val="center"/>
              <w:rPr>
                <w:rFonts w:ascii="宋体" w:hAnsi="宋体"/>
                <w:sz w:val="22"/>
                <w:highlight w:val="none"/>
              </w:rPr>
            </w:pPr>
          </w:p>
        </w:tc>
        <w:tc>
          <w:tcPr>
            <w:tcW w:w="939" w:type="dxa"/>
            <w:vAlign w:val="center"/>
          </w:tcPr>
          <w:p w14:paraId="23B36268">
            <w:pPr>
              <w:jc w:val="center"/>
              <w:rPr>
                <w:rFonts w:ascii="宋体" w:hAnsi="宋体"/>
                <w:sz w:val="22"/>
                <w:highlight w:val="none"/>
              </w:rPr>
            </w:pPr>
          </w:p>
        </w:tc>
        <w:tc>
          <w:tcPr>
            <w:tcW w:w="904" w:type="dxa"/>
            <w:vAlign w:val="center"/>
          </w:tcPr>
          <w:p w14:paraId="3054820A">
            <w:pPr>
              <w:jc w:val="center"/>
              <w:rPr>
                <w:rFonts w:ascii="宋体" w:hAnsi="宋体"/>
                <w:sz w:val="22"/>
                <w:highlight w:val="none"/>
              </w:rPr>
            </w:pPr>
          </w:p>
        </w:tc>
        <w:tc>
          <w:tcPr>
            <w:tcW w:w="1484" w:type="dxa"/>
            <w:vAlign w:val="center"/>
          </w:tcPr>
          <w:p w14:paraId="76C02098">
            <w:pPr>
              <w:jc w:val="center"/>
              <w:rPr>
                <w:rFonts w:ascii="宋体" w:hAnsi="宋体"/>
                <w:sz w:val="22"/>
                <w:highlight w:val="none"/>
              </w:rPr>
            </w:pPr>
          </w:p>
        </w:tc>
        <w:tc>
          <w:tcPr>
            <w:tcW w:w="1885" w:type="dxa"/>
            <w:vAlign w:val="center"/>
          </w:tcPr>
          <w:p w14:paraId="6961C414">
            <w:pPr>
              <w:jc w:val="center"/>
              <w:rPr>
                <w:rFonts w:ascii="宋体" w:hAnsi="宋体"/>
                <w:sz w:val="22"/>
                <w:highlight w:val="none"/>
              </w:rPr>
            </w:pPr>
          </w:p>
        </w:tc>
        <w:tc>
          <w:tcPr>
            <w:tcW w:w="883" w:type="dxa"/>
            <w:vAlign w:val="center"/>
          </w:tcPr>
          <w:p w14:paraId="5DA5BC3A">
            <w:pPr>
              <w:jc w:val="center"/>
              <w:rPr>
                <w:rFonts w:ascii="宋体" w:hAnsi="宋体"/>
                <w:sz w:val="22"/>
                <w:highlight w:val="none"/>
              </w:rPr>
            </w:pPr>
          </w:p>
        </w:tc>
        <w:tc>
          <w:tcPr>
            <w:tcW w:w="992" w:type="dxa"/>
            <w:vAlign w:val="center"/>
          </w:tcPr>
          <w:p w14:paraId="35936ACC">
            <w:pPr>
              <w:jc w:val="center"/>
              <w:rPr>
                <w:rFonts w:ascii="宋体" w:hAnsi="宋体"/>
                <w:sz w:val="22"/>
                <w:highlight w:val="none"/>
              </w:rPr>
            </w:pPr>
          </w:p>
        </w:tc>
        <w:tc>
          <w:tcPr>
            <w:tcW w:w="1276" w:type="dxa"/>
            <w:vAlign w:val="center"/>
          </w:tcPr>
          <w:p w14:paraId="43AF1BAA">
            <w:pPr>
              <w:jc w:val="center"/>
              <w:rPr>
                <w:rFonts w:ascii="宋体" w:hAnsi="宋体"/>
                <w:sz w:val="22"/>
                <w:highlight w:val="none"/>
              </w:rPr>
            </w:pPr>
          </w:p>
        </w:tc>
      </w:tr>
      <w:tr w14:paraId="09BEB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17" w:type="dxa"/>
            <w:vAlign w:val="center"/>
          </w:tcPr>
          <w:p w14:paraId="672BEED4">
            <w:pPr>
              <w:jc w:val="center"/>
              <w:rPr>
                <w:rFonts w:ascii="宋体" w:hAnsi="宋体"/>
                <w:sz w:val="22"/>
                <w:highlight w:val="none"/>
              </w:rPr>
            </w:pPr>
          </w:p>
        </w:tc>
        <w:tc>
          <w:tcPr>
            <w:tcW w:w="939" w:type="dxa"/>
            <w:vAlign w:val="center"/>
          </w:tcPr>
          <w:p w14:paraId="5961D4EB">
            <w:pPr>
              <w:jc w:val="center"/>
              <w:rPr>
                <w:rFonts w:ascii="宋体" w:hAnsi="宋体"/>
                <w:sz w:val="22"/>
                <w:highlight w:val="none"/>
              </w:rPr>
            </w:pPr>
          </w:p>
        </w:tc>
        <w:tc>
          <w:tcPr>
            <w:tcW w:w="904" w:type="dxa"/>
            <w:vAlign w:val="center"/>
          </w:tcPr>
          <w:p w14:paraId="719C9BF4">
            <w:pPr>
              <w:jc w:val="center"/>
              <w:rPr>
                <w:rFonts w:ascii="宋体" w:hAnsi="宋体"/>
                <w:sz w:val="22"/>
                <w:highlight w:val="none"/>
              </w:rPr>
            </w:pPr>
          </w:p>
        </w:tc>
        <w:tc>
          <w:tcPr>
            <w:tcW w:w="1484" w:type="dxa"/>
            <w:vAlign w:val="center"/>
          </w:tcPr>
          <w:p w14:paraId="44117354">
            <w:pPr>
              <w:jc w:val="center"/>
              <w:rPr>
                <w:rFonts w:ascii="宋体" w:hAnsi="宋体"/>
                <w:sz w:val="22"/>
                <w:highlight w:val="none"/>
              </w:rPr>
            </w:pPr>
          </w:p>
        </w:tc>
        <w:tc>
          <w:tcPr>
            <w:tcW w:w="1885" w:type="dxa"/>
            <w:vAlign w:val="center"/>
          </w:tcPr>
          <w:p w14:paraId="3830D7F7">
            <w:pPr>
              <w:jc w:val="center"/>
              <w:rPr>
                <w:rFonts w:ascii="宋体" w:hAnsi="宋体"/>
                <w:sz w:val="22"/>
                <w:highlight w:val="none"/>
              </w:rPr>
            </w:pPr>
          </w:p>
        </w:tc>
        <w:tc>
          <w:tcPr>
            <w:tcW w:w="883" w:type="dxa"/>
            <w:vAlign w:val="center"/>
          </w:tcPr>
          <w:p w14:paraId="4013A3E9">
            <w:pPr>
              <w:jc w:val="center"/>
              <w:rPr>
                <w:rFonts w:ascii="宋体" w:hAnsi="宋体"/>
                <w:sz w:val="22"/>
                <w:highlight w:val="none"/>
              </w:rPr>
            </w:pPr>
          </w:p>
        </w:tc>
        <w:tc>
          <w:tcPr>
            <w:tcW w:w="992" w:type="dxa"/>
            <w:vAlign w:val="center"/>
          </w:tcPr>
          <w:p w14:paraId="6FE11033">
            <w:pPr>
              <w:jc w:val="center"/>
              <w:rPr>
                <w:rFonts w:ascii="宋体" w:hAnsi="宋体"/>
                <w:sz w:val="22"/>
                <w:highlight w:val="none"/>
              </w:rPr>
            </w:pPr>
          </w:p>
        </w:tc>
        <w:tc>
          <w:tcPr>
            <w:tcW w:w="1276" w:type="dxa"/>
            <w:vAlign w:val="center"/>
          </w:tcPr>
          <w:p w14:paraId="4BF54396">
            <w:pPr>
              <w:jc w:val="center"/>
              <w:rPr>
                <w:rFonts w:ascii="宋体" w:hAnsi="宋体"/>
                <w:sz w:val="22"/>
                <w:highlight w:val="none"/>
              </w:rPr>
            </w:pPr>
          </w:p>
        </w:tc>
      </w:tr>
    </w:tbl>
    <w:p w14:paraId="324E7710">
      <w:pPr>
        <w:ind w:firstLine="480" w:firstLineChars="200"/>
        <w:rPr>
          <w:rFonts w:ascii="宋体" w:hAnsi="宋体"/>
          <w:sz w:val="24"/>
          <w:highlight w:val="none"/>
        </w:rPr>
      </w:pPr>
    </w:p>
    <w:p w14:paraId="29F2AAE0">
      <w:pPr>
        <w:spacing w:line="440" w:lineRule="exact"/>
        <w:rPr>
          <w:rFonts w:ascii="宋体" w:hAnsi="宋体"/>
          <w:highlight w:val="none"/>
        </w:rPr>
      </w:pPr>
      <w:r>
        <w:rPr>
          <w:rFonts w:hint="eastAsia" w:ascii="宋体" w:hAnsi="宋体"/>
          <w:highlight w:val="none"/>
        </w:rPr>
        <w:t>注：本项不作为资格审查内容，但（如有）需提供，仅作为投标人的评标（综合评分）后附相关证明材料。表格格式可以根据实际情况调整。</w:t>
      </w:r>
    </w:p>
    <w:p w14:paraId="04F506EF">
      <w:pPr>
        <w:spacing w:line="440" w:lineRule="exact"/>
        <w:jc w:val="left"/>
        <w:rPr>
          <w:rFonts w:ascii="宋体" w:hAnsi="宋体"/>
          <w:highlight w:val="none"/>
        </w:rPr>
      </w:pPr>
    </w:p>
    <w:p w14:paraId="16FA6BAB">
      <w:pPr>
        <w:rPr>
          <w:rFonts w:ascii="宋体" w:hAnsi="宋体"/>
          <w:highlight w:val="none"/>
        </w:rPr>
      </w:pPr>
      <w:r>
        <w:rPr>
          <w:rFonts w:ascii="宋体" w:hAnsi="宋体"/>
          <w:sz w:val="24"/>
          <w:highlight w:val="none"/>
        </w:rPr>
        <w:br w:type="page"/>
      </w:r>
    </w:p>
    <w:p w14:paraId="6434829F">
      <w:pPr>
        <w:pStyle w:val="5"/>
        <w:rPr>
          <w:highlight w:val="none"/>
        </w:rPr>
      </w:pPr>
      <w:bookmarkStart w:id="202" w:name="_Toc103592043"/>
      <w:r>
        <w:rPr>
          <w:rFonts w:hint="eastAsia"/>
          <w:highlight w:val="none"/>
        </w:rPr>
        <w:t>八、拟投入本项目的检测人员简历表</w:t>
      </w:r>
      <w:bookmarkEnd w:id="202"/>
    </w:p>
    <w:tbl>
      <w:tblPr>
        <w:tblStyle w:val="27"/>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87"/>
        <w:gridCol w:w="180"/>
        <w:gridCol w:w="1295"/>
        <w:gridCol w:w="281"/>
        <w:gridCol w:w="763"/>
        <w:gridCol w:w="957"/>
        <w:gridCol w:w="407"/>
        <w:gridCol w:w="1200"/>
        <w:gridCol w:w="630"/>
        <w:gridCol w:w="2027"/>
      </w:tblGrid>
      <w:tr w14:paraId="03195C9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95" w:hRule="atLeast"/>
          <w:jc w:val="center"/>
        </w:trPr>
        <w:tc>
          <w:tcPr>
            <w:tcW w:w="1367" w:type="dxa"/>
            <w:gridSpan w:val="2"/>
            <w:vAlign w:val="center"/>
          </w:tcPr>
          <w:p w14:paraId="7352A2C5">
            <w:pPr>
              <w:snapToGrid w:val="0"/>
              <w:spacing w:line="0" w:lineRule="atLeast"/>
              <w:jc w:val="center"/>
              <w:rPr>
                <w:rFonts w:ascii="宋体" w:hAnsi="宋体"/>
                <w:sz w:val="24"/>
                <w:highlight w:val="none"/>
              </w:rPr>
            </w:pPr>
            <w:r>
              <w:rPr>
                <w:rFonts w:hint="eastAsia" w:ascii="宋体" w:hAnsi="宋体"/>
                <w:sz w:val="24"/>
                <w:highlight w:val="none"/>
              </w:rPr>
              <w:t>姓名</w:t>
            </w:r>
          </w:p>
        </w:tc>
        <w:tc>
          <w:tcPr>
            <w:tcW w:w="1295" w:type="dxa"/>
            <w:vAlign w:val="center"/>
          </w:tcPr>
          <w:p w14:paraId="120E6D1F">
            <w:pPr>
              <w:snapToGrid w:val="0"/>
              <w:spacing w:line="0" w:lineRule="atLeast"/>
              <w:jc w:val="center"/>
              <w:rPr>
                <w:rFonts w:ascii="宋体" w:hAnsi="宋体"/>
                <w:sz w:val="24"/>
                <w:highlight w:val="none"/>
              </w:rPr>
            </w:pPr>
          </w:p>
        </w:tc>
        <w:tc>
          <w:tcPr>
            <w:tcW w:w="1044" w:type="dxa"/>
            <w:gridSpan w:val="2"/>
            <w:vAlign w:val="center"/>
          </w:tcPr>
          <w:p w14:paraId="47431DF3">
            <w:pPr>
              <w:snapToGrid w:val="0"/>
              <w:spacing w:line="0" w:lineRule="atLeast"/>
              <w:jc w:val="center"/>
              <w:rPr>
                <w:rFonts w:ascii="宋体" w:hAnsi="宋体"/>
                <w:sz w:val="24"/>
                <w:highlight w:val="none"/>
              </w:rPr>
            </w:pPr>
            <w:r>
              <w:rPr>
                <w:rFonts w:hint="eastAsia" w:ascii="宋体" w:hAnsi="宋体"/>
                <w:sz w:val="24"/>
                <w:highlight w:val="none"/>
              </w:rPr>
              <w:t>年龄</w:t>
            </w:r>
          </w:p>
        </w:tc>
        <w:tc>
          <w:tcPr>
            <w:tcW w:w="1364" w:type="dxa"/>
            <w:gridSpan w:val="2"/>
            <w:vAlign w:val="center"/>
          </w:tcPr>
          <w:p w14:paraId="3FBE55DF">
            <w:pPr>
              <w:snapToGrid w:val="0"/>
              <w:spacing w:line="0" w:lineRule="atLeast"/>
              <w:jc w:val="center"/>
              <w:rPr>
                <w:rFonts w:ascii="宋体" w:hAnsi="宋体"/>
                <w:sz w:val="24"/>
                <w:highlight w:val="none"/>
              </w:rPr>
            </w:pPr>
          </w:p>
        </w:tc>
        <w:tc>
          <w:tcPr>
            <w:tcW w:w="1830" w:type="dxa"/>
            <w:gridSpan w:val="2"/>
            <w:vAlign w:val="center"/>
          </w:tcPr>
          <w:p w14:paraId="5AE2C89D">
            <w:pPr>
              <w:snapToGrid w:val="0"/>
              <w:spacing w:line="0" w:lineRule="atLeast"/>
              <w:jc w:val="center"/>
              <w:rPr>
                <w:rFonts w:ascii="宋体" w:hAnsi="宋体"/>
                <w:sz w:val="24"/>
                <w:highlight w:val="none"/>
              </w:rPr>
            </w:pPr>
            <w:r>
              <w:rPr>
                <w:rFonts w:hint="eastAsia" w:ascii="宋体" w:hAnsi="宋体"/>
                <w:sz w:val="24"/>
                <w:highlight w:val="none"/>
              </w:rPr>
              <w:t>学历</w:t>
            </w:r>
          </w:p>
        </w:tc>
        <w:tc>
          <w:tcPr>
            <w:tcW w:w="2027" w:type="dxa"/>
          </w:tcPr>
          <w:p w14:paraId="036835A8">
            <w:pPr>
              <w:snapToGrid w:val="0"/>
              <w:spacing w:line="0" w:lineRule="atLeast"/>
              <w:jc w:val="center"/>
              <w:rPr>
                <w:rFonts w:ascii="宋体" w:hAnsi="宋体"/>
                <w:sz w:val="24"/>
                <w:highlight w:val="none"/>
              </w:rPr>
            </w:pPr>
          </w:p>
        </w:tc>
      </w:tr>
      <w:tr w14:paraId="2FBE9A3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33" w:hRule="atLeast"/>
          <w:jc w:val="center"/>
        </w:trPr>
        <w:tc>
          <w:tcPr>
            <w:tcW w:w="1367" w:type="dxa"/>
            <w:gridSpan w:val="2"/>
            <w:vAlign w:val="center"/>
          </w:tcPr>
          <w:p w14:paraId="1B910707">
            <w:pPr>
              <w:snapToGrid w:val="0"/>
              <w:spacing w:line="0" w:lineRule="atLeast"/>
              <w:jc w:val="center"/>
              <w:rPr>
                <w:rFonts w:ascii="宋体" w:hAnsi="宋体"/>
                <w:sz w:val="24"/>
                <w:highlight w:val="none"/>
              </w:rPr>
            </w:pPr>
            <w:r>
              <w:rPr>
                <w:rFonts w:hint="eastAsia" w:ascii="宋体" w:hAnsi="宋体"/>
                <w:sz w:val="24"/>
                <w:highlight w:val="none"/>
              </w:rPr>
              <w:t>技术职称</w:t>
            </w:r>
          </w:p>
        </w:tc>
        <w:tc>
          <w:tcPr>
            <w:tcW w:w="1295" w:type="dxa"/>
            <w:vAlign w:val="center"/>
          </w:tcPr>
          <w:p w14:paraId="3B4BE251">
            <w:pPr>
              <w:snapToGrid w:val="0"/>
              <w:spacing w:line="0" w:lineRule="atLeast"/>
              <w:jc w:val="center"/>
              <w:rPr>
                <w:rFonts w:ascii="宋体" w:hAnsi="宋体"/>
                <w:sz w:val="24"/>
                <w:highlight w:val="none"/>
              </w:rPr>
            </w:pPr>
          </w:p>
        </w:tc>
        <w:tc>
          <w:tcPr>
            <w:tcW w:w="1044" w:type="dxa"/>
            <w:gridSpan w:val="2"/>
            <w:vAlign w:val="center"/>
          </w:tcPr>
          <w:p w14:paraId="311A0147">
            <w:pPr>
              <w:snapToGrid w:val="0"/>
              <w:spacing w:line="0" w:lineRule="atLeast"/>
              <w:jc w:val="center"/>
              <w:rPr>
                <w:rFonts w:ascii="宋体" w:hAnsi="宋体"/>
                <w:sz w:val="24"/>
                <w:highlight w:val="none"/>
              </w:rPr>
            </w:pPr>
            <w:r>
              <w:rPr>
                <w:rFonts w:hint="eastAsia" w:ascii="宋体" w:hAnsi="宋体"/>
                <w:sz w:val="24"/>
                <w:highlight w:val="none"/>
              </w:rPr>
              <w:t>职务</w:t>
            </w:r>
          </w:p>
        </w:tc>
        <w:tc>
          <w:tcPr>
            <w:tcW w:w="1364" w:type="dxa"/>
            <w:gridSpan w:val="2"/>
            <w:vAlign w:val="center"/>
          </w:tcPr>
          <w:p w14:paraId="34A15414">
            <w:pPr>
              <w:snapToGrid w:val="0"/>
              <w:spacing w:line="0" w:lineRule="atLeast"/>
              <w:jc w:val="center"/>
              <w:rPr>
                <w:rFonts w:ascii="宋体" w:hAnsi="宋体"/>
                <w:sz w:val="24"/>
                <w:highlight w:val="none"/>
              </w:rPr>
            </w:pPr>
          </w:p>
        </w:tc>
        <w:tc>
          <w:tcPr>
            <w:tcW w:w="1830" w:type="dxa"/>
            <w:gridSpan w:val="2"/>
            <w:vAlign w:val="center"/>
          </w:tcPr>
          <w:p w14:paraId="4A8B784B">
            <w:pPr>
              <w:snapToGrid w:val="0"/>
              <w:spacing w:line="0" w:lineRule="atLeast"/>
              <w:jc w:val="center"/>
              <w:rPr>
                <w:rFonts w:ascii="宋体" w:hAnsi="宋体"/>
                <w:sz w:val="24"/>
                <w:highlight w:val="none"/>
              </w:rPr>
            </w:pPr>
            <w:r>
              <w:rPr>
                <w:rFonts w:hint="eastAsia" w:ascii="宋体" w:hAnsi="宋体"/>
                <w:sz w:val="24"/>
                <w:highlight w:val="none"/>
              </w:rPr>
              <w:t>在本项目担任职务</w:t>
            </w:r>
          </w:p>
        </w:tc>
        <w:tc>
          <w:tcPr>
            <w:tcW w:w="2027" w:type="dxa"/>
          </w:tcPr>
          <w:p w14:paraId="054D6F62">
            <w:pPr>
              <w:snapToGrid w:val="0"/>
              <w:spacing w:line="0" w:lineRule="atLeast"/>
              <w:jc w:val="center"/>
              <w:rPr>
                <w:rFonts w:ascii="宋体" w:hAnsi="宋体"/>
                <w:sz w:val="24"/>
                <w:highlight w:val="none"/>
              </w:rPr>
            </w:pPr>
          </w:p>
        </w:tc>
      </w:tr>
      <w:tr w14:paraId="10B1F06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59" w:hRule="atLeast"/>
          <w:jc w:val="center"/>
        </w:trPr>
        <w:tc>
          <w:tcPr>
            <w:tcW w:w="1367" w:type="dxa"/>
            <w:gridSpan w:val="2"/>
            <w:vAlign w:val="center"/>
          </w:tcPr>
          <w:p w14:paraId="2908D2E3">
            <w:pPr>
              <w:snapToGrid w:val="0"/>
              <w:spacing w:line="0" w:lineRule="atLeast"/>
              <w:jc w:val="center"/>
              <w:rPr>
                <w:rFonts w:ascii="宋体" w:hAnsi="宋体"/>
                <w:sz w:val="24"/>
                <w:highlight w:val="none"/>
              </w:rPr>
            </w:pPr>
            <w:r>
              <w:rPr>
                <w:rFonts w:hint="eastAsia" w:ascii="宋体" w:hAnsi="宋体"/>
                <w:sz w:val="24"/>
                <w:highlight w:val="none"/>
              </w:rPr>
              <w:t>毕业学校</w:t>
            </w:r>
          </w:p>
        </w:tc>
        <w:tc>
          <w:tcPr>
            <w:tcW w:w="3703" w:type="dxa"/>
            <w:gridSpan w:val="5"/>
            <w:vAlign w:val="center"/>
          </w:tcPr>
          <w:p w14:paraId="1C286D92">
            <w:pPr>
              <w:snapToGrid w:val="0"/>
              <w:spacing w:line="0" w:lineRule="atLeast"/>
              <w:jc w:val="center"/>
              <w:rPr>
                <w:rFonts w:ascii="宋体" w:hAnsi="宋体"/>
                <w:sz w:val="24"/>
                <w:highlight w:val="none"/>
              </w:rPr>
            </w:pPr>
            <w:r>
              <w:rPr>
                <w:rFonts w:hint="eastAsia" w:ascii="宋体" w:hAnsi="宋体"/>
                <w:sz w:val="24"/>
                <w:highlight w:val="none"/>
              </w:rPr>
              <w:t>毕业于      学校     专业</w:t>
            </w:r>
          </w:p>
        </w:tc>
        <w:tc>
          <w:tcPr>
            <w:tcW w:w="1830" w:type="dxa"/>
            <w:gridSpan w:val="2"/>
            <w:vAlign w:val="center"/>
          </w:tcPr>
          <w:p w14:paraId="249B2680">
            <w:pPr>
              <w:snapToGrid w:val="0"/>
              <w:spacing w:line="0" w:lineRule="atLeast"/>
              <w:jc w:val="center"/>
              <w:rPr>
                <w:rFonts w:ascii="宋体" w:hAnsi="宋体"/>
                <w:sz w:val="24"/>
                <w:highlight w:val="none"/>
              </w:rPr>
            </w:pPr>
            <w:r>
              <w:rPr>
                <w:rFonts w:hint="eastAsia" w:ascii="宋体" w:hAnsi="宋体"/>
                <w:position w:val="-30"/>
                <w:sz w:val="24"/>
                <w:highlight w:val="none"/>
              </w:rPr>
              <w:t>从事检测工作年限</w:t>
            </w:r>
          </w:p>
        </w:tc>
        <w:tc>
          <w:tcPr>
            <w:tcW w:w="2027" w:type="dxa"/>
          </w:tcPr>
          <w:p w14:paraId="5A754028">
            <w:pPr>
              <w:snapToGrid w:val="0"/>
              <w:spacing w:line="0" w:lineRule="atLeast"/>
              <w:jc w:val="center"/>
              <w:rPr>
                <w:rFonts w:ascii="宋体" w:hAnsi="宋体"/>
                <w:sz w:val="24"/>
                <w:highlight w:val="none"/>
              </w:rPr>
            </w:pPr>
          </w:p>
        </w:tc>
      </w:tr>
      <w:tr w14:paraId="63A6FFA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3" w:hRule="atLeast"/>
          <w:jc w:val="center"/>
        </w:trPr>
        <w:tc>
          <w:tcPr>
            <w:tcW w:w="2943" w:type="dxa"/>
            <w:gridSpan w:val="4"/>
            <w:vAlign w:val="center"/>
          </w:tcPr>
          <w:p w14:paraId="676C4299">
            <w:pPr>
              <w:snapToGrid w:val="0"/>
              <w:spacing w:line="0" w:lineRule="atLeast"/>
              <w:jc w:val="center"/>
              <w:rPr>
                <w:rFonts w:ascii="宋体" w:hAnsi="宋体"/>
                <w:sz w:val="24"/>
                <w:highlight w:val="none"/>
              </w:rPr>
            </w:pPr>
            <w:r>
              <w:rPr>
                <w:rFonts w:hint="eastAsia" w:ascii="宋体" w:hAnsi="宋体"/>
                <w:sz w:val="24"/>
                <w:highlight w:val="none"/>
              </w:rPr>
              <w:t>执业资格证号或注册证号</w:t>
            </w:r>
          </w:p>
        </w:tc>
        <w:tc>
          <w:tcPr>
            <w:tcW w:w="5984" w:type="dxa"/>
            <w:gridSpan w:val="6"/>
          </w:tcPr>
          <w:p w14:paraId="3974C664">
            <w:pPr>
              <w:snapToGrid w:val="0"/>
              <w:spacing w:line="0" w:lineRule="atLeast"/>
              <w:rPr>
                <w:rFonts w:ascii="宋体" w:hAnsi="宋体"/>
                <w:sz w:val="24"/>
                <w:highlight w:val="none"/>
              </w:rPr>
            </w:pPr>
          </w:p>
        </w:tc>
      </w:tr>
      <w:tr w14:paraId="5044DD5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4" w:hRule="atLeast"/>
          <w:jc w:val="center"/>
        </w:trPr>
        <w:tc>
          <w:tcPr>
            <w:tcW w:w="8927" w:type="dxa"/>
            <w:gridSpan w:val="10"/>
          </w:tcPr>
          <w:p w14:paraId="48795C29">
            <w:pPr>
              <w:snapToGrid w:val="0"/>
              <w:spacing w:line="0" w:lineRule="atLeast"/>
              <w:jc w:val="center"/>
              <w:rPr>
                <w:rFonts w:ascii="宋体" w:hAnsi="宋体"/>
                <w:sz w:val="24"/>
                <w:highlight w:val="none"/>
              </w:rPr>
            </w:pPr>
            <w:r>
              <w:rPr>
                <w:rFonts w:hint="eastAsia" w:ascii="宋体" w:hAnsi="宋体"/>
                <w:sz w:val="24"/>
                <w:highlight w:val="none"/>
              </w:rPr>
              <w:t>主要业绩经历</w:t>
            </w:r>
          </w:p>
        </w:tc>
      </w:tr>
      <w:tr w14:paraId="378DBB5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1" w:hRule="atLeast"/>
          <w:jc w:val="center"/>
        </w:trPr>
        <w:tc>
          <w:tcPr>
            <w:tcW w:w="1187" w:type="dxa"/>
          </w:tcPr>
          <w:p w14:paraId="327FE225">
            <w:pPr>
              <w:snapToGrid w:val="0"/>
              <w:spacing w:line="0" w:lineRule="atLeast"/>
              <w:jc w:val="center"/>
              <w:rPr>
                <w:rFonts w:ascii="宋体" w:hAnsi="宋体"/>
                <w:sz w:val="24"/>
                <w:highlight w:val="none"/>
              </w:rPr>
            </w:pPr>
            <w:r>
              <w:rPr>
                <w:rFonts w:hint="eastAsia" w:ascii="宋体" w:hAnsi="宋体"/>
                <w:sz w:val="24"/>
                <w:highlight w:val="none"/>
              </w:rPr>
              <w:t>时间</w:t>
            </w:r>
          </w:p>
        </w:tc>
        <w:tc>
          <w:tcPr>
            <w:tcW w:w="3476" w:type="dxa"/>
            <w:gridSpan w:val="5"/>
          </w:tcPr>
          <w:p w14:paraId="5885751B">
            <w:pPr>
              <w:snapToGrid w:val="0"/>
              <w:spacing w:line="0" w:lineRule="atLeast"/>
              <w:jc w:val="center"/>
              <w:rPr>
                <w:rFonts w:ascii="宋体" w:hAnsi="宋体"/>
                <w:sz w:val="24"/>
                <w:highlight w:val="none"/>
              </w:rPr>
            </w:pPr>
            <w:r>
              <w:rPr>
                <w:rFonts w:hint="eastAsia" w:ascii="宋体" w:hAnsi="宋体"/>
                <w:sz w:val="24"/>
                <w:highlight w:val="none"/>
              </w:rPr>
              <w:t>参加过的主要工作</w:t>
            </w:r>
          </w:p>
        </w:tc>
        <w:tc>
          <w:tcPr>
            <w:tcW w:w="1607" w:type="dxa"/>
            <w:gridSpan w:val="2"/>
          </w:tcPr>
          <w:p w14:paraId="725C8173">
            <w:pPr>
              <w:snapToGrid w:val="0"/>
              <w:spacing w:line="0" w:lineRule="atLeast"/>
              <w:jc w:val="center"/>
              <w:rPr>
                <w:rFonts w:ascii="宋体" w:hAnsi="宋体"/>
                <w:sz w:val="24"/>
                <w:highlight w:val="none"/>
              </w:rPr>
            </w:pPr>
            <w:r>
              <w:rPr>
                <w:rFonts w:hint="eastAsia" w:ascii="宋体" w:hAnsi="宋体"/>
                <w:sz w:val="24"/>
                <w:highlight w:val="none"/>
              </w:rPr>
              <w:t>担任何职</w:t>
            </w:r>
          </w:p>
        </w:tc>
        <w:tc>
          <w:tcPr>
            <w:tcW w:w="2657" w:type="dxa"/>
            <w:gridSpan w:val="2"/>
          </w:tcPr>
          <w:p w14:paraId="62D32449">
            <w:pPr>
              <w:snapToGrid w:val="0"/>
              <w:spacing w:line="0" w:lineRule="atLeast"/>
              <w:jc w:val="center"/>
              <w:rPr>
                <w:rFonts w:ascii="宋体" w:hAnsi="宋体"/>
                <w:sz w:val="24"/>
                <w:highlight w:val="none"/>
              </w:rPr>
            </w:pPr>
            <w:r>
              <w:rPr>
                <w:rFonts w:hint="eastAsia" w:ascii="宋体" w:hAnsi="宋体"/>
                <w:sz w:val="24"/>
                <w:highlight w:val="none"/>
              </w:rPr>
              <w:t>获得的奖励情况</w:t>
            </w:r>
          </w:p>
        </w:tc>
      </w:tr>
      <w:tr w14:paraId="143FF6A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5" w:hRule="atLeast"/>
          <w:jc w:val="center"/>
        </w:trPr>
        <w:tc>
          <w:tcPr>
            <w:tcW w:w="1187" w:type="dxa"/>
          </w:tcPr>
          <w:p w14:paraId="7723E51E">
            <w:pPr>
              <w:snapToGrid w:val="0"/>
              <w:spacing w:line="0" w:lineRule="atLeast"/>
              <w:rPr>
                <w:rFonts w:ascii="宋体" w:hAnsi="宋体"/>
                <w:sz w:val="24"/>
                <w:highlight w:val="none"/>
              </w:rPr>
            </w:pPr>
          </w:p>
        </w:tc>
        <w:tc>
          <w:tcPr>
            <w:tcW w:w="3476" w:type="dxa"/>
            <w:gridSpan w:val="5"/>
          </w:tcPr>
          <w:p w14:paraId="1F8B035F">
            <w:pPr>
              <w:snapToGrid w:val="0"/>
              <w:spacing w:line="0" w:lineRule="atLeast"/>
              <w:rPr>
                <w:rFonts w:ascii="宋体" w:hAnsi="宋体"/>
                <w:sz w:val="24"/>
                <w:highlight w:val="none"/>
              </w:rPr>
            </w:pPr>
          </w:p>
        </w:tc>
        <w:tc>
          <w:tcPr>
            <w:tcW w:w="1607" w:type="dxa"/>
            <w:gridSpan w:val="2"/>
          </w:tcPr>
          <w:p w14:paraId="28BF7CC7">
            <w:pPr>
              <w:snapToGrid w:val="0"/>
              <w:spacing w:line="0" w:lineRule="atLeast"/>
              <w:rPr>
                <w:rFonts w:ascii="宋体" w:hAnsi="宋体"/>
                <w:sz w:val="24"/>
                <w:highlight w:val="none"/>
              </w:rPr>
            </w:pPr>
          </w:p>
        </w:tc>
        <w:tc>
          <w:tcPr>
            <w:tcW w:w="2657" w:type="dxa"/>
            <w:gridSpan w:val="2"/>
          </w:tcPr>
          <w:p w14:paraId="551BC2FA">
            <w:pPr>
              <w:snapToGrid w:val="0"/>
              <w:spacing w:line="0" w:lineRule="atLeast"/>
              <w:rPr>
                <w:rFonts w:ascii="宋体" w:hAnsi="宋体"/>
                <w:sz w:val="24"/>
                <w:highlight w:val="none"/>
              </w:rPr>
            </w:pPr>
          </w:p>
        </w:tc>
      </w:tr>
      <w:tr w14:paraId="64BB22C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5" w:hRule="atLeast"/>
          <w:jc w:val="center"/>
        </w:trPr>
        <w:tc>
          <w:tcPr>
            <w:tcW w:w="1187" w:type="dxa"/>
          </w:tcPr>
          <w:p w14:paraId="1874326E">
            <w:pPr>
              <w:snapToGrid w:val="0"/>
              <w:spacing w:line="0" w:lineRule="atLeast"/>
              <w:rPr>
                <w:rFonts w:ascii="宋体" w:hAnsi="宋体"/>
                <w:sz w:val="24"/>
                <w:highlight w:val="none"/>
              </w:rPr>
            </w:pPr>
          </w:p>
        </w:tc>
        <w:tc>
          <w:tcPr>
            <w:tcW w:w="3476" w:type="dxa"/>
            <w:gridSpan w:val="5"/>
          </w:tcPr>
          <w:p w14:paraId="2AC590B6">
            <w:pPr>
              <w:snapToGrid w:val="0"/>
              <w:spacing w:line="0" w:lineRule="atLeast"/>
              <w:rPr>
                <w:rFonts w:ascii="宋体" w:hAnsi="宋体"/>
                <w:sz w:val="24"/>
                <w:highlight w:val="none"/>
              </w:rPr>
            </w:pPr>
          </w:p>
        </w:tc>
        <w:tc>
          <w:tcPr>
            <w:tcW w:w="1607" w:type="dxa"/>
            <w:gridSpan w:val="2"/>
          </w:tcPr>
          <w:p w14:paraId="3A7C4417">
            <w:pPr>
              <w:snapToGrid w:val="0"/>
              <w:spacing w:line="0" w:lineRule="atLeast"/>
              <w:rPr>
                <w:rFonts w:ascii="宋体" w:hAnsi="宋体"/>
                <w:sz w:val="24"/>
                <w:highlight w:val="none"/>
              </w:rPr>
            </w:pPr>
          </w:p>
        </w:tc>
        <w:tc>
          <w:tcPr>
            <w:tcW w:w="2657" w:type="dxa"/>
            <w:gridSpan w:val="2"/>
          </w:tcPr>
          <w:p w14:paraId="5C305E5A">
            <w:pPr>
              <w:snapToGrid w:val="0"/>
              <w:spacing w:line="0" w:lineRule="atLeast"/>
              <w:rPr>
                <w:rFonts w:ascii="宋体" w:hAnsi="宋体"/>
                <w:sz w:val="24"/>
                <w:highlight w:val="none"/>
              </w:rPr>
            </w:pPr>
          </w:p>
        </w:tc>
      </w:tr>
      <w:tr w14:paraId="418CA19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5" w:hRule="atLeast"/>
          <w:jc w:val="center"/>
        </w:trPr>
        <w:tc>
          <w:tcPr>
            <w:tcW w:w="1187" w:type="dxa"/>
          </w:tcPr>
          <w:p w14:paraId="6CDFE1F8">
            <w:pPr>
              <w:snapToGrid w:val="0"/>
              <w:spacing w:line="0" w:lineRule="atLeast"/>
              <w:rPr>
                <w:rFonts w:ascii="宋体" w:hAnsi="宋体"/>
                <w:sz w:val="24"/>
                <w:highlight w:val="none"/>
              </w:rPr>
            </w:pPr>
          </w:p>
        </w:tc>
        <w:tc>
          <w:tcPr>
            <w:tcW w:w="3476" w:type="dxa"/>
            <w:gridSpan w:val="5"/>
          </w:tcPr>
          <w:p w14:paraId="1DEE1C1E">
            <w:pPr>
              <w:snapToGrid w:val="0"/>
              <w:spacing w:line="0" w:lineRule="atLeast"/>
              <w:rPr>
                <w:rFonts w:ascii="宋体" w:hAnsi="宋体"/>
                <w:sz w:val="24"/>
                <w:highlight w:val="none"/>
              </w:rPr>
            </w:pPr>
          </w:p>
        </w:tc>
        <w:tc>
          <w:tcPr>
            <w:tcW w:w="1607" w:type="dxa"/>
            <w:gridSpan w:val="2"/>
          </w:tcPr>
          <w:p w14:paraId="24782179">
            <w:pPr>
              <w:snapToGrid w:val="0"/>
              <w:spacing w:line="0" w:lineRule="atLeast"/>
              <w:rPr>
                <w:rFonts w:ascii="宋体" w:hAnsi="宋体"/>
                <w:sz w:val="24"/>
                <w:highlight w:val="none"/>
              </w:rPr>
            </w:pPr>
          </w:p>
        </w:tc>
        <w:tc>
          <w:tcPr>
            <w:tcW w:w="2657" w:type="dxa"/>
            <w:gridSpan w:val="2"/>
          </w:tcPr>
          <w:p w14:paraId="3522C47B">
            <w:pPr>
              <w:snapToGrid w:val="0"/>
              <w:spacing w:line="0" w:lineRule="atLeast"/>
              <w:rPr>
                <w:rFonts w:ascii="宋体" w:hAnsi="宋体"/>
                <w:sz w:val="24"/>
                <w:highlight w:val="none"/>
              </w:rPr>
            </w:pPr>
          </w:p>
        </w:tc>
      </w:tr>
      <w:tr w14:paraId="0D350B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5" w:hRule="atLeast"/>
          <w:jc w:val="center"/>
        </w:trPr>
        <w:tc>
          <w:tcPr>
            <w:tcW w:w="1187" w:type="dxa"/>
          </w:tcPr>
          <w:p w14:paraId="7A8E8CD1">
            <w:pPr>
              <w:snapToGrid w:val="0"/>
              <w:spacing w:line="0" w:lineRule="atLeast"/>
              <w:rPr>
                <w:rFonts w:ascii="宋体" w:hAnsi="宋体"/>
                <w:sz w:val="24"/>
                <w:highlight w:val="none"/>
              </w:rPr>
            </w:pPr>
          </w:p>
        </w:tc>
        <w:tc>
          <w:tcPr>
            <w:tcW w:w="3476" w:type="dxa"/>
            <w:gridSpan w:val="5"/>
          </w:tcPr>
          <w:p w14:paraId="1A1DC6DC">
            <w:pPr>
              <w:snapToGrid w:val="0"/>
              <w:spacing w:line="0" w:lineRule="atLeast"/>
              <w:rPr>
                <w:rFonts w:ascii="宋体" w:hAnsi="宋体"/>
                <w:sz w:val="24"/>
                <w:highlight w:val="none"/>
              </w:rPr>
            </w:pPr>
          </w:p>
        </w:tc>
        <w:tc>
          <w:tcPr>
            <w:tcW w:w="1607" w:type="dxa"/>
            <w:gridSpan w:val="2"/>
          </w:tcPr>
          <w:p w14:paraId="78AE8426">
            <w:pPr>
              <w:snapToGrid w:val="0"/>
              <w:spacing w:line="0" w:lineRule="atLeast"/>
              <w:rPr>
                <w:rFonts w:ascii="宋体" w:hAnsi="宋体"/>
                <w:sz w:val="24"/>
                <w:highlight w:val="none"/>
              </w:rPr>
            </w:pPr>
          </w:p>
        </w:tc>
        <w:tc>
          <w:tcPr>
            <w:tcW w:w="2657" w:type="dxa"/>
            <w:gridSpan w:val="2"/>
          </w:tcPr>
          <w:p w14:paraId="1B2AC139">
            <w:pPr>
              <w:snapToGrid w:val="0"/>
              <w:spacing w:line="0" w:lineRule="atLeast"/>
              <w:rPr>
                <w:rFonts w:ascii="宋体" w:hAnsi="宋体"/>
                <w:sz w:val="24"/>
                <w:highlight w:val="none"/>
              </w:rPr>
            </w:pPr>
          </w:p>
        </w:tc>
      </w:tr>
      <w:tr w14:paraId="07459F5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5" w:hRule="atLeast"/>
          <w:jc w:val="center"/>
        </w:trPr>
        <w:tc>
          <w:tcPr>
            <w:tcW w:w="1187" w:type="dxa"/>
          </w:tcPr>
          <w:p w14:paraId="5FECEC36">
            <w:pPr>
              <w:snapToGrid w:val="0"/>
              <w:spacing w:line="0" w:lineRule="atLeast"/>
              <w:rPr>
                <w:rFonts w:ascii="宋体" w:hAnsi="宋体"/>
                <w:sz w:val="24"/>
                <w:highlight w:val="none"/>
              </w:rPr>
            </w:pPr>
          </w:p>
        </w:tc>
        <w:tc>
          <w:tcPr>
            <w:tcW w:w="3476" w:type="dxa"/>
            <w:gridSpan w:val="5"/>
          </w:tcPr>
          <w:p w14:paraId="473C0FBC">
            <w:pPr>
              <w:snapToGrid w:val="0"/>
              <w:spacing w:line="0" w:lineRule="atLeast"/>
              <w:rPr>
                <w:rFonts w:ascii="宋体" w:hAnsi="宋体"/>
                <w:sz w:val="24"/>
                <w:highlight w:val="none"/>
              </w:rPr>
            </w:pPr>
          </w:p>
        </w:tc>
        <w:tc>
          <w:tcPr>
            <w:tcW w:w="1607" w:type="dxa"/>
            <w:gridSpan w:val="2"/>
          </w:tcPr>
          <w:p w14:paraId="2A8CEAD4">
            <w:pPr>
              <w:snapToGrid w:val="0"/>
              <w:spacing w:line="0" w:lineRule="atLeast"/>
              <w:rPr>
                <w:rFonts w:ascii="宋体" w:hAnsi="宋体"/>
                <w:sz w:val="24"/>
                <w:highlight w:val="none"/>
              </w:rPr>
            </w:pPr>
          </w:p>
        </w:tc>
        <w:tc>
          <w:tcPr>
            <w:tcW w:w="2657" w:type="dxa"/>
            <w:gridSpan w:val="2"/>
          </w:tcPr>
          <w:p w14:paraId="3EB5EC4E">
            <w:pPr>
              <w:snapToGrid w:val="0"/>
              <w:spacing w:line="0" w:lineRule="atLeast"/>
              <w:rPr>
                <w:rFonts w:ascii="宋体" w:hAnsi="宋体"/>
                <w:sz w:val="24"/>
                <w:highlight w:val="none"/>
              </w:rPr>
            </w:pPr>
          </w:p>
        </w:tc>
      </w:tr>
      <w:tr w14:paraId="522F3B5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5" w:hRule="atLeast"/>
          <w:jc w:val="center"/>
        </w:trPr>
        <w:tc>
          <w:tcPr>
            <w:tcW w:w="1187" w:type="dxa"/>
          </w:tcPr>
          <w:p w14:paraId="32FF78AD">
            <w:pPr>
              <w:snapToGrid w:val="0"/>
              <w:spacing w:line="0" w:lineRule="atLeast"/>
              <w:rPr>
                <w:rFonts w:ascii="宋体" w:hAnsi="宋体"/>
                <w:sz w:val="24"/>
                <w:highlight w:val="none"/>
              </w:rPr>
            </w:pPr>
          </w:p>
        </w:tc>
        <w:tc>
          <w:tcPr>
            <w:tcW w:w="3476" w:type="dxa"/>
            <w:gridSpan w:val="5"/>
          </w:tcPr>
          <w:p w14:paraId="3447A8CD">
            <w:pPr>
              <w:snapToGrid w:val="0"/>
              <w:spacing w:line="0" w:lineRule="atLeast"/>
              <w:rPr>
                <w:rFonts w:ascii="宋体" w:hAnsi="宋体"/>
                <w:sz w:val="24"/>
                <w:highlight w:val="none"/>
              </w:rPr>
            </w:pPr>
          </w:p>
        </w:tc>
        <w:tc>
          <w:tcPr>
            <w:tcW w:w="1607" w:type="dxa"/>
            <w:gridSpan w:val="2"/>
          </w:tcPr>
          <w:p w14:paraId="519518E9">
            <w:pPr>
              <w:snapToGrid w:val="0"/>
              <w:spacing w:line="0" w:lineRule="atLeast"/>
              <w:rPr>
                <w:rFonts w:ascii="宋体" w:hAnsi="宋体"/>
                <w:sz w:val="24"/>
                <w:highlight w:val="none"/>
              </w:rPr>
            </w:pPr>
          </w:p>
        </w:tc>
        <w:tc>
          <w:tcPr>
            <w:tcW w:w="2657" w:type="dxa"/>
            <w:gridSpan w:val="2"/>
          </w:tcPr>
          <w:p w14:paraId="687D74CC">
            <w:pPr>
              <w:snapToGrid w:val="0"/>
              <w:spacing w:line="0" w:lineRule="atLeast"/>
              <w:rPr>
                <w:rFonts w:ascii="宋体" w:hAnsi="宋体"/>
                <w:sz w:val="24"/>
                <w:highlight w:val="none"/>
              </w:rPr>
            </w:pPr>
          </w:p>
        </w:tc>
      </w:tr>
      <w:tr w14:paraId="39F7FD9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5" w:hRule="atLeast"/>
          <w:jc w:val="center"/>
        </w:trPr>
        <w:tc>
          <w:tcPr>
            <w:tcW w:w="1187" w:type="dxa"/>
          </w:tcPr>
          <w:p w14:paraId="7C4C0621">
            <w:pPr>
              <w:snapToGrid w:val="0"/>
              <w:spacing w:line="0" w:lineRule="atLeast"/>
              <w:rPr>
                <w:rFonts w:ascii="宋体" w:hAnsi="宋体"/>
                <w:sz w:val="24"/>
                <w:highlight w:val="none"/>
              </w:rPr>
            </w:pPr>
          </w:p>
        </w:tc>
        <w:tc>
          <w:tcPr>
            <w:tcW w:w="3476" w:type="dxa"/>
            <w:gridSpan w:val="5"/>
          </w:tcPr>
          <w:p w14:paraId="28CE5DFC">
            <w:pPr>
              <w:snapToGrid w:val="0"/>
              <w:spacing w:line="0" w:lineRule="atLeast"/>
              <w:rPr>
                <w:rFonts w:ascii="宋体" w:hAnsi="宋体"/>
                <w:sz w:val="24"/>
                <w:highlight w:val="none"/>
              </w:rPr>
            </w:pPr>
          </w:p>
        </w:tc>
        <w:tc>
          <w:tcPr>
            <w:tcW w:w="1607" w:type="dxa"/>
            <w:gridSpan w:val="2"/>
          </w:tcPr>
          <w:p w14:paraId="5280F6BA">
            <w:pPr>
              <w:snapToGrid w:val="0"/>
              <w:spacing w:line="0" w:lineRule="atLeast"/>
              <w:rPr>
                <w:rFonts w:ascii="宋体" w:hAnsi="宋体"/>
                <w:sz w:val="24"/>
                <w:highlight w:val="none"/>
              </w:rPr>
            </w:pPr>
          </w:p>
        </w:tc>
        <w:tc>
          <w:tcPr>
            <w:tcW w:w="2657" w:type="dxa"/>
            <w:gridSpan w:val="2"/>
          </w:tcPr>
          <w:p w14:paraId="20A88917">
            <w:pPr>
              <w:snapToGrid w:val="0"/>
              <w:spacing w:line="0" w:lineRule="atLeast"/>
              <w:rPr>
                <w:rFonts w:ascii="宋体" w:hAnsi="宋体"/>
                <w:sz w:val="24"/>
                <w:highlight w:val="none"/>
              </w:rPr>
            </w:pPr>
          </w:p>
        </w:tc>
      </w:tr>
      <w:tr w14:paraId="691DC79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5" w:hRule="atLeast"/>
          <w:jc w:val="center"/>
        </w:trPr>
        <w:tc>
          <w:tcPr>
            <w:tcW w:w="1187" w:type="dxa"/>
          </w:tcPr>
          <w:p w14:paraId="4421143D">
            <w:pPr>
              <w:snapToGrid w:val="0"/>
              <w:spacing w:line="0" w:lineRule="atLeast"/>
              <w:rPr>
                <w:rFonts w:ascii="宋体" w:hAnsi="宋体"/>
                <w:sz w:val="24"/>
                <w:highlight w:val="none"/>
              </w:rPr>
            </w:pPr>
          </w:p>
        </w:tc>
        <w:tc>
          <w:tcPr>
            <w:tcW w:w="3476" w:type="dxa"/>
            <w:gridSpan w:val="5"/>
          </w:tcPr>
          <w:p w14:paraId="1D2D9C17">
            <w:pPr>
              <w:snapToGrid w:val="0"/>
              <w:spacing w:line="0" w:lineRule="atLeast"/>
              <w:rPr>
                <w:rFonts w:ascii="宋体" w:hAnsi="宋体"/>
                <w:sz w:val="24"/>
                <w:highlight w:val="none"/>
              </w:rPr>
            </w:pPr>
          </w:p>
        </w:tc>
        <w:tc>
          <w:tcPr>
            <w:tcW w:w="1607" w:type="dxa"/>
            <w:gridSpan w:val="2"/>
          </w:tcPr>
          <w:p w14:paraId="27662531">
            <w:pPr>
              <w:snapToGrid w:val="0"/>
              <w:spacing w:line="0" w:lineRule="atLeast"/>
              <w:rPr>
                <w:rFonts w:ascii="宋体" w:hAnsi="宋体"/>
                <w:sz w:val="24"/>
                <w:highlight w:val="none"/>
              </w:rPr>
            </w:pPr>
          </w:p>
        </w:tc>
        <w:tc>
          <w:tcPr>
            <w:tcW w:w="2657" w:type="dxa"/>
            <w:gridSpan w:val="2"/>
          </w:tcPr>
          <w:p w14:paraId="37C5442D">
            <w:pPr>
              <w:snapToGrid w:val="0"/>
              <w:spacing w:line="0" w:lineRule="atLeast"/>
              <w:rPr>
                <w:rFonts w:ascii="宋体" w:hAnsi="宋体"/>
                <w:sz w:val="24"/>
                <w:highlight w:val="none"/>
              </w:rPr>
            </w:pPr>
          </w:p>
        </w:tc>
      </w:tr>
      <w:tr w14:paraId="5F1247E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5" w:hRule="atLeast"/>
          <w:jc w:val="center"/>
        </w:trPr>
        <w:tc>
          <w:tcPr>
            <w:tcW w:w="1187" w:type="dxa"/>
          </w:tcPr>
          <w:p w14:paraId="1FD9912B">
            <w:pPr>
              <w:snapToGrid w:val="0"/>
              <w:spacing w:line="0" w:lineRule="atLeast"/>
              <w:rPr>
                <w:rFonts w:ascii="宋体" w:hAnsi="宋体"/>
                <w:sz w:val="24"/>
                <w:highlight w:val="none"/>
              </w:rPr>
            </w:pPr>
          </w:p>
        </w:tc>
        <w:tc>
          <w:tcPr>
            <w:tcW w:w="3476" w:type="dxa"/>
            <w:gridSpan w:val="5"/>
          </w:tcPr>
          <w:p w14:paraId="01E3427F">
            <w:pPr>
              <w:snapToGrid w:val="0"/>
              <w:spacing w:line="0" w:lineRule="atLeast"/>
              <w:rPr>
                <w:rFonts w:ascii="宋体" w:hAnsi="宋体"/>
                <w:sz w:val="24"/>
                <w:highlight w:val="none"/>
              </w:rPr>
            </w:pPr>
          </w:p>
        </w:tc>
        <w:tc>
          <w:tcPr>
            <w:tcW w:w="1607" w:type="dxa"/>
            <w:gridSpan w:val="2"/>
          </w:tcPr>
          <w:p w14:paraId="1F19C86A">
            <w:pPr>
              <w:snapToGrid w:val="0"/>
              <w:spacing w:line="0" w:lineRule="atLeast"/>
              <w:rPr>
                <w:rFonts w:ascii="宋体" w:hAnsi="宋体"/>
                <w:sz w:val="24"/>
                <w:highlight w:val="none"/>
              </w:rPr>
            </w:pPr>
          </w:p>
        </w:tc>
        <w:tc>
          <w:tcPr>
            <w:tcW w:w="2657" w:type="dxa"/>
            <w:gridSpan w:val="2"/>
          </w:tcPr>
          <w:p w14:paraId="3BEA954C">
            <w:pPr>
              <w:snapToGrid w:val="0"/>
              <w:spacing w:line="0" w:lineRule="atLeast"/>
              <w:rPr>
                <w:rFonts w:ascii="宋体" w:hAnsi="宋体"/>
                <w:sz w:val="24"/>
                <w:highlight w:val="none"/>
              </w:rPr>
            </w:pPr>
          </w:p>
        </w:tc>
      </w:tr>
    </w:tbl>
    <w:p w14:paraId="1E1541F5">
      <w:pPr>
        <w:widowControl/>
        <w:jc w:val="left"/>
        <w:rPr>
          <w:rFonts w:ascii="宋体" w:hAnsi="宋体"/>
          <w:sz w:val="24"/>
          <w:highlight w:val="none"/>
        </w:rPr>
      </w:pPr>
    </w:p>
    <w:p w14:paraId="063F0A64">
      <w:pPr>
        <w:spacing w:line="440" w:lineRule="exact"/>
        <w:rPr>
          <w:rFonts w:ascii="宋体" w:hAnsi="宋体"/>
          <w:highlight w:val="none"/>
        </w:rPr>
      </w:pPr>
      <w:r>
        <w:rPr>
          <w:rFonts w:hint="eastAsia" w:ascii="宋体" w:hAnsi="宋体"/>
          <w:highlight w:val="none"/>
        </w:rPr>
        <w:t>注：本项不作为资格审查内容，但（如有）需提供，仅作为投标人的评标（综合评分）后附相关证明材料。表格格式可以根据实际情况调整。</w:t>
      </w:r>
    </w:p>
    <w:p w14:paraId="2E1E6942">
      <w:pPr>
        <w:rPr>
          <w:rFonts w:ascii="宋体" w:hAnsi="宋体"/>
          <w:sz w:val="24"/>
          <w:highlight w:val="none"/>
        </w:rPr>
      </w:pPr>
    </w:p>
    <w:p w14:paraId="4D48F314">
      <w:pPr>
        <w:pStyle w:val="5"/>
        <w:rPr>
          <w:highlight w:val="none"/>
        </w:rPr>
      </w:pPr>
      <w:r>
        <w:rPr>
          <w:sz w:val="24"/>
          <w:highlight w:val="none"/>
        </w:rPr>
        <w:br w:type="page"/>
      </w:r>
      <w:bookmarkStart w:id="203" w:name="_Toc103592044"/>
      <w:r>
        <w:rPr>
          <w:rFonts w:hint="eastAsia"/>
          <w:highlight w:val="none"/>
        </w:rPr>
        <w:t>九、拟投入本项目的主要检测仪器设备一览表</w:t>
      </w:r>
      <w:bookmarkEnd w:id="203"/>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1793"/>
        <w:gridCol w:w="900"/>
        <w:gridCol w:w="992"/>
        <w:gridCol w:w="1785"/>
        <w:gridCol w:w="1116"/>
        <w:gridCol w:w="1341"/>
        <w:gridCol w:w="1080"/>
      </w:tblGrid>
      <w:tr w14:paraId="2FE2C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636" w:type="dxa"/>
            <w:vMerge w:val="restart"/>
            <w:vAlign w:val="center"/>
          </w:tcPr>
          <w:p w14:paraId="2CC2FC9E">
            <w:pPr>
              <w:jc w:val="center"/>
              <w:rPr>
                <w:rFonts w:ascii="宋体" w:hAnsi="宋体"/>
                <w:szCs w:val="21"/>
                <w:highlight w:val="none"/>
              </w:rPr>
            </w:pPr>
            <w:r>
              <w:rPr>
                <w:rFonts w:hint="eastAsia" w:ascii="宋体" w:hAnsi="宋体"/>
                <w:szCs w:val="21"/>
                <w:highlight w:val="none"/>
              </w:rPr>
              <w:t>序号</w:t>
            </w:r>
          </w:p>
        </w:tc>
        <w:tc>
          <w:tcPr>
            <w:tcW w:w="1793" w:type="dxa"/>
            <w:vMerge w:val="restart"/>
            <w:vAlign w:val="center"/>
          </w:tcPr>
          <w:p w14:paraId="16F2AB64">
            <w:pPr>
              <w:jc w:val="center"/>
              <w:rPr>
                <w:rFonts w:ascii="宋体" w:hAnsi="宋体"/>
                <w:szCs w:val="21"/>
                <w:highlight w:val="none"/>
              </w:rPr>
            </w:pPr>
            <w:r>
              <w:rPr>
                <w:rFonts w:hint="eastAsia" w:ascii="宋体" w:hAnsi="宋体"/>
                <w:szCs w:val="21"/>
                <w:highlight w:val="none"/>
              </w:rPr>
              <w:t>设备名称</w:t>
            </w:r>
          </w:p>
        </w:tc>
        <w:tc>
          <w:tcPr>
            <w:tcW w:w="900" w:type="dxa"/>
            <w:vMerge w:val="restart"/>
            <w:vAlign w:val="center"/>
          </w:tcPr>
          <w:p w14:paraId="6326A49F">
            <w:pPr>
              <w:jc w:val="center"/>
              <w:rPr>
                <w:rFonts w:ascii="宋体" w:hAnsi="宋体"/>
                <w:szCs w:val="21"/>
                <w:highlight w:val="none"/>
              </w:rPr>
            </w:pPr>
            <w:r>
              <w:rPr>
                <w:rFonts w:hint="eastAsia" w:ascii="宋体" w:hAnsi="宋体"/>
                <w:szCs w:val="21"/>
                <w:highlight w:val="none"/>
              </w:rPr>
              <w:t>本项目</w:t>
            </w:r>
          </w:p>
          <w:p w14:paraId="784A3C7F">
            <w:pPr>
              <w:jc w:val="center"/>
              <w:rPr>
                <w:rFonts w:ascii="宋体" w:hAnsi="宋体"/>
                <w:szCs w:val="21"/>
                <w:highlight w:val="none"/>
              </w:rPr>
            </w:pPr>
            <w:r>
              <w:rPr>
                <w:rFonts w:hint="eastAsia" w:ascii="宋体" w:hAnsi="宋体"/>
                <w:szCs w:val="21"/>
                <w:highlight w:val="none"/>
              </w:rPr>
              <w:t>数量基本要求</w:t>
            </w:r>
          </w:p>
        </w:tc>
        <w:tc>
          <w:tcPr>
            <w:tcW w:w="6314" w:type="dxa"/>
            <w:gridSpan w:val="5"/>
            <w:vAlign w:val="center"/>
          </w:tcPr>
          <w:p w14:paraId="36C239FF">
            <w:pPr>
              <w:jc w:val="center"/>
              <w:rPr>
                <w:rFonts w:ascii="宋体" w:hAnsi="宋体"/>
                <w:szCs w:val="21"/>
                <w:highlight w:val="none"/>
              </w:rPr>
            </w:pPr>
            <w:r>
              <w:rPr>
                <w:rFonts w:hint="eastAsia" w:ascii="宋体" w:hAnsi="宋体"/>
                <w:szCs w:val="21"/>
                <w:highlight w:val="none"/>
              </w:rPr>
              <w:t>投标人填写</w:t>
            </w:r>
          </w:p>
        </w:tc>
      </w:tr>
      <w:tr w14:paraId="511D7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636" w:type="dxa"/>
            <w:vMerge w:val="continue"/>
            <w:vAlign w:val="center"/>
          </w:tcPr>
          <w:p w14:paraId="4B042F6D">
            <w:pPr>
              <w:jc w:val="center"/>
              <w:rPr>
                <w:rFonts w:ascii="宋体" w:hAnsi="宋体"/>
                <w:szCs w:val="21"/>
                <w:highlight w:val="none"/>
              </w:rPr>
            </w:pPr>
          </w:p>
        </w:tc>
        <w:tc>
          <w:tcPr>
            <w:tcW w:w="1793" w:type="dxa"/>
            <w:vMerge w:val="continue"/>
            <w:vAlign w:val="center"/>
          </w:tcPr>
          <w:p w14:paraId="0AA59EBD">
            <w:pPr>
              <w:jc w:val="center"/>
              <w:rPr>
                <w:rFonts w:ascii="宋体" w:hAnsi="宋体"/>
                <w:szCs w:val="21"/>
                <w:highlight w:val="none"/>
              </w:rPr>
            </w:pPr>
          </w:p>
        </w:tc>
        <w:tc>
          <w:tcPr>
            <w:tcW w:w="900" w:type="dxa"/>
            <w:vMerge w:val="continue"/>
            <w:vAlign w:val="center"/>
          </w:tcPr>
          <w:p w14:paraId="51C1368A">
            <w:pPr>
              <w:jc w:val="center"/>
              <w:rPr>
                <w:rFonts w:ascii="宋体" w:hAnsi="宋体"/>
                <w:szCs w:val="21"/>
                <w:highlight w:val="none"/>
              </w:rPr>
            </w:pPr>
          </w:p>
        </w:tc>
        <w:tc>
          <w:tcPr>
            <w:tcW w:w="992" w:type="dxa"/>
            <w:vAlign w:val="center"/>
          </w:tcPr>
          <w:p w14:paraId="52E4EBEC">
            <w:pPr>
              <w:jc w:val="center"/>
              <w:rPr>
                <w:rFonts w:ascii="宋体" w:hAnsi="宋体"/>
                <w:szCs w:val="21"/>
                <w:highlight w:val="none"/>
              </w:rPr>
            </w:pPr>
            <w:r>
              <w:rPr>
                <w:rFonts w:hint="eastAsia" w:ascii="宋体" w:hAnsi="宋体"/>
                <w:szCs w:val="21"/>
                <w:highlight w:val="none"/>
              </w:rPr>
              <w:t>数量</w:t>
            </w:r>
          </w:p>
        </w:tc>
        <w:tc>
          <w:tcPr>
            <w:tcW w:w="1785" w:type="dxa"/>
            <w:vAlign w:val="center"/>
          </w:tcPr>
          <w:p w14:paraId="64EAEFDB">
            <w:pPr>
              <w:jc w:val="center"/>
              <w:rPr>
                <w:rFonts w:ascii="宋体" w:hAnsi="宋体"/>
                <w:szCs w:val="21"/>
                <w:highlight w:val="none"/>
              </w:rPr>
            </w:pPr>
            <w:r>
              <w:rPr>
                <w:rFonts w:hint="eastAsia" w:ascii="宋体" w:hAnsi="宋体"/>
                <w:szCs w:val="21"/>
                <w:highlight w:val="none"/>
              </w:rPr>
              <w:t>检定</w:t>
            </w:r>
            <w:r>
              <w:rPr>
                <w:rFonts w:ascii="宋体" w:hAnsi="宋体"/>
                <w:szCs w:val="21"/>
                <w:highlight w:val="none"/>
              </w:rPr>
              <w:t>/</w:t>
            </w:r>
            <w:r>
              <w:rPr>
                <w:rFonts w:hint="eastAsia" w:ascii="宋体" w:hAnsi="宋体"/>
                <w:szCs w:val="21"/>
                <w:highlight w:val="none"/>
              </w:rPr>
              <w:t>校准机构</w:t>
            </w:r>
          </w:p>
        </w:tc>
        <w:tc>
          <w:tcPr>
            <w:tcW w:w="1116" w:type="dxa"/>
            <w:vAlign w:val="center"/>
          </w:tcPr>
          <w:p w14:paraId="0CC5A74D">
            <w:pPr>
              <w:jc w:val="center"/>
              <w:rPr>
                <w:rFonts w:ascii="宋体" w:hAnsi="宋体"/>
                <w:szCs w:val="21"/>
                <w:highlight w:val="none"/>
              </w:rPr>
            </w:pPr>
            <w:r>
              <w:rPr>
                <w:rFonts w:hint="eastAsia" w:ascii="宋体" w:hAnsi="宋体"/>
                <w:szCs w:val="21"/>
                <w:highlight w:val="none"/>
              </w:rPr>
              <w:t>有效期</w:t>
            </w:r>
          </w:p>
        </w:tc>
        <w:tc>
          <w:tcPr>
            <w:tcW w:w="1341" w:type="dxa"/>
            <w:vAlign w:val="center"/>
          </w:tcPr>
          <w:p w14:paraId="3362F8B5">
            <w:pPr>
              <w:jc w:val="center"/>
              <w:rPr>
                <w:rFonts w:ascii="宋体" w:hAnsi="宋体"/>
                <w:szCs w:val="21"/>
                <w:highlight w:val="none"/>
              </w:rPr>
            </w:pPr>
            <w:r>
              <w:rPr>
                <w:rFonts w:hint="eastAsia" w:ascii="宋体" w:hAnsi="宋体"/>
                <w:szCs w:val="21"/>
                <w:highlight w:val="none"/>
              </w:rPr>
              <w:t>检定</w:t>
            </w:r>
            <w:r>
              <w:rPr>
                <w:rFonts w:ascii="宋体" w:hAnsi="宋体"/>
                <w:szCs w:val="21"/>
                <w:highlight w:val="none"/>
              </w:rPr>
              <w:t>/</w:t>
            </w:r>
            <w:r>
              <w:rPr>
                <w:rFonts w:hint="eastAsia" w:ascii="宋体" w:hAnsi="宋体"/>
                <w:szCs w:val="21"/>
                <w:highlight w:val="none"/>
              </w:rPr>
              <w:t>校准周期</w:t>
            </w:r>
          </w:p>
        </w:tc>
        <w:tc>
          <w:tcPr>
            <w:tcW w:w="1080" w:type="dxa"/>
            <w:vAlign w:val="center"/>
          </w:tcPr>
          <w:p w14:paraId="776AF0EA">
            <w:pPr>
              <w:jc w:val="center"/>
              <w:rPr>
                <w:rFonts w:ascii="宋体" w:hAnsi="宋体"/>
                <w:szCs w:val="21"/>
                <w:highlight w:val="none"/>
              </w:rPr>
            </w:pPr>
            <w:r>
              <w:rPr>
                <w:rFonts w:hint="eastAsia" w:ascii="宋体" w:hAnsi="宋体"/>
                <w:szCs w:val="21"/>
                <w:highlight w:val="none"/>
              </w:rPr>
              <w:t>备注</w:t>
            </w:r>
          </w:p>
        </w:tc>
      </w:tr>
      <w:tr w14:paraId="30605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36" w:type="dxa"/>
            <w:vAlign w:val="center"/>
          </w:tcPr>
          <w:p w14:paraId="46CFF037">
            <w:pPr>
              <w:spacing w:line="240" w:lineRule="exact"/>
              <w:jc w:val="center"/>
              <w:rPr>
                <w:rFonts w:ascii="宋体" w:hAnsi="宋体"/>
                <w:szCs w:val="21"/>
                <w:highlight w:val="none"/>
              </w:rPr>
            </w:pPr>
            <w:r>
              <w:rPr>
                <w:rFonts w:ascii="宋体" w:hAnsi="宋体"/>
                <w:szCs w:val="21"/>
                <w:highlight w:val="none"/>
              </w:rPr>
              <w:t>1</w:t>
            </w:r>
          </w:p>
        </w:tc>
        <w:tc>
          <w:tcPr>
            <w:tcW w:w="1793" w:type="dxa"/>
            <w:vAlign w:val="center"/>
          </w:tcPr>
          <w:p w14:paraId="735B80EE">
            <w:pPr>
              <w:spacing w:line="240" w:lineRule="exact"/>
              <w:jc w:val="center"/>
              <w:rPr>
                <w:rFonts w:ascii="宋体" w:hAnsi="宋体"/>
                <w:szCs w:val="21"/>
                <w:highlight w:val="none"/>
              </w:rPr>
            </w:pPr>
          </w:p>
        </w:tc>
        <w:tc>
          <w:tcPr>
            <w:tcW w:w="900" w:type="dxa"/>
            <w:vAlign w:val="center"/>
          </w:tcPr>
          <w:p w14:paraId="3FB88BD4">
            <w:pPr>
              <w:spacing w:line="240" w:lineRule="exact"/>
              <w:jc w:val="center"/>
              <w:rPr>
                <w:rFonts w:ascii="宋体" w:hAnsi="宋体"/>
                <w:szCs w:val="21"/>
                <w:highlight w:val="none"/>
              </w:rPr>
            </w:pPr>
          </w:p>
        </w:tc>
        <w:tc>
          <w:tcPr>
            <w:tcW w:w="992" w:type="dxa"/>
            <w:vAlign w:val="center"/>
          </w:tcPr>
          <w:p w14:paraId="2A8A7C43">
            <w:pPr>
              <w:spacing w:line="240" w:lineRule="exact"/>
              <w:jc w:val="center"/>
              <w:rPr>
                <w:rFonts w:ascii="宋体" w:hAnsi="宋体"/>
                <w:szCs w:val="21"/>
                <w:highlight w:val="none"/>
              </w:rPr>
            </w:pPr>
          </w:p>
        </w:tc>
        <w:tc>
          <w:tcPr>
            <w:tcW w:w="1785" w:type="dxa"/>
            <w:vAlign w:val="center"/>
          </w:tcPr>
          <w:p w14:paraId="24005C25">
            <w:pPr>
              <w:spacing w:line="240" w:lineRule="exact"/>
              <w:jc w:val="center"/>
              <w:rPr>
                <w:rFonts w:ascii="宋体" w:hAnsi="宋体"/>
                <w:szCs w:val="21"/>
                <w:highlight w:val="none"/>
              </w:rPr>
            </w:pPr>
          </w:p>
        </w:tc>
        <w:tc>
          <w:tcPr>
            <w:tcW w:w="1116" w:type="dxa"/>
            <w:vAlign w:val="center"/>
          </w:tcPr>
          <w:p w14:paraId="5681833F">
            <w:pPr>
              <w:spacing w:line="240" w:lineRule="exact"/>
              <w:jc w:val="center"/>
              <w:rPr>
                <w:rFonts w:ascii="宋体" w:hAnsi="宋体"/>
                <w:szCs w:val="21"/>
                <w:highlight w:val="none"/>
              </w:rPr>
            </w:pPr>
          </w:p>
        </w:tc>
        <w:tc>
          <w:tcPr>
            <w:tcW w:w="1341" w:type="dxa"/>
            <w:vAlign w:val="center"/>
          </w:tcPr>
          <w:p w14:paraId="61B5E4F3">
            <w:pPr>
              <w:spacing w:line="240" w:lineRule="exact"/>
              <w:jc w:val="center"/>
              <w:rPr>
                <w:rFonts w:ascii="宋体" w:hAnsi="宋体"/>
                <w:szCs w:val="21"/>
                <w:highlight w:val="none"/>
              </w:rPr>
            </w:pPr>
          </w:p>
        </w:tc>
        <w:tc>
          <w:tcPr>
            <w:tcW w:w="1080" w:type="dxa"/>
            <w:vAlign w:val="center"/>
          </w:tcPr>
          <w:p w14:paraId="4B4380EA">
            <w:pPr>
              <w:spacing w:line="240" w:lineRule="exact"/>
              <w:jc w:val="center"/>
              <w:rPr>
                <w:rFonts w:ascii="宋体" w:hAnsi="宋体"/>
                <w:szCs w:val="21"/>
                <w:highlight w:val="none"/>
              </w:rPr>
            </w:pPr>
          </w:p>
        </w:tc>
      </w:tr>
      <w:tr w14:paraId="1621B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36" w:type="dxa"/>
            <w:vAlign w:val="center"/>
          </w:tcPr>
          <w:p w14:paraId="392F5998">
            <w:pPr>
              <w:spacing w:line="240" w:lineRule="exact"/>
              <w:jc w:val="center"/>
              <w:rPr>
                <w:rFonts w:ascii="宋体" w:hAnsi="宋体"/>
                <w:szCs w:val="21"/>
                <w:highlight w:val="none"/>
              </w:rPr>
            </w:pPr>
            <w:r>
              <w:rPr>
                <w:rFonts w:ascii="宋体" w:hAnsi="宋体"/>
                <w:szCs w:val="21"/>
                <w:highlight w:val="none"/>
              </w:rPr>
              <w:t>2</w:t>
            </w:r>
          </w:p>
        </w:tc>
        <w:tc>
          <w:tcPr>
            <w:tcW w:w="1793" w:type="dxa"/>
            <w:vAlign w:val="center"/>
          </w:tcPr>
          <w:p w14:paraId="5CCADD2D">
            <w:pPr>
              <w:spacing w:line="240" w:lineRule="exact"/>
              <w:jc w:val="center"/>
              <w:rPr>
                <w:rFonts w:ascii="宋体" w:hAnsi="宋体"/>
                <w:szCs w:val="21"/>
                <w:highlight w:val="none"/>
              </w:rPr>
            </w:pPr>
          </w:p>
        </w:tc>
        <w:tc>
          <w:tcPr>
            <w:tcW w:w="900" w:type="dxa"/>
            <w:vAlign w:val="center"/>
          </w:tcPr>
          <w:p w14:paraId="397781E4">
            <w:pPr>
              <w:jc w:val="center"/>
              <w:rPr>
                <w:rFonts w:ascii="宋体" w:hAnsi="宋体"/>
                <w:szCs w:val="21"/>
                <w:highlight w:val="none"/>
              </w:rPr>
            </w:pPr>
          </w:p>
        </w:tc>
        <w:tc>
          <w:tcPr>
            <w:tcW w:w="992" w:type="dxa"/>
            <w:vAlign w:val="center"/>
          </w:tcPr>
          <w:p w14:paraId="76EC9DF9">
            <w:pPr>
              <w:spacing w:line="240" w:lineRule="exact"/>
              <w:jc w:val="center"/>
              <w:rPr>
                <w:rFonts w:ascii="宋体" w:hAnsi="宋体"/>
                <w:szCs w:val="21"/>
                <w:highlight w:val="none"/>
              </w:rPr>
            </w:pPr>
          </w:p>
        </w:tc>
        <w:tc>
          <w:tcPr>
            <w:tcW w:w="1785" w:type="dxa"/>
            <w:vAlign w:val="center"/>
          </w:tcPr>
          <w:p w14:paraId="17EC79CA">
            <w:pPr>
              <w:spacing w:line="240" w:lineRule="exact"/>
              <w:jc w:val="center"/>
              <w:rPr>
                <w:rFonts w:ascii="宋体" w:hAnsi="宋体"/>
                <w:szCs w:val="21"/>
                <w:highlight w:val="none"/>
              </w:rPr>
            </w:pPr>
          </w:p>
        </w:tc>
        <w:tc>
          <w:tcPr>
            <w:tcW w:w="1116" w:type="dxa"/>
            <w:vAlign w:val="center"/>
          </w:tcPr>
          <w:p w14:paraId="2DC08A5D">
            <w:pPr>
              <w:spacing w:line="240" w:lineRule="exact"/>
              <w:jc w:val="center"/>
              <w:rPr>
                <w:rFonts w:ascii="宋体" w:hAnsi="宋体"/>
                <w:szCs w:val="21"/>
                <w:highlight w:val="none"/>
              </w:rPr>
            </w:pPr>
          </w:p>
        </w:tc>
        <w:tc>
          <w:tcPr>
            <w:tcW w:w="1341" w:type="dxa"/>
            <w:vAlign w:val="center"/>
          </w:tcPr>
          <w:p w14:paraId="38C691F6">
            <w:pPr>
              <w:spacing w:line="240" w:lineRule="exact"/>
              <w:jc w:val="center"/>
              <w:rPr>
                <w:rFonts w:ascii="宋体" w:hAnsi="宋体"/>
                <w:szCs w:val="21"/>
                <w:highlight w:val="none"/>
              </w:rPr>
            </w:pPr>
          </w:p>
        </w:tc>
        <w:tc>
          <w:tcPr>
            <w:tcW w:w="1080" w:type="dxa"/>
            <w:vAlign w:val="center"/>
          </w:tcPr>
          <w:p w14:paraId="3E1C4FAB">
            <w:pPr>
              <w:spacing w:line="240" w:lineRule="exact"/>
              <w:jc w:val="center"/>
              <w:rPr>
                <w:rFonts w:ascii="宋体" w:hAnsi="宋体"/>
                <w:i/>
                <w:szCs w:val="21"/>
                <w:highlight w:val="none"/>
              </w:rPr>
            </w:pPr>
          </w:p>
        </w:tc>
      </w:tr>
      <w:tr w14:paraId="3A4E3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36" w:type="dxa"/>
            <w:vAlign w:val="center"/>
          </w:tcPr>
          <w:p w14:paraId="593729C1">
            <w:pPr>
              <w:spacing w:line="240" w:lineRule="exact"/>
              <w:jc w:val="center"/>
              <w:rPr>
                <w:rFonts w:ascii="宋体" w:hAnsi="宋体"/>
                <w:szCs w:val="21"/>
                <w:highlight w:val="none"/>
              </w:rPr>
            </w:pPr>
            <w:r>
              <w:rPr>
                <w:rFonts w:ascii="宋体" w:hAnsi="宋体"/>
                <w:szCs w:val="21"/>
                <w:highlight w:val="none"/>
              </w:rPr>
              <w:t>3</w:t>
            </w:r>
          </w:p>
        </w:tc>
        <w:tc>
          <w:tcPr>
            <w:tcW w:w="1793" w:type="dxa"/>
            <w:vAlign w:val="center"/>
          </w:tcPr>
          <w:p w14:paraId="3A54B0DC">
            <w:pPr>
              <w:spacing w:line="240" w:lineRule="exact"/>
              <w:jc w:val="center"/>
              <w:rPr>
                <w:rFonts w:ascii="宋体" w:hAnsi="宋体"/>
                <w:szCs w:val="21"/>
                <w:highlight w:val="none"/>
              </w:rPr>
            </w:pPr>
          </w:p>
        </w:tc>
        <w:tc>
          <w:tcPr>
            <w:tcW w:w="900" w:type="dxa"/>
            <w:vAlign w:val="center"/>
          </w:tcPr>
          <w:p w14:paraId="1651CE07">
            <w:pPr>
              <w:jc w:val="center"/>
              <w:rPr>
                <w:rFonts w:ascii="宋体" w:hAnsi="宋体"/>
                <w:szCs w:val="21"/>
                <w:highlight w:val="none"/>
              </w:rPr>
            </w:pPr>
          </w:p>
        </w:tc>
        <w:tc>
          <w:tcPr>
            <w:tcW w:w="992" w:type="dxa"/>
            <w:vAlign w:val="center"/>
          </w:tcPr>
          <w:p w14:paraId="45917963">
            <w:pPr>
              <w:spacing w:line="240" w:lineRule="exact"/>
              <w:jc w:val="center"/>
              <w:rPr>
                <w:rFonts w:ascii="宋体" w:hAnsi="宋体"/>
                <w:szCs w:val="21"/>
                <w:highlight w:val="none"/>
              </w:rPr>
            </w:pPr>
          </w:p>
        </w:tc>
        <w:tc>
          <w:tcPr>
            <w:tcW w:w="1785" w:type="dxa"/>
            <w:vAlign w:val="center"/>
          </w:tcPr>
          <w:p w14:paraId="4E79F27F">
            <w:pPr>
              <w:spacing w:line="240" w:lineRule="exact"/>
              <w:jc w:val="center"/>
              <w:rPr>
                <w:rFonts w:ascii="宋体" w:hAnsi="宋体"/>
                <w:szCs w:val="21"/>
                <w:highlight w:val="none"/>
              </w:rPr>
            </w:pPr>
          </w:p>
        </w:tc>
        <w:tc>
          <w:tcPr>
            <w:tcW w:w="1116" w:type="dxa"/>
            <w:vAlign w:val="center"/>
          </w:tcPr>
          <w:p w14:paraId="5FED8932">
            <w:pPr>
              <w:spacing w:line="240" w:lineRule="exact"/>
              <w:jc w:val="center"/>
              <w:rPr>
                <w:rFonts w:ascii="宋体" w:hAnsi="宋体"/>
                <w:szCs w:val="21"/>
                <w:highlight w:val="none"/>
              </w:rPr>
            </w:pPr>
          </w:p>
        </w:tc>
        <w:tc>
          <w:tcPr>
            <w:tcW w:w="1341" w:type="dxa"/>
            <w:vAlign w:val="center"/>
          </w:tcPr>
          <w:p w14:paraId="75A5B7D8">
            <w:pPr>
              <w:spacing w:line="240" w:lineRule="exact"/>
              <w:jc w:val="center"/>
              <w:rPr>
                <w:rFonts w:ascii="宋体" w:hAnsi="宋体"/>
                <w:szCs w:val="21"/>
                <w:highlight w:val="none"/>
              </w:rPr>
            </w:pPr>
          </w:p>
        </w:tc>
        <w:tc>
          <w:tcPr>
            <w:tcW w:w="1080" w:type="dxa"/>
            <w:vAlign w:val="center"/>
          </w:tcPr>
          <w:p w14:paraId="7851ED6E">
            <w:pPr>
              <w:spacing w:line="240" w:lineRule="exact"/>
              <w:jc w:val="center"/>
              <w:rPr>
                <w:rFonts w:ascii="宋体" w:hAnsi="宋体"/>
                <w:szCs w:val="21"/>
                <w:highlight w:val="none"/>
              </w:rPr>
            </w:pPr>
          </w:p>
        </w:tc>
      </w:tr>
      <w:tr w14:paraId="2A9B8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36" w:type="dxa"/>
            <w:vAlign w:val="center"/>
          </w:tcPr>
          <w:p w14:paraId="28419115">
            <w:pPr>
              <w:spacing w:line="240" w:lineRule="exact"/>
              <w:jc w:val="center"/>
              <w:rPr>
                <w:rFonts w:ascii="宋体" w:hAnsi="宋体"/>
                <w:szCs w:val="21"/>
                <w:highlight w:val="none"/>
              </w:rPr>
            </w:pPr>
            <w:r>
              <w:rPr>
                <w:rFonts w:ascii="宋体" w:hAnsi="宋体"/>
                <w:szCs w:val="21"/>
                <w:highlight w:val="none"/>
              </w:rPr>
              <w:t>4</w:t>
            </w:r>
          </w:p>
        </w:tc>
        <w:tc>
          <w:tcPr>
            <w:tcW w:w="1793" w:type="dxa"/>
            <w:vAlign w:val="center"/>
          </w:tcPr>
          <w:p w14:paraId="2BCD872F">
            <w:pPr>
              <w:spacing w:line="240" w:lineRule="exact"/>
              <w:jc w:val="center"/>
              <w:rPr>
                <w:rFonts w:ascii="宋体" w:hAnsi="宋体"/>
                <w:szCs w:val="21"/>
                <w:highlight w:val="none"/>
              </w:rPr>
            </w:pPr>
          </w:p>
        </w:tc>
        <w:tc>
          <w:tcPr>
            <w:tcW w:w="900" w:type="dxa"/>
            <w:vAlign w:val="center"/>
          </w:tcPr>
          <w:p w14:paraId="2758C3EA">
            <w:pPr>
              <w:jc w:val="center"/>
              <w:rPr>
                <w:rFonts w:ascii="宋体" w:hAnsi="宋体"/>
                <w:szCs w:val="21"/>
                <w:highlight w:val="none"/>
              </w:rPr>
            </w:pPr>
          </w:p>
        </w:tc>
        <w:tc>
          <w:tcPr>
            <w:tcW w:w="992" w:type="dxa"/>
            <w:vAlign w:val="center"/>
          </w:tcPr>
          <w:p w14:paraId="469693A8">
            <w:pPr>
              <w:spacing w:line="240" w:lineRule="exact"/>
              <w:jc w:val="center"/>
              <w:rPr>
                <w:rFonts w:ascii="宋体" w:hAnsi="宋体"/>
                <w:szCs w:val="21"/>
                <w:highlight w:val="none"/>
              </w:rPr>
            </w:pPr>
          </w:p>
        </w:tc>
        <w:tc>
          <w:tcPr>
            <w:tcW w:w="1785" w:type="dxa"/>
            <w:vAlign w:val="center"/>
          </w:tcPr>
          <w:p w14:paraId="5FE15400">
            <w:pPr>
              <w:spacing w:line="240" w:lineRule="exact"/>
              <w:jc w:val="center"/>
              <w:rPr>
                <w:rFonts w:ascii="宋体" w:hAnsi="宋体"/>
                <w:szCs w:val="21"/>
                <w:highlight w:val="none"/>
              </w:rPr>
            </w:pPr>
          </w:p>
        </w:tc>
        <w:tc>
          <w:tcPr>
            <w:tcW w:w="1116" w:type="dxa"/>
            <w:vAlign w:val="center"/>
          </w:tcPr>
          <w:p w14:paraId="2F6CF2AD">
            <w:pPr>
              <w:spacing w:line="240" w:lineRule="exact"/>
              <w:jc w:val="center"/>
              <w:rPr>
                <w:rFonts w:ascii="宋体" w:hAnsi="宋体"/>
                <w:szCs w:val="21"/>
                <w:highlight w:val="none"/>
              </w:rPr>
            </w:pPr>
          </w:p>
        </w:tc>
        <w:tc>
          <w:tcPr>
            <w:tcW w:w="1341" w:type="dxa"/>
            <w:vAlign w:val="center"/>
          </w:tcPr>
          <w:p w14:paraId="1250F336">
            <w:pPr>
              <w:spacing w:line="240" w:lineRule="exact"/>
              <w:jc w:val="center"/>
              <w:rPr>
                <w:rFonts w:ascii="宋体" w:hAnsi="宋体"/>
                <w:szCs w:val="21"/>
                <w:highlight w:val="none"/>
              </w:rPr>
            </w:pPr>
          </w:p>
        </w:tc>
        <w:tc>
          <w:tcPr>
            <w:tcW w:w="1080" w:type="dxa"/>
            <w:vAlign w:val="center"/>
          </w:tcPr>
          <w:p w14:paraId="7CD9F7FF">
            <w:pPr>
              <w:spacing w:line="240" w:lineRule="exact"/>
              <w:jc w:val="center"/>
              <w:rPr>
                <w:rFonts w:ascii="宋体" w:hAnsi="宋体"/>
                <w:szCs w:val="21"/>
                <w:highlight w:val="none"/>
              </w:rPr>
            </w:pPr>
          </w:p>
        </w:tc>
      </w:tr>
      <w:tr w14:paraId="1A399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36" w:type="dxa"/>
            <w:vAlign w:val="center"/>
          </w:tcPr>
          <w:p w14:paraId="0C51C12B">
            <w:pPr>
              <w:spacing w:line="240" w:lineRule="exact"/>
              <w:jc w:val="center"/>
              <w:rPr>
                <w:rFonts w:ascii="宋体" w:hAnsi="宋体"/>
                <w:szCs w:val="21"/>
                <w:highlight w:val="none"/>
              </w:rPr>
            </w:pPr>
            <w:r>
              <w:rPr>
                <w:rFonts w:ascii="宋体" w:hAnsi="宋体"/>
                <w:szCs w:val="21"/>
                <w:highlight w:val="none"/>
              </w:rPr>
              <w:t>5</w:t>
            </w:r>
          </w:p>
        </w:tc>
        <w:tc>
          <w:tcPr>
            <w:tcW w:w="1793" w:type="dxa"/>
            <w:vAlign w:val="center"/>
          </w:tcPr>
          <w:p w14:paraId="47C112EB">
            <w:pPr>
              <w:spacing w:line="240" w:lineRule="exact"/>
              <w:jc w:val="center"/>
              <w:rPr>
                <w:rFonts w:ascii="宋体" w:hAnsi="宋体"/>
                <w:szCs w:val="21"/>
                <w:highlight w:val="none"/>
              </w:rPr>
            </w:pPr>
          </w:p>
        </w:tc>
        <w:tc>
          <w:tcPr>
            <w:tcW w:w="900" w:type="dxa"/>
            <w:vAlign w:val="center"/>
          </w:tcPr>
          <w:p w14:paraId="7041CBCE">
            <w:pPr>
              <w:jc w:val="center"/>
              <w:rPr>
                <w:rFonts w:ascii="宋体" w:hAnsi="宋体"/>
                <w:szCs w:val="21"/>
                <w:highlight w:val="none"/>
              </w:rPr>
            </w:pPr>
          </w:p>
        </w:tc>
        <w:tc>
          <w:tcPr>
            <w:tcW w:w="992" w:type="dxa"/>
            <w:vAlign w:val="center"/>
          </w:tcPr>
          <w:p w14:paraId="6213E4BA">
            <w:pPr>
              <w:spacing w:line="240" w:lineRule="exact"/>
              <w:jc w:val="center"/>
              <w:rPr>
                <w:rFonts w:ascii="宋体" w:hAnsi="宋体"/>
                <w:szCs w:val="21"/>
                <w:highlight w:val="none"/>
              </w:rPr>
            </w:pPr>
          </w:p>
        </w:tc>
        <w:tc>
          <w:tcPr>
            <w:tcW w:w="1785" w:type="dxa"/>
            <w:vAlign w:val="center"/>
          </w:tcPr>
          <w:p w14:paraId="469789B5">
            <w:pPr>
              <w:spacing w:line="240" w:lineRule="exact"/>
              <w:jc w:val="center"/>
              <w:rPr>
                <w:rFonts w:ascii="宋体" w:hAnsi="宋体"/>
                <w:szCs w:val="21"/>
                <w:highlight w:val="none"/>
              </w:rPr>
            </w:pPr>
          </w:p>
        </w:tc>
        <w:tc>
          <w:tcPr>
            <w:tcW w:w="1116" w:type="dxa"/>
            <w:vAlign w:val="center"/>
          </w:tcPr>
          <w:p w14:paraId="3C286241">
            <w:pPr>
              <w:spacing w:line="240" w:lineRule="exact"/>
              <w:jc w:val="center"/>
              <w:rPr>
                <w:rFonts w:ascii="宋体" w:hAnsi="宋体"/>
                <w:szCs w:val="21"/>
                <w:highlight w:val="none"/>
              </w:rPr>
            </w:pPr>
          </w:p>
        </w:tc>
        <w:tc>
          <w:tcPr>
            <w:tcW w:w="1341" w:type="dxa"/>
            <w:vAlign w:val="center"/>
          </w:tcPr>
          <w:p w14:paraId="5EAD61E9">
            <w:pPr>
              <w:spacing w:line="240" w:lineRule="exact"/>
              <w:jc w:val="center"/>
              <w:rPr>
                <w:rFonts w:ascii="宋体" w:hAnsi="宋体"/>
                <w:szCs w:val="21"/>
                <w:highlight w:val="none"/>
              </w:rPr>
            </w:pPr>
          </w:p>
        </w:tc>
        <w:tc>
          <w:tcPr>
            <w:tcW w:w="1080" w:type="dxa"/>
            <w:vAlign w:val="center"/>
          </w:tcPr>
          <w:p w14:paraId="313E615C">
            <w:pPr>
              <w:spacing w:line="240" w:lineRule="exact"/>
              <w:jc w:val="center"/>
              <w:rPr>
                <w:rFonts w:ascii="宋体" w:hAnsi="宋体"/>
                <w:szCs w:val="21"/>
                <w:highlight w:val="none"/>
              </w:rPr>
            </w:pPr>
          </w:p>
        </w:tc>
      </w:tr>
      <w:tr w14:paraId="6029C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36" w:type="dxa"/>
            <w:vAlign w:val="center"/>
          </w:tcPr>
          <w:p w14:paraId="13662390">
            <w:pPr>
              <w:spacing w:line="240" w:lineRule="exact"/>
              <w:jc w:val="center"/>
              <w:rPr>
                <w:rFonts w:ascii="宋体" w:hAnsi="宋体"/>
                <w:szCs w:val="21"/>
                <w:highlight w:val="none"/>
              </w:rPr>
            </w:pPr>
            <w:r>
              <w:rPr>
                <w:rFonts w:ascii="宋体" w:hAnsi="宋体"/>
                <w:szCs w:val="21"/>
                <w:highlight w:val="none"/>
              </w:rPr>
              <w:t>6</w:t>
            </w:r>
          </w:p>
        </w:tc>
        <w:tc>
          <w:tcPr>
            <w:tcW w:w="1793" w:type="dxa"/>
            <w:vAlign w:val="center"/>
          </w:tcPr>
          <w:p w14:paraId="5B3494D8">
            <w:pPr>
              <w:spacing w:line="240" w:lineRule="exact"/>
              <w:jc w:val="center"/>
              <w:rPr>
                <w:rFonts w:ascii="宋体" w:hAnsi="宋体"/>
                <w:szCs w:val="21"/>
                <w:highlight w:val="none"/>
              </w:rPr>
            </w:pPr>
          </w:p>
        </w:tc>
        <w:tc>
          <w:tcPr>
            <w:tcW w:w="900" w:type="dxa"/>
            <w:vAlign w:val="center"/>
          </w:tcPr>
          <w:p w14:paraId="61813FCE">
            <w:pPr>
              <w:jc w:val="center"/>
              <w:rPr>
                <w:rFonts w:ascii="宋体" w:hAnsi="宋体"/>
                <w:szCs w:val="21"/>
                <w:highlight w:val="none"/>
              </w:rPr>
            </w:pPr>
          </w:p>
        </w:tc>
        <w:tc>
          <w:tcPr>
            <w:tcW w:w="992" w:type="dxa"/>
            <w:vAlign w:val="center"/>
          </w:tcPr>
          <w:p w14:paraId="4E430B60">
            <w:pPr>
              <w:spacing w:line="240" w:lineRule="exact"/>
              <w:jc w:val="center"/>
              <w:rPr>
                <w:rFonts w:ascii="宋体" w:hAnsi="宋体"/>
                <w:szCs w:val="21"/>
                <w:highlight w:val="none"/>
              </w:rPr>
            </w:pPr>
          </w:p>
        </w:tc>
        <w:tc>
          <w:tcPr>
            <w:tcW w:w="1785" w:type="dxa"/>
            <w:vAlign w:val="center"/>
          </w:tcPr>
          <w:p w14:paraId="3AD0C1FD">
            <w:pPr>
              <w:spacing w:line="240" w:lineRule="exact"/>
              <w:jc w:val="center"/>
              <w:rPr>
                <w:rFonts w:ascii="宋体" w:hAnsi="宋体"/>
                <w:szCs w:val="21"/>
                <w:highlight w:val="none"/>
              </w:rPr>
            </w:pPr>
          </w:p>
        </w:tc>
        <w:tc>
          <w:tcPr>
            <w:tcW w:w="1116" w:type="dxa"/>
            <w:vAlign w:val="center"/>
          </w:tcPr>
          <w:p w14:paraId="220A290B">
            <w:pPr>
              <w:spacing w:line="240" w:lineRule="exact"/>
              <w:jc w:val="center"/>
              <w:rPr>
                <w:rFonts w:ascii="宋体" w:hAnsi="宋体"/>
                <w:szCs w:val="21"/>
                <w:highlight w:val="none"/>
              </w:rPr>
            </w:pPr>
          </w:p>
        </w:tc>
        <w:tc>
          <w:tcPr>
            <w:tcW w:w="1341" w:type="dxa"/>
            <w:vAlign w:val="center"/>
          </w:tcPr>
          <w:p w14:paraId="08373E3B">
            <w:pPr>
              <w:spacing w:line="240" w:lineRule="exact"/>
              <w:jc w:val="center"/>
              <w:rPr>
                <w:rFonts w:ascii="宋体" w:hAnsi="宋体"/>
                <w:szCs w:val="21"/>
                <w:highlight w:val="none"/>
              </w:rPr>
            </w:pPr>
          </w:p>
        </w:tc>
        <w:tc>
          <w:tcPr>
            <w:tcW w:w="1080" w:type="dxa"/>
            <w:vAlign w:val="center"/>
          </w:tcPr>
          <w:p w14:paraId="5DDAAD38">
            <w:pPr>
              <w:spacing w:line="240" w:lineRule="exact"/>
              <w:jc w:val="center"/>
              <w:rPr>
                <w:rFonts w:ascii="宋体" w:hAnsi="宋体"/>
                <w:szCs w:val="21"/>
                <w:highlight w:val="none"/>
              </w:rPr>
            </w:pPr>
          </w:p>
        </w:tc>
      </w:tr>
      <w:tr w14:paraId="5E5E2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36" w:type="dxa"/>
            <w:vAlign w:val="center"/>
          </w:tcPr>
          <w:p w14:paraId="4D4BDE0E">
            <w:pPr>
              <w:spacing w:line="240" w:lineRule="exact"/>
              <w:jc w:val="center"/>
              <w:rPr>
                <w:rFonts w:ascii="宋体" w:hAnsi="宋体"/>
                <w:szCs w:val="21"/>
                <w:highlight w:val="none"/>
              </w:rPr>
            </w:pPr>
            <w:r>
              <w:rPr>
                <w:rFonts w:ascii="宋体" w:hAnsi="宋体"/>
                <w:szCs w:val="21"/>
                <w:highlight w:val="none"/>
              </w:rPr>
              <w:t>7</w:t>
            </w:r>
          </w:p>
        </w:tc>
        <w:tc>
          <w:tcPr>
            <w:tcW w:w="1793" w:type="dxa"/>
            <w:vAlign w:val="center"/>
          </w:tcPr>
          <w:p w14:paraId="0C06176B">
            <w:pPr>
              <w:spacing w:line="240" w:lineRule="exact"/>
              <w:jc w:val="center"/>
              <w:rPr>
                <w:rFonts w:ascii="宋体" w:hAnsi="宋体"/>
                <w:szCs w:val="21"/>
                <w:highlight w:val="none"/>
              </w:rPr>
            </w:pPr>
          </w:p>
        </w:tc>
        <w:tc>
          <w:tcPr>
            <w:tcW w:w="900" w:type="dxa"/>
            <w:vAlign w:val="center"/>
          </w:tcPr>
          <w:p w14:paraId="1FC62885">
            <w:pPr>
              <w:jc w:val="center"/>
              <w:rPr>
                <w:rFonts w:ascii="宋体" w:hAnsi="宋体"/>
                <w:szCs w:val="21"/>
                <w:highlight w:val="none"/>
              </w:rPr>
            </w:pPr>
          </w:p>
        </w:tc>
        <w:tc>
          <w:tcPr>
            <w:tcW w:w="992" w:type="dxa"/>
            <w:vAlign w:val="center"/>
          </w:tcPr>
          <w:p w14:paraId="1A9B01C2">
            <w:pPr>
              <w:spacing w:line="240" w:lineRule="exact"/>
              <w:jc w:val="center"/>
              <w:rPr>
                <w:rFonts w:ascii="宋体" w:hAnsi="宋体"/>
                <w:szCs w:val="21"/>
                <w:highlight w:val="none"/>
              </w:rPr>
            </w:pPr>
          </w:p>
        </w:tc>
        <w:tc>
          <w:tcPr>
            <w:tcW w:w="1785" w:type="dxa"/>
            <w:vAlign w:val="center"/>
          </w:tcPr>
          <w:p w14:paraId="715E79FA">
            <w:pPr>
              <w:spacing w:line="240" w:lineRule="exact"/>
              <w:jc w:val="center"/>
              <w:rPr>
                <w:rFonts w:ascii="宋体" w:hAnsi="宋体"/>
                <w:szCs w:val="21"/>
                <w:highlight w:val="none"/>
              </w:rPr>
            </w:pPr>
          </w:p>
        </w:tc>
        <w:tc>
          <w:tcPr>
            <w:tcW w:w="1116" w:type="dxa"/>
            <w:vAlign w:val="center"/>
          </w:tcPr>
          <w:p w14:paraId="0412E45E">
            <w:pPr>
              <w:spacing w:line="240" w:lineRule="exact"/>
              <w:jc w:val="center"/>
              <w:rPr>
                <w:rFonts w:ascii="宋体" w:hAnsi="宋体"/>
                <w:szCs w:val="21"/>
                <w:highlight w:val="none"/>
              </w:rPr>
            </w:pPr>
          </w:p>
        </w:tc>
        <w:tc>
          <w:tcPr>
            <w:tcW w:w="1341" w:type="dxa"/>
            <w:vAlign w:val="center"/>
          </w:tcPr>
          <w:p w14:paraId="18BF9DDC">
            <w:pPr>
              <w:spacing w:line="240" w:lineRule="exact"/>
              <w:jc w:val="center"/>
              <w:rPr>
                <w:rFonts w:ascii="宋体" w:hAnsi="宋体"/>
                <w:szCs w:val="21"/>
                <w:highlight w:val="none"/>
              </w:rPr>
            </w:pPr>
          </w:p>
        </w:tc>
        <w:tc>
          <w:tcPr>
            <w:tcW w:w="1080" w:type="dxa"/>
            <w:vAlign w:val="center"/>
          </w:tcPr>
          <w:p w14:paraId="5E7D3AB2">
            <w:pPr>
              <w:spacing w:line="240" w:lineRule="exact"/>
              <w:jc w:val="center"/>
              <w:rPr>
                <w:rFonts w:ascii="宋体" w:hAnsi="宋体"/>
                <w:szCs w:val="21"/>
                <w:highlight w:val="none"/>
              </w:rPr>
            </w:pPr>
          </w:p>
        </w:tc>
      </w:tr>
      <w:tr w14:paraId="6E30C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36" w:type="dxa"/>
            <w:vAlign w:val="center"/>
          </w:tcPr>
          <w:p w14:paraId="02C66CAE">
            <w:pPr>
              <w:spacing w:line="240" w:lineRule="exact"/>
              <w:jc w:val="center"/>
              <w:rPr>
                <w:rFonts w:ascii="宋体" w:hAnsi="宋体"/>
                <w:szCs w:val="21"/>
                <w:highlight w:val="none"/>
              </w:rPr>
            </w:pPr>
            <w:r>
              <w:rPr>
                <w:rFonts w:ascii="宋体" w:hAnsi="宋体"/>
                <w:szCs w:val="21"/>
                <w:highlight w:val="none"/>
              </w:rPr>
              <w:t>8</w:t>
            </w:r>
          </w:p>
        </w:tc>
        <w:tc>
          <w:tcPr>
            <w:tcW w:w="1793" w:type="dxa"/>
            <w:vAlign w:val="center"/>
          </w:tcPr>
          <w:p w14:paraId="358A562D">
            <w:pPr>
              <w:spacing w:line="240" w:lineRule="exact"/>
              <w:jc w:val="center"/>
              <w:rPr>
                <w:rFonts w:ascii="宋体" w:hAnsi="宋体"/>
                <w:szCs w:val="21"/>
                <w:highlight w:val="none"/>
              </w:rPr>
            </w:pPr>
          </w:p>
        </w:tc>
        <w:tc>
          <w:tcPr>
            <w:tcW w:w="900" w:type="dxa"/>
            <w:vAlign w:val="center"/>
          </w:tcPr>
          <w:p w14:paraId="4EE86338">
            <w:pPr>
              <w:jc w:val="center"/>
              <w:rPr>
                <w:rFonts w:ascii="宋体" w:hAnsi="宋体"/>
                <w:szCs w:val="21"/>
                <w:highlight w:val="none"/>
              </w:rPr>
            </w:pPr>
          </w:p>
        </w:tc>
        <w:tc>
          <w:tcPr>
            <w:tcW w:w="992" w:type="dxa"/>
            <w:vAlign w:val="center"/>
          </w:tcPr>
          <w:p w14:paraId="3CB08664">
            <w:pPr>
              <w:spacing w:line="240" w:lineRule="exact"/>
              <w:jc w:val="center"/>
              <w:rPr>
                <w:rFonts w:ascii="宋体" w:hAnsi="宋体"/>
                <w:szCs w:val="21"/>
                <w:highlight w:val="none"/>
              </w:rPr>
            </w:pPr>
          </w:p>
        </w:tc>
        <w:tc>
          <w:tcPr>
            <w:tcW w:w="1785" w:type="dxa"/>
            <w:vAlign w:val="center"/>
          </w:tcPr>
          <w:p w14:paraId="0753CD4A">
            <w:pPr>
              <w:spacing w:line="240" w:lineRule="exact"/>
              <w:jc w:val="center"/>
              <w:rPr>
                <w:rFonts w:ascii="宋体" w:hAnsi="宋体"/>
                <w:szCs w:val="21"/>
                <w:highlight w:val="none"/>
              </w:rPr>
            </w:pPr>
          </w:p>
        </w:tc>
        <w:tc>
          <w:tcPr>
            <w:tcW w:w="1116" w:type="dxa"/>
            <w:vAlign w:val="center"/>
          </w:tcPr>
          <w:p w14:paraId="0F23AD26">
            <w:pPr>
              <w:spacing w:line="240" w:lineRule="exact"/>
              <w:jc w:val="center"/>
              <w:rPr>
                <w:rFonts w:ascii="宋体" w:hAnsi="宋体"/>
                <w:szCs w:val="21"/>
                <w:highlight w:val="none"/>
              </w:rPr>
            </w:pPr>
          </w:p>
        </w:tc>
        <w:tc>
          <w:tcPr>
            <w:tcW w:w="1341" w:type="dxa"/>
            <w:vAlign w:val="center"/>
          </w:tcPr>
          <w:p w14:paraId="4FD37F4B">
            <w:pPr>
              <w:spacing w:line="240" w:lineRule="exact"/>
              <w:jc w:val="center"/>
              <w:rPr>
                <w:rFonts w:ascii="宋体" w:hAnsi="宋体"/>
                <w:szCs w:val="21"/>
                <w:highlight w:val="none"/>
              </w:rPr>
            </w:pPr>
          </w:p>
        </w:tc>
        <w:tc>
          <w:tcPr>
            <w:tcW w:w="1080" w:type="dxa"/>
            <w:vAlign w:val="center"/>
          </w:tcPr>
          <w:p w14:paraId="43083EF1">
            <w:pPr>
              <w:spacing w:line="240" w:lineRule="exact"/>
              <w:jc w:val="center"/>
              <w:rPr>
                <w:rFonts w:ascii="宋体" w:hAnsi="宋体"/>
                <w:szCs w:val="21"/>
                <w:highlight w:val="none"/>
              </w:rPr>
            </w:pPr>
          </w:p>
        </w:tc>
      </w:tr>
      <w:tr w14:paraId="6DDCD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36" w:type="dxa"/>
            <w:vAlign w:val="center"/>
          </w:tcPr>
          <w:p w14:paraId="3D432493">
            <w:pPr>
              <w:spacing w:line="240" w:lineRule="exact"/>
              <w:jc w:val="center"/>
              <w:rPr>
                <w:rFonts w:ascii="宋体" w:hAnsi="宋体"/>
                <w:szCs w:val="21"/>
                <w:highlight w:val="none"/>
              </w:rPr>
            </w:pPr>
            <w:r>
              <w:rPr>
                <w:rFonts w:ascii="宋体" w:hAnsi="宋体"/>
                <w:szCs w:val="21"/>
                <w:highlight w:val="none"/>
              </w:rPr>
              <w:t>9</w:t>
            </w:r>
          </w:p>
        </w:tc>
        <w:tc>
          <w:tcPr>
            <w:tcW w:w="1793" w:type="dxa"/>
            <w:vAlign w:val="center"/>
          </w:tcPr>
          <w:p w14:paraId="38F64DEB">
            <w:pPr>
              <w:spacing w:line="240" w:lineRule="exact"/>
              <w:jc w:val="center"/>
              <w:rPr>
                <w:rFonts w:ascii="宋体" w:hAnsi="宋体"/>
                <w:szCs w:val="21"/>
                <w:highlight w:val="none"/>
              </w:rPr>
            </w:pPr>
          </w:p>
        </w:tc>
        <w:tc>
          <w:tcPr>
            <w:tcW w:w="900" w:type="dxa"/>
            <w:vAlign w:val="center"/>
          </w:tcPr>
          <w:p w14:paraId="2965EF50">
            <w:pPr>
              <w:jc w:val="center"/>
              <w:rPr>
                <w:rFonts w:ascii="宋体" w:hAnsi="宋体"/>
                <w:szCs w:val="21"/>
                <w:highlight w:val="none"/>
              </w:rPr>
            </w:pPr>
          </w:p>
        </w:tc>
        <w:tc>
          <w:tcPr>
            <w:tcW w:w="992" w:type="dxa"/>
            <w:vAlign w:val="center"/>
          </w:tcPr>
          <w:p w14:paraId="3CA3539A">
            <w:pPr>
              <w:spacing w:line="240" w:lineRule="exact"/>
              <w:jc w:val="center"/>
              <w:rPr>
                <w:rFonts w:ascii="宋体" w:hAnsi="宋体"/>
                <w:szCs w:val="21"/>
                <w:highlight w:val="none"/>
              </w:rPr>
            </w:pPr>
          </w:p>
        </w:tc>
        <w:tc>
          <w:tcPr>
            <w:tcW w:w="1785" w:type="dxa"/>
            <w:vAlign w:val="center"/>
          </w:tcPr>
          <w:p w14:paraId="5344DA92">
            <w:pPr>
              <w:spacing w:line="240" w:lineRule="exact"/>
              <w:jc w:val="center"/>
              <w:rPr>
                <w:rFonts w:ascii="宋体" w:hAnsi="宋体"/>
                <w:szCs w:val="21"/>
                <w:highlight w:val="none"/>
              </w:rPr>
            </w:pPr>
          </w:p>
        </w:tc>
        <w:tc>
          <w:tcPr>
            <w:tcW w:w="1116" w:type="dxa"/>
            <w:vAlign w:val="center"/>
          </w:tcPr>
          <w:p w14:paraId="14CFFC24">
            <w:pPr>
              <w:spacing w:line="240" w:lineRule="exact"/>
              <w:jc w:val="center"/>
              <w:rPr>
                <w:rFonts w:ascii="宋体" w:hAnsi="宋体"/>
                <w:szCs w:val="21"/>
                <w:highlight w:val="none"/>
              </w:rPr>
            </w:pPr>
          </w:p>
        </w:tc>
        <w:tc>
          <w:tcPr>
            <w:tcW w:w="1341" w:type="dxa"/>
            <w:vAlign w:val="center"/>
          </w:tcPr>
          <w:p w14:paraId="048285D0">
            <w:pPr>
              <w:spacing w:line="240" w:lineRule="exact"/>
              <w:jc w:val="center"/>
              <w:rPr>
                <w:rFonts w:ascii="宋体" w:hAnsi="宋体"/>
                <w:szCs w:val="21"/>
                <w:highlight w:val="none"/>
              </w:rPr>
            </w:pPr>
          </w:p>
        </w:tc>
        <w:tc>
          <w:tcPr>
            <w:tcW w:w="1080" w:type="dxa"/>
            <w:vAlign w:val="center"/>
          </w:tcPr>
          <w:p w14:paraId="08B7F0CF">
            <w:pPr>
              <w:spacing w:line="240" w:lineRule="exact"/>
              <w:jc w:val="center"/>
              <w:rPr>
                <w:rFonts w:ascii="宋体" w:hAnsi="宋体"/>
                <w:szCs w:val="21"/>
                <w:highlight w:val="none"/>
              </w:rPr>
            </w:pPr>
          </w:p>
        </w:tc>
      </w:tr>
      <w:tr w14:paraId="48091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36" w:type="dxa"/>
            <w:vAlign w:val="center"/>
          </w:tcPr>
          <w:p w14:paraId="3833E31D">
            <w:pPr>
              <w:spacing w:line="240" w:lineRule="exact"/>
              <w:jc w:val="center"/>
              <w:rPr>
                <w:rFonts w:ascii="宋体" w:hAnsi="宋体"/>
                <w:szCs w:val="21"/>
                <w:highlight w:val="none"/>
              </w:rPr>
            </w:pPr>
            <w:r>
              <w:rPr>
                <w:rFonts w:ascii="宋体" w:hAnsi="宋体"/>
                <w:szCs w:val="21"/>
                <w:highlight w:val="none"/>
              </w:rPr>
              <w:t>10</w:t>
            </w:r>
          </w:p>
        </w:tc>
        <w:tc>
          <w:tcPr>
            <w:tcW w:w="1793" w:type="dxa"/>
            <w:vAlign w:val="center"/>
          </w:tcPr>
          <w:p w14:paraId="679F40DE">
            <w:pPr>
              <w:spacing w:line="240" w:lineRule="exact"/>
              <w:jc w:val="center"/>
              <w:rPr>
                <w:rFonts w:ascii="宋体" w:hAnsi="宋体"/>
                <w:szCs w:val="21"/>
                <w:highlight w:val="none"/>
              </w:rPr>
            </w:pPr>
          </w:p>
        </w:tc>
        <w:tc>
          <w:tcPr>
            <w:tcW w:w="900" w:type="dxa"/>
            <w:vAlign w:val="center"/>
          </w:tcPr>
          <w:p w14:paraId="39ED9FAD">
            <w:pPr>
              <w:jc w:val="center"/>
              <w:rPr>
                <w:rFonts w:ascii="宋体" w:hAnsi="宋体"/>
                <w:szCs w:val="21"/>
                <w:highlight w:val="none"/>
              </w:rPr>
            </w:pPr>
          </w:p>
        </w:tc>
        <w:tc>
          <w:tcPr>
            <w:tcW w:w="992" w:type="dxa"/>
            <w:vAlign w:val="center"/>
          </w:tcPr>
          <w:p w14:paraId="448E87AB">
            <w:pPr>
              <w:spacing w:line="240" w:lineRule="exact"/>
              <w:jc w:val="center"/>
              <w:rPr>
                <w:rFonts w:ascii="宋体" w:hAnsi="宋体"/>
                <w:szCs w:val="21"/>
                <w:highlight w:val="none"/>
              </w:rPr>
            </w:pPr>
          </w:p>
        </w:tc>
        <w:tc>
          <w:tcPr>
            <w:tcW w:w="1785" w:type="dxa"/>
            <w:vAlign w:val="center"/>
          </w:tcPr>
          <w:p w14:paraId="6898FF5D">
            <w:pPr>
              <w:spacing w:line="240" w:lineRule="exact"/>
              <w:jc w:val="center"/>
              <w:rPr>
                <w:rFonts w:ascii="宋体" w:hAnsi="宋体"/>
                <w:szCs w:val="21"/>
                <w:highlight w:val="none"/>
              </w:rPr>
            </w:pPr>
          </w:p>
        </w:tc>
        <w:tc>
          <w:tcPr>
            <w:tcW w:w="1116" w:type="dxa"/>
            <w:vAlign w:val="center"/>
          </w:tcPr>
          <w:p w14:paraId="64461958">
            <w:pPr>
              <w:spacing w:line="240" w:lineRule="exact"/>
              <w:jc w:val="center"/>
              <w:rPr>
                <w:rFonts w:ascii="宋体" w:hAnsi="宋体"/>
                <w:szCs w:val="21"/>
                <w:highlight w:val="none"/>
              </w:rPr>
            </w:pPr>
          </w:p>
        </w:tc>
        <w:tc>
          <w:tcPr>
            <w:tcW w:w="1341" w:type="dxa"/>
            <w:vAlign w:val="center"/>
          </w:tcPr>
          <w:p w14:paraId="44B28843">
            <w:pPr>
              <w:spacing w:line="240" w:lineRule="exact"/>
              <w:jc w:val="center"/>
              <w:rPr>
                <w:rFonts w:ascii="宋体" w:hAnsi="宋体"/>
                <w:szCs w:val="21"/>
                <w:highlight w:val="none"/>
              </w:rPr>
            </w:pPr>
          </w:p>
        </w:tc>
        <w:tc>
          <w:tcPr>
            <w:tcW w:w="1080" w:type="dxa"/>
            <w:vAlign w:val="center"/>
          </w:tcPr>
          <w:p w14:paraId="44BC7041">
            <w:pPr>
              <w:spacing w:line="240" w:lineRule="exact"/>
              <w:jc w:val="center"/>
              <w:rPr>
                <w:rFonts w:ascii="宋体" w:hAnsi="宋体"/>
                <w:szCs w:val="21"/>
                <w:highlight w:val="none"/>
              </w:rPr>
            </w:pPr>
          </w:p>
        </w:tc>
      </w:tr>
    </w:tbl>
    <w:p w14:paraId="484CE1C5">
      <w:pPr>
        <w:spacing w:line="440" w:lineRule="exact"/>
        <w:rPr>
          <w:rFonts w:ascii="宋体" w:hAnsi="宋体"/>
          <w:highlight w:val="none"/>
        </w:rPr>
      </w:pPr>
      <w:r>
        <w:rPr>
          <w:rFonts w:hint="eastAsia" w:ascii="宋体" w:hAnsi="宋体"/>
          <w:highlight w:val="none"/>
        </w:rPr>
        <w:t>注：本项不作为资格审查内容，但（如有）需提供，仅作为投标人的评标（综合评分）后附相关证明材料。表格格式可以根据实际情况调整。</w:t>
      </w:r>
    </w:p>
    <w:p w14:paraId="00E27308">
      <w:pPr>
        <w:snapToGrid w:val="0"/>
        <w:spacing w:line="360" w:lineRule="auto"/>
        <w:ind w:right="-97" w:rightChars="-46"/>
        <w:rPr>
          <w:rFonts w:ascii="宋体" w:hAnsi="宋体"/>
          <w:sz w:val="24"/>
          <w:highlight w:val="none"/>
        </w:rPr>
      </w:pPr>
    </w:p>
    <w:p w14:paraId="7B1418E4">
      <w:pPr>
        <w:pStyle w:val="5"/>
        <w:rPr>
          <w:highlight w:val="none"/>
        </w:rPr>
      </w:pPr>
      <w:r>
        <w:rPr>
          <w:highlight w:val="none"/>
        </w:rPr>
        <w:br w:type="page"/>
      </w:r>
      <w:bookmarkStart w:id="204" w:name="_Toc532390645"/>
      <w:bookmarkStart w:id="205" w:name="_Toc528170367"/>
      <w:bookmarkStart w:id="206" w:name="_Toc20161"/>
      <w:bookmarkStart w:id="207" w:name="_Toc533334237"/>
      <w:bookmarkStart w:id="208" w:name="_Toc103592045"/>
      <w:r>
        <w:rPr>
          <w:rFonts w:hint="eastAsia"/>
          <w:highlight w:val="none"/>
        </w:rPr>
        <w:t>十、</w:t>
      </w:r>
      <w:bookmarkEnd w:id="204"/>
      <w:bookmarkEnd w:id="205"/>
      <w:bookmarkEnd w:id="206"/>
      <w:bookmarkEnd w:id="207"/>
      <w:r>
        <w:rPr>
          <w:rFonts w:hint="eastAsia"/>
          <w:highlight w:val="none"/>
        </w:rPr>
        <w:t>检测方案</w:t>
      </w:r>
      <w:bookmarkEnd w:id="208"/>
    </w:p>
    <w:p w14:paraId="4CF42E21">
      <w:pPr>
        <w:spacing w:line="360" w:lineRule="auto"/>
        <w:rPr>
          <w:rFonts w:ascii="宋体" w:hAnsi="宋体"/>
          <w:sz w:val="24"/>
          <w:szCs w:val="24"/>
          <w:highlight w:val="none"/>
        </w:rPr>
      </w:pPr>
      <w:r>
        <w:rPr>
          <w:rFonts w:hint="eastAsia" w:ascii="宋体" w:hAnsi="宋体"/>
          <w:sz w:val="24"/>
          <w:szCs w:val="24"/>
          <w:highlight w:val="none"/>
        </w:rPr>
        <w:t>检测方案应包括（但不限于）下列内容：</w:t>
      </w:r>
    </w:p>
    <w:p w14:paraId="10692B6A">
      <w:pPr>
        <w:spacing w:line="360" w:lineRule="auto"/>
        <w:rPr>
          <w:rFonts w:ascii="宋体" w:hAnsi="宋体"/>
          <w:sz w:val="24"/>
          <w:szCs w:val="24"/>
          <w:highlight w:val="none"/>
        </w:rPr>
      </w:pPr>
      <w:r>
        <w:rPr>
          <w:rFonts w:hint="eastAsia" w:ascii="宋体" w:hAnsi="宋体"/>
          <w:sz w:val="24"/>
          <w:szCs w:val="24"/>
          <w:highlight w:val="none"/>
        </w:rPr>
        <w:t>一、检测工程概况；</w:t>
      </w:r>
    </w:p>
    <w:p w14:paraId="3C2940BD">
      <w:pPr>
        <w:spacing w:line="360" w:lineRule="auto"/>
        <w:rPr>
          <w:rFonts w:ascii="宋体" w:hAnsi="宋体"/>
          <w:sz w:val="24"/>
          <w:szCs w:val="24"/>
          <w:highlight w:val="none"/>
        </w:rPr>
      </w:pPr>
      <w:r>
        <w:rPr>
          <w:rFonts w:hint="eastAsia" w:ascii="宋体" w:hAnsi="宋体"/>
          <w:sz w:val="24"/>
          <w:szCs w:val="24"/>
          <w:highlight w:val="none"/>
        </w:rPr>
        <w:t>二、检测范围、检测内容；</w:t>
      </w:r>
    </w:p>
    <w:p w14:paraId="7D93FB3A">
      <w:pPr>
        <w:spacing w:line="360" w:lineRule="auto"/>
        <w:rPr>
          <w:rFonts w:ascii="宋体" w:hAnsi="宋体"/>
          <w:sz w:val="24"/>
          <w:szCs w:val="24"/>
          <w:highlight w:val="none"/>
        </w:rPr>
      </w:pPr>
      <w:r>
        <w:rPr>
          <w:rFonts w:hint="eastAsia" w:ascii="宋体" w:hAnsi="宋体"/>
          <w:sz w:val="24"/>
          <w:szCs w:val="24"/>
          <w:highlight w:val="none"/>
        </w:rPr>
        <w:t>三、检测依据、检测工作目标；</w:t>
      </w:r>
    </w:p>
    <w:p w14:paraId="6C468E94">
      <w:pPr>
        <w:spacing w:line="360" w:lineRule="auto"/>
        <w:rPr>
          <w:rFonts w:ascii="宋体" w:hAnsi="宋体"/>
          <w:sz w:val="24"/>
          <w:szCs w:val="24"/>
          <w:highlight w:val="none"/>
        </w:rPr>
      </w:pPr>
      <w:r>
        <w:rPr>
          <w:rFonts w:hint="eastAsia" w:ascii="宋体" w:hAnsi="宋体"/>
          <w:sz w:val="24"/>
          <w:szCs w:val="24"/>
          <w:highlight w:val="none"/>
        </w:rPr>
        <w:t>四、检测机构设置（框图）、岗位职责；</w:t>
      </w:r>
    </w:p>
    <w:p w14:paraId="3D259121">
      <w:pPr>
        <w:spacing w:line="360" w:lineRule="auto"/>
        <w:rPr>
          <w:rFonts w:ascii="宋体" w:hAnsi="宋体"/>
          <w:sz w:val="24"/>
          <w:szCs w:val="24"/>
          <w:highlight w:val="none"/>
        </w:rPr>
      </w:pPr>
      <w:r>
        <w:rPr>
          <w:rFonts w:hint="eastAsia" w:ascii="宋体" w:hAnsi="宋体"/>
          <w:sz w:val="24"/>
          <w:szCs w:val="24"/>
          <w:highlight w:val="none"/>
        </w:rPr>
        <w:t>五、检测工作程序、方法和制度、检测措施；</w:t>
      </w:r>
    </w:p>
    <w:p w14:paraId="2485A4B7">
      <w:pPr>
        <w:spacing w:line="360" w:lineRule="auto"/>
        <w:rPr>
          <w:rFonts w:ascii="宋体" w:hAnsi="宋体"/>
          <w:sz w:val="24"/>
          <w:szCs w:val="24"/>
          <w:highlight w:val="none"/>
        </w:rPr>
      </w:pPr>
      <w:r>
        <w:rPr>
          <w:rFonts w:hint="eastAsia" w:ascii="宋体" w:hAnsi="宋体"/>
          <w:sz w:val="24"/>
          <w:szCs w:val="24"/>
          <w:highlight w:val="none"/>
        </w:rPr>
        <w:t>六、项目管理；</w:t>
      </w:r>
    </w:p>
    <w:p w14:paraId="26C01FD1">
      <w:pPr>
        <w:spacing w:line="360" w:lineRule="auto"/>
        <w:rPr>
          <w:rFonts w:ascii="宋体" w:hAnsi="宋体"/>
          <w:sz w:val="24"/>
          <w:szCs w:val="24"/>
          <w:highlight w:val="none"/>
        </w:rPr>
      </w:pPr>
      <w:r>
        <w:rPr>
          <w:rFonts w:hint="eastAsia" w:ascii="宋体" w:hAnsi="宋体"/>
          <w:sz w:val="24"/>
          <w:szCs w:val="24"/>
          <w:highlight w:val="none"/>
        </w:rPr>
        <w:t>七、拟投入的检测人员、试验检测仪器设备；</w:t>
      </w:r>
    </w:p>
    <w:p w14:paraId="53E68AEC">
      <w:pPr>
        <w:spacing w:line="360" w:lineRule="auto"/>
        <w:rPr>
          <w:rFonts w:ascii="宋体" w:hAnsi="宋体"/>
          <w:sz w:val="24"/>
          <w:szCs w:val="24"/>
          <w:highlight w:val="none"/>
        </w:rPr>
      </w:pPr>
      <w:r>
        <w:rPr>
          <w:rFonts w:hint="eastAsia" w:ascii="宋体" w:hAnsi="宋体"/>
          <w:sz w:val="24"/>
          <w:szCs w:val="24"/>
          <w:highlight w:val="none"/>
        </w:rPr>
        <w:t>八、对本工程检测的合理化建议。</w:t>
      </w:r>
    </w:p>
    <w:p w14:paraId="3367E197">
      <w:pPr>
        <w:pStyle w:val="5"/>
        <w:rPr>
          <w:highlight w:val="none"/>
        </w:rPr>
      </w:pPr>
      <w:bookmarkStart w:id="209" w:name="_Toc533334238"/>
      <w:r>
        <w:rPr>
          <w:highlight w:val="none"/>
        </w:rPr>
        <w:br w:type="page"/>
      </w:r>
      <w:bookmarkStart w:id="210" w:name="_Toc103592046"/>
      <w:r>
        <w:rPr>
          <w:rFonts w:hint="eastAsia"/>
          <w:highlight w:val="none"/>
        </w:rPr>
        <w:t>十一、其他资料</w:t>
      </w:r>
      <w:bookmarkEnd w:id="209"/>
      <w:bookmarkEnd w:id="210"/>
    </w:p>
    <w:p w14:paraId="522AD5C3">
      <w:pPr>
        <w:spacing w:line="360" w:lineRule="auto"/>
        <w:ind w:firstLine="480" w:firstLineChars="200"/>
        <w:jc w:val="left"/>
        <w:rPr>
          <w:rFonts w:ascii="宋体" w:hAnsi="宋体"/>
          <w:sz w:val="24"/>
          <w:szCs w:val="24"/>
          <w:highlight w:val="none"/>
        </w:rPr>
      </w:pPr>
      <w:r>
        <w:rPr>
          <w:rFonts w:hint="eastAsia" w:ascii="宋体" w:hAnsi="宋体"/>
          <w:sz w:val="24"/>
          <w:highlight w:val="none"/>
        </w:rPr>
        <w:t>投标人须知前附表规定的其他资料，</w:t>
      </w:r>
      <w:r>
        <w:rPr>
          <w:rFonts w:hint="eastAsia" w:ascii="宋体" w:hAnsi="宋体"/>
          <w:sz w:val="24"/>
          <w:szCs w:val="24"/>
          <w:highlight w:val="none"/>
        </w:rPr>
        <w:t>投标人认为有必要提交的其他资料，格式自定。</w:t>
      </w:r>
    </w:p>
    <w:p w14:paraId="1786F902">
      <w:pPr>
        <w:snapToGrid w:val="0"/>
        <w:spacing w:line="360" w:lineRule="auto"/>
        <w:ind w:right="-97" w:rightChars="-46"/>
        <w:rPr>
          <w:rFonts w:ascii="宋体" w:hAnsi="宋体"/>
          <w:sz w:val="24"/>
          <w:szCs w:val="18"/>
          <w:highlight w:val="none"/>
        </w:rPr>
      </w:pPr>
    </w:p>
    <w:p w14:paraId="3D330C54">
      <w:pPr>
        <w:rPr>
          <w:highlight w:val="none"/>
        </w:rPr>
      </w:pPr>
    </w:p>
    <w:p w14:paraId="6F60FD48">
      <w:pPr>
        <w:rPr>
          <w:highlight w:val="none"/>
        </w:rPr>
      </w:pPr>
    </w:p>
    <w:sectPr>
      <w:pgSz w:w="11906" w:h="16838"/>
      <w:pgMar w:top="1440" w:right="1080" w:bottom="1440" w:left="1080" w:header="851" w:footer="10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Calisto MT">
    <w:panose1 w:val="02040603050505030304"/>
    <w:charset w:val="00"/>
    <w:family w:val="roman"/>
    <w:pitch w:val="default"/>
    <w:sig w:usb0="00000003" w:usb1="00000000" w:usb2="00000000" w:usb3="00000000" w:csb0="20000001"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1F8FAA">
    <w:pPr>
      <w:pStyle w:val="19"/>
      <w:framePr w:wrap="around" w:vAnchor="text" w:hAnchor="margin" w:xAlign="center" w:y="2"/>
      <w:rPr>
        <w:rStyle w:val="29"/>
      </w:rPr>
    </w:pPr>
    <w:r>
      <w:fldChar w:fldCharType="begin"/>
    </w:r>
    <w:r>
      <w:rPr>
        <w:rStyle w:val="29"/>
      </w:rPr>
      <w:instrText xml:space="preserve">PAGE  </w:instrText>
    </w:r>
    <w:r>
      <w:fldChar w:fldCharType="separate"/>
    </w:r>
    <w:r>
      <w:rPr>
        <w:rStyle w:val="29"/>
      </w:rPr>
      <w:t>42</w:t>
    </w:r>
    <w:r>
      <w:fldChar w:fldCharType="end"/>
    </w:r>
  </w:p>
  <w:p w14:paraId="33FCDDE6">
    <w:pPr>
      <w:pStyle w:val="1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1591555"/>
      <w:docPartObj>
        <w:docPartGallery w:val="autotext"/>
      </w:docPartObj>
    </w:sdtPr>
    <w:sdtContent>
      <w:p w14:paraId="7BC3510C">
        <w:pPr>
          <w:pStyle w:val="19"/>
          <w:jc w:val="center"/>
        </w:pPr>
        <w:r>
          <w:fldChar w:fldCharType="begin"/>
        </w:r>
        <w:r>
          <w:instrText xml:space="preserve">PAGE   \* MERGEFORMAT</w:instrText>
        </w:r>
        <w:r>
          <w:fldChar w:fldCharType="separate"/>
        </w:r>
        <w:r>
          <w:rPr>
            <w:lang w:val="zh-CN"/>
          </w:rPr>
          <w:t>4</w:t>
        </w:r>
        <w:r>
          <w:fldChar w:fldCharType="end"/>
        </w:r>
      </w:p>
    </w:sdtContent>
  </w:sdt>
  <w:p w14:paraId="0F10FC40">
    <w:pPr>
      <w:pStyle w:val="19"/>
      <w:tabs>
        <w:tab w:val="left" w:pos="5648"/>
        <w:tab w:val="clear" w:pos="4153"/>
        <w:tab w:val="clear" w:pos="8306"/>
      </w:tabs>
    </w:pP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DC7CB6">
    <w:pPr>
      <w:pStyle w:val="1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A2BC6F">
    <w:pPr>
      <w:pStyle w:val="19"/>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6205" cy="139700"/>
              <wp:effectExtent l="0" t="0" r="635" b="0"/>
              <wp:wrapNone/>
              <wp:docPr id="8" name="文本框 8"/>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wps:spPr>
                    <wps:txbx>
                      <w:txbxContent>
                        <w:p w14:paraId="058E3345">
                          <w:pPr>
                            <w:pStyle w:val="19"/>
                          </w:pPr>
                          <w:r>
                            <w:fldChar w:fldCharType="begin"/>
                          </w:r>
                          <w:r>
                            <w:instrText xml:space="preserve"> PAGE  \* MERGEFORMAT </w:instrText>
                          </w:r>
                          <w:r>
                            <w:fldChar w:fldCharType="separate"/>
                          </w:r>
                          <w:r>
                            <w:t>58</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1pt;width:9.15pt;mso-position-horizontal:center;mso-position-horizontal-relative:margin;mso-wrap-style:none;z-index:251660288;mso-width-relative:page;mso-height-relative:page;" filled="f" stroked="f" coordsize="21600,21600" o:gfxdata="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AYulhTQAAAAAwEAAA8AAAAAAAAAAQAgAAAAIgAAAGRycy9k&#10;b3ducmV2LnhtbFBLAQIUABQAAAAIAIdO4kDZIiAvCgIAAAIEAAAOAAAAAAAAAAEAIAAAAB8BAABk&#10;cnMvZTJvRG9jLnhtbFBLBQYAAAAABgAGAFkBAACbBQAAAAA=&#10;">
              <v:fill on="f" focussize="0,0"/>
              <v:stroke on="f"/>
              <v:imagedata o:title=""/>
              <o:lock v:ext="edit" aspectratio="f"/>
              <v:textbox inset="0mm,0mm,0mm,0mm" style="mso-fit-shape-to-text:t;">
                <w:txbxContent>
                  <w:p w14:paraId="058E3345">
                    <w:pPr>
                      <w:pStyle w:val="19"/>
                    </w:pPr>
                    <w:r>
                      <w:fldChar w:fldCharType="begin"/>
                    </w:r>
                    <w:r>
                      <w:instrText xml:space="preserve"> PAGE  \* MERGEFORMAT </w:instrText>
                    </w:r>
                    <w:r>
                      <w:fldChar w:fldCharType="separate"/>
                    </w:r>
                    <w:r>
                      <w:t>58</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DD2160">
    <w:pPr>
      <w:pStyle w:val="2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25E2BB">
    <w:pPr>
      <w:pStyle w:val="2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9D22C5">
    <w:pPr>
      <w:pStyle w:val="21"/>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CE20BD">
    <w:pPr>
      <w:pStyle w:val="21"/>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17E30C">
    <w:pPr>
      <w:pStyle w:val="2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singleLevel"/>
    <w:tmpl w:val="0000000A"/>
    <w:lvl w:ilvl="0" w:tentative="0">
      <w:start w:val="5"/>
      <w:numFmt w:val="chineseCounting"/>
      <w:suff w:val="space"/>
      <w:lvlText w:val="第%1章"/>
      <w:lvlJc w:val="left"/>
      <w:rPr>
        <w:rFonts w:hint="eastAsia"/>
      </w:rPr>
    </w:lvl>
  </w:abstractNum>
  <w:abstractNum w:abstractNumId="1">
    <w:nsid w:val="3FB37080"/>
    <w:multiLevelType w:val="multilevel"/>
    <w:tmpl w:val="3FB37080"/>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U5YTk2NWU3OTRhNTU0YjZlNWE0ODExMjY4YzM0MTgifQ=="/>
  </w:docVars>
  <w:rsids>
    <w:rsidRoot w:val="00FE62DA"/>
    <w:rsid w:val="000255FF"/>
    <w:rsid w:val="000356F0"/>
    <w:rsid w:val="000530E7"/>
    <w:rsid w:val="00076B98"/>
    <w:rsid w:val="000852F7"/>
    <w:rsid w:val="000914A3"/>
    <w:rsid w:val="000D61AF"/>
    <w:rsid w:val="000E3D98"/>
    <w:rsid w:val="000F29AE"/>
    <w:rsid w:val="00143D94"/>
    <w:rsid w:val="00143F46"/>
    <w:rsid w:val="00161340"/>
    <w:rsid w:val="0016530F"/>
    <w:rsid w:val="00170496"/>
    <w:rsid w:val="001970B1"/>
    <w:rsid w:val="001C63C6"/>
    <w:rsid w:val="001C7D5E"/>
    <w:rsid w:val="00220B35"/>
    <w:rsid w:val="00232152"/>
    <w:rsid w:val="00247007"/>
    <w:rsid w:val="0025454F"/>
    <w:rsid w:val="002A011F"/>
    <w:rsid w:val="002B6D49"/>
    <w:rsid w:val="002C79B4"/>
    <w:rsid w:val="002F584B"/>
    <w:rsid w:val="00327FCA"/>
    <w:rsid w:val="00330B90"/>
    <w:rsid w:val="00334B09"/>
    <w:rsid w:val="00353962"/>
    <w:rsid w:val="00367564"/>
    <w:rsid w:val="00371089"/>
    <w:rsid w:val="00372F39"/>
    <w:rsid w:val="00376486"/>
    <w:rsid w:val="003A1A6E"/>
    <w:rsid w:val="003B3BB7"/>
    <w:rsid w:val="003D3488"/>
    <w:rsid w:val="003D7673"/>
    <w:rsid w:val="0042172C"/>
    <w:rsid w:val="00435DFF"/>
    <w:rsid w:val="00445EE1"/>
    <w:rsid w:val="0045470C"/>
    <w:rsid w:val="004605EA"/>
    <w:rsid w:val="004733FE"/>
    <w:rsid w:val="00476DEA"/>
    <w:rsid w:val="00492C93"/>
    <w:rsid w:val="004964F7"/>
    <w:rsid w:val="00496B26"/>
    <w:rsid w:val="004A0872"/>
    <w:rsid w:val="004A3E9C"/>
    <w:rsid w:val="004E7797"/>
    <w:rsid w:val="005034EC"/>
    <w:rsid w:val="005151ED"/>
    <w:rsid w:val="00523C36"/>
    <w:rsid w:val="0054231F"/>
    <w:rsid w:val="00546991"/>
    <w:rsid w:val="00556230"/>
    <w:rsid w:val="00560F6C"/>
    <w:rsid w:val="005653B2"/>
    <w:rsid w:val="00566260"/>
    <w:rsid w:val="00594273"/>
    <w:rsid w:val="005A2879"/>
    <w:rsid w:val="00606F83"/>
    <w:rsid w:val="0061661F"/>
    <w:rsid w:val="00631483"/>
    <w:rsid w:val="00634798"/>
    <w:rsid w:val="006533EB"/>
    <w:rsid w:val="00655532"/>
    <w:rsid w:val="00677DB9"/>
    <w:rsid w:val="006861CA"/>
    <w:rsid w:val="00697FDE"/>
    <w:rsid w:val="006A474D"/>
    <w:rsid w:val="006B79D7"/>
    <w:rsid w:val="006F6086"/>
    <w:rsid w:val="00700BD4"/>
    <w:rsid w:val="00710DE4"/>
    <w:rsid w:val="0072478C"/>
    <w:rsid w:val="00742090"/>
    <w:rsid w:val="00753DF9"/>
    <w:rsid w:val="00760E90"/>
    <w:rsid w:val="0076380B"/>
    <w:rsid w:val="00763E8F"/>
    <w:rsid w:val="007D61EC"/>
    <w:rsid w:val="007E2A12"/>
    <w:rsid w:val="007F28E3"/>
    <w:rsid w:val="007F379A"/>
    <w:rsid w:val="00802BA7"/>
    <w:rsid w:val="00805EE2"/>
    <w:rsid w:val="00814871"/>
    <w:rsid w:val="008300D8"/>
    <w:rsid w:val="00852553"/>
    <w:rsid w:val="0085404D"/>
    <w:rsid w:val="00860E35"/>
    <w:rsid w:val="00871638"/>
    <w:rsid w:val="00893048"/>
    <w:rsid w:val="00897450"/>
    <w:rsid w:val="008B2FD6"/>
    <w:rsid w:val="008B465D"/>
    <w:rsid w:val="008C3AA8"/>
    <w:rsid w:val="0093420A"/>
    <w:rsid w:val="00934E29"/>
    <w:rsid w:val="00956978"/>
    <w:rsid w:val="00967300"/>
    <w:rsid w:val="00973922"/>
    <w:rsid w:val="00990A0F"/>
    <w:rsid w:val="009A36D1"/>
    <w:rsid w:val="009C05A1"/>
    <w:rsid w:val="009F0E1C"/>
    <w:rsid w:val="00A03A46"/>
    <w:rsid w:val="00A11060"/>
    <w:rsid w:val="00A24EF5"/>
    <w:rsid w:val="00A342A7"/>
    <w:rsid w:val="00A667C2"/>
    <w:rsid w:val="00AD69ED"/>
    <w:rsid w:val="00AE2774"/>
    <w:rsid w:val="00AE53C8"/>
    <w:rsid w:val="00B1656B"/>
    <w:rsid w:val="00B16E69"/>
    <w:rsid w:val="00B25EA1"/>
    <w:rsid w:val="00B45BF2"/>
    <w:rsid w:val="00B9289D"/>
    <w:rsid w:val="00BA37AE"/>
    <w:rsid w:val="00BA5156"/>
    <w:rsid w:val="00BC24BF"/>
    <w:rsid w:val="00BC3BC3"/>
    <w:rsid w:val="00BC64E3"/>
    <w:rsid w:val="00BD16CA"/>
    <w:rsid w:val="00BD1770"/>
    <w:rsid w:val="00BD6065"/>
    <w:rsid w:val="00BD6EBD"/>
    <w:rsid w:val="00BF27F5"/>
    <w:rsid w:val="00BF31C5"/>
    <w:rsid w:val="00BF6E3F"/>
    <w:rsid w:val="00C019DE"/>
    <w:rsid w:val="00C07368"/>
    <w:rsid w:val="00C111C0"/>
    <w:rsid w:val="00C30E3E"/>
    <w:rsid w:val="00C3343D"/>
    <w:rsid w:val="00C66C4A"/>
    <w:rsid w:val="00C73DEC"/>
    <w:rsid w:val="00C80DBC"/>
    <w:rsid w:val="00C8795E"/>
    <w:rsid w:val="00C91E38"/>
    <w:rsid w:val="00CA526F"/>
    <w:rsid w:val="00CD34F2"/>
    <w:rsid w:val="00CD5291"/>
    <w:rsid w:val="00CD7915"/>
    <w:rsid w:val="00CE3333"/>
    <w:rsid w:val="00CE5B97"/>
    <w:rsid w:val="00D14A10"/>
    <w:rsid w:val="00D32A07"/>
    <w:rsid w:val="00D32B8E"/>
    <w:rsid w:val="00D44A4A"/>
    <w:rsid w:val="00D83909"/>
    <w:rsid w:val="00D90234"/>
    <w:rsid w:val="00DA279A"/>
    <w:rsid w:val="00DC1472"/>
    <w:rsid w:val="00DE6E8F"/>
    <w:rsid w:val="00E0426D"/>
    <w:rsid w:val="00E05FEC"/>
    <w:rsid w:val="00E079A4"/>
    <w:rsid w:val="00E35807"/>
    <w:rsid w:val="00E44AEA"/>
    <w:rsid w:val="00E80C1E"/>
    <w:rsid w:val="00E86B4A"/>
    <w:rsid w:val="00E927D3"/>
    <w:rsid w:val="00EA49D6"/>
    <w:rsid w:val="00EC0A94"/>
    <w:rsid w:val="00EC2238"/>
    <w:rsid w:val="00ED4DB6"/>
    <w:rsid w:val="00EE28BE"/>
    <w:rsid w:val="00EE7B0A"/>
    <w:rsid w:val="00F14309"/>
    <w:rsid w:val="00F33295"/>
    <w:rsid w:val="00F33B2C"/>
    <w:rsid w:val="00F34F54"/>
    <w:rsid w:val="00F47685"/>
    <w:rsid w:val="00F77CE5"/>
    <w:rsid w:val="00F8253E"/>
    <w:rsid w:val="00F97FEE"/>
    <w:rsid w:val="00FA005C"/>
    <w:rsid w:val="00FE0697"/>
    <w:rsid w:val="00FE3FDF"/>
    <w:rsid w:val="00FE62DA"/>
    <w:rsid w:val="01254BA3"/>
    <w:rsid w:val="020967F0"/>
    <w:rsid w:val="02431E4D"/>
    <w:rsid w:val="02702309"/>
    <w:rsid w:val="03A74512"/>
    <w:rsid w:val="05064DE1"/>
    <w:rsid w:val="05391B3F"/>
    <w:rsid w:val="05C70E9C"/>
    <w:rsid w:val="06A33983"/>
    <w:rsid w:val="08BA0E0D"/>
    <w:rsid w:val="0A281C58"/>
    <w:rsid w:val="0CE65C06"/>
    <w:rsid w:val="0D4D625B"/>
    <w:rsid w:val="0E7A34BB"/>
    <w:rsid w:val="0F0E3698"/>
    <w:rsid w:val="10604125"/>
    <w:rsid w:val="11513D10"/>
    <w:rsid w:val="11C826A1"/>
    <w:rsid w:val="13475B69"/>
    <w:rsid w:val="139D323C"/>
    <w:rsid w:val="13A66595"/>
    <w:rsid w:val="15F17AFB"/>
    <w:rsid w:val="179901BE"/>
    <w:rsid w:val="17D64F6F"/>
    <w:rsid w:val="182C461D"/>
    <w:rsid w:val="1AC243E7"/>
    <w:rsid w:val="1B3501FE"/>
    <w:rsid w:val="1BCB44A6"/>
    <w:rsid w:val="1BDA28A6"/>
    <w:rsid w:val="1C51038A"/>
    <w:rsid w:val="1D990F18"/>
    <w:rsid w:val="1FC24671"/>
    <w:rsid w:val="23262F8A"/>
    <w:rsid w:val="23880354"/>
    <w:rsid w:val="239006C7"/>
    <w:rsid w:val="249C309C"/>
    <w:rsid w:val="24F50A7A"/>
    <w:rsid w:val="25AC359A"/>
    <w:rsid w:val="25C3212B"/>
    <w:rsid w:val="26E33204"/>
    <w:rsid w:val="279F1826"/>
    <w:rsid w:val="289E2809"/>
    <w:rsid w:val="2C29790B"/>
    <w:rsid w:val="31592A40"/>
    <w:rsid w:val="31FE06E2"/>
    <w:rsid w:val="32313075"/>
    <w:rsid w:val="33BA52EC"/>
    <w:rsid w:val="36FE6845"/>
    <w:rsid w:val="37BB0E0E"/>
    <w:rsid w:val="37FC23F9"/>
    <w:rsid w:val="38DA5CF2"/>
    <w:rsid w:val="39FC040D"/>
    <w:rsid w:val="3BF33A92"/>
    <w:rsid w:val="3D4C16AB"/>
    <w:rsid w:val="41807605"/>
    <w:rsid w:val="43B93A43"/>
    <w:rsid w:val="445D5F4C"/>
    <w:rsid w:val="454D1AB4"/>
    <w:rsid w:val="4609638B"/>
    <w:rsid w:val="466F6C38"/>
    <w:rsid w:val="46B53706"/>
    <w:rsid w:val="46C16C66"/>
    <w:rsid w:val="46E554A0"/>
    <w:rsid w:val="476870E2"/>
    <w:rsid w:val="47D604EF"/>
    <w:rsid w:val="49090450"/>
    <w:rsid w:val="49A2611E"/>
    <w:rsid w:val="49BE56DF"/>
    <w:rsid w:val="4A3A46D5"/>
    <w:rsid w:val="4ADE3471"/>
    <w:rsid w:val="4BEE392E"/>
    <w:rsid w:val="4CF51A29"/>
    <w:rsid w:val="4D49032A"/>
    <w:rsid w:val="4D52686A"/>
    <w:rsid w:val="4DA644C0"/>
    <w:rsid w:val="51443360"/>
    <w:rsid w:val="52144E31"/>
    <w:rsid w:val="52C5363A"/>
    <w:rsid w:val="59F1372F"/>
    <w:rsid w:val="5BAF5AB3"/>
    <w:rsid w:val="5C4E0B1C"/>
    <w:rsid w:val="5C676C74"/>
    <w:rsid w:val="5C9D73D6"/>
    <w:rsid w:val="5D017965"/>
    <w:rsid w:val="5E05575E"/>
    <w:rsid w:val="5E5B30A5"/>
    <w:rsid w:val="5E705DCB"/>
    <w:rsid w:val="5E7F3237"/>
    <w:rsid w:val="5F671A67"/>
    <w:rsid w:val="604F51CD"/>
    <w:rsid w:val="606721D5"/>
    <w:rsid w:val="61241E74"/>
    <w:rsid w:val="622C6B2A"/>
    <w:rsid w:val="63E15DFA"/>
    <w:rsid w:val="66734C63"/>
    <w:rsid w:val="66F466FA"/>
    <w:rsid w:val="67AF21DE"/>
    <w:rsid w:val="695D1B9B"/>
    <w:rsid w:val="69684E1C"/>
    <w:rsid w:val="69801C11"/>
    <w:rsid w:val="6A533EC3"/>
    <w:rsid w:val="6BB67B6C"/>
    <w:rsid w:val="6BE7241B"/>
    <w:rsid w:val="6C5A0E3F"/>
    <w:rsid w:val="6D9C0FE4"/>
    <w:rsid w:val="6E906D9A"/>
    <w:rsid w:val="6EC95E08"/>
    <w:rsid w:val="6EE06E14"/>
    <w:rsid w:val="70025A76"/>
    <w:rsid w:val="7010369C"/>
    <w:rsid w:val="709673A9"/>
    <w:rsid w:val="70CC1BE0"/>
    <w:rsid w:val="713641A4"/>
    <w:rsid w:val="716A4114"/>
    <w:rsid w:val="71DC5E53"/>
    <w:rsid w:val="72DF1D59"/>
    <w:rsid w:val="72E27F32"/>
    <w:rsid w:val="73171E52"/>
    <w:rsid w:val="74F636CF"/>
    <w:rsid w:val="752C0E9F"/>
    <w:rsid w:val="76481D09"/>
    <w:rsid w:val="78061E7B"/>
    <w:rsid w:val="78213ED2"/>
    <w:rsid w:val="799E680F"/>
    <w:rsid w:val="7B3F5EE5"/>
    <w:rsid w:val="7C706162"/>
    <w:rsid w:val="7D3E5C13"/>
    <w:rsid w:val="7D4C3352"/>
    <w:rsid w:val="7DDD2456"/>
    <w:rsid w:val="7F233313"/>
    <w:rsid w:val="7F4D5F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9" w:name="heading 6"/>
    <w:lsdException w:qFormat="1" w:unhideWhenUsed="0" w:uiPriority="0" w:semiHidden="0"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qFormat="1" w:unhideWhenUsed="0" w:uiPriority="0" w:semiHidden="0"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link w:val="34"/>
    <w:autoRedefine/>
    <w:qFormat/>
    <w:uiPriority w:val="0"/>
    <w:pPr>
      <w:keepNext/>
      <w:keepLines/>
      <w:spacing w:line="576" w:lineRule="auto"/>
      <w:jc w:val="center"/>
      <w:outlineLvl w:val="0"/>
    </w:pPr>
    <w:rPr>
      <w:rFonts w:ascii="宋体" w:hAnsi="宋体"/>
      <w:b/>
      <w:kern w:val="44"/>
      <w:sz w:val="44"/>
      <w:szCs w:val="20"/>
    </w:rPr>
  </w:style>
  <w:style w:type="paragraph" w:styleId="4">
    <w:name w:val="heading 2"/>
    <w:basedOn w:val="1"/>
    <w:next w:val="1"/>
    <w:link w:val="35"/>
    <w:autoRedefine/>
    <w:qFormat/>
    <w:uiPriority w:val="0"/>
    <w:pPr>
      <w:keepNext/>
      <w:keepLines/>
      <w:spacing w:line="412" w:lineRule="auto"/>
      <w:jc w:val="center"/>
      <w:outlineLvl w:val="1"/>
    </w:pPr>
    <w:rPr>
      <w:rFonts w:ascii="Arial" w:hAnsi="Arial"/>
      <w:b/>
      <w:sz w:val="24"/>
      <w:szCs w:val="20"/>
    </w:rPr>
  </w:style>
  <w:style w:type="paragraph" w:styleId="5">
    <w:name w:val="heading 3"/>
    <w:basedOn w:val="1"/>
    <w:next w:val="1"/>
    <w:link w:val="36"/>
    <w:autoRedefine/>
    <w:qFormat/>
    <w:uiPriority w:val="0"/>
    <w:pPr>
      <w:keepNext/>
      <w:keepLines/>
      <w:spacing w:line="360" w:lineRule="auto"/>
      <w:jc w:val="left"/>
      <w:outlineLvl w:val="2"/>
    </w:pPr>
    <w:rPr>
      <w:rFonts w:ascii="宋体" w:hAnsi="宋体"/>
      <w:b/>
      <w:sz w:val="28"/>
      <w:szCs w:val="28"/>
    </w:rPr>
  </w:style>
  <w:style w:type="paragraph" w:styleId="6">
    <w:name w:val="heading 4"/>
    <w:basedOn w:val="1"/>
    <w:next w:val="1"/>
    <w:link w:val="37"/>
    <w:autoRedefine/>
    <w:qFormat/>
    <w:uiPriority w:val="0"/>
    <w:pPr>
      <w:keepNext/>
      <w:keepLines/>
      <w:jc w:val="center"/>
      <w:outlineLvl w:val="3"/>
    </w:pPr>
    <w:rPr>
      <w:rFonts w:ascii="Cambria" w:hAnsi="Cambria"/>
      <w:b/>
      <w:bCs/>
      <w:sz w:val="28"/>
      <w:szCs w:val="28"/>
    </w:rPr>
  </w:style>
  <w:style w:type="paragraph" w:styleId="7">
    <w:name w:val="heading 5"/>
    <w:basedOn w:val="1"/>
    <w:next w:val="1"/>
    <w:link w:val="38"/>
    <w:autoRedefine/>
    <w:qFormat/>
    <w:uiPriority w:val="0"/>
    <w:pPr>
      <w:keepNext/>
      <w:keepLines/>
      <w:spacing w:line="376" w:lineRule="auto"/>
      <w:outlineLvl w:val="4"/>
    </w:pPr>
    <w:rPr>
      <w:b/>
      <w:bCs/>
      <w:sz w:val="24"/>
      <w:szCs w:val="24"/>
    </w:rPr>
  </w:style>
  <w:style w:type="paragraph" w:styleId="8">
    <w:name w:val="heading 7"/>
    <w:basedOn w:val="1"/>
    <w:next w:val="9"/>
    <w:link w:val="39"/>
    <w:autoRedefine/>
    <w:qFormat/>
    <w:uiPriority w:val="0"/>
    <w:pPr>
      <w:keepNext/>
      <w:keepLines/>
      <w:spacing w:before="240" w:after="64" w:line="320" w:lineRule="auto"/>
      <w:outlineLvl w:val="6"/>
    </w:pPr>
    <w:rPr>
      <w:b/>
      <w:kern w:val="0"/>
      <w:sz w:val="24"/>
      <w:szCs w:val="20"/>
    </w:rPr>
  </w:style>
  <w:style w:type="character" w:default="1" w:styleId="28">
    <w:name w:val="Default Paragraph Font"/>
    <w:autoRedefine/>
    <w:semiHidden/>
    <w:unhideWhenUsed/>
    <w:qFormat/>
    <w:uiPriority w:val="1"/>
  </w:style>
  <w:style w:type="table" w:default="1" w:styleId="27">
    <w:name w:val="Normal Table"/>
    <w:autoRedefine/>
    <w:semiHidden/>
    <w:unhideWhenUsed/>
    <w:qFormat/>
    <w:uiPriority w:val="99"/>
    <w:tblPr>
      <w:tblCellMar>
        <w:top w:w="0" w:type="dxa"/>
        <w:left w:w="108" w:type="dxa"/>
        <w:bottom w:w="0" w:type="dxa"/>
        <w:right w:w="108" w:type="dxa"/>
      </w:tblCellMar>
    </w:tblPr>
  </w:style>
  <w:style w:type="paragraph" w:styleId="2">
    <w:name w:val="Plain Text"/>
    <w:basedOn w:val="1"/>
    <w:next w:val="1"/>
    <w:link w:val="47"/>
    <w:autoRedefine/>
    <w:qFormat/>
    <w:uiPriority w:val="0"/>
    <w:rPr>
      <w:rFonts w:ascii="宋体" w:hAnsi="Calibri"/>
      <w:sz w:val="22"/>
    </w:rPr>
  </w:style>
  <w:style w:type="paragraph" w:styleId="9">
    <w:name w:val="Normal Indent"/>
    <w:basedOn w:val="1"/>
    <w:autoRedefine/>
    <w:qFormat/>
    <w:uiPriority w:val="0"/>
    <w:pPr>
      <w:ind w:firstLine="420"/>
    </w:pPr>
    <w:rPr>
      <w:rFonts w:ascii="Calibri" w:hAnsi="Calibri"/>
    </w:rPr>
  </w:style>
  <w:style w:type="paragraph" w:styleId="10">
    <w:name w:val="Document Map"/>
    <w:basedOn w:val="1"/>
    <w:link w:val="42"/>
    <w:autoRedefine/>
    <w:qFormat/>
    <w:uiPriority w:val="0"/>
    <w:rPr>
      <w:rFonts w:ascii="宋体" w:hAnsi="Calibri"/>
      <w:sz w:val="18"/>
      <w:szCs w:val="18"/>
    </w:rPr>
  </w:style>
  <w:style w:type="paragraph" w:styleId="11">
    <w:name w:val="annotation text"/>
    <w:basedOn w:val="1"/>
    <w:link w:val="43"/>
    <w:autoRedefine/>
    <w:qFormat/>
    <w:uiPriority w:val="99"/>
    <w:pPr>
      <w:jc w:val="left"/>
    </w:pPr>
    <w:rPr>
      <w:rFonts w:ascii="Calibri" w:hAnsi="Calibri"/>
    </w:rPr>
  </w:style>
  <w:style w:type="paragraph" w:styleId="12">
    <w:name w:val="Body Text 3"/>
    <w:basedOn w:val="1"/>
    <w:link w:val="44"/>
    <w:autoRedefine/>
    <w:qFormat/>
    <w:uiPriority w:val="0"/>
    <w:rPr>
      <w:rFonts w:ascii="宋体" w:hAnsi="Calibri"/>
      <w:sz w:val="24"/>
    </w:rPr>
  </w:style>
  <w:style w:type="paragraph" w:styleId="13">
    <w:name w:val="Body Text"/>
    <w:basedOn w:val="1"/>
    <w:next w:val="1"/>
    <w:link w:val="45"/>
    <w:autoRedefine/>
    <w:qFormat/>
    <w:uiPriority w:val="0"/>
    <w:rPr>
      <w:szCs w:val="20"/>
    </w:rPr>
  </w:style>
  <w:style w:type="paragraph" w:styleId="14">
    <w:name w:val="Body Text Indent"/>
    <w:basedOn w:val="1"/>
    <w:link w:val="46"/>
    <w:autoRedefine/>
    <w:qFormat/>
    <w:uiPriority w:val="0"/>
    <w:pPr>
      <w:autoSpaceDE w:val="0"/>
      <w:autoSpaceDN w:val="0"/>
      <w:adjustRightInd w:val="0"/>
      <w:spacing w:line="0" w:lineRule="atLeast"/>
      <w:ind w:firstLine="525"/>
    </w:pPr>
    <w:rPr>
      <w:rFonts w:ascii="宋体" w:hAnsi="宋体"/>
      <w:color w:val="000000"/>
      <w:kern w:val="0"/>
      <w:sz w:val="20"/>
      <w:szCs w:val="24"/>
    </w:rPr>
  </w:style>
  <w:style w:type="paragraph" w:styleId="15">
    <w:name w:val="toc 3"/>
    <w:basedOn w:val="1"/>
    <w:next w:val="1"/>
    <w:autoRedefine/>
    <w:qFormat/>
    <w:uiPriority w:val="39"/>
    <w:pPr>
      <w:ind w:left="840" w:leftChars="400"/>
    </w:pPr>
    <w:rPr>
      <w:rFonts w:ascii="Calibri" w:hAnsi="Calibri"/>
    </w:rPr>
  </w:style>
  <w:style w:type="paragraph" w:styleId="16">
    <w:name w:val="Date"/>
    <w:basedOn w:val="1"/>
    <w:next w:val="1"/>
    <w:link w:val="48"/>
    <w:autoRedefine/>
    <w:qFormat/>
    <w:uiPriority w:val="0"/>
    <w:pPr>
      <w:ind w:left="100" w:leftChars="2500"/>
    </w:pPr>
    <w:rPr>
      <w:rFonts w:ascii="Calibri" w:hAnsi="Calibri"/>
    </w:rPr>
  </w:style>
  <w:style w:type="paragraph" w:styleId="17">
    <w:name w:val="Body Text Indent 2"/>
    <w:basedOn w:val="1"/>
    <w:link w:val="49"/>
    <w:autoRedefine/>
    <w:qFormat/>
    <w:uiPriority w:val="0"/>
    <w:pPr>
      <w:spacing w:line="480" w:lineRule="auto"/>
      <w:ind w:left="420" w:leftChars="200"/>
    </w:pPr>
    <w:rPr>
      <w:szCs w:val="24"/>
    </w:rPr>
  </w:style>
  <w:style w:type="paragraph" w:styleId="18">
    <w:name w:val="Balloon Text"/>
    <w:basedOn w:val="1"/>
    <w:link w:val="50"/>
    <w:autoRedefine/>
    <w:qFormat/>
    <w:uiPriority w:val="0"/>
    <w:rPr>
      <w:rFonts w:ascii="Calibri" w:hAnsi="Calibri"/>
      <w:sz w:val="18"/>
      <w:szCs w:val="18"/>
    </w:rPr>
  </w:style>
  <w:style w:type="paragraph" w:styleId="19">
    <w:name w:val="footer"/>
    <w:basedOn w:val="1"/>
    <w:link w:val="41"/>
    <w:autoRedefine/>
    <w:unhideWhenUsed/>
    <w:qFormat/>
    <w:uiPriority w:val="99"/>
    <w:pPr>
      <w:tabs>
        <w:tab w:val="center" w:pos="4153"/>
        <w:tab w:val="right" w:pos="8306"/>
      </w:tabs>
      <w:snapToGrid w:val="0"/>
      <w:jc w:val="left"/>
    </w:pPr>
    <w:rPr>
      <w:sz w:val="18"/>
      <w:szCs w:val="18"/>
    </w:rPr>
  </w:style>
  <w:style w:type="paragraph" w:styleId="20">
    <w:name w:val="envelope return"/>
    <w:basedOn w:val="1"/>
    <w:autoRedefine/>
    <w:qFormat/>
    <w:uiPriority w:val="0"/>
    <w:pPr>
      <w:snapToGrid w:val="0"/>
    </w:pPr>
    <w:rPr>
      <w:rFonts w:ascii="Arial" w:hAnsi="Arial" w:cs="Arial"/>
    </w:rPr>
  </w:style>
  <w:style w:type="paragraph" w:styleId="21">
    <w:name w:val="header"/>
    <w:basedOn w:val="1"/>
    <w:link w:val="40"/>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22">
    <w:name w:val="toc 1"/>
    <w:basedOn w:val="1"/>
    <w:next w:val="1"/>
    <w:autoRedefine/>
    <w:qFormat/>
    <w:uiPriority w:val="39"/>
    <w:rPr>
      <w:rFonts w:ascii="Calibri" w:hAnsi="Calibri"/>
    </w:rPr>
  </w:style>
  <w:style w:type="paragraph" w:styleId="23">
    <w:name w:val="toc 2"/>
    <w:basedOn w:val="1"/>
    <w:next w:val="1"/>
    <w:autoRedefine/>
    <w:qFormat/>
    <w:uiPriority w:val="39"/>
    <w:pPr>
      <w:ind w:left="420" w:leftChars="200"/>
    </w:pPr>
    <w:rPr>
      <w:rFonts w:ascii="Calibri" w:hAnsi="Calibri"/>
    </w:rPr>
  </w:style>
  <w:style w:type="paragraph" w:styleId="24">
    <w:name w:val="annotation subject"/>
    <w:basedOn w:val="11"/>
    <w:next w:val="11"/>
    <w:link w:val="51"/>
    <w:autoRedefine/>
    <w:qFormat/>
    <w:uiPriority w:val="0"/>
    <w:rPr>
      <w:b/>
      <w:bCs/>
    </w:rPr>
  </w:style>
  <w:style w:type="paragraph" w:styleId="25">
    <w:name w:val="Body Text First Indent"/>
    <w:basedOn w:val="13"/>
    <w:link w:val="52"/>
    <w:autoRedefine/>
    <w:qFormat/>
    <w:uiPriority w:val="0"/>
    <w:pPr>
      <w:spacing w:line="312" w:lineRule="auto"/>
      <w:ind w:firstLine="420"/>
    </w:pPr>
    <w:rPr>
      <w:rFonts w:ascii="Calibri" w:hAnsi="Calibri"/>
      <w:szCs w:val="24"/>
    </w:rPr>
  </w:style>
  <w:style w:type="paragraph" w:styleId="26">
    <w:name w:val="Body Text First Indent 2"/>
    <w:basedOn w:val="14"/>
    <w:link w:val="53"/>
    <w:autoRedefine/>
    <w:qFormat/>
    <w:uiPriority w:val="0"/>
    <w:pPr>
      <w:autoSpaceDE/>
      <w:autoSpaceDN/>
      <w:adjustRightInd/>
      <w:spacing w:after="120" w:line="240" w:lineRule="auto"/>
      <w:ind w:left="420" w:leftChars="200" w:firstLine="420" w:firstLineChars="200"/>
    </w:pPr>
    <w:rPr>
      <w:rFonts w:ascii="Times New Roman" w:hAnsi="Times New Roman"/>
      <w:color w:val="auto"/>
      <w:kern w:val="2"/>
      <w:sz w:val="21"/>
    </w:rPr>
  </w:style>
  <w:style w:type="character" w:styleId="29">
    <w:name w:val="page number"/>
    <w:autoRedefine/>
    <w:qFormat/>
    <w:uiPriority w:val="0"/>
    <w:rPr>
      <w:rFonts w:ascii="Calibri" w:hAnsi="Calibri" w:eastAsia="宋体" w:cs="Times New Roman"/>
    </w:rPr>
  </w:style>
  <w:style w:type="character" w:styleId="30">
    <w:name w:val="FollowedHyperlink"/>
    <w:autoRedefine/>
    <w:qFormat/>
    <w:uiPriority w:val="0"/>
    <w:rPr>
      <w:rFonts w:ascii="Times New Roman" w:hAnsi="Times New Roman" w:eastAsia="楷体_GB2312" w:cs="Times New Roman"/>
      <w:color w:val="000000"/>
      <w:u w:val="none"/>
    </w:rPr>
  </w:style>
  <w:style w:type="character" w:styleId="31">
    <w:name w:val="Hyperlink"/>
    <w:autoRedefine/>
    <w:qFormat/>
    <w:uiPriority w:val="99"/>
    <w:rPr>
      <w:rFonts w:ascii="Calibri" w:hAnsi="Calibri" w:eastAsia="宋体" w:cs="Times New Roman"/>
      <w:color w:val="0000FF"/>
      <w:u w:val="single"/>
    </w:rPr>
  </w:style>
  <w:style w:type="character" w:styleId="32">
    <w:name w:val="annotation reference"/>
    <w:autoRedefine/>
    <w:qFormat/>
    <w:uiPriority w:val="99"/>
    <w:rPr>
      <w:rFonts w:ascii="Calibri" w:hAnsi="Calibri" w:eastAsia="宋体" w:cs="Times New Roman"/>
      <w:sz w:val="21"/>
      <w:szCs w:val="21"/>
    </w:rPr>
  </w:style>
  <w:style w:type="paragraph" w:customStyle="1" w:styleId="33">
    <w:name w:val="_Style 3"/>
    <w:basedOn w:val="1"/>
    <w:autoRedefine/>
    <w:qFormat/>
    <w:uiPriority w:val="0"/>
    <w:pPr>
      <w:spacing w:line="360" w:lineRule="auto"/>
      <w:jc w:val="center"/>
    </w:pPr>
    <w:rPr>
      <w:szCs w:val="20"/>
    </w:rPr>
  </w:style>
  <w:style w:type="character" w:customStyle="1" w:styleId="34">
    <w:name w:val="标题 1 Char"/>
    <w:basedOn w:val="28"/>
    <w:link w:val="3"/>
    <w:autoRedefine/>
    <w:qFormat/>
    <w:uiPriority w:val="0"/>
    <w:rPr>
      <w:rFonts w:ascii="宋体" w:hAnsi="宋体" w:eastAsia="宋体" w:cs="Times New Roman"/>
      <w:b/>
      <w:kern w:val="44"/>
      <w:sz w:val="44"/>
      <w:szCs w:val="20"/>
    </w:rPr>
  </w:style>
  <w:style w:type="character" w:customStyle="1" w:styleId="35">
    <w:name w:val="标题 2 Char"/>
    <w:basedOn w:val="28"/>
    <w:link w:val="4"/>
    <w:autoRedefine/>
    <w:qFormat/>
    <w:uiPriority w:val="0"/>
    <w:rPr>
      <w:rFonts w:ascii="Arial" w:hAnsi="Arial" w:eastAsia="宋体" w:cs="Times New Roman"/>
      <w:b/>
      <w:sz w:val="24"/>
      <w:szCs w:val="20"/>
    </w:rPr>
  </w:style>
  <w:style w:type="character" w:customStyle="1" w:styleId="36">
    <w:name w:val="标题 3 Char"/>
    <w:basedOn w:val="28"/>
    <w:link w:val="5"/>
    <w:autoRedefine/>
    <w:qFormat/>
    <w:uiPriority w:val="0"/>
    <w:rPr>
      <w:rFonts w:ascii="宋体" w:hAnsi="宋体" w:eastAsia="宋体" w:cs="Times New Roman"/>
      <w:b/>
      <w:sz w:val="28"/>
      <w:szCs w:val="28"/>
    </w:rPr>
  </w:style>
  <w:style w:type="character" w:customStyle="1" w:styleId="37">
    <w:name w:val="标题 4 Char"/>
    <w:basedOn w:val="28"/>
    <w:link w:val="6"/>
    <w:autoRedefine/>
    <w:qFormat/>
    <w:uiPriority w:val="0"/>
    <w:rPr>
      <w:rFonts w:ascii="Cambria" w:hAnsi="Cambria" w:eastAsia="宋体" w:cs="Times New Roman"/>
      <w:b/>
      <w:bCs/>
      <w:sz w:val="28"/>
      <w:szCs w:val="28"/>
    </w:rPr>
  </w:style>
  <w:style w:type="character" w:customStyle="1" w:styleId="38">
    <w:name w:val="标题 5 Char"/>
    <w:basedOn w:val="28"/>
    <w:link w:val="7"/>
    <w:autoRedefine/>
    <w:qFormat/>
    <w:uiPriority w:val="0"/>
    <w:rPr>
      <w:rFonts w:ascii="Times New Roman" w:hAnsi="Times New Roman" w:eastAsia="宋体" w:cs="Times New Roman"/>
      <w:b/>
      <w:bCs/>
      <w:sz w:val="24"/>
      <w:szCs w:val="24"/>
    </w:rPr>
  </w:style>
  <w:style w:type="character" w:customStyle="1" w:styleId="39">
    <w:name w:val="标题 7 Char"/>
    <w:basedOn w:val="28"/>
    <w:link w:val="8"/>
    <w:autoRedefine/>
    <w:qFormat/>
    <w:uiPriority w:val="0"/>
    <w:rPr>
      <w:rFonts w:ascii="Times New Roman" w:hAnsi="Times New Roman" w:eastAsia="宋体" w:cs="Times New Roman"/>
      <w:b/>
      <w:kern w:val="0"/>
      <w:sz w:val="24"/>
      <w:szCs w:val="20"/>
    </w:rPr>
  </w:style>
  <w:style w:type="character" w:customStyle="1" w:styleId="40">
    <w:name w:val="页眉 Char1"/>
    <w:basedOn w:val="28"/>
    <w:link w:val="21"/>
    <w:autoRedefine/>
    <w:qFormat/>
    <w:uiPriority w:val="99"/>
    <w:rPr>
      <w:rFonts w:ascii="Times New Roman" w:hAnsi="Times New Roman" w:eastAsia="宋体" w:cs="Times New Roman"/>
      <w:sz w:val="18"/>
      <w:szCs w:val="18"/>
    </w:rPr>
  </w:style>
  <w:style w:type="character" w:customStyle="1" w:styleId="41">
    <w:name w:val="页脚 Char1"/>
    <w:basedOn w:val="28"/>
    <w:link w:val="19"/>
    <w:autoRedefine/>
    <w:qFormat/>
    <w:uiPriority w:val="99"/>
    <w:rPr>
      <w:rFonts w:ascii="Times New Roman" w:hAnsi="Times New Roman" w:eastAsia="宋体" w:cs="Times New Roman"/>
      <w:sz w:val="18"/>
      <w:szCs w:val="18"/>
    </w:rPr>
  </w:style>
  <w:style w:type="character" w:customStyle="1" w:styleId="42">
    <w:name w:val="文档结构图 Char"/>
    <w:basedOn w:val="28"/>
    <w:link w:val="10"/>
    <w:autoRedefine/>
    <w:qFormat/>
    <w:uiPriority w:val="0"/>
    <w:rPr>
      <w:rFonts w:ascii="宋体" w:hAnsi="Calibri" w:eastAsia="宋体" w:cs="Times New Roman"/>
      <w:sz w:val="18"/>
      <w:szCs w:val="18"/>
    </w:rPr>
  </w:style>
  <w:style w:type="character" w:customStyle="1" w:styleId="43">
    <w:name w:val="批注文字 Char"/>
    <w:basedOn w:val="28"/>
    <w:link w:val="11"/>
    <w:autoRedefine/>
    <w:qFormat/>
    <w:uiPriority w:val="99"/>
    <w:rPr>
      <w:rFonts w:ascii="Calibri" w:hAnsi="Calibri" w:eastAsia="宋体" w:cs="Times New Roman"/>
    </w:rPr>
  </w:style>
  <w:style w:type="character" w:customStyle="1" w:styleId="44">
    <w:name w:val="正文文本 3 Char"/>
    <w:basedOn w:val="28"/>
    <w:link w:val="12"/>
    <w:autoRedefine/>
    <w:qFormat/>
    <w:uiPriority w:val="0"/>
    <w:rPr>
      <w:rFonts w:ascii="宋体" w:hAnsi="Calibri" w:eastAsia="宋体" w:cs="Times New Roman"/>
      <w:sz w:val="24"/>
    </w:rPr>
  </w:style>
  <w:style w:type="character" w:customStyle="1" w:styleId="45">
    <w:name w:val="正文文本 Char"/>
    <w:basedOn w:val="28"/>
    <w:link w:val="13"/>
    <w:autoRedefine/>
    <w:qFormat/>
    <w:uiPriority w:val="0"/>
    <w:rPr>
      <w:rFonts w:ascii="Times New Roman" w:hAnsi="Times New Roman" w:eastAsia="宋体" w:cs="Times New Roman"/>
      <w:szCs w:val="20"/>
    </w:rPr>
  </w:style>
  <w:style w:type="character" w:customStyle="1" w:styleId="46">
    <w:name w:val="正文文本缩进 Char"/>
    <w:basedOn w:val="28"/>
    <w:link w:val="14"/>
    <w:autoRedefine/>
    <w:qFormat/>
    <w:uiPriority w:val="0"/>
    <w:rPr>
      <w:rFonts w:ascii="宋体" w:hAnsi="宋体" w:eastAsia="宋体" w:cs="Times New Roman"/>
      <w:color w:val="000000"/>
      <w:kern w:val="0"/>
      <w:sz w:val="20"/>
      <w:szCs w:val="24"/>
    </w:rPr>
  </w:style>
  <w:style w:type="character" w:customStyle="1" w:styleId="47">
    <w:name w:val="纯文本 Char"/>
    <w:basedOn w:val="28"/>
    <w:link w:val="2"/>
    <w:autoRedefine/>
    <w:qFormat/>
    <w:uiPriority w:val="0"/>
    <w:rPr>
      <w:rFonts w:ascii="宋体" w:hAnsi="Calibri" w:eastAsia="宋体" w:cs="Times New Roman"/>
      <w:sz w:val="22"/>
    </w:rPr>
  </w:style>
  <w:style w:type="character" w:customStyle="1" w:styleId="48">
    <w:name w:val="日期 Char"/>
    <w:basedOn w:val="28"/>
    <w:link w:val="16"/>
    <w:autoRedefine/>
    <w:qFormat/>
    <w:uiPriority w:val="0"/>
    <w:rPr>
      <w:rFonts w:ascii="Calibri" w:hAnsi="Calibri" w:eastAsia="宋体" w:cs="Times New Roman"/>
    </w:rPr>
  </w:style>
  <w:style w:type="character" w:customStyle="1" w:styleId="49">
    <w:name w:val="正文文本缩进 2 Char"/>
    <w:basedOn w:val="28"/>
    <w:link w:val="17"/>
    <w:autoRedefine/>
    <w:qFormat/>
    <w:uiPriority w:val="0"/>
    <w:rPr>
      <w:rFonts w:ascii="Times New Roman" w:hAnsi="Times New Roman" w:eastAsia="宋体" w:cs="Times New Roman"/>
      <w:szCs w:val="24"/>
    </w:rPr>
  </w:style>
  <w:style w:type="character" w:customStyle="1" w:styleId="50">
    <w:name w:val="批注框文本 Char"/>
    <w:basedOn w:val="28"/>
    <w:link w:val="18"/>
    <w:autoRedefine/>
    <w:qFormat/>
    <w:uiPriority w:val="0"/>
    <w:rPr>
      <w:rFonts w:ascii="Calibri" w:hAnsi="Calibri" w:eastAsia="宋体" w:cs="Times New Roman"/>
      <w:sz w:val="18"/>
      <w:szCs w:val="18"/>
    </w:rPr>
  </w:style>
  <w:style w:type="character" w:customStyle="1" w:styleId="51">
    <w:name w:val="批注主题 Char"/>
    <w:basedOn w:val="43"/>
    <w:link w:val="24"/>
    <w:autoRedefine/>
    <w:qFormat/>
    <w:uiPriority w:val="0"/>
    <w:rPr>
      <w:rFonts w:ascii="Calibri" w:hAnsi="Calibri" w:eastAsia="宋体" w:cs="Times New Roman"/>
      <w:b/>
      <w:bCs/>
    </w:rPr>
  </w:style>
  <w:style w:type="character" w:customStyle="1" w:styleId="52">
    <w:name w:val="正文首行缩进 Char"/>
    <w:basedOn w:val="45"/>
    <w:link w:val="25"/>
    <w:autoRedefine/>
    <w:qFormat/>
    <w:uiPriority w:val="0"/>
    <w:rPr>
      <w:rFonts w:ascii="Calibri" w:hAnsi="Calibri" w:eastAsia="宋体" w:cs="Times New Roman"/>
      <w:szCs w:val="24"/>
    </w:rPr>
  </w:style>
  <w:style w:type="character" w:customStyle="1" w:styleId="53">
    <w:name w:val="正文首行缩进 2 Char"/>
    <w:basedOn w:val="46"/>
    <w:link w:val="26"/>
    <w:autoRedefine/>
    <w:qFormat/>
    <w:uiPriority w:val="0"/>
    <w:rPr>
      <w:rFonts w:ascii="Times New Roman" w:hAnsi="Times New Roman" w:eastAsia="宋体" w:cs="Times New Roman"/>
      <w:color w:val="000000"/>
      <w:kern w:val="0"/>
      <w:sz w:val="20"/>
      <w:szCs w:val="24"/>
    </w:rPr>
  </w:style>
  <w:style w:type="character" w:customStyle="1" w:styleId="54">
    <w:name w:val="datagrid-sort-icon3"/>
    <w:basedOn w:val="28"/>
    <w:autoRedefine/>
    <w:qFormat/>
    <w:uiPriority w:val="0"/>
    <w:rPr>
      <w:rFonts w:ascii="Calibri" w:hAnsi="Calibri" w:eastAsia="宋体" w:cs="Times New Roman"/>
    </w:rPr>
  </w:style>
  <w:style w:type="paragraph" w:customStyle="1" w:styleId="55">
    <w:name w:val="列出段落1"/>
    <w:basedOn w:val="1"/>
    <w:autoRedefine/>
    <w:qFormat/>
    <w:uiPriority w:val="0"/>
    <w:pPr>
      <w:ind w:firstLine="420" w:firstLineChars="200"/>
    </w:pPr>
    <w:rPr>
      <w:szCs w:val="24"/>
    </w:rPr>
  </w:style>
  <w:style w:type="paragraph" w:customStyle="1" w:styleId="56">
    <w:name w:val="列表段落1"/>
    <w:basedOn w:val="1"/>
    <w:autoRedefine/>
    <w:qFormat/>
    <w:uiPriority w:val="0"/>
    <w:pPr>
      <w:ind w:firstLine="420" w:firstLineChars="200"/>
    </w:pPr>
    <w:rPr>
      <w:szCs w:val="24"/>
    </w:rPr>
  </w:style>
  <w:style w:type="paragraph" w:customStyle="1" w:styleId="57">
    <w:name w:val="正文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8">
    <w:name w:val="修订1"/>
    <w:autoRedefine/>
    <w:qFormat/>
    <w:uiPriority w:val="0"/>
    <w:rPr>
      <w:rFonts w:ascii="Times New Roman" w:hAnsi="Times New Roman" w:eastAsia="宋体" w:cs="Times New Roman"/>
      <w:kern w:val="2"/>
      <w:sz w:val="21"/>
      <w:szCs w:val="22"/>
      <w:lang w:val="en-US" w:eastAsia="zh-CN" w:bidi="ar-SA"/>
    </w:rPr>
  </w:style>
  <w:style w:type="paragraph" w:customStyle="1" w:styleId="59">
    <w:name w:val="公文正文"/>
    <w:autoRedefine/>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 w:type="paragraph" w:customStyle="1" w:styleId="60">
    <w:name w:val="列表段落2"/>
    <w:basedOn w:val="1"/>
    <w:autoRedefine/>
    <w:qFormat/>
    <w:uiPriority w:val="0"/>
    <w:pPr>
      <w:ind w:firstLine="420" w:firstLineChars="200"/>
    </w:pPr>
    <w:rPr>
      <w:szCs w:val="24"/>
    </w:rPr>
  </w:style>
  <w:style w:type="paragraph" w:customStyle="1" w:styleId="61">
    <w:name w:val="正文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62">
    <w:name w:val="页眉 Char"/>
    <w:basedOn w:val="28"/>
    <w:autoRedefine/>
    <w:qFormat/>
    <w:uiPriority w:val="0"/>
    <w:rPr>
      <w:kern w:val="2"/>
      <w:sz w:val="18"/>
      <w:szCs w:val="18"/>
    </w:rPr>
  </w:style>
  <w:style w:type="character" w:customStyle="1" w:styleId="63">
    <w:name w:val="页脚 Char"/>
    <w:basedOn w:val="28"/>
    <w:autoRedefine/>
    <w:qFormat/>
    <w:uiPriority w:val="0"/>
    <w:rPr>
      <w:kern w:val="2"/>
      <w:sz w:val="18"/>
      <w:szCs w:val="18"/>
    </w:rPr>
  </w:style>
  <w:style w:type="paragraph" w:customStyle="1" w:styleId="64">
    <w:name w:val="Revision"/>
    <w:autoRedefine/>
    <w:hidden/>
    <w:semiHidden/>
    <w:qFormat/>
    <w:uiPriority w:val="99"/>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3.emf"/><Relationship Id="rId14" Type="http://schemas.openxmlformats.org/officeDocument/2006/relationships/image" Target="media/image2.emf"/><Relationship Id="rId13" Type="http://schemas.openxmlformats.org/officeDocument/2006/relationships/image" Target="media/image1.jpeg"/><Relationship Id="rId12" Type="http://schemas.openxmlformats.org/officeDocument/2006/relationships/theme" Target="theme/theme1.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83</Pages>
  <Words>43709</Words>
  <Characters>47107</Characters>
  <Lines>363</Lines>
  <Paragraphs>102</Paragraphs>
  <TotalTime>7</TotalTime>
  <ScaleCrop>false</ScaleCrop>
  <LinksUpToDate>false</LinksUpToDate>
  <CharactersWithSpaces>48960</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2022-07-04T09:19:00Z</dcterms:created>
  <dc:creator>Admin</dc:creator>
  <cp:lastModifiedBy>Z</cp:lastModifiedBy>
  <cp:lastPrinted>2024-03-14T03:30:00Z</cp:lastPrinted>
  <dcterms:modified xsi:type="dcterms:W3CDTF">2024-07-11T02:42:39Z</dcterms:modified>
  <cp:revision>187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4201E60289E541E68E65DAA79A78705A_13</vt:lpwstr>
  </property>
</Properties>
</file>