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宋体" w:hAnsi="宋体" w:cs="宋体"/>
          <w:b/>
          <w:kern w:val="0"/>
          <w:sz w:val="36"/>
          <w:szCs w:val="36"/>
        </w:rPr>
      </w:pPr>
      <w:bookmarkStart w:id="0" w:name="_Toc95482355"/>
      <w:r>
        <w:rPr>
          <w:rFonts w:hint="eastAsia" w:ascii="宋体" w:hAnsi="宋体" w:cs="宋体"/>
          <w:b/>
          <w:kern w:val="0"/>
          <w:sz w:val="36"/>
          <w:szCs w:val="36"/>
          <w:lang w:eastAsia="zh-CN"/>
        </w:rPr>
        <w:t>华南师范大学附属中学增城学校周边市政道路建设工程第三方检测服务项目</w:t>
      </w:r>
      <w:r>
        <w:rPr>
          <w:rFonts w:hint="eastAsia" w:ascii="宋体" w:hAnsi="宋体" w:cs="宋体"/>
          <w:b/>
          <w:kern w:val="0"/>
          <w:sz w:val="36"/>
          <w:szCs w:val="36"/>
        </w:rPr>
        <w:t>（项目编号：JG2022-</w:t>
      </w:r>
      <w:r>
        <w:rPr>
          <w:rFonts w:hint="eastAsia" w:ascii="宋体" w:hAnsi="宋体" w:cs="宋体"/>
          <w:b/>
          <w:kern w:val="0"/>
          <w:sz w:val="36"/>
          <w:szCs w:val="36"/>
          <w:lang w:val="en-US" w:eastAsia="zh-CN"/>
        </w:rPr>
        <w:t>11187</w:t>
      </w:r>
      <w:r>
        <w:rPr>
          <w:rFonts w:hint="eastAsia" w:ascii="宋体" w:hAnsi="宋体" w:cs="宋体"/>
          <w:b/>
          <w:kern w:val="0"/>
          <w:sz w:val="36"/>
          <w:szCs w:val="36"/>
        </w:rPr>
        <w:t>）</w:t>
      </w:r>
    </w:p>
    <w:p>
      <w:pPr>
        <w:widowControl/>
        <w:adjustRightInd w:val="0"/>
        <w:snapToGrid w:val="0"/>
        <w:jc w:val="center"/>
        <w:rPr>
          <w:rFonts w:ascii="宋体" w:hAnsi="宋体" w:cs="宋体"/>
          <w:b/>
          <w:kern w:val="0"/>
          <w:sz w:val="36"/>
          <w:szCs w:val="36"/>
        </w:rPr>
      </w:pPr>
      <w:r>
        <w:rPr>
          <w:rFonts w:hint="eastAsia" w:ascii="宋体" w:hAnsi="宋体" w:cs="宋体"/>
          <w:b/>
          <w:kern w:val="0"/>
          <w:sz w:val="36"/>
          <w:szCs w:val="36"/>
        </w:rPr>
        <w:t>补充公告</w:t>
      </w:r>
    </w:p>
    <w:p>
      <w:pPr>
        <w:spacing w:line="500" w:lineRule="exact"/>
        <w:rPr>
          <w:rFonts w:hint="eastAsia" w:ascii="宋体" w:hAnsi="宋体" w:eastAsia="宋体" w:cs="宋体"/>
          <w:kern w:val="0"/>
          <w:sz w:val="24"/>
        </w:rPr>
      </w:pPr>
      <w:r>
        <w:rPr>
          <w:rFonts w:hint="eastAsia" w:ascii="宋体" w:hAnsi="宋体" w:eastAsia="宋体" w:cs="宋体"/>
          <w:kern w:val="0"/>
          <w:sz w:val="24"/>
        </w:rPr>
        <w:t>各投标单位：</w:t>
      </w:r>
    </w:p>
    <w:p>
      <w:pPr>
        <w:widowControl/>
        <w:spacing w:line="500" w:lineRule="exact"/>
        <w:ind w:firstLine="480" w:firstLineChars="200"/>
        <w:rPr>
          <w:rFonts w:ascii="仿宋" w:hAnsi="仿宋" w:eastAsia="仿宋" w:cs="宋体"/>
          <w:bCs/>
          <w:kern w:val="0"/>
          <w:sz w:val="24"/>
        </w:rPr>
      </w:pPr>
      <w:r>
        <w:rPr>
          <w:rFonts w:hint="eastAsia" w:ascii="宋体" w:hAnsi="宋体" w:eastAsia="宋体" w:cs="宋体"/>
          <w:kern w:val="0"/>
          <w:sz w:val="24"/>
          <w:lang w:eastAsia="zh-CN"/>
        </w:rPr>
        <w:t>华南师范大学附属中学增城学校周边市政道路建设工程第三方检测服务项目</w:t>
      </w:r>
      <w:r>
        <w:rPr>
          <w:rFonts w:hint="eastAsia" w:ascii="宋体" w:hAnsi="宋体" w:eastAsia="宋体" w:cs="宋体"/>
          <w:kern w:val="0"/>
          <w:sz w:val="24"/>
        </w:rPr>
        <w:t>（项目编号：</w:t>
      </w:r>
      <w:r>
        <w:rPr>
          <w:rFonts w:hint="eastAsia" w:ascii="宋体" w:hAnsi="宋体" w:eastAsia="宋体" w:cs="宋体"/>
          <w:kern w:val="0"/>
          <w:sz w:val="24"/>
          <w:lang w:eastAsia="zh-CN"/>
        </w:rPr>
        <w:t>JG2022-11187</w:t>
      </w:r>
      <w:r>
        <w:rPr>
          <w:rFonts w:hint="eastAsia" w:ascii="宋体" w:hAnsi="宋体" w:eastAsia="宋体" w:cs="宋体"/>
          <w:kern w:val="0"/>
          <w:sz w:val="24"/>
        </w:rPr>
        <w:t>）</w:t>
      </w:r>
      <w:r>
        <w:rPr>
          <w:rFonts w:hint="eastAsia" w:ascii="宋体" w:hAnsi="宋体" w:eastAsia="宋体" w:cs="宋体"/>
          <w:bCs/>
          <w:kern w:val="0"/>
          <w:sz w:val="24"/>
        </w:rPr>
        <w:t>招标公告</w:t>
      </w:r>
      <w:r>
        <w:rPr>
          <w:rFonts w:hint="eastAsia" w:ascii="宋体" w:hAnsi="宋体" w:eastAsia="宋体" w:cs="宋体"/>
          <w:kern w:val="0"/>
          <w:sz w:val="24"/>
        </w:rPr>
        <w:t>于2022年</w:t>
      </w:r>
      <w:r>
        <w:rPr>
          <w:rFonts w:hint="eastAsia" w:ascii="宋体" w:hAnsi="宋体" w:eastAsia="宋体" w:cs="宋体"/>
          <w:kern w:val="0"/>
          <w:sz w:val="24"/>
          <w:lang w:val="en-US" w:eastAsia="zh-CN"/>
        </w:rPr>
        <w:t>3</w:t>
      </w:r>
      <w:r>
        <w:rPr>
          <w:rFonts w:hint="eastAsia" w:ascii="宋体" w:hAnsi="宋体" w:eastAsia="宋体" w:cs="宋体"/>
          <w:kern w:val="0"/>
          <w:sz w:val="24"/>
        </w:rPr>
        <w:t>月</w:t>
      </w:r>
      <w:r>
        <w:rPr>
          <w:rFonts w:hint="eastAsia" w:ascii="宋体" w:hAnsi="宋体" w:eastAsia="宋体" w:cs="宋体"/>
          <w:kern w:val="0"/>
          <w:sz w:val="24"/>
          <w:lang w:val="en-US" w:eastAsia="zh-CN"/>
        </w:rPr>
        <w:t>19</w:t>
      </w:r>
      <w:r>
        <w:rPr>
          <w:rFonts w:hint="eastAsia" w:ascii="宋体" w:hAnsi="宋体" w:eastAsia="宋体" w:cs="宋体"/>
          <w:kern w:val="0"/>
          <w:sz w:val="24"/>
        </w:rPr>
        <w:t>日</w:t>
      </w:r>
      <w:r>
        <w:rPr>
          <w:rFonts w:hint="eastAsia" w:ascii="宋体" w:hAnsi="宋体" w:eastAsia="宋体" w:cs="宋体"/>
          <w:bCs/>
          <w:kern w:val="0"/>
          <w:sz w:val="24"/>
        </w:rPr>
        <w:t>在广州公共资源交易网、广东省招标投标监管网和中国招标投标公共服务平台发布。现对原招标公告、招标文件作如下修改与补充，原招标公告、招标文件中其他内容不变，如原招标公告、招标文件内容与本补充公告内容存在矛盾的，以本补充公告内容为准。如对同一事项的表述与之前所发出的招标公告、招标文件不符，则以本补充公告为准。</w:t>
      </w:r>
    </w:p>
    <w:p>
      <w:pPr>
        <w:widowControl/>
        <w:spacing w:after="156" w:afterLines="50" w:line="500" w:lineRule="exact"/>
        <w:ind w:firstLine="482" w:firstLineChars="200"/>
        <w:rPr>
          <w:rFonts w:ascii="仿宋" w:hAnsi="仿宋" w:eastAsia="仿宋" w:cs="宋体"/>
          <w:b/>
          <w:bCs/>
          <w:kern w:val="0"/>
          <w:sz w:val="24"/>
        </w:rPr>
      </w:pPr>
      <w:r>
        <w:rPr>
          <w:rFonts w:hint="eastAsia" w:ascii="仿宋" w:hAnsi="仿宋" w:eastAsia="仿宋" w:cs="宋体"/>
          <w:b/>
          <w:bCs/>
          <w:kern w:val="0"/>
          <w:sz w:val="24"/>
        </w:rPr>
        <w:t>一、对招标文件相关内容进行修改：</w:t>
      </w:r>
    </w:p>
    <w:tbl>
      <w:tblPr>
        <w:tblStyle w:val="14"/>
        <w:tblW w:w="975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625"/>
        <w:gridCol w:w="2430"/>
        <w:gridCol w:w="3202"/>
        <w:gridCol w:w="349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blHeader/>
          <w:jc w:val="center"/>
        </w:trPr>
        <w:tc>
          <w:tcPr>
            <w:tcW w:w="625" w:type="dxa"/>
            <w:tcBorders>
              <w:bottom w:val="single" w:color="auto" w:sz="4" w:space="0"/>
              <w:tl2br w:val="nil"/>
              <w:tr2bl w:val="nil"/>
            </w:tcBorders>
            <w:shd w:val="clear" w:color="auto" w:fill="auto"/>
            <w:vAlign w:val="center"/>
          </w:tcPr>
          <w:p>
            <w:pPr>
              <w:widowControl/>
              <w:adjustRightInd w:val="0"/>
              <w:jc w:val="center"/>
              <w:rPr>
                <w:rFonts w:ascii="仿宋" w:hAnsi="仿宋" w:eastAsia="仿宋" w:cs="Open Sans"/>
                <w:kern w:val="0"/>
                <w:szCs w:val="21"/>
              </w:rPr>
            </w:pPr>
            <w:r>
              <w:rPr>
                <w:rFonts w:hint="eastAsia" w:ascii="仿宋" w:hAnsi="仿宋" w:eastAsia="仿宋" w:cs="宋体"/>
                <w:b/>
                <w:bCs/>
                <w:kern w:val="0"/>
                <w:szCs w:val="21"/>
              </w:rPr>
              <w:t>序号</w:t>
            </w:r>
          </w:p>
        </w:tc>
        <w:tc>
          <w:tcPr>
            <w:tcW w:w="2430" w:type="dxa"/>
            <w:tcBorders>
              <w:bottom w:val="single" w:color="auto" w:sz="4" w:space="0"/>
              <w:tl2br w:val="nil"/>
              <w:tr2bl w:val="nil"/>
            </w:tcBorders>
            <w:shd w:val="clear" w:color="auto" w:fill="auto"/>
            <w:vAlign w:val="center"/>
          </w:tcPr>
          <w:p>
            <w:pPr>
              <w:widowControl/>
              <w:adjustRightInd w:val="0"/>
              <w:jc w:val="center"/>
              <w:rPr>
                <w:rFonts w:ascii="仿宋" w:hAnsi="仿宋" w:eastAsia="仿宋" w:cs="Open Sans"/>
                <w:kern w:val="0"/>
                <w:szCs w:val="21"/>
              </w:rPr>
            </w:pPr>
            <w:r>
              <w:rPr>
                <w:rFonts w:hint="eastAsia" w:ascii="仿宋" w:hAnsi="仿宋" w:eastAsia="仿宋" w:cs="宋体"/>
                <w:b/>
                <w:bCs/>
                <w:kern w:val="0"/>
                <w:szCs w:val="21"/>
              </w:rPr>
              <w:t>条款号</w:t>
            </w:r>
          </w:p>
        </w:tc>
        <w:tc>
          <w:tcPr>
            <w:tcW w:w="3202" w:type="dxa"/>
            <w:tcBorders>
              <w:bottom w:val="single" w:color="auto" w:sz="4" w:space="0"/>
              <w:tl2br w:val="nil"/>
              <w:tr2bl w:val="nil"/>
            </w:tcBorders>
            <w:shd w:val="clear" w:color="auto" w:fill="auto"/>
            <w:vAlign w:val="center"/>
          </w:tcPr>
          <w:p>
            <w:pPr>
              <w:widowControl/>
              <w:adjustRightInd w:val="0"/>
              <w:jc w:val="center"/>
              <w:rPr>
                <w:rFonts w:ascii="仿宋" w:hAnsi="仿宋" w:eastAsia="仿宋" w:cs="Open Sans"/>
                <w:kern w:val="0"/>
                <w:szCs w:val="21"/>
              </w:rPr>
            </w:pPr>
            <w:r>
              <w:rPr>
                <w:rFonts w:hint="eastAsia" w:ascii="仿宋" w:hAnsi="仿宋" w:eastAsia="仿宋" w:cs="宋体"/>
                <w:b/>
                <w:bCs/>
                <w:kern w:val="0"/>
                <w:szCs w:val="21"/>
              </w:rPr>
              <w:t>原文</w:t>
            </w:r>
            <w:r>
              <w:rPr>
                <w:rFonts w:hint="eastAsia" w:ascii="仿宋" w:hAnsi="仿宋" w:eastAsia="仿宋" w:cs="Open Sans"/>
                <w:kern w:val="0"/>
                <w:szCs w:val="21"/>
              </w:rPr>
              <w:t xml:space="preserve"> </w:t>
            </w:r>
          </w:p>
        </w:tc>
        <w:tc>
          <w:tcPr>
            <w:tcW w:w="3494" w:type="dxa"/>
            <w:tcBorders>
              <w:bottom w:val="single" w:color="auto" w:sz="4" w:space="0"/>
              <w:tl2br w:val="nil"/>
              <w:tr2bl w:val="nil"/>
            </w:tcBorders>
            <w:vAlign w:val="center"/>
          </w:tcPr>
          <w:p>
            <w:pPr>
              <w:widowControl/>
              <w:adjustRightInd w:val="0"/>
              <w:jc w:val="center"/>
              <w:rPr>
                <w:rFonts w:ascii="仿宋" w:hAnsi="仿宋" w:eastAsia="仿宋" w:cs="Open Sans"/>
                <w:kern w:val="0"/>
                <w:szCs w:val="21"/>
              </w:rPr>
            </w:pPr>
            <w:r>
              <w:rPr>
                <w:rFonts w:hint="eastAsia" w:ascii="仿宋" w:hAnsi="仿宋" w:eastAsia="仿宋" w:cs="宋体"/>
                <w:b/>
                <w:bCs/>
                <w:kern w:val="0"/>
                <w:szCs w:val="21"/>
              </w:rPr>
              <w:t>现文</w:t>
            </w:r>
            <w:r>
              <w:rPr>
                <w:rFonts w:hint="eastAsia" w:ascii="仿宋" w:hAnsi="仿宋" w:eastAsia="仿宋" w:cs="Open Sans"/>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9"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single"/>
                <w:lang w:val="en-US" w:eastAsia="zh-CN"/>
              </w:rPr>
            </w:pPr>
            <w:r>
              <w:rPr>
                <w:rFonts w:hint="eastAsia" w:ascii="宋体" w:hAnsi="宋体" w:eastAsia="宋体" w:cs="Times New Roman"/>
                <w:color w:val="auto"/>
                <w:sz w:val="21"/>
                <w:szCs w:val="21"/>
                <w:highlight w:val="none"/>
                <w:u w:val="single"/>
                <w:lang w:val="en-US" w:eastAsia="zh-CN"/>
              </w:rPr>
              <w:t>1</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lang w:eastAsia="zh-CN"/>
              </w:rPr>
              <w:t>第二章投标人须知中</w:t>
            </w:r>
            <w:r>
              <w:rPr>
                <w:rFonts w:hint="eastAsia" w:ascii="宋体" w:hAnsi="宋体" w:eastAsia="宋体" w:cs="Times New Roman"/>
                <w:color w:val="auto"/>
                <w:sz w:val="21"/>
                <w:szCs w:val="21"/>
                <w:highlight w:val="none"/>
                <w:u w:val="none"/>
              </w:rPr>
              <w:t>投标人须知前附表3.7.3（B）投标文件所附证书证件要求</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证书证件需为原件清晰扫描件（纸质原件的扫描件，《广州建设工程投标信息表》除外），并采用单位数字证书，按照招标文件要求在相应位置加盖电子印章。</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lang w:eastAsia="zh-CN"/>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9"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single"/>
                <w:lang w:val="en-US" w:eastAsia="zh-CN"/>
              </w:rPr>
            </w:pPr>
            <w:r>
              <w:rPr>
                <w:rFonts w:hint="eastAsia" w:ascii="宋体" w:hAnsi="宋体" w:eastAsia="宋体" w:cs="Times New Roman"/>
                <w:color w:val="auto"/>
                <w:sz w:val="21"/>
                <w:szCs w:val="21"/>
                <w:highlight w:val="none"/>
                <w:u w:val="single"/>
                <w:lang w:val="en-US" w:eastAsia="zh-CN"/>
              </w:rPr>
              <w:t>2</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lang w:eastAsia="zh-CN"/>
              </w:rPr>
              <w:t>第二章</w:t>
            </w:r>
            <w:r>
              <w:rPr>
                <w:rFonts w:hint="eastAsia" w:ascii="宋体" w:hAnsi="宋体" w:eastAsia="宋体" w:cs="Times New Roman"/>
                <w:color w:val="auto"/>
                <w:sz w:val="21"/>
                <w:szCs w:val="21"/>
                <w:highlight w:val="none"/>
                <w:u w:val="none"/>
              </w:rPr>
              <w:t>投标人须知</w:t>
            </w:r>
          </w:p>
          <w:p>
            <w:pPr>
              <w:widowControl/>
              <w:spacing w:line="400" w:lineRule="exact"/>
              <w:ind w:right="-82" w:rightChars="-39"/>
              <w:jc w:val="center"/>
              <w:rPr>
                <w:rFonts w:hint="default"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3.7.3电子投标文件的编制要求</w:t>
            </w:r>
            <w:r>
              <w:rPr>
                <w:rFonts w:hint="default" w:ascii="宋体" w:hAnsi="宋体" w:eastAsia="宋体" w:cs="Times New Roman"/>
                <w:color w:val="auto"/>
                <w:sz w:val="21"/>
                <w:szCs w:val="21"/>
                <w:highlight w:val="none"/>
                <w:u w:val="none"/>
                <w:lang w:val="en-US" w:eastAsia="zh-CN"/>
              </w:rPr>
              <w:t>③</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投标文件的内容均以电子文件（纸质原件的扫描件，《广州建设工程投标信息表》除外）编制，其格式要求详见第六章投标文件格式说明。</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投标文件的内容均以电子文件（纸质原件的扫描件，其格式要求详见第六章投标文件格式说明</w:t>
            </w:r>
            <w:r>
              <w:rPr>
                <w:rFonts w:hint="eastAsia" w:ascii="宋体" w:hAnsi="宋体" w:eastAsia="宋体" w:cs="Times New Roman"/>
                <w:color w:val="auto"/>
                <w:sz w:val="21"/>
                <w:szCs w:val="21"/>
                <w:highlight w:val="none"/>
                <w:u w:val="none"/>
                <w:lang w:eastAsia="zh-CN"/>
              </w:rPr>
              <w:t>）</w:t>
            </w:r>
            <w:r>
              <w:rPr>
                <w:rFonts w:hint="eastAsia" w:ascii="宋体" w:hAnsi="宋体" w:eastAsia="宋体" w:cs="Times New Roman"/>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9"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single"/>
                <w:lang w:val="en-US" w:eastAsia="zh-CN"/>
              </w:rPr>
            </w:pPr>
            <w:r>
              <w:rPr>
                <w:rFonts w:hint="eastAsia" w:ascii="宋体" w:hAnsi="宋体" w:cs="Times New Roman"/>
                <w:color w:val="auto"/>
                <w:sz w:val="21"/>
                <w:szCs w:val="21"/>
                <w:highlight w:val="none"/>
                <w:u w:val="single"/>
                <w:lang w:val="en-US" w:eastAsia="zh-CN"/>
              </w:rPr>
              <w:t>3</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lang w:eastAsia="zh-CN"/>
              </w:rPr>
              <w:t>第二章</w:t>
            </w:r>
            <w:r>
              <w:rPr>
                <w:rFonts w:hint="eastAsia" w:ascii="宋体" w:hAnsi="宋体" w:eastAsia="宋体" w:cs="Times New Roman"/>
                <w:color w:val="auto"/>
                <w:sz w:val="21"/>
                <w:szCs w:val="21"/>
                <w:highlight w:val="none"/>
                <w:u w:val="none"/>
              </w:rPr>
              <w:t>投标人须知</w:t>
            </w:r>
            <w:r>
              <w:rPr>
                <w:rFonts w:hint="eastAsia" w:ascii="宋体" w:hAnsi="宋体" w:eastAsia="宋体" w:cs="Times New Roman"/>
                <w:color w:val="auto"/>
                <w:sz w:val="21"/>
                <w:szCs w:val="21"/>
                <w:highlight w:val="none"/>
                <w:u w:val="none"/>
                <w:lang w:val="en-US" w:eastAsia="zh-CN"/>
              </w:rPr>
              <w:t>4.2.6</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电子投标文件的解密：电子投标文件递交截止时间到达后的1个小时内为投标人对电子投标文件的解密时间。投标人须在规定解密时间内使用制作该电子投标文件的机构业务数字证书对投标文件进行解密。逾期未解密的电子投标文件将被否决。</w:t>
            </w:r>
          </w:p>
        </w:tc>
        <w:tc>
          <w:tcPr>
            <w:tcW w:w="3494" w:type="dxa"/>
            <w:tcBorders>
              <w:top w:val="single" w:color="auto" w:sz="4" w:space="0"/>
              <w:bottom w:val="single" w:color="auto" w:sz="4" w:space="0"/>
            </w:tcBorders>
            <w:vAlign w:val="center"/>
          </w:tcPr>
          <w:p>
            <w:pPr>
              <w:widowControl/>
              <w:spacing w:line="400" w:lineRule="exact"/>
              <w:ind w:right="-82" w:rightChars="-39"/>
              <w:jc w:val="left"/>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电子投标文件的解密：电子投标文件递交截止时间到达后的</w:t>
            </w:r>
            <w:r>
              <w:rPr>
                <w:rFonts w:hint="eastAsia" w:ascii="宋体" w:hAnsi="宋体" w:eastAsia="宋体" w:cs="Times New Roman"/>
                <w:color w:val="auto"/>
                <w:sz w:val="21"/>
                <w:szCs w:val="21"/>
                <w:highlight w:val="none"/>
                <w:u w:val="none"/>
                <w:lang w:eastAsia="zh-CN"/>
              </w:rPr>
              <w:t>半</w:t>
            </w:r>
            <w:r>
              <w:rPr>
                <w:rFonts w:hint="eastAsia" w:ascii="宋体" w:hAnsi="宋体" w:eastAsia="宋体" w:cs="Times New Roman"/>
                <w:color w:val="auto"/>
                <w:sz w:val="21"/>
                <w:szCs w:val="21"/>
                <w:highlight w:val="none"/>
                <w:u w:val="none"/>
              </w:rPr>
              <w:t>个小时内为投标人对电子投标文件的解密时间。投标人须在规定解密时间内使用制作该电子投标文件的机构业务数字证书对投标文件进行解密。逾期未解密的电子投标文件将被否决。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8"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single"/>
                <w:lang w:eastAsia="zh-CN"/>
              </w:rPr>
            </w:pPr>
            <w:r>
              <w:rPr>
                <w:rFonts w:hint="eastAsia" w:ascii="宋体" w:hAnsi="宋体" w:cs="Times New Roman"/>
                <w:color w:val="auto"/>
                <w:sz w:val="21"/>
                <w:szCs w:val="21"/>
                <w:highlight w:val="none"/>
                <w:u w:val="single"/>
                <w:lang w:val="en-US" w:eastAsia="zh-CN"/>
              </w:rPr>
              <w:t>4</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default"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eastAsia="zh-CN"/>
              </w:rPr>
              <w:t>第二章投标人须知</w:t>
            </w:r>
            <w:r>
              <w:rPr>
                <w:rFonts w:hint="eastAsia" w:ascii="宋体" w:hAnsi="宋体" w:eastAsia="宋体" w:cs="Times New Roman"/>
                <w:color w:val="auto"/>
                <w:sz w:val="21"/>
                <w:szCs w:val="21"/>
                <w:highlight w:val="none"/>
                <w:u w:val="none"/>
                <w:lang w:val="en-US" w:eastAsia="zh-CN"/>
              </w:rPr>
              <w:t>3.1.1（5）</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color w:val="auto"/>
                <w:sz w:val="21"/>
                <w:szCs w:val="21"/>
                <w:highlight w:val="none"/>
                <w:u w:val="none"/>
                <w:lang w:eastAsia="zh-CN"/>
              </w:rPr>
              <w:t>投标申请人</w:t>
            </w:r>
            <w:r>
              <w:rPr>
                <w:rFonts w:hint="eastAsia" w:ascii="宋体" w:hAnsi="宋体" w:cs="Times New Roman"/>
                <w:color w:val="auto"/>
                <w:sz w:val="21"/>
                <w:szCs w:val="21"/>
                <w:highlight w:val="none"/>
                <w:u w:val="none"/>
                <w:lang w:eastAsia="zh-CN"/>
              </w:rPr>
              <w:t>声明</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color w:val="auto"/>
                <w:sz w:val="21"/>
                <w:szCs w:val="21"/>
                <w:highlight w:val="none"/>
                <w:u w:val="none"/>
                <w:lang w:eastAsia="zh-CN"/>
              </w:rPr>
              <w:t>投标人声明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3"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u w:val="single"/>
              </w:rPr>
              <w:t>5</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lang w:val="en-US" w:eastAsia="zh-CN"/>
              </w:rPr>
            </w:pPr>
            <w:r>
              <w:rPr>
                <w:rFonts w:hint="eastAsia"/>
                <w:lang w:eastAsia="zh-CN"/>
              </w:rPr>
              <w:t>第二章投标人须知</w:t>
            </w:r>
            <w:r>
              <w:rPr>
                <w:rFonts w:hint="eastAsia"/>
                <w:lang w:val="en-US" w:eastAsia="zh-CN"/>
              </w:rPr>
              <w:t>3.5.7</w:t>
            </w:r>
          </w:p>
          <w:p>
            <w:pPr>
              <w:pStyle w:val="8"/>
              <w:ind w:firstLine="840" w:firstLineChars="400"/>
              <w:rPr>
                <w:rFonts w:hint="default"/>
                <w:lang w:val="en-US"/>
              </w:rPr>
            </w:pPr>
            <w:r>
              <w:rPr>
                <w:rFonts w:hint="eastAsia" w:hAnsi="宋体" w:cs="Times New Roman"/>
                <w:color w:val="auto"/>
                <w:sz w:val="21"/>
                <w:szCs w:val="21"/>
                <w:highlight w:val="none"/>
                <w:u w:val="none"/>
                <w:lang w:val="en-US" w:eastAsia="zh-CN"/>
              </w:rPr>
              <w:t>3.5.8</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color w:val="auto"/>
                <w:sz w:val="21"/>
                <w:szCs w:val="21"/>
                <w:highlight w:val="none"/>
                <w:u w:val="none"/>
                <w:lang w:eastAsia="zh-CN"/>
              </w:rPr>
              <w:t>《投标申请人声明》</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color w:val="auto"/>
                <w:sz w:val="21"/>
                <w:szCs w:val="21"/>
                <w:highlight w:val="none"/>
                <w:u w:val="none"/>
                <w:lang w:eastAsia="zh-CN"/>
              </w:rPr>
              <w:t>《投标人声明》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688"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sz w:val="21"/>
                <w:szCs w:val="21"/>
                <w:highlight w:val="none"/>
                <w:u w:val="single"/>
                <w:lang w:val="en-US" w:eastAsia="zh-CN"/>
              </w:rPr>
              <w:t>6</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第三章评标办法</w:t>
            </w:r>
          </w:p>
          <w:p>
            <w:pPr>
              <w:widowControl/>
              <w:spacing w:line="400" w:lineRule="exact"/>
              <w:ind w:right="-82" w:rightChars="-39"/>
              <w:jc w:val="center"/>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（综合评估法）</w:t>
            </w:r>
          </w:p>
          <w:p>
            <w:pPr>
              <w:widowControl/>
              <w:spacing w:line="400" w:lineRule="exact"/>
              <w:ind w:right="-82" w:rightChars="-39"/>
              <w:jc w:val="center"/>
              <w:rPr>
                <w:rFonts w:hint="default"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2.1.2形式评审标准</w:t>
            </w:r>
          </w:p>
          <w:p>
            <w:pPr>
              <w:widowControl/>
              <w:spacing w:line="400" w:lineRule="exact"/>
              <w:ind w:right="-82" w:rightChars="-39"/>
              <w:jc w:val="center"/>
              <w:rPr>
                <w:rFonts w:hint="default" w:ascii="宋体" w:hAnsi="宋体" w:eastAsia="宋体" w:cs="Times New Roman"/>
                <w:color w:val="auto"/>
                <w:kern w:val="2"/>
                <w:sz w:val="21"/>
                <w:szCs w:val="21"/>
                <w:highlight w:val="none"/>
                <w:u w:val="none"/>
                <w:lang w:val="en-US" w:eastAsia="zh-CN" w:bidi="ar-SA"/>
              </w:rPr>
            </w:pP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default"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rPr>
              <w:t>增加</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rPr>
              <w:t>投标人机器码：不同投标人机器码相同(以广州公共资源交易中心评标系统的检索信息为准)，视为不合格</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9" w:hRule="atLeast"/>
          <w:jc w:val="center"/>
        </w:trPr>
        <w:tc>
          <w:tcPr>
            <w:tcW w:w="625" w:type="dxa"/>
            <w:tcBorders>
              <w:top w:val="single" w:color="auto" w:sz="4" w:space="0"/>
              <w:bottom w:val="single" w:color="auto" w:sz="4" w:space="0"/>
            </w:tcBorders>
            <w:shd w:val="clear" w:color="auto" w:fill="auto"/>
            <w:vAlign w:val="center"/>
          </w:tcPr>
          <w:p>
            <w:pPr>
              <w:widowControl/>
              <w:spacing w:line="360" w:lineRule="auto"/>
              <w:jc w:val="center"/>
              <w:rPr>
                <w:rFonts w:hint="eastAsia" w:ascii="仿宋" w:hAnsi="仿宋" w:eastAsia="仿宋" w:cs="Open Sans"/>
                <w:kern w:val="0"/>
                <w:sz w:val="21"/>
                <w:szCs w:val="21"/>
                <w:lang w:val="en-US" w:eastAsia="zh-CN" w:bidi="ar-SA"/>
              </w:rPr>
            </w:pPr>
            <w:r>
              <w:rPr>
                <w:rFonts w:hint="eastAsia" w:ascii="仿宋" w:hAnsi="仿宋" w:eastAsia="仿宋" w:cs="Open Sans"/>
                <w:kern w:val="0"/>
                <w:szCs w:val="21"/>
                <w:lang w:val="en-US" w:eastAsia="zh-CN"/>
              </w:rPr>
              <w:t>7</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第三章评标办法</w:t>
            </w:r>
          </w:p>
          <w:p>
            <w:pPr>
              <w:widowControl/>
              <w:spacing w:line="400" w:lineRule="exact"/>
              <w:ind w:right="-82" w:rightChars="-39"/>
              <w:jc w:val="center"/>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（综合评估法）</w:t>
            </w:r>
          </w:p>
          <w:p>
            <w:pPr>
              <w:widowControl/>
              <w:spacing w:line="400" w:lineRule="exact"/>
              <w:ind w:right="-82" w:rightChars="-39"/>
              <w:jc w:val="center"/>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评标办法前附表</w:t>
            </w:r>
          </w:p>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rPr>
              <w:t>原文略</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rPr>
              <w:t>详</w:t>
            </w:r>
            <w:r>
              <w:rPr>
                <w:rFonts w:hint="eastAsia" w:ascii="宋体" w:hAnsi="宋体" w:cs="Times New Roman"/>
                <w:color w:val="auto"/>
                <w:sz w:val="21"/>
                <w:szCs w:val="21"/>
                <w:highlight w:val="none"/>
                <w:u w:val="none"/>
                <w:lang w:val="en-US" w:eastAsia="zh-CN"/>
              </w:rPr>
              <w:t>见</w:t>
            </w:r>
            <w:r>
              <w:rPr>
                <w:rFonts w:hint="eastAsia" w:ascii="宋体" w:hAnsi="宋体" w:eastAsia="宋体" w:cs="Times New Roman"/>
                <w:color w:val="auto"/>
                <w:sz w:val="21"/>
                <w:szCs w:val="21"/>
                <w:highlight w:val="none"/>
                <w:u w:val="none"/>
                <w:lang w:val="en-US" w:eastAsia="zh-CN"/>
              </w:rPr>
              <w:t>附</w:t>
            </w:r>
            <w:r>
              <w:rPr>
                <w:rFonts w:hint="eastAsia" w:ascii="宋体" w:hAnsi="宋体" w:cs="Times New Roman"/>
                <w:color w:val="auto"/>
                <w:sz w:val="21"/>
                <w:szCs w:val="21"/>
                <w:highlight w:val="none"/>
                <w:u w:val="none"/>
                <w:lang w:val="en-US" w:eastAsia="zh-CN"/>
              </w:rPr>
              <w:t>表</w:t>
            </w:r>
            <w:r>
              <w:rPr>
                <w:rFonts w:hint="eastAsia" w:ascii="宋体" w:hAnsi="宋体" w:eastAsia="宋体" w:cs="Times New Roman"/>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79" w:hRule="atLeast"/>
          <w:jc w:val="center"/>
        </w:trPr>
        <w:tc>
          <w:tcPr>
            <w:tcW w:w="625"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sz w:val="21"/>
                <w:szCs w:val="21"/>
                <w:highlight w:val="none"/>
                <w:u w:val="single"/>
                <w:lang w:val="en-US" w:eastAsia="zh-CN"/>
              </w:rPr>
              <w:t>8</w:t>
            </w:r>
          </w:p>
        </w:tc>
        <w:tc>
          <w:tcPr>
            <w:tcW w:w="2430"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sz w:val="21"/>
                <w:szCs w:val="21"/>
                <w:highlight w:val="none"/>
                <w:u w:val="none"/>
                <w:lang w:eastAsia="zh-CN"/>
              </w:rPr>
            </w:pPr>
            <w:r>
              <w:rPr>
                <w:rFonts w:hint="eastAsia" w:ascii="宋体" w:hAnsi="宋体" w:eastAsia="宋体" w:cs="Times New Roman"/>
                <w:color w:val="auto"/>
                <w:sz w:val="21"/>
                <w:szCs w:val="21"/>
                <w:highlight w:val="none"/>
                <w:u w:val="none"/>
                <w:lang w:eastAsia="zh-CN"/>
              </w:rPr>
              <w:t>第六章投标文件格式</w:t>
            </w:r>
          </w:p>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eastAsia="zh-CN"/>
              </w:rPr>
              <w:t xml:space="preserve">五、资格审查资料 </w:t>
            </w:r>
            <w:r>
              <w:rPr>
                <w:rFonts w:hint="eastAsia" w:ascii="宋体" w:hAnsi="宋体" w:eastAsia="宋体" w:cs="Times New Roman"/>
                <w:color w:val="auto"/>
                <w:sz w:val="21"/>
                <w:szCs w:val="21"/>
                <w:highlight w:val="none"/>
                <w:u w:val="none"/>
                <w:lang w:val="en-US" w:eastAsia="zh-CN"/>
              </w:rPr>
              <w:t>(二)</w:t>
            </w:r>
          </w:p>
        </w:tc>
        <w:tc>
          <w:tcPr>
            <w:tcW w:w="3202" w:type="dxa"/>
            <w:tcBorders>
              <w:top w:val="single" w:color="auto" w:sz="4" w:space="0"/>
              <w:bottom w:val="single" w:color="auto" w:sz="4" w:space="0"/>
            </w:tcBorders>
            <w:shd w:val="clear" w:color="auto" w:fill="auto"/>
            <w:vAlign w:val="center"/>
          </w:tcPr>
          <w:p>
            <w:pPr>
              <w:widowControl/>
              <w:spacing w:line="400" w:lineRule="exact"/>
              <w:ind w:right="-82" w:rightChars="-39"/>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sz w:val="21"/>
                <w:szCs w:val="21"/>
                <w:highlight w:val="none"/>
                <w:u w:val="none"/>
                <w:lang w:val="en-US" w:eastAsia="zh-CN"/>
              </w:rPr>
              <w:t>原文略</w:t>
            </w:r>
          </w:p>
        </w:tc>
        <w:tc>
          <w:tcPr>
            <w:tcW w:w="3494" w:type="dxa"/>
            <w:tcBorders>
              <w:top w:val="single" w:color="auto" w:sz="4" w:space="0"/>
              <w:bottom w:val="single" w:color="auto" w:sz="4" w:space="0"/>
            </w:tcBorders>
            <w:vAlign w:val="center"/>
          </w:tcPr>
          <w:p>
            <w:pPr>
              <w:widowControl/>
              <w:spacing w:line="400" w:lineRule="exact"/>
              <w:ind w:right="-82" w:rightChars="-39"/>
              <w:jc w:val="center"/>
              <w:rPr>
                <w:rFonts w:hint="default"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详</w:t>
            </w:r>
            <w:r>
              <w:rPr>
                <w:rFonts w:hint="eastAsia" w:ascii="宋体" w:hAnsi="宋体" w:cs="Times New Roman"/>
                <w:color w:val="auto"/>
                <w:kern w:val="2"/>
                <w:sz w:val="21"/>
                <w:szCs w:val="21"/>
                <w:highlight w:val="none"/>
                <w:u w:val="none"/>
                <w:lang w:val="en-US" w:eastAsia="zh-CN" w:bidi="ar-SA"/>
              </w:rPr>
              <w:t>见</w:t>
            </w:r>
            <w:r>
              <w:rPr>
                <w:rFonts w:hint="eastAsia" w:ascii="宋体" w:hAnsi="宋体" w:eastAsia="宋体" w:cs="Times New Roman"/>
                <w:color w:val="auto"/>
                <w:kern w:val="2"/>
                <w:sz w:val="21"/>
                <w:szCs w:val="21"/>
                <w:highlight w:val="none"/>
                <w:u w:val="none"/>
                <w:lang w:val="en-US" w:eastAsia="zh-CN" w:bidi="ar-SA"/>
              </w:rPr>
              <w:t>附</w:t>
            </w:r>
            <w:r>
              <w:rPr>
                <w:rFonts w:hint="eastAsia" w:ascii="宋体" w:hAnsi="宋体" w:cs="Times New Roman"/>
                <w:color w:val="auto"/>
                <w:kern w:val="2"/>
                <w:sz w:val="21"/>
                <w:szCs w:val="21"/>
                <w:highlight w:val="none"/>
                <w:u w:val="none"/>
                <w:lang w:val="en-US" w:eastAsia="zh-CN" w:bidi="ar-SA"/>
              </w:rPr>
              <w:t>表</w:t>
            </w:r>
            <w:r>
              <w:rPr>
                <w:rFonts w:hint="eastAsia" w:ascii="宋体" w:hAnsi="宋体" w:eastAsia="宋体" w:cs="Times New Roman"/>
                <w:color w:val="auto"/>
                <w:kern w:val="2"/>
                <w:sz w:val="21"/>
                <w:szCs w:val="21"/>
                <w:highlight w:val="none"/>
                <w:u w:val="none"/>
                <w:lang w:val="en-US" w:eastAsia="zh-CN" w:bidi="ar-SA"/>
              </w:rPr>
              <w:t>2</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 xml:space="preserve">招标文件涉及相关“原文”等内容的，按上述现文内容相应进行修改。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rPr>
      </w:pPr>
      <w:r>
        <w:rPr>
          <w:rFonts w:hint="eastAsia" w:ascii="宋体" w:hAnsi="宋体" w:cs="宋体"/>
          <w:bCs/>
          <w:kern w:val="0"/>
          <w:sz w:val="24"/>
          <w:lang w:eastAsia="zh-CN"/>
        </w:rPr>
        <w:t>二、</w:t>
      </w:r>
      <w:r>
        <w:rPr>
          <w:rFonts w:hint="eastAsia" w:ascii="宋体" w:hAnsi="宋体" w:eastAsia="宋体" w:cs="宋体"/>
          <w:bCs/>
          <w:kern w:val="0"/>
          <w:sz w:val="24"/>
        </w:rPr>
        <w:t>本项目重新发布GZZB格式电子招标文件，详见本补充公告附件。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 xml:space="preserve">三、本项目原定的公告发布、递交电子投标文件时间、提交备用投标文件电子光盘时间、开标时间及场地安排等招标投标日程安排作相应调整，具体时间及场地安排请各投标人密切留意广州公共资源交易中心公布本项目的日程安排，投标人可登录广州公共资源交易中心网站首页，点击“交易业务-建设工程”专栏中的“项目查询（日程安排、答疑纪要）”，输入项目编号或项目名称查询最新信息。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kern w:val="0"/>
          <w:sz w:val="24"/>
          <w:lang w:bidi="ar"/>
        </w:rPr>
      </w:pPr>
      <w:r>
        <w:rPr>
          <w:rFonts w:hint="eastAsia" w:ascii="宋体" w:hAnsi="宋体" w:eastAsia="宋体" w:cs="宋体"/>
          <w:bCs/>
          <w:kern w:val="0"/>
          <w:sz w:val="24"/>
        </w:rPr>
        <w:t xml:space="preserve">四、本项目已进行网上投标登记的投标人仍然有效，未进行网上投标登记的投标人可以按本补充公告的约定参与投标。 </w:t>
      </w:r>
    </w:p>
    <w:p>
      <w:pPr>
        <w:pStyle w:val="11"/>
        <w:spacing w:line="240" w:lineRule="auto"/>
        <w:rPr>
          <w:lang w:bidi="ar"/>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bCs/>
          <w:kern w:val="0"/>
          <w:sz w:val="24"/>
        </w:rPr>
      </w:pPr>
      <w:r>
        <w:rPr>
          <w:rFonts w:hint="eastAsia" w:ascii="宋体" w:hAnsi="宋体" w:eastAsia="宋体" w:cs="宋体"/>
          <w:bCs/>
          <w:kern w:val="0"/>
          <w:sz w:val="24"/>
        </w:rPr>
        <w:t>招标单位：广州市增城区公共建设项目管理服务中心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bCs/>
          <w:kern w:val="0"/>
          <w:sz w:val="24"/>
        </w:rPr>
      </w:pPr>
      <w:r>
        <w:rPr>
          <w:rFonts w:hint="eastAsia" w:ascii="宋体" w:hAnsi="宋体" w:eastAsia="宋体" w:cs="宋体"/>
          <w:bCs/>
          <w:kern w:val="0"/>
          <w:sz w:val="24"/>
        </w:rPr>
        <w:t xml:space="preserve">日  </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期：2022年3月</w:t>
      </w:r>
      <w:r>
        <w:rPr>
          <w:rFonts w:hint="eastAsia" w:ascii="宋体" w:hAnsi="宋体" w:eastAsia="宋体" w:cs="宋体"/>
          <w:bCs/>
          <w:kern w:val="0"/>
          <w:sz w:val="24"/>
          <w:lang w:val="en-US" w:eastAsia="zh-CN"/>
        </w:rPr>
        <w:t>23</w:t>
      </w:r>
      <w:r>
        <w:rPr>
          <w:rFonts w:hint="eastAsia" w:ascii="宋体" w:hAnsi="宋体" w:eastAsia="宋体" w:cs="宋体"/>
          <w:bCs/>
          <w:kern w:val="0"/>
          <w:sz w:val="24"/>
        </w:rPr>
        <w:t>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kern w:val="0"/>
          <w:sz w:val="24"/>
        </w:rPr>
        <w:sectPr>
          <w:footerReference r:id="rId3" w:type="default"/>
          <w:pgSz w:w="11906" w:h="16838"/>
          <w:pgMar w:top="1440" w:right="1418" w:bottom="1440" w:left="1418" w:header="851" w:footer="992" w:gutter="0"/>
          <w:cols w:space="425" w:num="1"/>
          <w:docGrid w:type="lines" w:linePitch="312" w:charSpace="0"/>
        </w:sectPr>
      </w:pPr>
    </w:p>
    <w:bookmarkEnd w:id="0"/>
    <w:p>
      <w:pPr>
        <w:rPr>
          <w:rFonts w:hint="default"/>
          <w:lang w:val="en-US" w:eastAsia="zh-CN"/>
        </w:rPr>
      </w:pPr>
    </w:p>
    <w:p>
      <w:pPr>
        <w:rPr>
          <w:rFonts w:hint="eastAsia"/>
          <w:lang w:val="en-US" w:eastAsia="zh-CN"/>
        </w:rPr>
      </w:pPr>
      <w:r>
        <w:rPr>
          <w:rFonts w:hint="eastAsia"/>
          <w:lang w:val="en-US" w:eastAsia="zh-CN"/>
        </w:rPr>
        <w:t>附表1：</w:t>
      </w:r>
    </w:p>
    <w:p>
      <w:pPr>
        <w:pStyle w:val="8"/>
        <w:jc w:val="center"/>
        <w:rPr>
          <w:rFonts w:hint="default"/>
          <w:sz w:val="24"/>
          <w:szCs w:val="24"/>
          <w:lang w:val="en-US" w:eastAsia="zh-CN"/>
        </w:rPr>
      </w:pPr>
      <w:r>
        <w:rPr>
          <w:rFonts w:hint="default"/>
          <w:sz w:val="24"/>
          <w:szCs w:val="24"/>
          <w:lang w:val="en-US" w:eastAsia="zh-CN"/>
        </w:rPr>
        <w:t>评标办法前附表</w:t>
      </w:r>
    </w:p>
    <w:tbl>
      <w:tblPr>
        <w:tblStyle w:val="14"/>
        <w:tblW w:w="9866"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4" w:type="dxa"/>
          <w:left w:w="82" w:type="dxa"/>
          <w:bottom w:w="32" w:type="dxa"/>
          <w:right w:w="31" w:type="dxa"/>
        </w:tblCellMar>
      </w:tblPr>
      <w:tblGrid>
        <w:gridCol w:w="854"/>
        <w:gridCol w:w="1160"/>
        <w:gridCol w:w="1592"/>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451" w:hRule="atLeast"/>
        </w:trPr>
        <w:tc>
          <w:tcPr>
            <w:tcW w:w="2014" w:type="dxa"/>
            <w:gridSpan w:val="2"/>
            <w:noWrap w:val="0"/>
            <w:vAlign w:val="center"/>
          </w:tcPr>
          <w:p>
            <w:pPr>
              <w:spacing w:after="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条款号</w:t>
            </w:r>
            <w:r>
              <w:rPr>
                <w:rFonts w:hint="eastAsia" w:ascii="宋体" w:hAnsi="宋体" w:eastAsia="宋体" w:cs="宋体"/>
                <w:b/>
                <w:color w:val="auto"/>
                <w:sz w:val="21"/>
                <w:szCs w:val="21"/>
                <w:highlight w:val="none"/>
              </w:rPr>
              <w:t xml:space="preserve"> </w:t>
            </w:r>
          </w:p>
        </w:tc>
        <w:tc>
          <w:tcPr>
            <w:tcW w:w="1592" w:type="dxa"/>
            <w:noWrap w:val="0"/>
            <w:vAlign w:val="center"/>
          </w:tcPr>
          <w:p>
            <w:pPr>
              <w:spacing w:after="0" w:line="240" w:lineRule="auto"/>
              <w:ind w:left="2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p>
            <w:pPr>
              <w:spacing w:after="0" w:line="240" w:lineRule="auto"/>
              <w:ind w:left="207"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w:t>
            </w:r>
          </w:p>
        </w:tc>
        <w:tc>
          <w:tcPr>
            <w:tcW w:w="626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633" w:hRule="atLeast"/>
        </w:trPr>
        <w:tc>
          <w:tcPr>
            <w:tcW w:w="854" w:type="dxa"/>
            <w:vMerge w:val="restart"/>
            <w:noWrap w:val="0"/>
            <w:vAlign w:val="center"/>
          </w:tcPr>
          <w:p>
            <w:pPr>
              <w:spacing w:after="18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spacing w:after="0" w:line="240" w:lineRule="auto"/>
              <w:ind w:left="106"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c>
          <w:tcPr>
            <w:tcW w:w="116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right="59"/>
              <w:jc w:val="center"/>
              <w:textAlignment w:val="auto"/>
              <w:rPr>
                <w:rFonts w:ascii="宋体" w:hAnsi="宋体"/>
                <w:color w:val="auto"/>
                <w:szCs w:val="21"/>
                <w:highlight w:val="none"/>
              </w:rPr>
            </w:pPr>
            <w:r>
              <w:rPr>
                <w:rFonts w:hint="eastAsia" w:ascii="宋体" w:hAnsi="宋体"/>
                <w:color w:val="auto"/>
                <w:szCs w:val="21"/>
                <w:highlight w:val="none"/>
              </w:rPr>
              <w:t>企业综合实力评分标准</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55</w:t>
            </w:r>
            <w:r>
              <w:rPr>
                <w:rFonts w:hint="eastAsia" w:ascii="宋体" w:hAnsi="宋体"/>
                <w:color w:val="auto"/>
                <w:szCs w:val="21"/>
                <w:highlight w:val="none"/>
              </w:rPr>
              <w:t>分）</w:t>
            </w:r>
          </w:p>
        </w:tc>
        <w:tc>
          <w:tcPr>
            <w:tcW w:w="1592" w:type="dxa"/>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60" w:type="dxa"/>
            <w:noWrap w:val="0"/>
            <w:vAlign w:val="top"/>
          </w:tcPr>
          <w:p>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rPr>
              <w:t>年至今承接过类似检测业绩合同金额</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万以上（含</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万）的，每个得2分，最多得10分。</w:t>
            </w:r>
          </w:p>
          <w:p>
            <w:pPr>
              <w:spacing w:after="0"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中标通知书（或免招标证明）、服务合同证明材料，业绩时间以合同签订时间为准、金额以中标通知书为准（免招标的项目以服务合同为准）。类似检测业绩指：包含本项目招标内容中的一项或多项内容的建设工程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3325" w:hRule="atLeast"/>
        </w:trPr>
        <w:tc>
          <w:tcPr>
            <w:tcW w:w="854" w:type="dxa"/>
            <w:vMerge w:val="continue"/>
            <w:noWrap w:val="0"/>
            <w:vAlign w:val="center"/>
          </w:tcPr>
          <w:p>
            <w:pPr>
              <w:spacing w:after="0" w:line="240" w:lineRule="auto"/>
              <w:ind w:left="106" w:leftChars="0"/>
              <w:jc w:val="both"/>
              <w:rPr>
                <w:rFonts w:hint="eastAsia" w:ascii="宋体" w:hAnsi="宋体" w:eastAsia="宋体" w:cs="宋体"/>
                <w:color w:val="auto"/>
                <w:sz w:val="21"/>
                <w:szCs w:val="21"/>
                <w:highlight w:val="none"/>
              </w:rPr>
            </w:pPr>
          </w:p>
        </w:tc>
        <w:tc>
          <w:tcPr>
            <w:tcW w:w="1160" w:type="dxa"/>
            <w:vMerge w:val="continue"/>
            <w:noWrap w:val="0"/>
            <w:vAlign w:val="center"/>
          </w:tcPr>
          <w:p>
            <w:pPr>
              <w:spacing w:after="0" w:line="240" w:lineRule="auto"/>
              <w:jc w:val="center"/>
              <w:rPr>
                <w:rFonts w:hint="eastAsia" w:ascii="宋体" w:hAnsi="宋体" w:eastAsia="宋体" w:cs="宋体"/>
                <w:color w:val="auto"/>
                <w:sz w:val="21"/>
                <w:szCs w:val="21"/>
                <w:highlight w:val="none"/>
              </w:rPr>
            </w:pPr>
          </w:p>
        </w:tc>
        <w:tc>
          <w:tcPr>
            <w:tcW w:w="1592"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企业资信</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260" w:type="dxa"/>
            <w:noWrap w:val="0"/>
            <w:vAlign w:val="top"/>
          </w:tcPr>
          <w:p>
            <w:pPr>
              <w:spacing w:after="0" w:line="240" w:lineRule="auto"/>
              <w:jc w:val="both"/>
              <w:rPr>
                <w:rFonts w:hint="eastAsia"/>
                <w:lang w:eastAsia="zh-CN"/>
              </w:rPr>
            </w:pPr>
            <w:r>
              <w:rPr>
                <w:rFonts w:hint="eastAsia"/>
                <w:lang w:eastAsia="zh-CN"/>
              </w:rPr>
              <w:t>1.具备中国合格评定国家认可委员会实验室认可证书（CNAS）在有效期内，得</w:t>
            </w:r>
            <w:r>
              <w:rPr>
                <w:rFonts w:hint="eastAsia"/>
                <w:lang w:val="en-US" w:eastAsia="zh-CN"/>
              </w:rPr>
              <w:t>3</w:t>
            </w:r>
            <w:r>
              <w:rPr>
                <w:rFonts w:hint="eastAsia"/>
                <w:lang w:eastAsia="zh-CN"/>
              </w:rPr>
              <w:t>分。</w:t>
            </w:r>
          </w:p>
          <w:p>
            <w:pPr>
              <w:spacing w:after="0" w:line="240" w:lineRule="auto"/>
              <w:jc w:val="both"/>
              <w:rPr>
                <w:rFonts w:hint="eastAsia"/>
                <w:lang w:val="en-US" w:eastAsia="zh-CN"/>
              </w:rPr>
            </w:pPr>
            <w:r>
              <w:rPr>
                <w:rFonts w:hint="eastAsia"/>
                <w:lang w:val="en-US" w:eastAsia="zh-CN"/>
              </w:rPr>
              <w:t>2获得中国建筑业协会颁发的“企业信用等级证书”AAA级，且</w:t>
            </w:r>
            <w:r>
              <w:rPr>
                <w:rFonts w:hint="eastAsia"/>
                <w:lang w:eastAsia="zh-CN"/>
              </w:rPr>
              <w:t>在有效期内，</w:t>
            </w:r>
            <w:r>
              <w:rPr>
                <w:rFonts w:hint="eastAsia"/>
                <w:lang w:val="en-US" w:eastAsia="zh-CN"/>
              </w:rPr>
              <w:t>得3</w:t>
            </w:r>
            <w:bookmarkStart w:id="1" w:name="_GoBack"/>
            <w:bookmarkEnd w:id="1"/>
            <w:r>
              <w:rPr>
                <w:rFonts w:hint="eastAsia"/>
                <w:lang w:val="en-US" w:eastAsia="zh-CN"/>
              </w:rPr>
              <w:t>分；AA级的得2分，且</w:t>
            </w:r>
            <w:r>
              <w:rPr>
                <w:rFonts w:hint="eastAsia"/>
                <w:lang w:eastAsia="zh-CN"/>
              </w:rPr>
              <w:t>在有效期内；</w:t>
            </w:r>
            <w:r>
              <w:rPr>
                <w:rFonts w:hint="eastAsia"/>
                <w:lang w:val="en-US" w:eastAsia="zh-CN"/>
              </w:rPr>
              <w:t>A级的得1分，且</w:t>
            </w:r>
            <w:r>
              <w:rPr>
                <w:rFonts w:hint="eastAsia"/>
                <w:lang w:eastAsia="zh-CN"/>
              </w:rPr>
              <w:t>在有效期内，没有的不得分。</w:t>
            </w:r>
          </w:p>
          <w:p>
            <w:pPr>
              <w:spacing w:after="0" w:line="240" w:lineRule="auto"/>
              <w:jc w:val="both"/>
              <w:rPr>
                <w:rFonts w:hint="eastAsia"/>
                <w:lang w:val="en-US" w:eastAsia="zh-CN"/>
              </w:rPr>
            </w:pPr>
            <w:r>
              <w:rPr>
                <w:rFonts w:hint="eastAsia"/>
                <w:lang w:val="en-US" w:eastAsia="zh-CN"/>
              </w:rPr>
              <w:t>3.获得省级或以上市政行业协会颁发的“（检测）企业信用等级证书”AAAAA级且在有效期内的</w:t>
            </w:r>
            <w:r>
              <w:rPr>
                <w:rFonts w:hint="eastAsia"/>
                <w:lang w:eastAsia="zh-CN"/>
              </w:rPr>
              <w:t>，得</w:t>
            </w:r>
            <w:r>
              <w:rPr>
                <w:rFonts w:hint="eastAsia"/>
                <w:lang w:val="en-US" w:eastAsia="zh-CN"/>
              </w:rPr>
              <w:t>3</w:t>
            </w:r>
            <w:r>
              <w:rPr>
                <w:rFonts w:hint="eastAsia"/>
                <w:lang w:eastAsia="zh-CN"/>
              </w:rPr>
              <w:t>分，获</w:t>
            </w:r>
            <w:r>
              <w:rPr>
                <w:rFonts w:hint="eastAsia"/>
                <w:lang w:val="en-US" w:eastAsia="zh-CN"/>
              </w:rPr>
              <w:t>AAAA级且在有效期内的</w:t>
            </w:r>
            <w:r>
              <w:rPr>
                <w:rFonts w:hint="eastAsia"/>
                <w:lang w:eastAsia="zh-CN"/>
              </w:rPr>
              <w:t>，得</w:t>
            </w:r>
            <w:r>
              <w:rPr>
                <w:rFonts w:hint="eastAsia"/>
                <w:lang w:val="en-US" w:eastAsia="zh-CN"/>
              </w:rPr>
              <w:t>2</w:t>
            </w:r>
            <w:r>
              <w:rPr>
                <w:rFonts w:hint="eastAsia"/>
                <w:lang w:eastAsia="zh-CN"/>
              </w:rPr>
              <w:t>分，获</w:t>
            </w:r>
            <w:r>
              <w:rPr>
                <w:rFonts w:hint="eastAsia"/>
                <w:lang w:val="en-US" w:eastAsia="zh-CN"/>
              </w:rPr>
              <w:t>AAA级且在有效期内的</w:t>
            </w:r>
            <w:r>
              <w:rPr>
                <w:rFonts w:hint="eastAsia"/>
                <w:lang w:eastAsia="zh-CN"/>
              </w:rPr>
              <w:t>，得</w:t>
            </w:r>
            <w:r>
              <w:rPr>
                <w:rFonts w:hint="eastAsia"/>
                <w:lang w:val="en-US" w:eastAsia="zh-CN"/>
              </w:rPr>
              <w:t>1</w:t>
            </w:r>
            <w:r>
              <w:rPr>
                <w:rFonts w:hint="eastAsia"/>
                <w:lang w:eastAsia="zh-CN"/>
              </w:rPr>
              <w:t>分；其他不得分。</w:t>
            </w:r>
          </w:p>
          <w:p>
            <w:pPr>
              <w:spacing w:after="0" w:line="240" w:lineRule="auto"/>
              <w:jc w:val="both"/>
              <w:rPr>
                <w:rFonts w:hint="eastAsia"/>
                <w:lang w:eastAsia="zh-CN"/>
              </w:rPr>
            </w:pPr>
            <w:r>
              <w:rPr>
                <w:rFonts w:hint="eastAsia"/>
                <w:lang w:val="en-US" w:eastAsia="zh-CN"/>
              </w:rPr>
              <w:t>4.</w:t>
            </w:r>
            <w:r>
              <w:rPr>
                <w:rFonts w:hint="eastAsia"/>
                <w:lang w:eastAsia="zh-CN"/>
              </w:rPr>
              <w:t>20</w:t>
            </w:r>
            <w:r>
              <w:rPr>
                <w:rFonts w:hint="eastAsia"/>
                <w:lang w:val="en-US" w:eastAsia="zh-CN"/>
              </w:rPr>
              <w:t>19</w:t>
            </w:r>
            <w:r>
              <w:rPr>
                <w:rFonts w:hint="eastAsia"/>
                <w:lang w:eastAsia="zh-CN"/>
              </w:rPr>
              <w:t>年1月1日至投标截止当天为止获得</w:t>
            </w:r>
            <w:r>
              <w:rPr>
                <w:rFonts w:hint="eastAsia"/>
                <w:lang w:val="en-US" w:eastAsia="zh-CN"/>
              </w:rPr>
              <w:t>类似检测类</w:t>
            </w:r>
            <w:r>
              <w:rPr>
                <w:rFonts w:hint="eastAsia"/>
                <w:lang w:eastAsia="zh-CN"/>
              </w:rPr>
              <w:t>实用新型专利证书，</w:t>
            </w:r>
            <w:r>
              <w:rPr>
                <w:rFonts w:hint="eastAsia"/>
                <w:lang w:val="en-US" w:eastAsia="zh-CN"/>
              </w:rPr>
              <w:t>10</w:t>
            </w:r>
            <w:r>
              <w:rPr>
                <w:rFonts w:hint="eastAsia"/>
                <w:lang w:eastAsia="zh-CN"/>
              </w:rPr>
              <w:t>个或以上得</w:t>
            </w:r>
            <w:r>
              <w:rPr>
                <w:rFonts w:hint="eastAsia"/>
                <w:lang w:val="en-US" w:eastAsia="zh-CN"/>
              </w:rPr>
              <w:t>5</w:t>
            </w:r>
            <w:r>
              <w:rPr>
                <w:rFonts w:hint="eastAsia"/>
                <w:lang w:eastAsia="zh-CN"/>
              </w:rPr>
              <w:t>分，</w:t>
            </w:r>
            <w:r>
              <w:rPr>
                <w:rFonts w:hint="eastAsia"/>
                <w:lang w:val="en-US" w:eastAsia="zh-CN"/>
              </w:rPr>
              <w:t>5</w:t>
            </w:r>
            <w:r>
              <w:rPr>
                <w:rFonts w:hint="eastAsia"/>
                <w:lang w:eastAsia="zh-CN"/>
              </w:rPr>
              <w:t>个至</w:t>
            </w:r>
            <w:r>
              <w:rPr>
                <w:rFonts w:hint="eastAsia"/>
                <w:lang w:val="en-US" w:eastAsia="zh-CN"/>
              </w:rPr>
              <w:t>9</w:t>
            </w:r>
            <w:r>
              <w:rPr>
                <w:rFonts w:hint="eastAsia"/>
                <w:lang w:eastAsia="zh-CN"/>
              </w:rPr>
              <w:t>个得</w:t>
            </w:r>
            <w:r>
              <w:rPr>
                <w:rFonts w:hint="eastAsia"/>
                <w:lang w:val="en-US" w:eastAsia="zh-CN"/>
              </w:rPr>
              <w:t>3</w:t>
            </w:r>
            <w:r>
              <w:rPr>
                <w:rFonts w:hint="eastAsia"/>
                <w:lang w:eastAsia="zh-CN"/>
              </w:rPr>
              <w:t>分，</w:t>
            </w:r>
            <w:r>
              <w:rPr>
                <w:rFonts w:hint="eastAsia"/>
                <w:lang w:val="en-US" w:eastAsia="zh-CN"/>
              </w:rPr>
              <w:t>1个至4个得1分，</w:t>
            </w:r>
            <w:r>
              <w:rPr>
                <w:rFonts w:hint="eastAsia"/>
                <w:lang w:eastAsia="zh-CN"/>
              </w:rPr>
              <w:t>其他不得分。</w:t>
            </w:r>
          </w:p>
          <w:p>
            <w:pPr>
              <w:spacing w:after="0" w:line="240" w:lineRule="auto"/>
              <w:jc w:val="both"/>
              <w:rPr>
                <w:rFonts w:hint="eastAsia"/>
                <w:lang w:eastAsia="zh-CN"/>
              </w:rPr>
            </w:pPr>
            <w:r>
              <w:rPr>
                <w:rFonts w:hint="eastAsia"/>
                <w:lang w:val="en-US" w:eastAsia="zh-CN"/>
              </w:rPr>
              <w:t>5.2019年1月1日</w:t>
            </w:r>
            <w:r>
              <w:rPr>
                <w:rFonts w:hint="eastAsia"/>
                <w:lang w:eastAsia="zh-CN"/>
              </w:rPr>
              <w:t>至</w:t>
            </w:r>
            <w:r>
              <w:rPr>
                <w:rFonts w:hint="eastAsia"/>
                <w:lang w:val="en-US" w:eastAsia="zh-CN"/>
              </w:rPr>
              <w:t>投标截止时间为止</w:t>
            </w:r>
            <w:r>
              <w:rPr>
                <w:rFonts w:hint="eastAsia"/>
                <w:lang w:eastAsia="zh-CN"/>
              </w:rPr>
              <w:t>获得</w:t>
            </w:r>
            <w:r>
              <w:rPr>
                <w:rFonts w:hint="eastAsia"/>
                <w:lang w:val="en-US" w:eastAsia="zh-CN"/>
              </w:rPr>
              <w:t>过</w:t>
            </w:r>
            <w:r>
              <w:rPr>
                <w:rFonts w:hint="eastAsia"/>
                <w:lang w:eastAsia="zh-CN"/>
              </w:rPr>
              <w:t>省级或以上协会检测行业先进单位称号得</w:t>
            </w:r>
            <w:r>
              <w:rPr>
                <w:rFonts w:hint="eastAsia"/>
                <w:lang w:val="en-US" w:eastAsia="zh-CN"/>
              </w:rPr>
              <w:t>4</w:t>
            </w:r>
            <w:r>
              <w:rPr>
                <w:rFonts w:hint="eastAsia"/>
                <w:lang w:eastAsia="zh-CN"/>
              </w:rPr>
              <w:t>分，市级协会检测行业先进单位称号得</w:t>
            </w:r>
            <w:r>
              <w:rPr>
                <w:rFonts w:hint="eastAsia"/>
                <w:lang w:val="en-US" w:eastAsia="zh-CN"/>
              </w:rPr>
              <w:t>2</w:t>
            </w:r>
            <w:r>
              <w:rPr>
                <w:rFonts w:hint="eastAsia"/>
                <w:lang w:eastAsia="zh-CN"/>
              </w:rPr>
              <w:t>分，无则不得分。</w:t>
            </w:r>
          </w:p>
          <w:p>
            <w:pPr>
              <w:spacing w:after="0" w:line="240" w:lineRule="auto"/>
              <w:jc w:val="both"/>
              <w:rPr>
                <w:rFonts w:hint="default"/>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具有高新技术企业证书</w:t>
            </w:r>
            <w:r>
              <w:rPr>
                <w:rFonts w:hint="eastAsia" w:ascii="宋体" w:hAnsi="宋体" w:eastAsia="宋体" w:cs="宋体"/>
                <w:color w:val="auto"/>
                <w:sz w:val="21"/>
                <w:szCs w:val="21"/>
                <w:highlight w:val="none"/>
                <w:lang w:val="en-US" w:eastAsia="zh-CN"/>
              </w:rPr>
              <w:t>且在有效期内，得2分，</w:t>
            </w:r>
            <w:r>
              <w:rPr>
                <w:rFonts w:hint="eastAsia" w:ascii="宋体" w:hAnsi="宋体" w:eastAsia="宋体" w:cs="宋体"/>
                <w:color w:val="auto"/>
                <w:sz w:val="21"/>
                <w:szCs w:val="21"/>
                <w:highlight w:val="none"/>
                <w:lang w:eastAsia="zh-CN"/>
              </w:rPr>
              <w:t>无则不得分</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984" w:hRule="atLeast"/>
        </w:trPr>
        <w:tc>
          <w:tcPr>
            <w:tcW w:w="854" w:type="dxa"/>
            <w:vMerge w:val="continue"/>
            <w:noWrap w:val="0"/>
            <w:vAlign w:val="center"/>
          </w:tcPr>
          <w:p>
            <w:pPr>
              <w:spacing w:after="0" w:line="240" w:lineRule="auto"/>
              <w:ind w:left="106" w:leftChars="0"/>
              <w:jc w:val="both"/>
              <w:rPr>
                <w:rFonts w:hint="eastAsia" w:ascii="宋体" w:hAnsi="宋体" w:eastAsia="宋体" w:cs="宋体"/>
                <w:color w:val="auto"/>
                <w:sz w:val="21"/>
                <w:szCs w:val="21"/>
                <w:highlight w:val="none"/>
              </w:rPr>
            </w:pPr>
          </w:p>
        </w:tc>
        <w:tc>
          <w:tcPr>
            <w:tcW w:w="1160" w:type="dxa"/>
            <w:vMerge w:val="continue"/>
            <w:noWrap w:val="0"/>
            <w:vAlign w:val="center"/>
          </w:tcPr>
          <w:p>
            <w:pPr>
              <w:spacing w:after="0" w:line="240" w:lineRule="auto"/>
              <w:jc w:val="both"/>
              <w:rPr>
                <w:rFonts w:hint="eastAsia" w:ascii="宋体" w:hAnsi="宋体" w:eastAsia="宋体" w:cs="宋体"/>
                <w:color w:val="auto"/>
                <w:sz w:val="21"/>
                <w:szCs w:val="21"/>
                <w:highlight w:val="none"/>
              </w:rPr>
            </w:pPr>
          </w:p>
        </w:tc>
        <w:tc>
          <w:tcPr>
            <w:tcW w:w="1592"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项目负责人要求</w:t>
            </w:r>
          </w:p>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260" w:type="dxa"/>
            <w:noWrap w:val="0"/>
            <w:vAlign w:val="top"/>
          </w:tcPr>
          <w:p>
            <w:pPr>
              <w:spacing w:after="0"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（1）具有建筑工程检测高级工程师或以上职称的得4分，具有建筑工程检测中级职称的得2分，其它不得分。</w:t>
            </w:r>
          </w:p>
          <w:p>
            <w:pPr>
              <w:spacing w:after="0"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（2）具有省级或以上建设工程质量安全检测和鉴定协会颁发的检测鉴定培训合格证的，得6分。</w:t>
            </w:r>
          </w:p>
          <w:p>
            <w:pPr>
              <w:spacing w:after="0" w:line="24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注：1.需提供身份证、职称证、检测鉴定培训合格证、2022年2月份社保等证明材料，须提供上述证件或证明材料原件扫描件。项目负责人和技术负责人不可以为同一个人。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676" w:hRule="atLeast"/>
        </w:trPr>
        <w:tc>
          <w:tcPr>
            <w:tcW w:w="854" w:type="dxa"/>
            <w:vMerge w:val="continue"/>
            <w:noWrap w:val="0"/>
            <w:vAlign w:val="center"/>
          </w:tcPr>
          <w:p>
            <w:pPr>
              <w:spacing w:after="0" w:line="240" w:lineRule="auto"/>
              <w:ind w:left="106" w:leftChars="0"/>
              <w:jc w:val="both"/>
              <w:rPr>
                <w:rFonts w:hint="eastAsia" w:ascii="宋体" w:hAnsi="宋体" w:eastAsia="宋体" w:cs="宋体"/>
                <w:color w:val="auto"/>
                <w:sz w:val="21"/>
                <w:szCs w:val="21"/>
                <w:highlight w:val="none"/>
              </w:rPr>
            </w:pPr>
          </w:p>
        </w:tc>
        <w:tc>
          <w:tcPr>
            <w:tcW w:w="1160" w:type="dxa"/>
            <w:vMerge w:val="continue"/>
            <w:noWrap w:val="0"/>
            <w:vAlign w:val="center"/>
          </w:tcPr>
          <w:p>
            <w:pPr>
              <w:spacing w:after="0" w:line="240" w:lineRule="auto"/>
              <w:jc w:val="both"/>
              <w:rPr>
                <w:rFonts w:hint="eastAsia" w:ascii="宋体" w:hAnsi="宋体" w:eastAsia="宋体" w:cs="宋体"/>
                <w:color w:val="auto"/>
                <w:sz w:val="21"/>
                <w:szCs w:val="21"/>
                <w:highlight w:val="none"/>
              </w:rPr>
            </w:pPr>
          </w:p>
        </w:tc>
        <w:tc>
          <w:tcPr>
            <w:tcW w:w="1592" w:type="dxa"/>
            <w:noWrap w:val="0"/>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color w:val="auto"/>
                <w:szCs w:val="21"/>
                <w:highlight w:val="none"/>
              </w:rPr>
              <w:t>主要技术人员要求（7分）</w:t>
            </w:r>
          </w:p>
        </w:tc>
        <w:tc>
          <w:tcPr>
            <w:tcW w:w="6260" w:type="dxa"/>
            <w:noWrap w:val="0"/>
            <w:vAlign w:val="top"/>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拟投入本项目技术人员（除项目负责人、技术负责人外）中：</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具有省级或以上建设工程质量安全检测和鉴定协会颁发的检测鉴定培训合格证（满足本次招标范围至少一项检测参数：地基基础、主体结构、见证取样、其他类别的任一项参数）20人（含）或以上的得基本分3.5分；</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（2）若上述人员中具有高级工程师或以上技术职称的，每人加0.5分，最多加3.5分。</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注：需提供身份证、职称证、检测鉴定培训合格证及2022年2月份社保证明等。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676" w:hRule="atLeast"/>
        </w:trPr>
        <w:tc>
          <w:tcPr>
            <w:tcW w:w="854" w:type="dxa"/>
            <w:vMerge w:val="continue"/>
            <w:noWrap w:val="0"/>
            <w:vAlign w:val="center"/>
          </w:tcPr>
          <w:p>
            <w:pPr>
              <w:spacing w:after="0" w:line="240" w:lineRule="auto"/>
              <w:ind w:left="106" w:leftChars="0"/>
              <w:jc w:val="both"/>
              <w:rPr>
                <w:rFonts w:hint="eastAsia" w:ascii="宋体" w:hAnsi="宋体" w:eastAsia="宋体" w:cs="宋体"/>
                <w:color w:val="auto"/>
                <w:sz w:val="21"/>
                <w:szCs w:val="21"/>
                <w:highlight w:val="none"/>
              </w:rPr>
            </w:pPr>
          </w:p>
        </w:tc>
        <w:tc>
          <w:tcPr>
            <w:tcW w:w="1160" w:type="dxa"/>
            <w:vMerge w:val="continue"/>
            <w:noWrap w:val="0"/>
            <w:vAlign w:val="center"/>
          </w:tcPr>
          <w:p>
            <w:pPr>
              <w:spacing w:after="0" w:line="240" w:lineRule="auto"/>
              <w:jc w:val="both"/>
              <w:rPr>
                <w:rFonts w:hint="eastAsia" w:ascii="宋体" w:hAnsi="宋体" w:eastAsia="宋体" w:cs="宋体"/>
                <w:color w:val="auto"/>
                <w:sz w:val="21"/>
                <w:szCs w:val="21"/>
                <w:highlight w:val="none"/>
              </w:rPr>
            </w:pPr>
          </w:p>
        </w:tc>
        <w:tc>
          <w:tcPr>
            <w:tcW w:w="1592"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技术负责人要求</w:t>
            </w:r>
          </w:p>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260" w:type="dxa"/>
            <w:noWrap w:val="0"/>
            <w:vAlign w:val="top"/>
          </w:tcPr>
          <w:p>
            <w:pPr>
              <w:pageBreakBefore w:val="0"/>
              <w:numPr>
                <w:ilvl w:val="0"/>
                <w:numId w:val="1"/>
              </w:numPr>
              <w:kinsoku/>
              <w:wordWrap/>
              <w:overflowPunct/>
              <w:topLinePunct w:val="0"/>
              <w:autoSpaceDE/>
              <w:autoSpaceDN/>
              <w:bidi w:val="0"/>
              <w:adjustRightInd/>
              <w:snapToGrid/>
              <w:spacing w:after="0" w:line="24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具有高级工程师或以上职称的得4分；具有中级职称的得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分，其它不得分。</w:t>
            </w:r>
          </w:p>
          <w:p>
            <w:pPr>
              <w:pageBreakBefore w:val="0"/>
              <w:kinsoku/>
              <w:wordWrap/>
              <w:overflowPunct/>
              <w:topLinePunct w:val="0"/>
              <w:autoSpaceDE/>
              <w:autoSpaceDN/>
              <w:bidi w:val="0"/>
              <w:adjustRightInd/>
              <w:snapToGrid/>
              <w:spacing w:after="0" w:line="240" w:lineRule="auto"/>
              <w:ind w:left="0" w:leftChars="0" w:right="0" w:rightChars="0"/>
              <w:jc w:val="both"/>
              <w:textAlignment w:val="auto"/>
              <w:rPr>
                <w:rFonts w:hint="eastAsi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eastAsia="zh-CN"/>
              </w:rPr>
              <w:t>省级或以上</w:t>
            </w:r>
            <w:r>
              <w:rPr>
                <w:rFonts w:hint="eastAsia" w:ascii="宋体" w:hAnsi="宋体" w:eastAsia="宋体" w:cs="宋体"/>
                <w:color w:val="auto"/>
                <w:sz w:val="21"/>
                <w:szCs w:val="21"/>
                <w:highlight w:val="none"/>
              </w:rPr>
              <w:t>建设工程质量安全检测和鉴定协会颁发的检测鉴定培训合格证，得1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ageBreakBefore w:val="0"/>
              <w:kinsoku/>
              <w:wordWrap/>
              <w:overflowPunct/>
              <w:topLinePunct w:val="0"/>
              <w:autoSpaceDE/>
              <w:autoSpaceDN/>
              <w:bidi w:val="0"/>
              <w:adjustRightInd/>
              <w:snapToGrid/>
              <w:spacing w:after="0"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）具有注册土木工程师（岩土）执业资格证书</w:t>
            </w:r>
            <w:r>
              <w:rPr>
                <w:rFonts w:hint="eastAsia" w:ascii="宋体" w:hAnsi="宋体" w:eastAsia="宋体" w:cs="宋体"/>
                <w:color w:val="auto"/>
                <w:sz w:val="21"/>
                <w:szCs w:val="21"/>
                <w:highlight w:val="none"/>
                <w:lang w:eastAsia="zh-CN"/>
              </w:rPr>
              <w:t>，且注册单位为本投标单位，</w:t>
            </w:r>
            <w:r>
              <w:rPr>
                <w:rFonts w:hint="eastAsia" w:ascii="宋体" w:hAnsi="宋体" w:eastAsia="宋体" w:cs="宋体"/>
                <w:color w:val="auto"/>
                <w:sz w:val="21"/>
                <w:szCs w:val="21"/>
                <w:highlight w:val="none"/>
              </w:rPr>
              <w:t>得1.5分</w:t>
            </w:r>
            <w:r>
              <w:rPr>
                <w:rFonts w:hint="eastAsia" w:ascii="宋体" w:hAnsi="宋体" w:cs="宋体"/>
                <w:color w:val="auto"/>
                <w:sz w:val="21"/>
                <w:szCs w:val="21"/>
                <w:highlight w:val="none"/>
                <w:lang w:eastAsia="zh-CN"/>
              </w:rPr>
              <w:t>。</w:t>
            </w:r>
          </w:p>
          <w:p>
            <w:pPr>
              <w:pageBreakBefore w:val="0"/>
              <w:kinsoku/>
              <w:wordWrap/>
              <w:overflowPunct/>
              <w:topLinePunct w:val="0"/>
              <w:autoSpaceDE/>
              <w:autoSpaceDN/>
              <w:bidi w:val="0"/>
              <w:adjustRightInd/>
              <w:snapToGrid/>
              <w:spacing w:after="0" w:line="240"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）具有注册结构工程师执业资格证书</w:t>
            </w:r>
            <w:r>
              <w:rPr>
                <w:rFonts w:hint="eastAsia" w:ascii="宋体" w:hAnsi="宋体" w:eastAsia="宋体" w:cs="宋体"/>
                <w:color w:val="auto"/>
                <w:sz w:val="21"/>
                <w:szCs w:val="21"/>
                <w:highlight w:val="none"/>
                <w:lang w:eastAsia="zh-CN"/>
              </w:rPr>
              <w:t>，且注册单位为本投标单位，</w:t>
            </w:r>
            <w:r>
              <w:rPr>
                <w:rFonts w:hint="eastAsia" w:ascii="宋体" w:hAnsi="宋体" w:eastAsia="宋体" w:cs="宋体"/>
                <w:color w:val="auto"/>
                <w:sz w:val="21"/>
                <w:szCs w:val="21"/>
                <w:highlight w:val="none"/>
              </w:rPr>
              <w:t>得1分。</w:t>
            </w:r>
          </w:p>
          <w:p>
            <w:pPr>
              <w:pageBreakBefore w:val="0"/>
              <w:kinsoku/>
              <w:wordWrap/>
              <w:overflowPunct/>
              <w:topLinePunct w:val="0"/>
              <w:autoSpaceDE/>
              <w:autoSpaceDN/>
              <w:bidi w:val="0"/>
              <w:adjustRightInd/>
              <w:snapToGrid/>
              <w:spacing w:after="0"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注：需提供身份证、职称证、执业资格证（须提供全国建筑市场监管公共服务平台查询网页截图）、检测鉴定培训合格证、</w:t>
            </w:r>
            <w:r>
              <w:rPr>
                <w:rFonts w:hint="eastAsia" w:ascii="宋体" w:hAnsi="宋体" w:eastAsia="宋体" w:cs="宋体"/>
                <w:color w:val="auto"/>
                <w:sz w:val="21"/>
                <w:szCs w:val="21"/>
                <w:highlight w:val="none"/>
                <w:lang w:eastAsia="zh-CN"/>
              </w:rPr>
              <w:t>2022年2月份</w:t>
            </w:r>
            <w:r>
              <w:rPr>
                <w:rFonts w:hint="eastAsia" w:ascii="宋体" w:hAnsi="宋体" w:eastAsia="宋体" w:cs="宋体"/>
                <w:color w:val="auto"/>
                <w:sz w:val="21"/>
                <w:szCs w:val="21"/>
                <w:highlight w:val="none"/>
              </w:rPr>
              <w:t>社保等证明材料，须提供上述证件或证明材料原件扫描件。项目负责人和技术负责人不可以为同一个人。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676" w:hRule="atLeast"/>
        </w:trPr>
        <w:tc>
          <w:tcPr>
            <w:tcW w:w="854" w:type="dxa"/>
            <w:vMerge w:val="restart"/>
            <w:noWrap w:val="0"/>
            <w:vAlign w:val="center"/>
          </w:tcPr>
          <w:p>
            <w:pPr>
              <w:spacing w:after="18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spacing w:after="0" w:line="240" w:lineRule="auto"/>
              <w:ind w:left="106"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p>
        </w:tc>
        <w:tc>
          <w:tcPr>
            <w:tcW w:w="1160"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评分标准</w:t>
            </w:r>
          </w:p>
          <w:p>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15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jc w:val="center"/>
              <w:textAlignment w:val="auto"/>
              <w:rPr>
                <w:rFonts w:ascii="宋体" w:hAnsi="宋体"/>
                <w:color w:val="auto"/>
                <w:szCs w:val="21"/>
                <w:highlight w:val="none"/>
              </w:rPr>
            </w:pPr>
            <w:r>
              <w:rPr>
                <w:rFonts w:hint="eastAsia" w:ascii="宋体" w:hAnsi="宋体"/>
                <w:color w:val="auto"/>
                <w:szCs w:val="21"/>
                <w:highlight w:val="none"/>
              </w:rPr>
              <w:t>拟投入机械</w:t>
            </w:r>
          </w:p>
          <w:p>
            <w:pPr>
              <w:keepNext w:val="0"/>
              <w:keepLines w:val="0"/>
              <w:pageBreakBefore w:val="0"/>
              <w:widowControl/>
              <w:kinsoku/>
              <w:wordWrap/>
              <w:overflowPunct/>
              <w:topLinePunct w:val="0"/>
              <w:autoSpaceDE/>
              <w:autoSpaceDN/>
              <w:bidi w:val="0"/>
              <w:adjustRightInd w:val="0"/>
              <w:snapToGrid w:val="0"/>
              <w:spacing w:after="0" w:line="240" w:lineRule="auto"/>
              <w:ind w:right="0"/>
              <w:jc w:val="center"/>
              <w:textAlignment w:val="auto"/>
              <w:rPr>
                <w:rFonts w:ascii="宋体" w:hAnsi="宋体"/>
                <w:color w:val="auto"/>
                <w:szCs w:val="21"/>
                <w:highlight w:val="none"/>
              </w:rPr>
            </w:pPr>
            <w:r>
              <w:rPr>
                <w:rFonts w:hint="eastAsia" w:ascii="宋体" w:hAnsi="宋体"/>
                <w:color w:val="auto"/>
                <w:szCs w:val="21"/>
                <w:highlight w:val="none"/>
              </w:rPr>
              <w:t>设备计划</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6260" w:type="dxa"/>
            <w:noWrap w:val="0"/>
            <w:vAlign w:val="center"/>
          </w:tcPr>
          <w:p>
            <w:pPr>
              <w:widowControl/>
              <w:adjustRightInd w:val="0"/>
              <w:snapToGrid w:val="0"/>
              <w:spacing w:line="240" w:lineRule="auto"/>
              <w:ind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优</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：设备满足检测和工期需要，设备年检合格，并且全部设备属于自有，得5分；</w:t>
            </w:r>
          </w:p>
          <w:p>
            <w:pPr>
              <w:widowControl/>
              <w:adjustRightInd w:val="0"/>
              <w:snapToGrid w:val="0"/>
              <w:spacing w:line="240" w:lineRule="auto"/>
              <w:ind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良</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：设备满足检测和工期需要，设备年检合格，90%（含90%）以上设备属于自有，得</w:t>
            </w:r>
            <w:r>
              <w:rPr>
                <w:rFonts w:hint="eastAsia" w:ascii="宋体" w:hAnsi="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-4分；</w:t>
            </w:r>
          </w:p>
          <w:p>
            <w:pPr>
              <w:widowControl/>
              <w:adjustRightInd w:val="0"/>
              <w:snapToGrid w:val="0"/>
              <w:spacing w:line="240" w:lineRule="auto"/>
              <w:ind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中</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：设备满足检测和工期需要，设备年检合格，60%（含60%）以上设备属于自有，得1-2分；</w:t>
            </w:r>
          </w:p>
          <w:p>
            <w:pPr>
              <w:widowControl/>
              <w:adjustRightInd w:val="0"/>
              <w:snapToGrid w:val="0"/>
              <w:spacing w:line="240" w:lineRule="auto"/>
              <w:ind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差</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：设备</w:t>
            </w:r>
            <w:r>
              <w:rPr>
                <w:rFonts w:hint="eastAsia" w:ascii="宋体" w:hAnsi="宋体" w:cs="宋体"/>
                <w:color w:val="auto"/>
                <w:spacing w:val="0"/>
                <w:sz w:val="21"/>
                <w:szCs w:val="21"/>
                <w:highlight w:val="none"/>
                <w:lang w:eastAsia="zh-CN"/>
              </w:rPr>
              <w:t>不</w:t>
            </w:r>
            <w:r>
              <w:rPr>
                <w:rFonts w:hint="eastAsia" w:ascii="宋体" w:hAnsi="宋体" w:eastAsia="宋体" w:cs="宋体"/>
                <w:color w:val="auto"/>
                <w:spacing w:val="0"/>
                <w:sz w:val="21"/>
                <w:szCs w:val="21"/>
                <w:highlight w:val="none"/>
              </w:rPr>
              <w:t>满足检测和工期需要，设备年检</w:t>
            </w:r>
            <w:r>
              <w:rPr>
                <w:rFonts w:hint="eastAsia" w:ascii="宋体" w:hAnsi="宋体" w:cs="宋体"/>
                <w:color w:val="auto"/>
                <w:spacing w:val="0"/>
                <w:sz w:val="21"/>
                <w:szCs w:val="21"/>
                <w:highlight w:val="none"/>
                <w:lang w:eastAsia="zh-CN"/>
              </w:rPr>
              <w:t>不</w:t>
            </w:r>
            <w:r>
              <w:rPr>
                <w:rFonts w:hint="eastAsia" w:ascii="宋体" w:hAnsi="宋体" w:eastAsia="宋体" w:cs="宋体"/>
                <w:color w:val="auto"/>
                <w:spacing w:val="0"/>
                <w:sz w:val="21"/>
                <w:szCs w:val="21"/>
                <w:highlight w:val="none"/>
              </w:rPr>
              <w:t>合格，60%（不含60%）以下设备属于自有，得0分。</w:t>
            </w:r>
          </w:p>
          <w:p>
            <w:pPr>
              <w:widowControl/>
              <w:adjustRightInd w:val="0"/>
              <w:snapToGrid w:val="0"/>
              <w:spacing w:line="240" w:lineRule="auto"/>
              <w:ind w:right="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本项最多得5分。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【需提交仪器检定证书或仪器设备购置发票等证明材料复印件并加盖公章】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551" w:hRule="atLeast"/>
        </w:trPr>
        <w:tc>
          <w:tcPr>
            <w:tcW w:w="854" w:type="dxa"/>
            <w:vMerge w:val="continue"/>
            <w:noWrap w:val="0"/>
            <w:vAlign w:val="center"/>
          </w:tcPr>
          <w:p>
            <w:pPr>
              <w:spacing w:after="0" w:line="240" w:lineRule="auto"/>
              <w:ind w:left="106" w:leftChars="0"/>
              <w:jc w:val="both"/>
              <w:rPr>
                <w:rFonts w:hint="eastAsia" w:ascii="宋体" w:hAnsi="宋体" w:eastAsia="宋体" w:cs="宋体"/>
                <w:color w:val="auto"/>
                <w:sz w:val="21"/>
                <w:szCs w:val="21"/>
                <w:highlight w:val="none"/>
              </w:rPr>
            </w:pPr>
          </w:p>
        </w:tc>
        <w:tc>
          <w:tcPr>
            <w:tcW w:w="1160" w:type="dxa"/>
            <w:vMerge w:val="continue"/>
            <w:noWrap w:val="0"/>
            <w:vAlign w:val="center"/>
          </w:tcPr>
          <w:p>
            <w:pPr>
              <w:spacing w:after="0" w:line="240" w:lineRule="auto"/>
              <w:jc w:val="both"/>
              <w:rPr>
                <w:rFonts w:hint="eastAsia" w:ascii="宋体" w:hAnsi="宋体" w:eastAsia="宋体" w:cs="宋体"/>
                <w:color w:val="auto"/>
                <w:sz w:val="21"/>
                <w:szCs w:val="21"/>
                <w:highlight w:val="none"/>
              </w:rPr>
            </w:pP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检测方案</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260" w:type="dxa"/>
            <w:noWrap w:val="0"/>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【优】检测工作的程序与方案详细、具体，内容齐全，能满足用户需求，有合理可行的保证通过相关验收、满足工程进度确保措施，得8-10分。</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【良】检测工作的程序与方案内容齐全，基本满足要求，检测方法符合检测要求，得4-7分；</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【中】检测工作的程序与方案不够全面具体，可行性低，得1-3分。</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【差】检测方案内容阐述缺项，检测程序不满足要求，得0分。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676" w:hRule="atLeast"/>
        </w:trPr>
        <w:tc>
          <w:tcPr>
            <w:tcW w:w="854" w:type="dxa"/>
            <w:noWrap w:val="0"/>
            <w:vAlign w:val="center"/>
          </w:tcPr>
          <w:p>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p>
        </w:tc>
        <w:tc>
          <w:tcPr>
            <w:tcW w:w="1160" w:type="dxa"/>
            <w:noWrap w:val="0"/>
            <w:vAlign w:val="center"/>
          </w:tcPr>
          <w:p>
            <w:pPr>
              <w:spacing w:after="0" w:line="24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p>
            <w:pPr>
              <w:spacing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59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投标报价</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cs="宋体"/>
                <w:color w:val="auto"/>
                <w:szCs w:val="21"/>
                <w:highlight w:val="none"/>
              </w:rPr>
              <w:t>分）</w:t>
            </w:r>
          </w:p>
        </w:tc>
        <w:tc>
          <w:tcPr>
            <w:tcW w:w="6260" w:type="dxa"/>
            <w:noWrap w:val="0"/>
            <w:vAlign w:val="center"/>
          </w:tcPr>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cs="宋体"/>
                <w:color w:val="auto"/>
                <w:szCs w:val="21"/>
                <w:highlight w:val="none"/>
              </w:rPr>
            </w:pPr>
            <w:r>
              <w:rPr>
                <w:rFonts w:hint="eastAsia" w:ascii="宋体" w:hAnsi="宋体"/>
                <w:color w:val="auto"/>
                <w:szCs w:val="21"/>
                <w:highlight w:val="none"/>
              </w:rPr>
              <w:t>1.评标参考价的计算：</w:t>
            </w:r>
            <w:r>
              <w:rPr>
                <w:rFonts w:hint="eastAsia" w:ascii="宋体" w:hAnsi="宋体" w:cs="宋体"/>
                <w:color w:val="auto"/>
                <w:szCs w:val="21"/>
                <w:highlight w:val="none"/>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p>
            <w:pPr>
              <w:pStyle w:val="13"/>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2.投标报价得分：以评标参考价作为计算各有效投标报价得分的基础，当有效投标报价等于评标参考价时得</w:t>
            </w:r>
            <w:r>
              <w:rPr>
                <w:rFonts w:hint="eastAsia" w:ascii="宋体" w:hAnsi="宋体" w:eastAsia="宋体"/>
                <w:color w:val="auto"/>
                <w:szCs w:val="21"/>
                <w:highlight w:val="none"/>
                <w:lang w:val="en-US" w:eastAsia="zh-CN"/>
              </w:rPr>
              <w:t>20</w:t>
            </w:r>
            <w:r>
              <w:rPr>
                <w:rFonts w:hint="eastAsia" w:ascii="宋体" w:hAnsi="宋体"/>
                <w:color w:val="auto"/>
                <w:szCs w:val="21"/>
                <w:highlight w:val="none"/>
              </w:rPr>
              <w:t>分；投标有效报价与评标参考价之差，每上偏1%扣</w:t>
            </w:r>
            <w:r>
              <w:rPr>
                <w:rFonts w:hint="eastAsia" w:ascii="宋体" w:hAnsi="宋体" w:eastAsia="宋体"/>
                <w:color w:val="auto"/>
                <w:szCs w:val="21"/>
                <w:highlight w:val="none"/>
                <w:lang w:val="en-US" w:eastAsia="zh-CN"/>
              </w:rPr>
              <w:t>0.5</w:t>
            </w:r>
            <w:r>
              <w:rPr>
                <w:rFonts w:hint="eastAsia" w:ascii="宋体" w:hAnsi="宋体"/>
                <w:color w:val="auto"/>
                <w:szCs w:val="21"/>
                <w:highlight w:val="none"/>
              </w:rPr>
              <w:t>分，下偏1%扣</w:t>
            </w:r>
            <w:r>
              <w:rPr>
                <w:rFonts w:hint="eastAsia" w:ascii="宋体" w:hAnsi="宋体" w:eastAsia="宋体"/>
                <w:color w:val="auto"/>
                <w:szCs w:val="21"/>
                <w:highlight w:val="none"/>
                <w:lang w:val="en-US" w:eastAsia="zh-CN"/>
              </w:rPr>
              <w:t>0.3</w:t>
            </w:r>
            <w:r>
              <w:rPr>
                <w:rFonts w:hint="eastAsia" w:ascii="宋体" w:hAnsi="宋体"/>
                <w:color w:val="auto"/>
                <w:szCs w:val="21"/>
                <w:highlight w:val="none"/>
              </w:rPr>
              <w:t>分；最多减至0分止。</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b/>
                <w:color w:val="auto"/>
                <w:szCs w:val="21"/>
                <w:highlight w:val="none"/>
                <w:lang w:eastAsia="zh-CN"/>
              </w:rPr>
              <w:t>注：</w:t>
            </w:r>
            <w:r>
              <w:rPr>
                <w:rFonts w:hint="eastAsia" w:ascii="宋体" w:hAnsi="宋体"/>
                <w:b/>
                <w:color w:val="auto"/>
                <w:szCs w:val="21"/>
                <w:highlight w:val="none"/>
              </w:rPr>
              <w:t>本项最高分为</w:t>
            </w:r>
            <w:r>
              <w:rPr>
                <w:rFonts w:hint="eastAsia" w:ascii="宋体" w:hAnsi="宋体" w:eastAsia="宋体"/>
                <w:b/>
                <w:color w:val="auto"/>
                <w:szCs w:val="21"/>
                <w:highlight w:val="none"/>
                <w:lang w:val="en-US" w:eastAsia="zh-CN"/>
              </w:rPr>
              <w:t>20</w:t>
            </w:r>
            <w:r>
              <w:rPr>
                <w:rFonts w:hint="eastAsia" w:ascii="宋体" w:hAnsi="宋体"/>
                <w:b/>
                <w:color w:val="auto"/>
                <w:szCs w:val="21"/>
                <w:highlight w:val="none"/>
              </w:rPr>
              <w:t>分，最低分为0分。得分精确到小数点后两位。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82" w:type="dxa"/>
            <w:bottom w:w="32" w:type="dxa"/>
            <w:right w:w="31" w:type="dxa"/>
          </w:tblCellMar>
        </w:tblPrEx>
        <w:trPr>
          <w:trHeight w:val="1676" w:hRule="atLeast"/>
        </w:trPr>
        <w:tc>
          <w:tcPr>
            <w:tcW w:w="854"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2.2.4（4）</w:t>
            </w:r>
          </w:p>
        </w:tc>
        <w:tc>
          <w:tcPr>
            <w:tcW w:w="1160"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其他因素评分标准</w:t>
            </w:r>
          </w:p>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592" w:type="dxa"/>
            <w:noWrap w:val="0"/>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诚信综合评价得分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6260" w:type="dxa"/>
            <w:noWrap w:val="0"/>
            <w:vAlign w:val="center"/>
          </w:tcPr>
          <w:p>
            <w:pPr>
              <w:spacing w:after="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投标人诚信得分=在广州市检测单位诚信评价中60日诚信分得分×10%。</w:t>
            </w:r>
          </w:p>
          <w:p>
            <w:pPr>
              <w:spacing w:after="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注：（1）在广州市检测单位诚信评价系统中直接查询。（2）查询地址：http://jcjg.gzcqs.com/Jcjg_Gz_Cx/PubicCX_EnterpriseRank.aspx。若评标时网址有变化，以最新的网址为准。（3）得分以投标截止当天查询为准。</w:t>
            </w:r>
          </w:p>
        </w:tc>
      </w:tr>
    </w:tbl>
    <w:p>
      <w:pPr>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1"/>
          <w:szCs w:val="21"/>
          <w:highlight w:val="none"/>
        </w:rPr>
        <w:t>说明：</w:t>
      </w:r>
    </w:p>
    <w:p>
      <w:pPr>
        <w:spacing w:after="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类似检测业绩：指包含本项目检测内容一项或多项的建设工程质量检测业绩，需同时提供中标通知书（或免招标证明）、服务合同证明材料原件清晰扫描件，否则不得分。业绩时间以合同签订时间为准，业绩金额以中标通知书为准。</w:t>
      </w:r>
    </w:p>
    <w:p>
      <w:pPr>
        <w:spacing w:after="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 以上所有人员不得重复计分，人员的社保证明（需提供</w:t>
      </w:r>
      <w:r>
        <w:rPr>
          <w:rFonts w:hint="eastAsia" w:ascii="宋体" w:hAnsi="宋体" w:eastAsia="宋体" w:cs="宋体"/>
          <w:color w:val="auto"/>
          <w:sz w:val="20"/>
          <w:szCs w:val="20"/>
          <w:highlight w:val="none"/>
          <w:lang w:eastAsia="zh-CN"/>
        </w:rPr>
        <w:t>2022</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月份的社保证明）；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after="0"/>
        <w:jc w:val="both"/>
        <w:rPr>
          <w:rFonts w:hint="eastAsia" w:ascii="宋体" w:hAnsi="宋体" w:eastAsia="宋体" w:cs="宋体"/>
          <w:color w:val="auto"/>
          <w:sz w:val="21"/>
          <w:highlight w:val="none"/>
        </w:rPr>
      </w:pPr>
      <w:r>
        <w:rPr>
          <w:rFonts w:hint="eastAsia" w:ascii="宋体" w:hAnsi="宋体" w:eastAsia="宋体" w:cs="宋体"/>
          <w:color w:val="auto"/>
          <w:sz w:val="20"/>
          <w:szCs w:val="20"/>
          <w:highlight w:val="none"/>
        </w:rPr>
        <w:t>3、投标人的综合得分为各评委的评分计取的算术平均分（分数出现小数点时，保留小数点后二位，第三位小数四舍五入）。</w:t>
      </w:r>
    </w:p>
    <w:p>
      <w:pPr>
        <w:rPr>
          <w:rFonts w:hint="default"/>
          <w:lang w:val="en-US" w:eastAsia="zh-CN"/>
        </w:rPr>
      </w:pPr>
      <w:r>
        <w:rPr>
          <w:rFonts w:hint="default"/>
          <w:lang w:val="en-US" w:eastAsia="zh-CN"/>
        </w:rPr>
        <w:br w:type="page"/>
      </w:r>
    </w:p>
    <w:p>
      <w:pPr>
        <w:spacing w:line="360" w:lineRule="auto"/>
        <w:rPr>
          <w:rFonts w:hint="eastAsia" w:ascii="宋体" w:hAnsi="宋体" w:cs="宋体"/>
          <w:sz w:val="24"/>
          <w:lang w:val="en-US" w:eastAsia="zh-CN"/>
        </w:rPr>
      </w:pPr>
      <w:r>
        <w:rPr>
          <w:rFonts w:hint="eastAsia" w:ascii="宋体" w:hAnsi="宋体" w:cs="宋体"/>
          <w:sz w:val="24"/>
        </w:rPr>
        <w:t>附</w:t>
      </w:r>
      <w:r>
        <w:rPr>
          <w:rFonts w:hint="eastAsia" w:ascii="宋体" w:hAnsi="宋体" w:cs="宋体"/>
          <w:sz w:val="24"/>
          <w:lang w:eastAsia="zh-CN"/>
        </w:rPr>
        <w:t>表</w:t>
      </w:r>
      <w:r>
        <w:rPr>
          <w:rFonts w:hint="eastAsia" w:ascii="宋体" w:hAnsi="宋体" w:cs="宋体"/>
          <w:sz w:val="24"/>
          <w:lang w:val="en-US" w:eastAsia="zh-CN"/>
        </w:rPr>
        <w:t>2:</w:t>
      </w:r>
    </w:p>
    <w:p>
      <w:pPr>
        <w:widowControl/>
        <w:shd w:val="clear" w:color="auto" w:fill="FFFFFF"/>
        <w:snapToGrid w:val="0"/>
        <w:spacing w:before="260" w:after="260" w:line="360" w:lineRule="auto"/>
        <w:ind w:right="384" w:firstLine="6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投标人声明</w:t>
      </w:r>
    </w:p>
    <w:p>
      <w:pPr>
        <w:widowControl/>
        <w:shd w:val="clear" w:color="auto" w:fill="FFFFFF"/>
        <w:snapToGrid w:val="0"/>
        <w:spacing w:after="120" w:afterLines="50"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本招标项目招标人及招标监管机构：</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本公司就参加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华南师范大学附属中学增城学校周边市政道路建设工程第三方检测服务项目</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投标工作，作出郑重声明：</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本公司保证投标资格审查材料及其后提供的一切材料都是真实的，如我司成为本项目中标候选人，我司同意并授权招标人将我司投标文件商务部分文件的所有内容（包括报价清单、人员、业绩、奖项等资料）进行公开。</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二、本公司保证在本项目投标中不与其他单位围标、串标，不出让投标资格，不向招标人或评标委员会成员行贿。</w:t>
      </w:r>
    </w:p>
    <w:p>
      <w:pPr>
        <w:pStyle w:val="7"/>
        <w:shd w:val="clear" w:color="auto" w:fill="FFFFFF"/>
        <w:spacing w:line="360" w:lineRule="auto"/>
        <w:ind w:left="-514" w:right="-15" w:rightChars="-7"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宋体"/>
          <w:b/>
          <w:color w:val="auto"/>
          <w:sz w:val="21"/>
          <w:szCs w:val="21"/>
          <w:highlight w:val="none"/>
        </w:rPr>
        <w:t>本公司近二年（20</w:t>
      </w:r>
      <w:r>
        <w:rPr>
          <w:rFonts w:hint="eastAsia" w:ascii="宋体" w:hAnsi="宋体" w:cs="宋体"/>
          <w:b/>
          <w:color w:val="auto"/>
          <w:sz w:val="21"/>
          <w:szCs w:val="21"/>
          <w:highlight w:val="none"/>
          <w:lang w:val="en-US" w:eastAsia="zh-CN"/>
        </w:rPr>
        <w:t>20</w:t>
      </w:r>
      <w:r>
        <w:rPr>
          <w:rFonts w:hint="eastAsia" w:ascii="宋体" w:hAnsi="宋体" w:cs="宋体"/>
          <w:b/>
          <w:color w:val="auto"/>
          <w:sz w:val="21"/>
          <w:szCs w:val="21"/>
          <w:highlight w:val="none"/>
        </w:rPr>
        <w:t>年1月1日起至投标截止时间止）未因以往检测工作中存在伪造检测数据、出具虚假检测报告的行为被各级建设行政主管部门或市场监督管理部门行政处罚或通报的。</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五、与本公司单位负责人为同一人或者与本公司存在控股、管理关系的其他单位包括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。（注：本条由投标人如实填写，如有，应列出全部满足招标公告资质要求的相关单位的名称；如无，则填写“无”。）</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六、本公司承诺，中标后严格执行安全生产相关管理规定。</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七、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本公司违反上述保证，或本声明陈述与事实不符，经查实，本公司愿意接受公开通报，承担由此带来的法律后果，并自愿停止参加广州市行政辖区内的招标投标活动三个月。</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特此声明。</w:t>
      </w:r>
    </w:p>
    <w:p>
      <w:pPr>
        <w:pStyle w:val="7"/>
        <w:shd w:val="clear" w:color="auto" w:fill="FFFFFF"/>
        <w:spacing w:line="360" w:lineRule="auto"/>
        <w:ind w:left="-514" w:right="-15" w:rightChars="-7" w:firstLine="420" w:firstLineChars="200"/>
        <w:rPr>
          <w:rFonts w:hint="eastAsia" w:ascii="宋体" w:hAnsi="宋体" w:cs="宋体"/>
          <w:color w:val="auto"/>
          <w:sz w:val="21"/>
          <w:szCs w:val="21"/>
          <w:highlight w:val="none"/>
        </w:rPr>
      </w:pPr>
    </w:p>
    <w:p>
      <w:pPr>
        <w:shd w:val="clear" w:color="auto" w:fill="FFFFFF"/>
        <w:wordWrap w:val="0"/>
        <w:spacing w:line="360" w:lineRule="auto"/>
        <w:ind w:right="-108" w:firstLine="2415" w:firstLineChars="11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投标单位（盖公章）：                           </w:t>
      </w:r>
    </w:p>
    <w:p>
      <w:pPr>
        <w:wordWrap w:val="0"/>
        <w:ind w:firstLine="525" w:firstLineChars="2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法定代表人或授权委托人（签字或盖章）：        </w:t>
      </w:r>
    </w:p>
    <w:p>
      <w:pPr>
        <w:widowControl/>
        <w:shd w:val="clear" w:color="auto" w:fill="FFFFFF"/>
        <w:snapToGrid w:val="0"/>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pStyle w:val="8"/>
        <w:rPr>
          <w:rFonts w:hint="default"/>
          <w:lang w:val="en-US" w:eastAsia="zh-CN"/>
        </w:rPr>
      </w:pPr>
    </w:p>
    <w:p>
      <w:pPr>
        <w:topLinePunct/>
        <w:adjustRightInd w:val="0"/>
        <w:snapToGrid w:val="0"/>
        <w:spacing w:before="120" w:after="120" w:line="360" w:lineRule="auto"/>
        <w:ind w:firstLine="3494" w:firstLineChars="1450"/>
      </w:pPr>
      <w:r>
        <w:rPr>
          <w:rFonts w:hint="eastAsia" w:ascii="宋体" w:hAnsi="宋体" w:cs="宋体"/>
          <w:b/>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Open Sans">
    <w:altName w:val="Times New Roman"/>
    <w:panose1 w:val="020B0606030504020204"/>
    <w:charset w:val="00"/>
    <w:family w:val="swiss"/>
    <w:pitch w:val="default"/>
    <w:sig w:usb0="00000000" w:usb1="00000000"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322551"/>
    </w:sdtPr>
    <w:sdtContent>
      <w:p>
        <w:pPr>
          <w:pStyle w:val="9"/>
          <w:jc w:val="center"/>
        </w:pPr>
        <w:r>
          <w:fldChar w:fldCharType="begin"/>
        </w:r>
        <w:r>
          <w:instrText xml:space="preserve">PAGE   \* MERGEFORMAT</w:instrText>
        </w:r>
        <w:r>
          <w:fldChar w:fldCharType="separate"/>
        </w:r>
        <w:r>
          <w:rPr>
            <w:lang w:val="zh-CN"/>
          </w:rPr>
          <w:t>4</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E8DF4"/>
    <w:multiLevelType w:val="singleLevel"/>
    <w:tmpl w:val="78BE8D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8D"/>
    <w:rsid w:val="000156A1"/>
    <w:rsid w:val="00021622"/>
    <w:rsid w:val="0002737D"/>
    <w:rsid w:val="0003224D"/>
    <w:rsid w:val="00046964"/>
    <w:rsid w:val="00062A5B"/>
    <w:rsid w:val="000646E2"/>
    <w:rsid w:val="00065CBA"/>
    <w:rsid w:val="00071A4D"/>
    <w:rsid w:val="00090208"/>
    <w:rsid w:val="0009247F"/>
    <w:rsid w:val="00092D13"/>
    <w:rsid w:val="0009760F"/>
    <w:rsid w:val="000A36D0"/>
    <w:rsid w:val="000B1A20"/>
    <w:rsid w:val="000B5A5F"/>
    <w:rsid w:val="000B5F1A"/>
    <w:rsid w:val="000C1F4F"/>
    <w:rsid w:val="000C2DA7"/>
    <w:rsid w:val="000C5199"/>
    <w:rsid w:val="000D037E"/>
    <w:rsid w:val="000D2884"/>
    <w:rsid w:val="000D2C7D"/>
    <w:rsid w:val="000E2C76"/>
    <w:rsid w:val="001025E1"/>
    <w:rsid w:val="00104980"/>
    <w:rsid w:val="00125E8E"/>
    <w:rsid w:val="00147FEA"/>
    <w:rsid w:val="00153167"/>
    <w:rsid w:val="00155606"/>
    <w:rsid w:val="001570FF"/>
    <w:rsid w:val="001615AD"/>
    <w:rsid w:val="00177A1E"/>
    <w:rsid w:val="00180C8C"/>
    <w:rsid w:val="001A359A"/>
    <w:rsid w:val="001B286C"/>
    <w:rsid w:val="001B59DF"/>
    <w:rsid w:val="001C2149"/>
    <w:rsid w:val="001C334D"/>
    <w:rsid w:val="001C3866"/>
    <w:rsid w:val="001F54BF"/>
    <w:rsid w:val="001F7A01"/>
    <w:rsid w:val="002005D2"/>
    <w:rsid w:val="00201131"/>
    <w:rsid w:val="0021042A"/>
    <w:rsid w:val="0022000A"/>
    <w:rsid w:val="00234409"/>
    <w:rsid w:val="0025313F"/>
    <w:rsid w:val="00254663"/>
    <w:rsid w:val="0025782E"/>
    <w:rsid w:val="00263A8D"/>
    <w:rsid w:val="00275A82"/>
    <w:rsid w:val="002863EB"/>
    <w:rsid w:val="00295060"/>
    <w:rsid w:val="002B2C49"/>
    <w:rsid w:val="002B7C85"/>
    <w:rsid w:val="002C0820"/>
    <w:rsid w:val="002C75A9"/>
    <w:rsid w:val="002D1BE2"/>
    <w:rsid w:val="002D46FC"/>
    <w:rsid w:val="002D4AA3"/>
    <w:rsid w:val="002D6D85"/>
    <w:rsid w:val="002E552A"/>
    <w:rsid w:val="002F6626"/>
    <w:rsid w:val="002F76C5"/>
    <w:rsid w:val="00306BA7"/>
    <w:rsid w:val="00313FA5"/>
    <w:rsid w:val="003151A8"/>
    <w:rsid w:val="0032008C"/>
    <w:rsid w:val="003351AB"/>
    <w:rsid w:val="00340DEA"/>
    <w:rsid w:val="00341E17"/>
    <w:rsid w:val="00356C40"/>
    <w:rsid w:val="00366CC8"/>
    <w:rsid w:val="00376B54"/>
    <w:rsid w:val="003A1BF8"/>
    <w:rsid w:val="003A30B4"/>
    <w:rsid w:val="003A3E10"/>
    <w:rsid w:val="003B2BBE"/>
    <w:rsid w:val="003C1C7A"/>
    <w:rsid w:val="003E1023"/>
    <w:rsid w:val="003E5660"/>
    <w:rsid w:val="003E5EF5"/>
    <w:rsid w:val="003E65BB"/>
    <w:rsid w:val="003E6628"/>
    <w:rsid w:val="003F3ED9"/>
    <w:rsid w:val="00400463"/>
    <w:rsid w:val="0040196F"/>
    <w:rsid w:val="00402D84"/>
    <w:rsid w:val="00403043"/>
    <w:rsid w:val="00410363"/>
    <w:rsid w:val="00413A3B"/>
    <w:rsid w:val="00420A8C"/>
    <w:rsid w:val="00423039"/>
    <w:rsid w:val="00425894"/>
    <w:rsid w:val="00427539"/>
    <w:rsid w:val="00430A8F"/>
    <w:rsid w:val="004316C0"/>
    <w:rsid w:val="004330C4"/>
    <w:rsid w:val="00433E9C"/>
    <w:rsid w:val="00436A79"/>
    <w:rsid w:val="00436C70"/>
    <w:rsid w:val="00436DB6"/>
    <w:rsid w:val="00443ED3"/>
    <w:rsid w:val="00444999"/>
    <w:rsid w:val="00452D5E"/>
    <w:rsid w:val="0046002C"/>
    <w:rsid w:val="00471FAA"/>
    <w:rsid w:val="00474FCD"/>
    <w:rsid w:val="00483E18"/>
    <w:rsid w:val="00485179"/>
    <w:rsid w:val="004863BC"/>
    <w:rsid w:val="004A2744"/>
    <w:rsid w:val="004A2B5E"/>
    <w:rsid w:val="004A7A3B"/>
    <w:rsid w:val="004C5461"/>
    <w:rsid w:val="004E2634"/>
    <w:rsid w:val="004E756D"/>
    <w:rsid w:val="004F07EC"/>
    <w:rsid w:val="004F7392"/>
    <w:rsid w:val="00502241"/>
    <w:rsid w:val="00510074"/>
    <w:rsid w:val="00511853"/>
    <w:rsid w:val="005260FD"/>
    <w:rsid w:val="00527B51"/>
    <w:rsid w:val="00527D06"/>
    <w:rsid w:val="00543CCF"/>
    <w:rsid w:val="00562DBC"/>
    <w:rsid w:val="005744F2"/>
    <w:rsid w:val="00574FDC"/>
    <w:rsid w:val="005804AF"/>
    <w:rsid w:val="00586EBC"/>
    <w:rsid w:val="005B2167"/>
    <w:rsid w:val="005B684C"/>
    <w:rsid w:val="005D28BE"/>
    <w:rsid w:val="005E0B93"/>
    <w:rsid w:val="005F7AF8"/>
    <w:rsid w:val="006010D9"/>
    <w:rsid w:val="00606134"/>
    <w:rsid w:val="00610CCD"/>
    <w:rsid w:val="00615FE7"/>
    <w:rsid w:val="006179BF"/>
    <w:rsid w:val="00631904"/>
    <w:rsid w:val="00635E72"/>
    <w:rsid w:val="006368B8"/>
    <w:rsid w:val="00643EB5"/>
    <w:rsid w:val="00645335"/>
    <w:rsid w:val="006509A6"/>
    <w:rsid w:val="0066049B"/>
    <w:rsid w:val="00661DF0"/>
    <w:rsid w:val="0067577C"/>
    <w:rsid w:val="00685CC3"/>
    <w:rsid w:val="006A0E0E"/>
    <w:rsid w:val="006A5B28"/>
    <w:rsid w:val="006B01C9"/>
    <w:rsid w:val="006C0034"/>
    <w:rsid w:val="006C1C88"/>
    <w:rsid w:val="006C68A9"/>
    <w:rsid w:val="006C6A06"/>
    <w:rsid w:val="006D3E10"/>
    <w:rsid w:val="006D4357"/>
    <w:rsid w:val="006D729C"/>
    <w:rsid w:val="006F08E1"/>
    <w:rsid w:val="00700EC6"/>
    <w:rsid w:val="0070209A"/>
    <w:rsid w:val="007203B5"/>
    <w:rsid w:val="00722ADA"/>
    <w:rsid w:val="00732C5C"/>
    <w:rsid w:val="0073645F"/>
    <w:rsid w:val="00737993"/>
    <w:rsid w:val="00752665"/>
    <w:rsid w:val="007614C3"/>
    <w:rsid w:val="007618CE"/>
    <w:rsid w:val="00762D9B"/>
    <w:rsid w:val="007632C6"/>
    <w:rsid w:val="00766E45"/>
    <w:rsid w:val="007720D9"/>
    <w:rsid w:val="00774CC1"/>
    <w:rsid w:val="00782607"/>
    <w:rsid w:val="00791776"/>
    <w:rsid w:val="00793E8C"/>
    <w:rsid w:val="007A4332"/>
    <w:rsid w:val="007B0B7F"/>
    <w:rsid w:val="007B5A85"/>
    <w:rsid w:val="007C1322"/>
    <w:rsid w:val="007C44AD"/>
    <w:rsid w:val="007E252B"/>
    <w:rsid w:val="007E6FC6"/>
    <w:rsid w:val="007F7FB3"/>
    <w:rsid w:val="008033A3"/>
    <w:rsid w:val="00807CBC"/>
    <w:rsid w:val="0081068E"/>
    <w:rsid w:val="00813E1F"/>
    <w:rsid w:val="008171B2"/>
    <w:rsid w:val="00817D89"/>
    <w:rsid w:val="00823442"/>
    <w:rsid w:val="00826C8B"/>
    <w:rsid w:val="00834E5D"/>
    <w:rsid w:val="0084224E"/>
    <w:rsid w:val="00842FDB"/>
    <w:rsid w:val="00853D02"/>
    <w:rsid w:val="008661AF"/>
    <w:rsid w:val="00867A3D"/>
    <w:rsid w:val="0087667D"/>
    <w:rsid w:val="00881B9A"/>
    <w:rsid w:val="00883C76"/>
    <w:rsid w:val="00885690"/>
    <w:rsid w:val="00890711"/>
    <w:rsid w:val="00892CF7"/>
    <w:rsid w:val="008930ED"/>
    <w:rsid w:val="00893D21"/>
    <w:rsid w:val="0089493A"/>
    <w:rsid w:val="00895F8C"/>
    <w:rsid w:val="008A0249"/>
    <w:rsid w:val="008A21C4"/>
    <w:rsid w:val="008B1672"/>
    <w:rsid w:val="008C545F"/>
    <w:rsid w:val="008E10A3"/>
    <w:rsid w:val="008F1B2D"/>
    <w:rsid w:val="008F3717"/>
    <w:rsid w:val="009057FD"/>
    <w:rsid w:val="00907FC9"/>
    <w:rsid w:val="00916B66"/>
    <w:rsid w:val="0094070A"/>
    <w:rsid w:val="009614E6"/>
    <w:rsid w:val="009678A9"/>
    <w:rsid w:val="00977CDD"/>
    <w:rsid w:val="00981463"/>
    <w:rsid w:val="0098231E"/>
    <w:rsid w:val="0098471D"/>
    <w:rsid w:val="00986E90"/>
    <w:rsid w:val="00991A5B"/>
    <w:rsid w:val="009A30F8"/>
    <w:rsid w:val="009B34E4"/>
    <w:rsid w:val="009B458B"/>
    <w:rsid w:val="009C785D"/>
    <w:rsid w:val="009D1856"/>
    <w:rsid w:val="009D1A44"/>
    <w:rsid w:val="009D31E8"/>
    <w:rsid w:val="009D7756"/>
    <w:rsid w:val="00A0594C"/>
    <w:rsid w:val="00A06178"/>
    <w:rsid w:val="00A06CA1"/>
    <w:rsid w:val="00A13EE5"/>
    <w:rsid w:val="00A1491A"/>
    <w:rsid w:val="00A227A4"/>
    <w:rsid w:val="00A2792D"/>
    <w:rsid w:val="00A35FAA"/>
    <w:rsid w:val="00A571E9"/>
    <w:rsid w:val="00A60904"/>
    <w:rsid w:val="00A66522"/>
    <w:rsid w:val="00A71AFB"/>
    <w:rsid w:val="00A9695F"/>
    <w:rsid w:val="00A97455"/>
    <w:rsid w:val="00AA2A8D"/>
    <w:rsid w:val="00AA6178"/>
    <w:rsid w:val="00AB099E"/>
    <w:rsid w:val="00AB26C1"/>
    <w:rsid w:val="00AB39F6"/>
    <w:rsid w:val="00AC1A7D"/>
    <w:rsid w:val="00AC5DD1"/>
    <w:rsid w:val="00AC72E4"/>
    <w:rsid w:val="00AD16EB"/>
    <w:rsid w:val="00AD62EE"/>
    <w:rsid w:val="00AD7659"/>
    <w:rsid w:val="00AE6806"/>
    <w:rsid w:val="00AF14BE"/>
    <w:rsid w:val="00AF33F3"/>
    <w:rsid w:val="00B1637F"/>
    <w:rsid w:val="00B27457"/>
    <w:rsid w:val="00B314BF"/>
    <w:rsid w:val="00B52919"/>
    <w:rsid w:val="00B55718"/>
    <w:rsid w:val="00B6130F"/>
    <w:rsid w:val="00B64233"/>
    <w:rsid w:val="00B7773D"/>
    <w:rsid w:val="00B81259"/>
    <w:rsid w:val="00B8362E"/>
    <w:rsid w:val="00B87641"/>
    <w:rsid w:val="00B9023A"/>
    <w:rsid w:val="00BA12DC"/>
    <w:rsid w:val="00BC168A"/>
    <w:rsid w:val="00BC5F73"/>
    <w:rsid w:val="00BD13D7"/>
    <w:rsid w:val="00BE2F4C"/>
    <w:rsid w:val="00BE5BD5"/>
    <w:rsid w:val="00BF1780"/>
    <w:rsid w:val="00BF5B68"/>
    <w:rsid w:val="00C04437"/>
    <w:rsid w:val="00C17B80"/>
    <w:rsid w:val="00C32E8E"/>
    <w:rsid w:val="00C41414"/>
    <w:rsid w:val="00C4225C"/>
    <w:rsid w:val="00C4287F"/>
    <w:rsid w:val="00C42B62"/>
    <w:rsid w:val="00C44C5D"/>
    <w:rsid w:val="00C53339"/>
    <w:rsid w:val="00C547A6"/>
    <w:rsid w:val="00C54A0D"/>
    <w:rsid w:val="00C557EB"/>
    <w:rsid w:val="00C57151"/>
    <w:rsid w:val="00C7152C"/>
    <w:rsid w:val="00C7293C"/>
    <w:rsid w:val="00C73D9D"/>
    <w:rsid w:val="00C84392"/>
    <w:rsid w:val="00C84C7A"/>
    <w:rsid w:val="00CA3555"/>
    <w:rsid w:val="00CA6EB8"/>
    <w:rsid w:val="00CA7015"/>
    <w:rsid w:val="00CB65A5"/>
    <w:rsid w:val="00CC2085"/>
    <w:rsid w:val="00CD5DCE"/>
    <w:rsid w:val="00CD7745"/>
    <w:rsid w:val="00CE3F1A"/>
    <w:rsid w:val="00CE492C"/>
    <w:rsid w:val="00CF1F3D"/>
    <w:rsid w:val="00CF2E70"/>
    <w:rsid w:val="00CF489D"/>
    <w:rsid w:val="00D012C4"/>
    <w:rsid w:val="00D0751B"/>
    <w:rsid w:val="00D108E8"/>
    <w:rsid w:val="00D1534D"/>
    <w:rsid w:val="00D30A15"/>
    <w:rsid w:val="00D33B6B"/>
    <w:rsid w:val="00D33EF7"/>
    <w:rsid w:val="00D434B2"/>
    <w:rsid w:val="00D4626E"/>
    <w:rsid w:val="00D51845"/>
    <w:rsid w:val="00D64F2B"/>
    <w:rsid w:val="00D71FAC"/>
    <w:rsid w:val="00D77CFE"/>
    <w:rsid w:val="00D91A0D"/>
    <w:rsid w:val="00D91C06"/>
    <w:rsid w:val="00D942C2"/>
    <w:rsid w:val="00D94DCE"/>
    <w:rsid w:val="00DA1838"/>
    <w:rsid w:val="00DA45F7"/>
    <w:rsid w:val="00DB1FE8"/>
    <w:rsid w:val="00DB4D4B"/>
    <w:rsid w:val="00DB4F7F"/>
    <w:rsid w:val="00DB5C89"/>
    <w:rsid w:val="00DE1796"/>
    <w:rsid w:val="00DE2980"/>
    <w:rsid w:val="00DE3C40"/>
    <w:rsid w:val="00DE4A34"/>
    <w:rsid w:val="00DF34ED"/>
    <w:rsid w:val="00DF5B73"/>
    <w:rsid w:val="00E01D2E"/>
    <w:rsid w:val="00E13D21"/>
    <w:rsid w:val="00E1578B"/>
    <w:rsid w:val="00E16B84"/>
    <w:rsid w:val="00E253A7"/>
    <w:rsid w:val="00E30947"/>
    <w:rsid w:val="00E3617D"/>
    <w:rsid w:val="00E374C9"/>
    <w:rsid w:val="00E442A3"/>
    <w:rsid w:val="00E50055"/>
    <w:rsid w:val="00E538D8"/>
    <w:rsid w:val="00E566C6"/>
    <w:rsid w:val="00E653C3"/>
    <w:rsid w:val="00E70E76"/>
    <w:rsid w:val="00E71481"/>
    <w:rsid w:val="00E742C9"/>
    <w:rsid w:val="00E75377"/>
    <w:rsid w:val="00E86F86"/>
    <w:rsid w:val="00E913F2"/>
    <w:rsid w:val="00E91DF1"/>
    <w:rsid w:val="00EA23C0"/>
    <w:rsid w:val="00EA2B2E"/>
    <w:rsid w:val="00EA66B7"/>
    <w:rsid w:val="00EC368A"/>
    <w:rsid w:val="00ED7EED"/>
    <w:rsid w:val="00EE247D"/>
    <w:rsid w:val="00EE42BE"/>
    <w:rsid w:val="00EF3594"/>
    <w:rsid w:val="00F02429"/>
    <w:rsid w:val="00F04179"/>
    <w:rsid w:val="00F07619"/>
    <w:rsid w:val="00F07BA7"/>
    <w:rsid w:val="00F130D2"/>
    <w:rsid w:val="00F13134"/>
    <w:rsid w:val="00F227B3"/>
    <w:rsid w:val="00F23699"/>
    <w:rsid w:val="00F2669E"/>
    <w:rsid w:val="00F3523F"/>
    <w:rsid w:val="00F37AAE"/>
    <w:rsid w:val="00F44827"/>
    <w:rsid w:val="00F523DC"/>
    <w:rsid w:val="00F5284E"/>
    <w:rsid w:val="00F5358E"/>
    <w:rsid w:val="00F55CD0"/>
    <w:rsid w:val="00F614CA"/>
    <w:rsid w:val="00F7391D"/>
    <w:rsid w:val="00F82E65"/>
    <w:rsid w:val="00F97EFA"/>
    <w:rsid w:val="00FA7490"/>
    <w:rsid w:val="00FC0DC5"/>
    <w:rsid w:val="00FC30B9"/>
    <w:rsid w:val="00FD6DC3"/>
    <w:rsid w:val="00FE6C59"/>
    <w:rsid w:val="01974C59"/>
    <w:rsid w:val="024141DC"/>
    <w:rsid w:val="025A529E"/>
    <w:rsid w:val="027771ED"/>
    <w:rsid w:val="028B5457"/>
    <w:rsid w:val="02F05C02"/>
    <w:rsid w:val="034D095E"/>
    <w:rsid w:val="035543F0"/>
    <w:rsid w:val="03604B36"/>
    <w:rsid w:val="037A7A4E"/>
    <w:rsid w:val="03B66033"/>
    <w:rsid w:val="03BA7B8B"/>
    <w:rsid w:val="04402271"/>
    <w:rsid w:val="046441B2"/>
    <w:rsid w:val="04D45790"/>
    <w:rsid w:val="04D94B9F"/>
    <w:rsid w:val="05340028"/>
    <w:rsid w:val="054D733B"/>
    <w:rsid w:val="057745F8"/>
    <w:rsid w:val="05EA1C98"/>
    <w:rsid w:val="05F11A75"/>
    <w:rsid w:val="06192BEE"/>
    <w:rsid w:val="062F07EF"/>
    <w:rsid w:val="06B50CF4"/>
    <w:rsid w:val="06C90C44"/>
    <w:rsid w:val="07140111"/>
    <w:rsid w:val="07181283"/>
    <w:rsid w:val="07AD5E6F"/>
    <w:rsid w:val="07B611C8"/>
    <w:rsid w:val="07BB058C"/>
    <w:rsid w:val="07E7434E"/>
    <w:rsid w:val="07F97307"/>
    <w:rsid w:val="08191757"/>
    <w:rsid w:val="0848238E"/>
    <w:rsid w:val="08547A29"/>
    <w:rsid w:val="088513EC"/>
    <w:rsid w:val="08F06BC0"/>
    <w:rsid w:val="09000221"/>
    <w:rsid w:val="09722ECD"/>
    <w:rsid w:val="09BC692F"/>
    <w:rsid w:val="09C23292"/>
    <w:rsid w:val="0A2923CF"/>
    <w:rsid w:val="0A371065"/>
    <w:rsid w:val="0A4505E1"/>
    <w:rsid w:val="0B1F2C8B"/>
    <w:rsid w:val="0B372620"/>
    <w:rsid w:val="0BB579E9"/>
    <w:rsid w:val="0C060244"/>
    <w:rsid w:val="0C2F1549"/>
    <w:rsid w:val="0CAD33FB"/>
    <w:rsid w:val="0CAF268A"/>
    <w:rsid w:val="0CC553F6"/>
    <w:rsid w:val="0CD8398F"/>
    <w:rsid w:val="0D6E60A1"/>
    <w:rsid w:val="0D990603"/>
    <w:rsid w:val="0D9F26FE"/>
    <w:rsid w:val="0E12208D"/>
    <w:rsid w:val="0E2A1FC8"/>
    <w:rsid w:val="0F5372FC"/>
    <w:rsid w:val="0F704352"/>
    <w:rsid w:val="10156CA8"/>
    <w:rsid w:val="10172A20"/>
    <w:rsid w:val="10857989"/>
    <w:rsid w:val="10C34956"/>
    <w:rsid w:val="10EF74F9"/>
    <w:rsid w:val="11107F9A"/>
    <w:rsid w:val="11695052"/>
    <w:rsid w:val="117C2E73"/>
    <w:rsid w:val="12274A70"/>
    <w:rsid w:val="12303925"/>
    <w:rsid w:val="12EB3F94"/>
    <w:rsid w:val="13C46A1B"/>
    <w:rsid w:val="142923F2"/>
    <w:rsid w:val="144E09DA"/>
    <w:rsid w:val="147E12BF"/>
    <w:rsid w:val="148B578A"/>
    <w:rsid w:val="149019C4"/>
    <w:rsid w:val="154D0C92"/>
    <w:rsid w:val="15747FCD"/>
    <w:rsid w:val="158A77F0"/>
    <w:rsid w:val="15915022"/>
    <w:rsid w:val="15A70C9F"/>
    <w:rsid w:val="15BE749A"/>
    <w:rsid w:val="15EE7D7F"/>
    <w:rsid w:val="1629525B"/>
    <w:rsid w:val="168C1346"/>
    <w:rsid w:val="16B23B02"/>
    <w:rsid w:val="16BF34C9"/>
    <w:rsid w:val="16C15493"/>
    <w:rsid w:val="16C60437"/>
    <w:rsid w:val="16E573D4"/>
    <w:rsid w:val="17023F14"/>
    <w:rsid w:val="176C18A3"/>
    <w:rsid w:val="17D65ED9"/>
    <w:rsid w:val="183E177D"/>
    <w:rsid w:val="18695DE3"/>
    <w:rsid w:val="18730A0F"/>
    <w:rsid w:val="18CE20EA"/>
    <w:rsid w:val="18E77C6E"/>
    <w:rsid w:val="191775ED"/>
    <w:rsid w:val="192341E3"/>
    <w:rsid w:val="193A00A0"/>
    <w:rsid w:val="1AE36188"/>
    <w:rsid w:val="1B177D78"/>
    <w:rsid w:val="1B2D30F7"/>
    <w:rsid w:val="1B663075"/>
    <w:rsid w:val="1BFD51C0"/>
    <w:rsid w:val="1C1D316C"/>
    <w:rsid w:val="1C202C5C"/>
    <w:rsid w:val="1C36422E"/>
    <w:rsid w:val="1C646FED"/>
    <w:rsid w:val="1D594678"/>
    <w:rsid w:val="1D8316F5"/>
    <w:rsid w:val="1D886D0B"/>
    <w:rsid w:val="1D921938"/>
    <w:rsid w:val="1DD41F50"/>
    <w:rsid w:val="1E7A2AF8"/>
    <w:rsid w:val="1E7D381D"/>
    <w:rsid w:val="1F464788"/>
    <w:rsid w:val="1F686DF4"/>
    <w:rsid w:val="1F695B08"/>
    <w:rsid w:val="1F745799"/>
    <w:rsid w:val="1F941997"/>
    <w:rsid w:val="203211B0"/>
    <w:rsid w:val="204D5FEA"/>
    <w:rsid w:val="207B4905"/>
    <w:rsid w:val="208E288A"/>
    <w:rsid w:val="209D1E87"/>
    <w:rsid w:val="20D504B9"/>
    <w:rsid w:val="2149055F"/>
    <w:rsid w:val="21695AFE"/>
    <w:rsid w:val="217952E8"/>
    <w:rsid w:val="219B61B1"/>
    <w:rsid w:val="21ED78BA"/>
    <w:rsid w:val="220063CD"/>
    <w:rsid w:val="221E4CC8"/>
    <w:rsid w:val="234611FA"/>
    <w:rsid w:val="23627FFE"/>
    <w:rsid w:val="23D34A58"/>
    <w:rsid w:val="23D66EDC"/>
    <w:rsid w:val="23E06EC0"/>
    <w:rsid w:val="242F3825"/>
    <w:rsid w:val="24376D95"/>
    <w:rsid w:val="24D71ABA"/>
    <w:rsid w:val="24FE5B05"/>
    <w:rsid w:val="25B12B77"/>
    <w:rsid w:val="25BC39F6"/>
    <w:rsid w:val="25FE400E"/>
    <w:rsid w:val="262E2AB8"/>
    <w:rsid w:val="264B4D7A"/>
    <w:rsid w:val="26C97164"/>
    <w:rsid w:val="274912B9"/>
    <w:rsid w:val="274A3283"/>
    <w:rsid w:val="276A7481"/>
    <w:rsid w:val="279664C8"/>
    <w:rsid w:val="27983FEE"/>
    <w:rsid w:val="27C43035"/>
    <w:rsid w:val="284E28FF"/>
    <w:rsid w:val="28F11C08"/>
    <w:rsid w:val="2927387C"/>
    <w:rsid w:val="294206B6"/>
    <w:rsid w:val="295E6B72"/>
    <w:rsid w:val="2973261D"/>
    <w:rsid w:val="29986528"/>
    <w:rsid w:val="29A24CB1"/>
    <w:rsid w:val="29B02542"/>
    <w:rsid w:val="29B36EBE"/>
    <w:rsid w:val="29E057D9"/>
    <w:rsid w:val="2A60685E"/>
    <w:rsid w:val="2A6E1037"/>
    <w:rsid w:val="2ABB0DA2"/>
    <w:rsid w:val="2AE26FA7"/>
    <w:rsid w:val="2B996587"/>
    <w:rsid w:val="2C5C383D"/>
    <w:rsid w:val="2C6170A5"/>
    <w:rsid w:val="2C6632E9"/>
    <w:rsid w:val="2C665755"/>
    <w:rsid w:val="2CD70C96"/>
    <w:rsid w:val="2D137721"/>
    <w:rsid w:val="2D1B36F8"/>
    <w:rsid w:val="2D7B4022"/>
    <w:rsid w:val="2D8F7C42"/>
    <w:rsid w:val="2DBC613A"/>
    <w:rsid w:val="2DE03FF9"/>
    <w:rsid w:val="2E004A66"/>
    <w:rsid w:val="2E0E283C"/>
    <w:rsid w:val="2E4E5407"/>
    <w:rsid w:val="2E535117"/>
    <w:rsid w:val="2E76670C"/>
    <w:rsid w:val="2E7C6418"/>
    <w:rsid w:val="2EA05EF0"/>
    <w:rsid w:val="2EB84F76"/>
    <w:rsid w:val="2F0D7070"/>
    <w:rsid w:val="2F2B74F6"/>
    <w:rsid w:val="2F48454C"/>
    <w:rsid w:val="2FC8743B"/>
    <w:rsid w:val="30872E52"/>
    <w:rsid w:val="3106646D"/>
    <w:rsid w:val="31D976DD"/>
    <w:rsid w:val="32015DD4"/>
    <w:rsid w:val="32406EF5"/>
    <w:rsid w:val="32AB107A"/>
    <w:rsid w:val="32C1089D"/>
    <w:rsid w:val="32F50547"/>
    <w:rsid w:val="33331EF1"/>
    <w:rsid w:val="337376BE"/>
    <w:rsid w:val="33D95773"/>
    <w:rsid w:val="340844F2"/>
    <w:rsid w:val="34337579"/>
    <w:rsid w:val="34621C0C"/>
    <w:rsid w:val="34EA39B0"/>
    <w:rsid w:val="351D1FD7"/>
    <w:rsid w:val="357C4F4F"/>
    <w:rsid w:val="35AD5109"/>
    <w:rsid w:val="35B069A7"/>
    <w:rsid w:val="35D23087"/>
    <w:rsid w:val="36222F6C"/>
    <w:rsid w:val="36603F29"/>
    <w:rsid w:val="3687595A"/>
    <w:rsid w:val="36883480"/>
    <w:rsid w:val="36A22794"/>
    <w:rsid w:val="36BB396F"/>
    <w:rsid w:val="37F60FE9"/>
    <w:rsid w:val="37F963E3"/>
    <w:rsid w:val="380B5BE6"/>
    <w:rsid w:val="38A547BD"/>
    <w:rsid w:val="38E2156D"/>
    <w:rsid w:val="38F512A1"/>
    <w:rsid w:val="38FF3ECD"/>
    <w:rsid w:val="39074B30"/>
    <w:rsid w:val="39227BBC"/>
    <w:rsid w:val="39BC1DBE"/>
    <w:rsid w:val="3A147D2F"/>
    <w:rsid w:val="3AB42A96"/>
    <w:rsid w:val="3AE8273F"/>
    <w:rsid w:val="3B293570"/>
    <w:rsid w:val="3B6224F2"/>
    <w:rsid w:val="3C942B7F"/>
    <w:rsid w:val="3CEB56D1"/>
    <w:rsid w:val="3D820C29"/>
    <w:rsid w:val="3DFE00DE"/>
    <w:rsid w:val="3E46434D"/>
    <w:rsid w:val="3E7A2248"/>
    <w:rsid w:val="3E7E3AE6"/>
    <w:rsid w:val="3E894F16"/>
    <w:rsid w:val="3E990920"/>
    <w:rsid w:val="3F4563B2"/>
    <w:rsid w:val="3FC75019"/>
    <w:rsid w:val="3FEE25A6"/>
    <w:rsid w:val="404843AC"/>
    <w:rsid w:val="41452699"/>
    <w:rsid w:val="41646312"/>
    <w:rsid w:val="41670862"/>
    <w:rsid w:val="41801923"/>
    <w:rsid w:val="42B43EC1"/>
    <w:rsid w:val="43222685"/>
    <w:rsid w:val="434B5F61"/>
    <w:rsid w:val="43644AEF"/>
    <w:rsid w:val="436A288B"/>
    <w:rsid w:val="438374A9"/>
    <w:rsid w:val="43B2390D"/>
    <w:rsid w:val="43EE526A"/>
    <w:rsid w:val="44290050"/>
    <w:rsid w:val="44AC5C55"/>
    <w:rsid w:val="44DB4E23"/>
    <w:rsid w:val="44DF1057"/>
    <w:rsid w:val="44F96048"/>
    <w:rsid w:val="451505D5"/>
    <w:rsid w:val="45857508"/>
    <w:rsid w:val="45C344D5"/>
    <w:rsid w:val="460E4E8B"/>
    <w:rsid w:val="465A6BE7"/>
    <w:rsid w:val="465F5FAB"/>
    <w:rsid w:val="469C7524"/>
    <w:rsid w:val="46B06807"/>
    <w:rsid w:val="46DF2014"/>
    <w:rsid w:val="47946129"/>
    <w:rsid w:val="47C56B2C"/>
    <w:rsid w:val="47C87B80"/>
    <w:rsid w:val="47F60B91"/>
    <w:rsid w:val="4832149E"/>
    <w:rsid w:val="484C255F"/>
    <w:rsid w:val="48710218"/>
    <w:rsid w:val="48921964"/>
    <w:rsid w:val="48D03190"/>
    <w:rsid w:val="48F30C2D"/>
    <w:rsid w:val="4981386A"/>
    <w:rsid w:val="49F83197"/>
    <w:rsid w:val="4A6A4F1F"/>
    <w:rsid w:val="4A8E6B82"/>
    <w:rsid w:val="4B0B4954"/>
    <w:rsid w:val="4B50680B"/>
    <w:rsid w:val="4B8D35BB"/>
    <w:rsid w:val="4B9A3511"/>
    <w:rsid w:val="4BBA1ED6"/>
    <w:rsid w:val="4BDF193C"/>
    <w:rsid w:val="4BEA1883"/>
    <w:rsid w:val="4C1C049B"/>
    <w:rsid w:val="4C1F76E9"/>
    <w:rsid w:val="4C2D26A8"/>
    <w:rsid w:val="4C3E2B07"/>
    <w:rsid w:val="4D0F1DAD"/>
    <w:rsid w:val="4D962C6A"/>
    <w:rsid w:val="4DD454D1"/>
    <w:rsid w:val="4E4D0DDF"/>
    <w:rsid w:val="4E9C0FA0"/>
    <w:rsid w:val="4EB33338"/>
    <w:rsid w:val="4EBA7DF3"/>
    <w:rsid w:val="4ED137BE"/>
    <w:rsid w:val="4F697E9B"/>
    <w:rsid w:val="4F950C90"/>
    <w:rsid w:val="4FDA415A"/>
    <w:rsid w:val="50210776"/>
    <w:rsid w:val="50502E09"/>
    <w:rsid w:val="507C1E50"/>
    <w:rsid w:val="50A45D39"/>
    <w:rsid w:val="50CD2020"/>
    <w:rsid w:val="51826FF2"/>
    <w:rsid w:val="51F3441E"/>
    <w:rsid w:val="521F6F37"/>
    <w:rsid w:val="528F18AE"/>
    <w:rsid w:val="52905E25"/>
    <w:rsid w:val="52A47262"/>
    <w:rsid w:val="52C84ED8"/>
    <w:rsid w:val="534C5B09"/>
    <w:rsid w:val="53535A97"/>
    <w:rsid w:val="537B4372"/>
    <w:rsid w:val="53B86CFB"/>
    <w:rsid w:val="54AE3DC7"/>
    <w:rsid w:val="54D77655"/>
    <w:rsid w:val="55B132BC"/>
    <w:rsid w:val="56073F6A"/>
    <w:rsid w:val="568F5463"/>
    <w:rsid w:val="569A3030"/>
    <w:rsid w:val="56B12B71"/>
    <w:rsid w:val="56F71A23"/>
    <w:rsid w:val="56FE35BF"/>
    <w:rsid w:val="57233025"/>
    <w:rsid w:val="573241D9"/>
    <w:rsid w:val="57CC2499"/>
    <w:rsid w:val="57D1482F"/>
    <w:rsid w:val="581C679B"/>
    <w:rsid w:val="582C7CB7"/>
    <w:rsid w:val="5851771E"/>
    <w:rsid w:val="587C79F7"/>
    <w:rsid w:val="591A2206"/>
    <w:rsid w:val="593B28A8"/>
    <w:rsid w:val="59512880"/>
    <w:rsid w:val="598F49A2"/>
    <w:rsid w:val="59E051FD"/>
    <w:rsid w:val="5A1424C6"/>
    <w:rsid w:val="5A382944"/>
    <w:rsid w:val="5AAE0E58"/>
    <w:rsid w:val="5ABA77FD"/>
    <w:rsid w:val="5AFB3436"/>
    <w:rsid w:val="5B4377F2"/>
    <w:rsid w:val="5BB01D87"/>
    <w:rsid w:val="5BF42A44"/>
    <w:rsid w:val="5C076A71"/>
    <w:rsid w:val="5C1473E0"/>
    <w:rsid w:val="5C4953DA"/>
    <w:rsid w:val="5C653798"/>
    <w:rsid w:val="5C875E04"/>
    <w:rsid w:val="5D3715D8"/>
    <w:rsid w:val="5D674FF4"/>
    <w:rsid w:val="5DB76275"/>
    <w:rsid w:val="5DE60909"/>
    <w:rsid w:val="5E4F2952"/>
    <w:rsid w:val="5E8343A9"/>
    <w:rsid w:val="5E930A90"/>
    <w:rsid w:val="5E9B16F3"/>
    <w:rsid w:val="5EC46E9C"/>
    <w:rsid w:val="5ED370DF"/>
    <w:rsid w:val="5F447FDD"/>
    <w:rsid w:val="5FA34D03"/>
    <w:rsid w:val="606B26F4"/>
    <w:rsid w:val="60C2740B"/>
    <w:rsid w:val="617D77DB"/>
    <w:rsid w:val="62165C60"/>
    <w:rsid w:val="62593D9F"/>
    <w:rsid w:val="62634C1E"/>
    <w:rsid w:val="62FC17E3"/>
    <w:rsid w:val="63690B8E"/>
    <w:rsid w:val="63CD05A1"/>
    <w:rsid w:val="63E61662"/>
    <w:rsid w:val="64104931"/>
    <w:rsid w:val="64CF321D"/>
    <w:rsid w:val="6518584B"/>
    <w:rsid w:val="655B398A"/>
    <w:rsid w:val="65EE00EA"/>
    <w:rsid w:val="660758C0"/>
    <w:rsid w:val="6639016F"/>
    <w:rsid w:val="66C0619B"/>
    <w:rsid w:val="66ED4AB6"/>
    <w:rsid w:val="67461A62"/>
    <w:rsid w:val="67784CC7"/>
    <w:rsid w:val="67892A30"/>
    <w:rsid w:val="67E80003"/>
    <w:rsid w:val="67F51E74"/>
    <w:rsid w:val="688558EE"/>
    <w:rsid w:val="68C06926"/>
    <w:rsid w:val="68D75A1D"/>
    <w:rsid w:val="68D86313"/>
    <w:rsid w:val="69586B5E"/>
    <w:rsid w:val="696965F6"/>
    <w:rsid w:val="69A00505"/>
    <w:rsid w:val="6A072332"/>
    <w:rsid w:val="6A1C2E4A"/>
    <w:rsid w:val="6A3C5C35"/>
    <w:rsid w:val="6A450328"/>
    <w:rsid w:val="6A641533"/>
    <w:rsid w:val="6AB204F0"/>
    <w:rsid w:val="6AD55F8D"/>
    <w:rsid w:val="6B0A3E88"/>
    <w:rsid w:val="6B0C5E52"/>
    <w:rsid w:val="6B5911CF"/>
    <w:rsid w:val="6C186A79"/>
    <w:rsid w:val="6C2E686F"/>
    <w:rsid w:val="6C3336C3"/>
    <w:rsid w:val="6CDB1F80"/>
    <w:rsid w:val="6CED1CB3"/>
    <w:rsid w:val="6DBB590E"/>
    <w:rsid w:val="6DC20A4A"/>
    <w:rsid w:val="6DD0018A"/>
    <w:rsid w:val="6E080427"/>
    <w:rsid w:val="6E113780"/>
    <w:rsid w:val="6E6E472E"/>
    <w:rsid w:val="6ECB392F"/>
    <w:rsid w:val="6EE5431F"/>
    <w:rsid w:val="6F2B6AC3"/>
    <w:rsid w:val="6F364454"/>
    <w:rsid w:val="6FB62831"/>
    <w:rsid w:val="6FBF732F"/>
    <w:rsid w:val="6FC87ACE"/>
    <w:rsid w:val="6FEF189F"/>
    <w:rsid w:val="70402769"/>
    <w:rsid w:val="71235CA4"/>
    <w:rsid w:val="712B2DAA"/>
    <w:rsid w:val="712C11D9"/>
    <w:rsid w:val="71E13469"/>
    <w:rsid w:val="720D425E"/>
    <w:rsid w:val="721716CA"/>
    <w:rsid w:val="727B38BE"/>
    <w:rsid w:val="72CF7087"/>
    <w:rsid w:val="72EE408F"/>
    <w:rsid w:val="72FC67AC"/>
    <w:rsid w:val="730D5D09"/>
    <w:rsid w:val="735B0FEC"/>
    <w:rsid w:val="73644352"/>
    <w:rsid w:val="7375655F"/>
    <w:rsid w:val="737E352E"/>
    <w:rsid w:val="744523D5"/>
    <w:rsid w:val="745A74D7"/>
    <w:rsid w:val="747B5DF7"/>
    <w:rsid w:val="7499002B"/>
    <w:rsid w:val="74F636CF"/>
    <w:rsid w:val="75273889"/>
    <w:rsid w:val="756439B2"/>
    <w:rsid w:val="75F629F4"/>
    <w:rsid w:val="76A333E3"/>
    <w:rsid w:val="76A50F09"/>
    <w:rsid w:val="76D0242A"/>
    <w:rsid w:val="777D3C34"/>
    <w:rsid w:val="77BF249E"/>
    <w:rsid w:val="77F9150C"/>
    <w:rsid w:val="78482494"/>
    <w:rsid w:val="78B40681"/>
    <w:rsid w:val="78CE56B7"/>
    <w:rsid w:val="794F35C9"/>
    <w:rsid w:val="79FC1788"/>
    <w:rsid w:val="7A170370"/>
    <w:rsid w:val="7A2860D9"/>
    <w:rsid w:val="7A301431"/>
    <w:rsid w:val="7A395D9B"/>
    <w:rsid w:val="7AE2272C"/>
    <w:rsid w:val="7B450F0D"/>
    <w:rsid w:val="7B641393"/>
    <w:rsid w:val="7B8657AD"/>
    <w:rsid w:val="7C1A7CA3"/>
    <w:rsid w:val="7C3E7E36"/>
    <w:rsid w:val="7C7A7F2F"/>
    <w:rsid w:val="7C8B6DF3"/>
    <w:rsid w:val="7C9C2DAE"/>
    <w:rsid w:val="7CFD1A9F"/>
    <w:rsid w:val="7D0A41BC"/>
    <w:rsid w:val="7D341239"/>
    <w:rsid w:val="7D5278E4"/>
    <w:rsid w:val="7D8950E1"/>
    <w:rsid w:val="7DC90CA6"/>
    <w:rsid w:val="7E0D3F64"/>
    <w:rsid w:val="7E2D1F10"/>
    <w:rsid w:val="7E2D26C4"/>
    <w:rsid w:val="7E747B3F"/>
    <w:rsid w:val="7E974DD4"/>
    <w:rsid w:val="7F007624"/>
    <w:rsid w:val="7F0C5FC9"/>
    <w:rsid w:val="7F623E3B"/>
    <w:rsid w:val="7F78365F"/>
    <w:rsid w:val="7FC44AF6"/>
    <w:rsid w:val="7FE4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6"/>
    <w:unhideWhenUsed/>
    <w:qFormat/>
    <w:uiPriority w:val="0"/>
    <w:pPr>
      <w:keepNext/>
      <w:keepLines/>
      <w:spacing w:before="260" w:after="260" w:line="413" w:lineRule="auto"/>
      <w:jc w:val="center"/>
      <w:outlineLvl w:val="1"/>
    </w:pPr>
    <w:rPr>
      <w:rFonts w:ascii="Arial" w:hAnsi="Arial" w:eastAsia="黑体"/>
      <w:color w:val="000000" w:themeColor="text1"/>
      <w:sz w:val="32"/>
      <w:szCs w:val="21"/>
      <w14:textFill>
        <w14:solidFill>
          <w14:schemeClr w14:val="tx1"/>
        </w14:solidFill>
      </w14:textFill>
    </w:rPr>
  </w:style>
  <w:style w:type="paragraph" w:styleId="4">
    <w:name w:val="heading 4"/>
    <w:next w:val="1"/>
    <w:qFormat/>
    <w:uiPriority w:val="0"/>
    <w:pPr>
      <w:keepNext/>
      <w:keepLines/>
      <w:spacing w:after="172" w:line="265" w:lineRule="auto"/>
      <w:ind w:left="10" w:right="117" w:hanging="10"/>
      <w:outlineLvl w:val="3"/>
    </w:pPr>
    <w:rPr>
      <w:rFonts w:ascii="黑体" w:hAnsi="黑体" w:eastAsia="黑体" w:cs="Times New Roman"/>
      <w:color w:val="000000"/>
      <w:sz w:val="28"/>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0"/>
    <w:pPr>
      <w:spacing w:after="120"/>
      <w:ind w:left="420" w:leftChars="200" w:firstLine="420" w:firstLineChars="200"/>
    </w:pPr>
  </w:style>
  <w:style w:type="paragraph" w:styleId="5">
    <w:name w:val="annotation text"/>
    <w:basedOn w:val="1"/>
    <w:link w:val="19"/>
    <w:qFormat/>
    <w:uiPriority w:val="0"/>
    <w:pPr>
      <w:jc w:val="left"/>
    </w:pPr>
    <w:rPr>
      <w:rFonts w:asciiTheme="minorHAnsi" w:hAnsiTheme="minorHAnsi" w:eastAsiaTheme="minorEastAsia" w:cstheme="minorBidi"/>
    </w:rPr>
  </w:style>
  <w:style w:type="paragraph" w:styleId="6">
    <w:name w:val="Body Text"/>
    <w:basedOn w:val="1"/>
    <w:next w:val="1"/>
    <w:unhideWhenUsed/>
    <w:qFormat/>
    <w:uiPriority w:val="99"/>
    <w:pPr>
      <w:spacing w:after="120"/>
    </w:pPr>
    <w:rPr>
      <w:rFonts w:cs="Times New Roman"/>
    </w:rPr>
  </w:style>
  <w:style w:type="paragraph" w:styleId="7">
    <w:name w:val="Block Text"/>
    <w:basedOn w:val="1"/>
    <w:unhideWhenUsed/>
    <w:qFormat/>
    <w:uiPriority w:val="0"/>
    <w:pPr>
      <w:spacing w:line="440" w:lineRule="exact"/>
      <w:ind w:left="-540" w:leftChars="-257" w:right="-334" w:rightChars="-159" w:firstLine="1140"/>
    </w:pPr>
    <w:rPr>
      <w:rFonts w:ascii="Times New Roman" w:hAnsi="Times New Roman" w:eastAsia="宋体"/>
      <w:sz w:val="24"/>
      <w:szCs w:val="20"/>
    </w:rPr>
  </w:style>
  <w:style w:type="paragraph" w:styleId="8">
    <w:name w:val="Plain Text"/>
    <w:basedOn w:val="1"/>
    <w:next w:val="1"/>
    <w:qFormat/>
    <w:uiPriority w:val="99"/>
    <w:rPr>
      <w:rFonts w:ascii="宋体" w:hAnsi="Courier New" w:cs="Times New Roman"/>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jc w:val="left"/>
    </w:pPr>
    <w:rPr>
      <w:rFonts w:ascii="微软雅黑" w:hAnsi="微软雅黑" w:eastAsia="微软雅黑" w:cs="宋体"/>
      <w:kern w:val="0"/>
      <w:sz w:val="24"/>
    </w:rPr>
  </w:style>
  <w:style w:type="paragraph" w:styleId="13">
    <w:name w:val="Body Text First Indent"/>
    <w:basedOn w:val="6"/>
    <w:unhideWhenUsed/>
    <w:qFormat/>
    <w:uiPriority w:val="99"/>
    <w:pPr>
      <w:ind w:firstLine="420" w:firstLineChars="100"/>
    </w:pPr>
  </w:style>
  <w:style w:type="character" w:customStyle="1" w:styleId="16">
    <w:name w:val="标题 2 字符"/>
    <w:basedOn w:val="15"/>
    <w:link w:val="3"/>
    <w:qFormat/>
    <w:uiPriority w:val="0"/>
    <w:rPr>
      <w:rFonts w:ascii="Arial" w:hAnsi="Arial" w:eastAsia="黑体"/>
      <w:color w:val="000000" w:themeColor="text1"/>
      <w:sz w:val="32"/>
      <w:szCs w:val="21"/>
      <w14:textFill>
        <w14:solidFill>
          <w14:schemeClr w14:val="tx1"/>
        </w14:solidFill>
      </w14:textFill>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character" w:customStyle="1" w:styleId="19">
    <w:name w:val="批注文字 字符"/>
    <w:link w:val="5"/>
    <w:qFormat/>
    <w:uiPriority w:val="0"/>
    <w:rPr>
      <w:szCs w:val="24"/>
    </w:rPr>
  </w:style>
  <w:style w:type="character" w:customStyle="1" w:styleId="20">
    <w:name w:val="批注文字 Char1"/>
    <w:basedOn w:val="15"/>
    <w:semiHidden/>
    <w:qFormat/>
    <w:uiPriority w:val="99"/>
    <w:rPr>
      <w:rFonts w:ascii="Calibri" w:hAnsi="Calibri" w:eastAsia="宋体" w:cs="Times New Roman"/>
      <w:szCs w:val="24"/>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pa-15"/>
    <w:basedOn w:val="1"/>
    <w:qFormat/>
    <w:uiPriority w:val="0"/>
    <w:pPr>
      <w:widowControl/>
      <w:spacing w:line="280" w:lineRule="atLeast"/>
      <w:ind w:firstLine="2100"/>
      <w:jc w:val="right"/>
    </w:pPr>
    <w:rPr>
      <w:rFonts w:ascii="宋体" w:hAnsi="宋体" w:cs="宋体"/>
      <w:kern w:val="0"/>
      <w:sz w:val="24"/>
    </w:rPr>
  </w:style>
  <w:style w:type="paragraph" w:customStyle="1" w:styleId="23">
    <w:name w:val="_Style 3"/>
    <w:basedOn w:val="1"/>
    <w:qFormat/>
    <w:uiPriority w:val="0"/>
    <w:pPr>
      <w:ind w:firstLine="420" w:firstLineChars="200"/>
    </w:pPr>
    <w:rPr>
      <w:rFonts w:ascii="Times New Roman" w:hAnsi="Times New Roman"/>
      <w:sz w:val="20"/>
    </w:rPr>
  </w:style>
  <w:style w:type="paragraph" w:styleId="24">
    <w:name w:val="List Paragraph"/>
    <w:basedOn w:val="1"/>
    <w:qFormat/>
    <w:uiPriority w:val="34"/>
    <w:pPr>
      <w:ind w:firstLine="420" w:firstLineChars="200"/>
    </w:pPr>
    <w:rPr>
      <w:rFonts w:ascii="等线" w:hAnsi="等线" w:eastAsia="等线"/>
      <w:szCs w:val="22"/>
    </w:rPr>
  </w:style>
  <w:style w:type="character" w:customStyle="1" w:styleId="25">
    <w:name w:val="font51"/>
    <w:qFormat/>
    <w:uiPriority w:val="0"/>
    <w:rPr>
      <w:rFonts w:hint="eastAsia" w:ascii="宋体" w:hAnsi="宋体" w:eastAsia="宋体"/>
      <w:color w:val="000000"/>
      <w:sz w:val="24"/>
      <w:szCs w:val="24"/>
      <w:u w:val="none"/>
    </w:rPr>
  </w:style>
  <w:style w:type="paragraph" w:customStyle="1" w:styleId="26">
    <w:name w:val="正文 New New"/>
    <w:qFormat/>
    <w:uiPriority w:val="0"/>
    <w:pPr>
      <w:widowControl w:val="0"/>
      <w:jc w:val="both"/>
    </w:pPr>
    <w:rPr>
      <w:rFonts w:ascii="Times New Roman"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547EC-4453-45B3-A483-C39E2A4D325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1345</Words>
  <Characters>7669</Characters>
  <Lines>63</Lines>
  <Paragraphs>17</Paragraphs>
  <TotalTime>6</TotalTime>
  <ScaleCrop>false</ScaleCrop>
  <LinksUpToDate>false</LinksUpToDate>
  <CharactersWithSpaces>8997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2022-03-04T09:21:00Z</dcterms:created>
  <dc:creator>Administrator</dc:creator>
  <cp:lastModifiedBy>NTKO</cp:lastModifiedBy>
  <cp:lastPrinted>2022-03-09T09:58:00Z</cp:lastPrinted>
  <dcterms:modified xsi:type="dcterms:W3CDTF">2022-03-25T04:33:31Z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B7B9ECFAD8514917BB1D23C721FA675C</vt:lpwstr>
  </property>
</Properties>
</file>