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szCs w:val="24"/>
        </w:rPr>
      </w:pPr>
      <w:bookmarkStart w:id="0" w:name="_GoBack"/>
      <w:bookmarkEnd w:id="0"/>
      <w:r>
        <w:rPr>
          <w:rFonts w:hint="eastAsia" w:ascii="宋体" w:hAnsi="宋体"/>
          <w:sz w:val="24"/>
          <w:szCs w:val="24"/>
        </w:rPr>
        <w:t>实质性响应一览表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序号</w:t>
            </w:r>
          </w:p>
        </w:tc>
        <w:tc>
          <w:tcPr>
            <w:tcW w:w="3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投标人响应情况</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1</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★中标供应商应按照《中华人民共和国劳动法》的相关规定发放工资，服务人员工资不得低于广州市企业职工最低工资标准（工资不含按国家规定供应商必须支付的社会保险及其他应付费用）。</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2</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★中标供应商应按照《中华人民共和国社会保险法》和《住房公积金管理条例》的相关规定，支付国家规定必须购买的社会保险费用和缴存住房公积金。</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★中标供应商须具有公安机关核发的《保安服务许可证》。（提供证书扫描件）</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★投标人须在投标文件中提供《投标人廉洁承诺书》。</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须对派驻保安员进行岗前培训，通过后才能到达相应岗位服务；合同执行过程中，派驻员工需参加采购人组织的各类消防、三防、内保反恐等安全培训和演练活动，其中派驻员工外出培训费用由中标供应商负责。中标供应商应定期组织业务技能培训和廉洁教育，确保员工熟悉设备器材操作，专心本职工作，不收受办丧家属财物、红包利是等；同时，爱惜采购人园区内各种设施设备，爱护并节约服务所需各种器械、设备、工具、材料和其他卫生用品，确保节水节电。中标供应商应编制岗前培训、定期组织业务技能培训的台账和过程资料，供采购人采取不定期检查。</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应具有完善的考勤制度，在采购人各园区采用钉钉打卡考勤形式完成考勤要求，按本项目的岗位要求确保员工在岗，保证员工日常考勤行为和数据被准确真实记录，考勤表为采购人支付服务费的支付依据。采购人有权查看派驻员工考勤管理，将不定期抽查中标供应商的考勤情况，对不符合规定的要及时整改，并按合同条款给予处罚。</w:t>
            </w:r>
            <w:r>
              <w:rPr>
                <w:rFonts w:hint="eastAsia" w:ascii="宋体" w:hAnsi="宋体"/>
                <w:sz w:val="24"/>
                <w:szCs w:val="24"/>
                <w:lang w:val="en-US"/>
              </w:rPr>
              <w:t>中标供应商按规定将服务人员考勤表于次月</w:t>
            </w:r>
            <w:r>
              <w:rPr>
                <w:rFonts w:ascii="宋体" w:hAnsi="宋体"/>
                <w:sz w:val="24"/>
                <w:szCs w:val="24"/>
                <w:lang w:val="en-US"/>
              </w:rPr>
              <w:t>10日前提交采购人签名确认，根据每月的服务完成及到岗情况，采购人按合同约定支付上月费用。</w:t>
            </w:r>
            <w:r>
              <w:rPr>
                <w:rFonts w:hint="eastAsia" w:ascii="宋体" w:hAnsi="宋体"/>
                <w:sz w:val="24"/>
                <w:szCs w:val="24"/>
                <w:lang w:val="en-US"/>
              </w:rPr>
              <w:t>（投标人在投标文件中提供承诺函）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应充分保障各类服务人员的薪酬待遇，建有长效的薪酬制度及员工激励机制，要针对业务骨干或积极加班加点的员工给予薪酬奖励，且每逢中国传统节日应为员工发放相应的节日慰问福利。（投标人在投标文件中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8</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★中标供应商派驻员工的食宿保障（应急队员住宿除外）自行负责，采购人不提供食宿。投标人投标时需提供派驻员工的食宿保障计划。（投标人在投标文件中提供承诺函）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9</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中标供应商派驻保安员必须持公安机关核发并在有效期内的保安员证；派驻的消防控制室工作人员须持有效国家行业主管部门颁发的中级（四级）或以上建（构）筑物消防员证或消防设施操作员证，合同签订时提供证件原件核验。（投标人在投标文件中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10</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★为做好采购人重大节假日期间、大（特）殡活动、内保维稳、突发事件等特殊情况期间相关工作，银河园、铭恩园、新塘中华墓园、观音山公墓</w:t>
            </w:r>
            <w:r>
              <w:rPr>
                <w:rFonts w:ascii="宋体" w:hAnsi="宋体"/>
                <w:sz w:val="24"/>
                <w:szCs w:val="24"/>
              </w:rPr>
              <w:t>4个园区需根据实际情况增加保安员，中标供应商须无条件配合。由此所产生的人员费用按保安员中标价（下表）和实际使用人数据实结算。</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11</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★临时增加保安员服务费每人每日费用不得超过人民币</w:t>
            </w:r>
            <w:r>
              <w:rPr>
                <w:rFonts w:ascii="宋体" w:hAnsi="宋体"/>
                <w:sz w:val="24"/>
                <w:szCs w:val="24"/>
              </w:rPr>
              <w:t>245.00</w:t>
            </w:r>
            <w:r>
              <w:rPr>
                <w:rFonts w:hint="eastAsia" w:ascii="宋体" w:hAnsi="宋体"/>
                <w:sz w:val="24"/>
                <w:szCs w:val="24"/>
              </w:rPr>
              <w:t>元，二年总费用不得超过人民币</w:t>
            </w:r>
            <w:r>
              <w:rPr>
                <w:rFonts w:ascii="宋体" w:hAnsi="宋体"/>
                <w:sz w:val="24"/>
                <w:szCs w:val="24"/>
              </w:rPr>
              <w:t>735,000.00</w:t>
            </w:r>
            <w:r>
              <w:rPr>
                <w:rFonts w:hint="eastAsia" w:ascii="宋体" w:hAnsi="宋体"/>
                <w:sz w:val="24"/>
                <w:szCs w:val="24"/>
              </w:rPr>
              <w:t>元。</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12</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★供应商投标文件中提供的人员即为本项目实施时投入的人员，未经采购人同意，不得更换；供应商承诺如获中标，拟委派的项目经理将到岗履职，不得兼任其他项目的项目经理。(投标时提供承诺函)</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13</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szCs w:val="24"/>
              </w:rPr>
            </w:pPr>
            <w:r>
              <w:rPr>
                <w:rFonts w:hint="eastAsia" w:ascii="宋体" w:hAnsi="宋体"/>
                <w:sz w:val="24"/>
                <w:szCs w:val="24"/>
              </w:rPr>
              <w:t>★持有政府部门颁发的中级（四级）或以上建（构）筑物消防员证或消防设施操作员证（投标时提供证书扫描件）。</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14</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szCs w:val="24"/>
              </w:rPr>
            </w:pPr>
            <w:r>
              <w:rPr>
                <w:rFonts w:hint="eastAsia" w:ascii="宋体" w:hAnsi="宋体"/>
                <w:sz w:val="24"/>
                <w:szCs w:val="24"/>
              </w:rPr>
              <w:t>★投标人须在投标文件中按《投标总价报价明细表》《银河园、铭恩园、新塘中华墓园保安服务岗位配置费用报价明细表》《银河园、铭恩园、新塘中华墓园、观音山公墓临时增加保安员服务费用报价明细表》《观音山公墓保安服务岗位配置费用报价明细表》格式进行明细报价，漏报、错报或未在投标文件中提供上述报价明细表的，将作无效投标处理。</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15</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szCs w:val="24"/>
              </w:rPr>
            </w:pPr>
            <w:r>
              <w:rPr>
                <w:rFonts w:hint="eastAsia" w:ascii="宋体" w:hAnsi="宋体"/>
                <w:sz w:val="24"/>
                <w:szCs w:val="24"/>
              </w:rPr>
              <w:t>★《投标总价报价明细表》为《开标一览表》的报价明细表，《投标总价报价明细表》中合计应与《开标一览表》的投标报价总价相等，否则将作无效投标处理。</w:t>
            </w:r>
          </w:p>
        </w:tc>
        <w:tc>
          <w:tcPr>
            <w:tcW w:w="28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bl>
    <w:p>
      <w:pPr>
        <w:spacing w:line="360" w:lineRule="auto"/>
        <w:rPr>
          <w:rFonts w:ascii="宋体" w:hAnsi="宋体"/>
          <w:sz w:val="24"/>
          <w:szCs w:val="24"/>
        </w:rPr>
      </w:pPr>
      <w:r>
        <w:rPr>
          <w:rFonts w:hint="eastAsia" w:ascii="宋体" w:hAnsi="宋体"/>
          <w:sz w:val="24"/>
          <w:szCs w:val="24"/>
        </w:rPr>
        <w:t>说明：</w:t>
      </w:r>
    </w:p>
    <w:p>
      <w:pPr>
        <w:pStyle w:val="7"/>
        <w:shd w:val="clear" w:color="auto" w:fill="FFFFFF"/>
        <w:ind w:firstLine="480"/>
      </w:pPr>
      <w:r>
        <w:rPr>
          <w:rFonts w:hint="eastAsia"/>
        </w:rPr>
        <w:t>1.实质性响应条款一览表后续内容请根据第二章采购需求</w:t>
      </w:r>
      <w:r>
        <w:rPr>
          <w:rStyle w:val="10"/>
          <w:rFonts w:hint="eastAsia"/>
          <w:b w:val="0"/>
        </w:rPr>
        <w:t>★</w:t>
      </w:r>
      <w:r>
        <w:rPr>
          <w:rFonts w:hint="eastAsia"/>
        </w:rPr>
        <w:t>号条款详细列举</w:t>
      </w:r>
    </w:p>
    <w:p>
      <w:pPr>
        <w:pStyle w:val="7"/>
        <w:shd w:val="clear" w:color="auto" w:fill="FFFFFF"/>
        <w:ind w:firstLine="480"/>
      </w:pPr>
      <w:r>
        <w:rPr>
          <w:rFonts w:hint="eastAsia"/>
        </w:rPr>
        <w:t>2.本表所列条款必须一一予以响应，“投标人响应情况”一栏应</w:t>
      </w:r>
      <w:r>
        <w:rPr>
          <w:rStyle w:val="10"/>
          <w:rFonts w:hint="eastAsia"/>
          <w:b w:val="0"/>
        </w:rPr>
        <w:t>填写具体的响应内容，有差异</w:t>
      </w:r>
      <w:r>
        <w:rPr>
          <w:rFonts w:hint="eastAsia"/>
        </w:rPr>
        <w:t>的要具体说明。</w:t>
      </w:r>
    </w:p>
    <w:p>
      <w:pPr>
        <w:pStyle w:val="7"/>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0B7C251E"/>
    <w:rsid w:val="1D0225B9"/>
    <w:rsid w:val="64280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0"/>
    <w:rPr>
      <w:sz w:val="20"/>
    </w:rPr>
  </w:style>
  <w:style w:type="paragraph" w:styleId="3">
    <w:name w:val="Body Text"/>
    <w:basedOn w:val="1"/>
    <w:next w:val="1"/>
    <w:qFormat/>
    <w:uiPriority w:val="0"/>
    <w:pPr>
      <w:autoSpaceDE w:val="0"/>
      <w:autoSpaceDN w:val="0"/>
      <w:jc w:val="left"/>
    </w:pPr>
    <w:rPr>
      <w:rFonts w:ascii="仿宋_GB2312" w:hAnsi="仿宋_GB2312" w:eastAsia="仿宋_GB2312" w:cs="仿宋_GB2312"/>
      <w:kern w:val="0"/>
      <w:sz w:val="28"/>
      <w:szCs w:val="28"/>
      <w:lang w:eastAsia="en-US"/>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line="360" w:lineRule="auto"/>
    </w:pPr>
    <w:rPr>
      <w:rFonts w:ascii="宋体" w:hAnsi="宋体" w:cs="宋体"/>
      <w:sz w:val="24"/>
      <w:szCs w:val="24"/>
    </w:rPr>
  </w:style>
  <w:style w:type="character" w:styleId="10">
    <w:name w:val="Strong"/>
    <w:basedOn w:val="9"/>
    <w:qFormat/>
    <w:uiPriority w:val="22"/>
    <w:rPr>
      <w:b/>
      <w:bCs/>
    </w:rPr>
  </w:style>
  <w:style w:type="character" w:styleId="11">
    <w:name w:val="annotation reference"/>
    <w:qFormat/>
    <w:uiPriority w:val="99"/>
    <w:rPr>
      <w:rFonts w:ascii="Tahoma" w:hAnsi="Tahoma"/>
      <w:kern w:val="2"/>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批注文字 字符"/>
    <w:basedOn w:val="9"/>
    <w:link w:val="2"/>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289</Words>
  <Characters>292</Characters>
  <Lines>2</Lines>
  <Paragraphs>1</Paragraphs>
  <TotalTime>0</TotalTime>
  <ScaleCrop>false</ScaleCrop>
  <LinksUpToDate>false</LinksUpToDate>
  <CharactersWithSpaces>295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黄熙栋</cp:lastModifiedBy>
  <dcterms:modified xsi:type="dcterms:W3CDTF">2024-07-05T04:56:12Z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D3D2AF1A513D4D7F978F59D10215F14D_13</vt:lpwstr>
  </property>
</Properties>
</file>